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500" w:rsidTr="0010095E">
        <w:trPr>
          <w:trHeight w:hRule="exact" w:val="1418"/>
        </w:trPr>
        <w:tc>
          <w:tcPr>
            <w:tcW w:w="6804" w:type="dxa"/>
            <w:shd w:val="clear" w:color="auto" w:fill="auto"/>
            <w:vAlign w:val="center"/>
          </w:tcPr>
          <w:p w:rsidR="00751A4A" w:rsidRPr="00903500" w:rsidRDefault="00005390" w:rsidP="0010095E">
            <w:pPr>
              <w:pStyle w:val="EPName"/>
            </w:pPr>
            <w:r w:rsidRPr="00903500">
              <w:t>Evropský parlament</w:t>
            </w:r>
          </w:p>
          <w:p w:rsidR="00751A4A" w:rsidRPr="00903500" w:rsidRDefault="00817416" w:rsidP="00756632">
            <w:pPr>
              <w:pStyle w:val="EPTerm"/>
              <w:rPr>
                <w:rStyle w:val="HideTWBExt"/>
                <w:noProof w:val="0"/>
                <w:vanish w:val="0"/>
                <w:color w:val="auto"/>
              </w:rPr>
            </w:pPr>
            <w:r w:rsidRPr="00903500">
              <w:t>2019-2024</w:t>
            </w:r>
          </w:p>
        </w:tc>
        <w:tc>
          <w:tcPr>
            <w:tcW w:w="2268" w:type="dxa"/>
            <w:shd w:val="clear" w:color="auto" w:fill="auto"/>
          </w:tcPr>
          <w:p w:rsidR="00751A4A" w:rsidRPr="00903500" w:rsidRDefault="00187494" w:rsidP="0010095E">
            <w:pPr>
              <w:pStyle w:val="EPLogo"/>
            </w:pPr>
            <w:r w:rsidRPr="009035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3500" w:rsidRDefault="00D058B8" w:rsidP="004C5D52">
      <w:pPr>
        <w:pStyle w:val="LineTop"/>
      </w:pPr>
    </w:p>
    <w:p w:rsidR="00680577" w:rsidRPr="00903500" w:rsidRDefault="00005390" w:rsidP="00680577">
      <w:pPr>
        <w:pStyle w:val="EPBodyTA1"/>
      </w:pPr>
      <w:r w:rsidRPr="00903500">
        <w:t>PŘIJATÉ TEXTY</w:t>
      </w:r>
    </w:p>
    <w:p w:rsidR="00D058B8" w:rsidRPr="00903500" w:rsidRDefault="00D058B8" w:rsidP="00D058B8">
      <w:pPr>
        <w:pStyle w:val="LineBottom"/>
      </w:pPr>
    </w:p>
    <w:p w:rsidR="00005390" w:rsidRPr="00903500" w:rsidRDefault="00005390" w:rsidP="00005390">
      <w:pPr>
        <w:pStyle w:val="ATHeading1"/>
      </w:pPr>
      <w:bookmarkStart w:id="0" w:name="TANumber"/>
      <w:r w:rsidRPr="00903500">
        <w:t>P9_TA(2024)0</w:t>
      </w:r>
      <w:r w:rsidR="0069731C">
        <w:t>229</w:t>
      </w:r>
      <w:bookmarkEnd w:id="0"/>
    </w:p>
    <w:p w:rsidR="00005390" w:rsidRPr="00903500" w:rsidRDefault="00005390" w:rsidP="00005390">
      <w:pPr>
        <w:pStyle w:val="ATHeading2"/>
      </w:pPr>
      <w:bookmarkStart w:id="1" w:name="title"/>
      <w:r w:rsidRPr="00903500">
        <w:t>Udělení absolutoria za rok 2022: souhrnný rozpočet EU – Evropský parlament</w:t>
      </w:r>
      <w:bookmarkEnd w:id="1"/>
    </w:p>
    <w:p w:rsidR="00005390" w:rsidRPr="00903500" w:rsidRDefault="00005390" w:rsidP="00005390">
      <w:pPr>
        <w:rPr>
          <w:i/>
          <w:vanish/>
        </w:rPr>
      </w:pPr>
      <w:r w:rsidRPr="00903500">
        <w:rPr>
          <w:i/>
        </w:rPr>
        <w:fldChar w:fldCharType="begin"/>
      </w:r>
      <w:r w:rsidRPr="00903500">
        <w:rPr>
          <w:i/>
        </w:rPr>
        <w:instrText xml:space="preserve"> TC"(</w:instrText>
      </w:r>
      <w:bookmarkStart w:id="2" w:name="DocNumber"/>
      <w:r w:rsidRPr="00903500">
        <w:rPr>
          <w:i/>
        </w:rPr>
        <w:instrText>A9-0067/2024</w:instrText>
      </w:r>
      <w:bookmarkEnd w:id="2"/>
      <w:r w:rsidRPr="00903500">
        <w:rPr>
          <w:i/>
        </w:rPr>
        <w:instrText xml:space="preserve"> - Zpravodaj: Andrey Novakov)"\l3 \n&gt; \* MERGEFORMAT </w:instrText>
      </w:r>
      <w:r w:rsidRPr="00903500">
        <w:rPr>
          <w:i/>
        </w:rPr>
        <w:fldChar w:fldCharType="end"/>
      </w:r>
    </w:p>
    <w:p w:rsidR="00005390" w:rsidRPr="00903500" w:rsidRDefault="00005390" w:rsidP="00005390">
      <w:pPr>
        <w:rPr>
          <w:vanish/>
        </w:rPr>
      </w:pPr>
      <w:bookmarkStart w:id="3" w:name="Commission"/>
      <w:r w:rsidRPr="00903500">
        <w:rPr>
          <w:vanish/>
        </w:rPr>
        <w:t>Výbor pro rozpočtovou kontrolu</w:t>
      </w:r>
      <w:bookmarkEnd w:id="3"/>
    </w:p>
    <w:p w:rsidR="00005390" w:rsidRPr="00903500" w:rsidRDefault="00005390" w:rsidP="00005390">
      <w:pPr>
        <w:rPr>
          <w:vanish/>
        </w:rPr>
      </w:pPr>
      <w:bookmarkStart w:id="4" w:name="PE"/>
      <w:r w:rsidRPr="00903500">
        <w:rPr>
          <w:vanish/>
        </w:rPr>
        <w:t>PE753.634</w:t>
      </w:r>
      <w:bookmarkEnd w:id="4"/>
    </w:p>
    <w:p w:rsidR="00005390" w:rsidRPr="00903500" w:rsidRDefault="004076CF" w:rsidP="00005390">
      <w:pPr>
        <w:pStyle w:val="ATHeading3"/>
      </w:pPr>
      <w:bookmarkStart w:id="5" w:name="Sujet"/>
      <w:r>
        <w:t xml:space="preserve">1. </w:t>
      </w:r>
      <w:r w:rsidR="00005390" w:rsidRPr="00903500">
        <w:t>Rozhodnutí Evropského parlamentu ze dne 11. dubna 2024 o udělení absolutoria za plnění souhrnného rozpočtu Evropské unie na rozpočtový rok 2022, oddíl I – Evropský parlament</w:t>
      </w:r>
      <w:bookmarkEnd w:id="5"/>
      <w:r w:rsidR="00005390" w:rsidRPr="00903500">
        <w:t xml:space="preserve"> </w:t>
      </w:r>
      <w:bookmarkStart w:id="6" w:name="References"/>
      <w:r w:rsidR="00005390" w:rsidRPr="00903500">
        <w:t>(2023/2130(DEC))</w:t>
      </w:r>
      <w:bookmarkEnd w:id="6"/>
    </w:p>
    <w:p w:rsidR="00900AE0" w:rsidRPr="00903500" w:rsidRDefault="00900AE0" w:rsidP="00900AE0">
      <w:pPr>
        <w:pStyle w:val="EPComma"/>
        <w:rPr>
          <w:noProof/>
        </w:rPr>
      </w:pPr>
      <w:bookmarkStart w:id="7" w:name="TextBodyBegin"/>
      <w:bookmarkEnd w:id="7"/>
      <w:r w:rsidRPr="00903500">
        <w:rPr>
          <w:i/>
          <w:iCs/>
        </w:rPr>
        <w:t>Evropský parlament</w:t>
      </w:r>
      <w:r w:rsidRPr="00903500">
        <w:t>,</w:t>
      </w:r>
    </w:p>
    <w:p w:rsidR="00900AE0" w:rsidRPr="00903500" w:rsidRDefault="00900AE0" w:rsidP="00AA742C">
      <w:pPr>
        <w:pStyle w:val="NormalHanging12a"/>
        <w:rPr>
          <w:noProof/>
        </w:rPr>
      </w:pPr>
      <w:r w:rsidRPr="00903500">
        <w:t>–</w:t>
      </w:r>
      <w:r w:rsidRPr="00903500">
        <w:tab/>
        <w:t>s ohledem na souhrnný rozpočet Evropské unie na rozpočtový rok 2022</w:t>
      </w:r>
      <w:r w:rsidRPr="00903500">
        <w:rPr>
          <w:rStyle w:val="FootnoteReference"/>
          <w:noProof/>
        </w:rPr>
        <w:footnoteReference w:id="1"/>
      </w:r>
      <w:r w:rsidRPr="00903500">
        <w:t>,</w:t>
      </w:r>
    </w:p>
    <w:p w:rsidR="00900AE0" w:rsidRPr="00903500" w:rsidRDefault="00900AE0" w:rsidP="00AA742C">
      <w:pPr>
        <w:pStyle w:val="NormalHanging12a"/>
        <w:rPr>
          <w:noProof/>
        </w:rPr>
      </w:pPr>
      <w:r w:rsidRPr="00903500">
        <w:t>–</w:t>
      </w:r>
      <w:r w:rsidRPr="00903500">
        <w:tab/>
        <w:t xml:space="preserve">s ohledem na </w:t>
      </w:r>
      <w:r w:rsidRPr="00903500">
        <w:rPr>
          <w:szCs w:val="24"/>
        </w:rPr>
        <w:t xml:space="preserve">konsolidovanou roční účetní závěrku </w:t>
      </w:r>
      <w:r w:rsidRPr="00903500">
        <w:t>Evropské unie za rozpočtový rok 2022 (COM(2023)0391 – C9</w:t>
      </w:r>
      <w:r w:rsidRPr="00903500">
        <w:noBreakHyphen/>
        <w:t>0248/2023)</w:t>
      </w:r>
      <w:r w:rsidRPr="00903500">
        <w:rPr>
          <w:rStyle w:val="FootnoteReference"/>
          <w:noProof/>
        </w:rPr>
        <w:footnoteReference w:id="2"/>
      </w:r>
      <w:r w:rsidRPr="00903500">
        <w:t>,</w:t>
      </w:r>
    </w:p>
    <w:p w:rsidR="00900AE0" w:rsidRPr="00903500" w:rsidRDefault="00900AE0" w:rsidP="00AA742C">
      <w:pPr>
        <w:pStyle w:val="NormalHanging12a"/>
        <w:rPr>
          <w:noProof/>
        </w:rPr>
      </w:pPr>
      <w:r w:rsidRPr="00903500">
        <w:t>–</w:t>
      </w:r>
      <w:r w:rsidRPr="00903500">
        <w:tab/>
        <w:t>s ohledem na zprávu o rozpočtovém a finančním řízení za rozpočtový rok 2022, oddíl I – Evropský parlament</w:t>
      </w:r>
      <w:r w:rsidRPr="00903500">
        <w:rPr>
          <w:rStyle w:val="FootnoteReference"/>
          <w:noProof/>
        </w:rPr>
        <w:footnoteReference w:id="3"/>
      </w:r>
      <w:r w:rsidRPr="00903500">
        <w:t>,</w:t>
      </w:r>
    </w:p>
    <w:p w:rsidR="00900AE0" w:rsidRPr="00903500" w:rsidRDefault="00900AE0" w:rsidP="00AA742C">
      <w:pPr>
        <w:pStyle w:val="NormalHanging12a"/>
        <w:rPr>
          <w:noProof/>
        </w:rPr>
      </w:pPr>
      <w:r w:rsidRPr="00903500">
        <w:t>–</w:t>
      </w:r>
      <w:r w:rsidRPr="00903500">
        <w:tab/>
        <w:t>s ohledem na výroční zprávu interního auditora za rozpočtový rok 2022,</w:t>
      </w:r>
    </w:p>
    <w:p w:rsidR="00900AE0" w:rsidRPr="00903500" w:rsidRDefault="00900AE0" w:rsidP="00AA742C">
      <w:pPr>
        <w:pStyle w:val="NormalHanging12a"/>
        <w:rPr>
          <w:noProof/>
        </w:rPr>
      </w:pPr>
      <w:r w:rsidRPr="00903500">
        <w:t>–</w:t>
      </w:r>
      <w:r w:rsidRPr="00903500">
        <w:tab/>
        <w:t>s ohledem na výroční zprávu Účetního dvora o plnění rozpočtu na rozpočtový rok 2022 spolu s odpověďmi orgánů</w:t>
      </w:r>
      <w:r w:rsidRPr="00903500">
        <w:rPr>
          <w:rStyle w:val="FootnoteReference"/>
          <w:noProof/>
        </w:rPr>
        <w:footnoteReference w:id="4"/>
      </w:r>
      <w:r w:rsidRPr="00903500">
        <w:t>,</w:t>
      </w:r>
    </w:p>
    <w:p w:rsidR="00900AE0" w:rsidRPr="00903500" w:rsidRDefault="00900AE0" w:rsidP="00AA742C">
      <w:pPr>
        <w:pStyle w:val="NormalHanging12a"/>
        <w:rPr>
          <w:noProof/>
        </w:rPr>
      </w:pPr>
      <w:r w:rsidRPr="00903500">
        <w:t>–</w:t>
      </w:r>
      <w:r w:rsidRPr="00903500">
        <w:tab/>
        <w:t>s ohledem na prohlášení o věrohodnosti</w:t>
      </w:r>
      <w:r w:rsidRPr="00903500">
        <w:rPr>
          <w:rStyle w:val="FootnoteReference"/>
          <w:noProof/>
        </w:rPr>
        <w:footnoteReference w:id="5"/>
      </w:r>
      <w:r w:rsidRPr="00903500">
        <w:t xml:space="preserve"> účetnictví a o legalitě a správnosti uskutečněných operací, které předložil Účetní dvůr za rozpočtový rok 2022 podle článku 287 Smlouvy o fungování Evropské unie,</w:t>
      </w:r>
    </w:p>
    <w:p w:rsidR="00900AE0" w:rsidRPr="00903500" w:rsidRDefault="00900AE0" w:rsidP="00AA742C">
      <w:pPr>
        <w:pStyle w:val="NormalHanging12a"/>
        <w:rPr>
          <w:noProof/>
        </w:rPr>
      </w:pPr>
      <w:r w:rsidRPr="00903500">
        <w:t>–</w:t>
      </w:r>
      <w:r w:rsidRPr="00903500">
        <w:tab/>
        <w:t>s ohledem na čl. 314 odst. 10 a článek 318 Smlouvy o fungování Evropské unie,</w:t>
      </w:r>
    </w:p>
    <w:p w:rsidR="00900AE0" w:rsidRPr="00903500" w:rsidRDefault="00900AE0" w:rsidP="00AA742C">
      <w:pPr>
        <w:pStyle w:val="NormalHanging12a"/>
        <w:rPr>
          <w:noProof/>
        </w:rPr>
      </w:pPr>
      <w:r w:rsidRPr="00903500">
        <w:t>–</w:t>
      </w:r>
      <w:r w:rsidRPr="00903500">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w:t>
      </w:r>
      <w:r w:rsidRPr="00903500">
        <w:lastRenderedPageBreak/>
        <w:t>č. 966/2012</w:t>
      </w:r>
      <w:r w:rsidRPr="00903500">
        <w:rPr>
          <w:rStyle w:val="FootnoteReference"/>
          <w:noProof/>
        </w:rPr>
        <w:footnoteReference w:id="6"/>
      </w:r>
      <w:r w:rsidRPr="00903500">
        <w:t>, a zejména na články 260, 261 a 262 tohoto nařízení,</w:t>
      </w:r>
    </w:p>
    <w:p w:rsidR="00900AE0" w:rsidRPr="00903500" w:rsidRDefault="00900AE0" w:rsidP="00AA742C">
      <w:pPr>
        <w:pStyle w:val="NormalHanging12a"/>
        <w:rPr>
          <w:noProof/>
        </w:rPr>
      </w:pPr>
      <w:r w:rsidRPr="00903500">
        <w:t>–</w:t>
      </w:r>
      <w:r w:rsidRPr="00903500">
        <w:tab/>
        <w:t>s ohledem na rozhodnutí předsednictva ze dne 10. prosince 2018 o vnitřních předpisech pro plnění rozpočtu Evropského parlamentu, a zejména na článek 34 tohoto rozhodnutí,</w:t>
      </w:r>
    </w:p>
    <w:p w:rsidR="00900AE0" w:rsidRPr="00903500" w:rsidRDefault="00900AE0" w:rsidP="00AA742C">
      <w:pPr>
        <w:pStyle w:val="NormalHanging12a"/>
        <w:rPr>
          <w:noProof/>
        </w:rPr>
      </w:pPr>
      <w:r w:rsidRPr="00903500">
        <w:t>–</w:t>
      </w:r>
      <w:r w:rsidRPr="00903500">
        <w:tab/>
        <w:t>s ohledem na článek 100, čl. 104 odst. 3 a přílohu V jednacího řádu,</w:t>
      </w:r>
    </w:p>
    <w:p w:rsidR="00900AE0" w:rsidRPr="00903500" w:rsidRDefault="00900AE0" w:rsidP="00AA742C">
      <w:pPr>
        <w:pStyle w:val="NormalHanging12a"/>
        <w:rPr>
          <w:noProof/>
        </w:rPr>
      </w:pPr>
      <w:r w:rsidRPr="00903500">
        <w:t>–</w:t>
      </w:r>
      <w:r w:rsidRPr="00903500">
        <w:tab/>
        <w:t>s ohledem na stanovisko Výboru pro právní záležitosti,</w:t>
      </w:r>
    </w:p>
    <w:p w:rsidR="00900AE0" w:rsidRPr="00903500" w:rsidRDefault="00900AE0" w:rsidP="00AA742C">
      <w:pPr>
        <w:pStyle w:val="NormalHanging12a"/>
      </w:pPr>
      <w:r w:rsidRPr="00903500">
        <w:t>–</w:t>
      </w:r>
      <w:r w:rsidRPr="00903500">
        <w:tab/>
        <w:t>s ohledem na zprávu Výboru pro rozpočtovou kontrolu (A9</w:t>
      </w:r>
      <w:r w:rsidRPr="00903500">
        <w:noBreakHyphen/>
        <w:t>0067/2024),</w:t>
      </w:r>
    </w:p>
    <w:p w:rsidR="00900AE0" w:rsidRPr="00903500" w:rsidRDefault="00900AE0" w:rsidP="00AA742C">
      <w:pPr>
        <w:pStyle w:val="NormalHanging12a"/>
        <w:widowControl/>
      </w:pPr>
      <w:r w:rsidRPr="00903500">
        <w:t>A.</w:t>
      </w:r>
      <w:r w:rsidRPr="00903500">
        <w:tab/>
        <w:t>vzhledem k tomu, že předsedkyně přijala účetní závěrku Parlamentu za rozpočtový rok 2022 dne 22. června 2023;</w:t>
      </w:r>
    </w:p>
    <w:p w:rsidR="00900AE0" w:rsidRPr="00903500" w:rsidRDefault="00900AE0" w:rsidP="00AA742C">
      <w:pPr>
        <w:pStyle w:val="NormalHanging12a"/>
        <w:widowControl/>
      </w:pPr>
      <w:r w:rsidRPr="00903500">
        <w:t>B.</w:t>
      </w:r>
      <w:r w:rsidRPr="00903500">
        <w:tab/>
        <w:t>vzhledem k tomu, že generální tajemník jako hlavní pověřená schvalující osoba dne 26. června 2023 osvědčil, že má přiměřenou jistotu, že zdroje poskytnuté do rozpočtu Parlamentu byly použity k zamýšlenému účelu a v souladu se zásadami řádného finančního řízení a že zavedené kontrolní postupy dávají nezbytné záruky týkající se legality a správnosti uskutečněných operací;</w:t>
      </w:r>
    </w:p>
    <w:p w:rsidR="00900AE0" w:rsidRPr="00903500" w:rsidRDefault="00900AE0" w:rsidP="00AA742C">
      <w:pPr>
        <w:pStyle w:val="NormalHanging12a"/>
        <w:widowControl/>
      </w:pPr>
      <w:r w:rsidRPr="00903500">
        <w:t>C.</w:t>
      </w:r>
      <w:r w:rsidRPr="00903500">
        <w:tab/>
        <w:t>vzhledem k tomu, že Účetní dvůr ve svém auditu dospěl k závěru, že při svém specifickém posuzování správních a jiných výdajů provedených v roce 2022 nezjistil ve výročních zprávách o činnosti orgánů a institucí, které zkoumal v souladu s požadavky nařízení (ES, Euratom) 2018/1046, žádné vážné nedostatky;</w:t>
      </w:r>
    </w:p>
    <w:p w:rsidR="00900AE0" w:rsidRPr="00903500" w:rsidRDefault="00900AE0" w:rsidP="00AA742C">
      <w:pPr>
        <w:pStyle w:val="NormalHanging12a"/>
        <w:widowControl/>
      </w:pPr>
      <w:r w:rsidRPr="00903500">
        <w:t>D.</w:t>
      </w:r>
      <w:r w:rsidRPr="00903500">
        <w:tab/>
        <w:t>vzhledem k tomu, že čl. 262 odst. 1 nařízení (EU, Euratom) 2018/1046 vyžaduje, aby každý orgán Unie učinil všechna vhodná opatření, aby vyhověl připomínkám připojeným k rozhodnutí Evropského parlamentu o udělení absolutoria;</w:t>
      </w:r>
    </w:p>
    <w:p w:rsidR="00900AE0" w:rsidRPr="00903500" w:rsidRDefault="00900AE0" w:rsidP="00AA742C">
      <w:pPr>
        <w:pStyle w:val="NormalHanging12a"/>
        <w:rPr>
          <w:noProof/>
        </w:rPr>
      </w:pPr>
      <w:r w:rsidRPr="00903500">
        <w:t>1.</w:t>
      </w:r>
      <w:r w:rsidRPr="00903500">
        <w:tab/>
        <w:t>uděluje absolutorium své předsedkyni za plnění rozpočtu Evropského parlamentu na rozpočtový rok 2022;</w:t>
      </w:r>
    </w:p>
    <w:p w:rsidR="00900AE0" w:rsidRPr="00903500" w:rsidRDefault="00900AE0" w:rsidP="00AA742C">
      <w:pPr>
        <w:pStyle w:val="NormalHanging12a"/>
        <w:rPr>
          <w:noProof/>
        </w:rPr>
      </w:pPr>
      <w:r w:rsidRPr="00903500">
        <w:t>2.</w:t>
      </w:r>
      <w:r w:rsidRPr="00903500">
        <w:tab/>
        <w:t>předkládá své připomínky v níže uvedeném usnesení;</w:t>
      </w:r>
    </w:p>
    <w:p w:rsidR="00900AE0" w:rsidRPr="00903500" w:rsidRDefault="00900AE0" w:rsidP="00AA742C">
      <w:pPr>
        <w:pStyle w:val="NormalHanging12a"/>
        <w:rPr>
          <w:noProof/>
        </w:rPr>
      </w:pPr>
      <w:r w:rsidRPr="00903500">
        <w:t>3.</w:t>
      </w:r>
      <w:r w:rsidRPr="00903500">
        <w:tab/>
        <w:t>pověřuje svou předsedkyni, aby předala toto rozhodnutí a usnesení, které je jeho nedílnou součástí, Radě, Komisi a Účetnímu dvoru a aby zajistila jejich zveřejnění v </w:t>
      </w:r>
      <w:r w:rsidRPr="00903500">
        <w:rPr>
          <w:i/>
          <w:iCs/>
        </w:rPr>
        <w:t>Úředním věstníku Evropské unie</w:t>
      </w:r>
      <w:r w:rsidRPr="00903500">
        <w:t xml:space="preserve"> (řada L).</w:t>
      </w:r>
    </w:p>
    <w:p w:rsidR="00900AE0" w:rsidRPr="00903500" w:rsidRDefault="00900AE0" w:rsidP="00AA742C">
      <w:pPr>
        <w:spacing w:after="240"/>
        <w:ind w:left="567" w:hanging="567"/>
      </w:pPr>
    </w:p>
    <w:p w:rsidR="00900AE0" w:rsidRPr="00903500" w:rsidRDefault="00900AE0" w:rsidP="00AA742C">
      <w:pPr>
        <w:pStyle w:val="PageHeading"/>
        <w:spacing w:after="240"/>
        <w:ind w:left="567" w:hanging="567"/>
        <w:sectPr w:rsidR="00900AE0" w:rsidRPr="00903500" w:rsidSect="0090350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00AE0" w:rsidRPr="00903500" w:rsidRDefault="00900AE0" w:rsidP="004076CF">
      <w:pPr>
        <w:pStyle w:val="ATHeading3"/>
        <w:rPr>
          <w:noProof/>
        </w:rPr>
      </w:pPr>
      <w:bookmarkStart w:id="8" w:name="_Toc161836874"/>
      <w:r w:rsidRPr="00903500">
        <w:lastRenderedPageBreak/>
        <w:t xml:space="preserve">2. </w:t>
      </w:r>
      <w:r w:rsidR="00152C74">
        <w:t>U</w:t>
      </w:r>
      <w:r w:rsidR="004076CF" w:rsidRPr="00903500">
        <w:t>snesení Evropského parlamentu</w:t>
      </w:r>
      <w:bookmarkEnd w:id="8"/>
      <w:r w:rsidR="004076CF">
        <w:t xml:space="preserve"> </w:t>
      </w:r>
      <w:r w:rsidR="004076CF" w:rsidRPr="00903500">
        <w:t xml:space="preserve">ze dne 11. dubna 2024 </w:t>
      </w:r>
      <w:r w:rsidRPr="00903500">
        <w:t>obsahující připomínky, které jsou nedílnou součástí rozhodnutí o plnění souhrnného rozpočtu Evropské unie na rozpočtový rok 2022, oddíl I – Evropský parlament</w:t>
      </w:r>
      <w:r w:rsidR="004076CF">
        <w:t xml:space="preserve"> </w:t>
      </w:r>
      <w:r w:rsidRPr="00903500">
        <w:t>(2023/2130(DEC))</w:t>
      </w:r>
    </w:p>
    <w:p w:rsidR="00900AE0" w:rsidRPr="00903500" w:rsidRDefault="00900AE0" w:rsidP="004076CF">
      <w:pPr>
        <w:pStyle w:val="EPComma"/>
        <w:ind w:left="567" w:hanging="567"/>
        <w:rPr>
          <w:noProof/>
        </w:rPr>
      </w:pPr>
      <w:r w:rsidRPr="00903500">
        <w:rPr>
          <w:i/>
          <w:iCs/>
        </w:rPr>
        <w:t>Evropský parlament</w:t>
      </w:r>
      <w:r w:rsidRPr="00903500">
        <w:t>,</w:t>
      </w:r>
    </w:p>
    <w:p w:rsidR="00900AE0" w:rsidRPr="00903500" w:rsidRDefault="00900AE0" w:rsidP="00AA742C">
      <w:pPr>
        <w:pStyle w:val="NormalHanging12a"/>
        <w:rPr>
          <w:noProof/>
        </w:rPr>
      </w:pPr>
      <w:r w:rsidRPr="00903500">
        <w:t>–</w:t>
      </w:r>
      <w:r w:rsidRPr="00903500">
        <w:tab/>
        <w:t>s ohledem na své rozhodnutí o udělení absolutoria za plnění souhrnného rozpočtu Evropské unie na rozpočtový rok 2022, oddíl I – Evropský parlament,</w:t>
      </w:r>
    </w:p>
    <w:p w:rsidR="00900AE0" w:rsidRPr="00903500" w:rsidRDefault="00900AE0" w:rsidP="00AA742C">
      <w:pPr>
        <w:pStyle w:val="NormalHanging12a"/>
        <w:rPr>
          <w:noProof/>
        </w:rPr>
      </w:pPr>
      <w:r w:rsidRPr="00903500">
        <w:t>–</w:t>
      </w:r>
      <w:r w:rsidRPr="00903500">
        <w:tab/>
        <w:t>s ohledem na článek 100, čl. 104 odst. 3 a přílohu V jednacího řádu,</w:t>
      </w:r>
    </w:p>
    <w:p w:rsidR="00900AE0" w:rsidRPr="00903500" w:rsidRDefault="00900AE0" w:rsidP="00AA742C">
      <w:pPr>
        <w:pStyle w:val="NormalHanging12a"/>
        <w:rPr>
          <w:noProof/>
        </w:rPr>
      </w:pPr>
      <w:r w:rsidRPr="00903500">
        <w:t>–</w:t>
      </w:r>
      <w:r w:rsidRPr="00903500">
        <w:tab/>
        <w:t>s ohledem na stanovisko Výboru pro právní záležitosti,</w:t>
      </w:r>
    </w:p>
    <w:p w:rsidR="00900AE0" w:rsidRPr="00903500" w:rsidRDefault="00900AE0" w:rsidP="00AA742C">
      <w:pPr>
        <w:pStyle w:val="NormalHanging12a"/>
      </w:pPr>
      <w:r w:rsidRPr="00903500">
        <w:t>–</w:t>
      </w:r>
      <w:r w:rsidRPr="00903500">
        <w:tab/>
        <w:t>s ohledem na zprávu Výboru pro rozpočtovou kontrolu (A9</w:t>
      </w:r>
      <w:r w:rsidRPr="00903500">
        <w:noBreakHyphen/>
        <w:t>0067/2024),</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A.</w:t>
      </w:r>
      <w:r w:rsidRPr="00903500">
        <w:rPr>
          <w14:textOutline w14:w="0" w14:cap="flat" w14:cmpd="sng" w14:algn="ctr">
            <w14:noFill/>
            <w14:prstDash w14:val="solid"/>
            <w14:bevel/>
          </w14:textOutline>
        </w:rPr>
        <w:tab/>
        <w:t>vzhledem k tomu, že ve svém potvrzení konečné účetní závěrky účetní Evropského parlamentu (dále jen „Parlament“) prohlásil, že získal přiměřenou jistotu, že účetní závěrka poskytuje ve všech významných aspektech věrný a poctivý obraz finanční situace Parlamentu, výsledků jeho činností a jeho peněžních toků;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B.</w:t>
      </w:r>
      <w:r w:rsidRPr="00903500">
        <w:rPr>
          <w14:textOutline w14:w="0" w14:cap="flat" w14:cmpd="sng" w14:algn="ctr">
            <w14:noFill/>
            <w14:prstDash w14:val="solid"/>
            <w14:bevel/>
          </w14:textOutline>
        </w:rPr>
        <w:tab/>
        <w:t>vzhledem k tomu, že v souladu s běžnými postupy bylo správě Parlamentu zasláno 60 otázek a obdržené písemné odpovědi Výbor pro rozpočtovou kontrolu dne 4. prosince 2023 veřejně projednal v přítomnosti generálního tajemníka, ředitele Úřadu pro evropské politické strany a evropské politické nadace (dále jen „úřad“) a interního auditora;</w:t>
      </w:r>
    </w:p>
    <w:p w:rsidR="00900AE0" w:rsidRDefault="00900AE0" w:rsidP="00AA742C">
      <w:pPr>
        <w:pStyle w:val="NormalHanging12a"/>
      </w:pPr>
      <w:r w:rsidRPr="00903500">
        <w:rPr>
          <w14:textOutline w14:w="0" w14:cap="flat" w14:cmpd="sng" w14:algn="ctr">
            <w14:noFill/>
            <w14:prstDash w14:val="solid"/>
            <w14:bevel/>
          </w14:textOutline>
        </w:rPr>
        <w:t>C.</w:t>
      </w:r>
      <w:r w:rsidRPr="00903500">
        <w:rPr>
          <w14:textOutline w14:w="0" w14:cap="flat" w14:cmpd="sng" w14:algn="ctr">
            <w14:noFill/>
            <w14:prstDash w14:val="solid"/>
            <w14:bevel/>
          </w14:textOutline>
        </w:rPr>
        <w:tab/>
      </w:r>
      <w:r w:rsidRPr="00903500">
        <w:t>vzhledem k tomu, že je vždy prostor ke zlepšování se, pokud jde o kvalitu, efektivnost a účinnost, jakož i transparentnost při správě veřejných finančních prostředků; vzhledem k tomu, že prostřednictvím kontroly je nutné zajistit, aby se politické vedení a správa Parlamentu zodpovídaly občanům Unie; vzhledem k tomu, že integrita Parlamentu má zásadní význam pro fungování evropské demokracie a zvyšuje důvěru občanů v evropské orgány;</w:t>
      </w:r>
    </w:p>
    <w:p w:rsidR="00F153D9" w:rsidRDefault="00CD08D1" w:rsidP="00AA742C">
      <w:pPr>
        <w:pStyle w:val="NormalHanging12a"/>
      </w:pPr>
      <w:r>
        <w:t>D</w:t>
      </w:r>
      <w:r w:rsidR="00F153D9" w:rsidRPr="00F33887">
        <w:t>.</w:t>
      </w:r>
      <w:r w:rsidR="00F153D9" w:rsidRPr="00F153D9">
        <w:tab/>
      </w:r>
      <w:r w:rsidR="00F153D9" w:rsidRPr="00F33887">
        <w:t xml:space="preserve">vzhledem k tomu, že zahraniční vměšování, manipulace s informacemi a dezinformace </w:t>
      </w:r>
      <w:r w:rsidR="00582820">
        <w:t>představují zá</w:t>
      </w:r>
      <w:r w:rsidR="00F153D9" w:rsidRPr="00F33887">
        <w:t>v</w:t>
      </w:r>
      <w:r w:rsidR="00582820">
        <w:t>ažné</w:t>
      </w:r>
      <w:r w:rsidR="00F153D9" w:rsidRPr="00F33887">
        <w:t xml:space="preserve"> ohrož</w:t>
      </w:r>
      <w:r w:rsidR="00582820">
        <w:t>ení</w:t>
      </w:r>
      <w:r w:rsidR="00F153D9" w:rsidRPr="00F33887">
        <w:t xml:space="preserve"> hodnot</w:t>
      </w:r>
      <w:r w:rsidR="00582820">
        <w:t>, na nichž je</w:t>
      </w:r>
      <w:r w:rsidR="00F153D9" w:rsidRPr="00F33887">
        <w:t xml:space="preserve"> Unie</w:t>
      </w:r>
      <w:r w:rsidR="00582820">
        <w:t xml:space="preserve"> založena</w:t>
      </w:r>
      <w:r w:rsidR="00F153D9" w:rsidRPr="00F33887">
        <w:t>; vzhl</w:t>
      </w:r>
      <w:r w:rsidR="0005648C" w:rsidRPr="00F33887">
        <w:t xml:space="preserve">edem k tomu, že zvláštní výbor </w:t>
      </w:r>
      <w:r w:rsidR="00F153D9" w:rsidRPr="00F33887">
        <w:t>P</w:t>
      </w:r>
      <w:r w:rsidR="0005648C">
        <w:t>arlamentu</w:t>
      </w:r>
      <w:r w:rsidR="00F153D9" w:rsidRPr="00F33887">
        <w:t xml:space="preserve"> pro zahraniční vměšování do všech demokratických procesů v Evropské unii, včetně dezinformací (INGE), který byl ustaven v červnu 2022, podrobně informoval o snahách a operacích třetích zemí, jež měly za cíl infiltrovat se do evropských demokracií a orgánů Unie, ovlivňovat je a vměšovat se do jejich činnosti;</w:t>
      </w:r>
    </w:p>
    <w:p w:rsidR="00BF2918" w:rsidRPr="00BF2918" w:rsidRDefault="00CD08D1" w:rsidP="00AA742C">
      <w:pPr>
        <w:pStyle w:val="NormalHanging12a"/>
      </w:pPr>
      <w:r>
        <w:t>E</w:t>
      </w:r>
      <w:r w:rsidR="00BF2918" w:rsidRPr="00F33887">
        <w:t>.</w:t>
      </w:r>
      <w:r w:rsidR="00BF2918" w:rsidRPr="00BF2918">
        <w:tab/>
        <w:t>vzhledem k tomu, že poslanci byli údajně placeni za propagaci ruské propaga</w:t>
      </w:r>
      <w:r w:rsidR="00BF2918" w:rsidRPr="00F33887">
        <w:t>ndy;</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Rozpočtové a finanční řízení Parlamentu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Pr="00903500">
        <w:rPr>
          <w14:textOutline w14:w="0" w14:cap="flat" w14:cmpd="sng" w14:algn="ctr">
            <w14:noFill/>
            <w14:prstDash w14:val="solid"/>
            <w14:bevel/>
          </w14:textOutline>
        </w:rPr>
        <w:tab/>
        <w:t>konstatuje, že konečná výše prostředků Parlamentu na rok 2022 činila 2 161 milionů EUR, tj. 19,55 % prostředků v okruhu 7 víceletého finančního rámce</w:t>
      </w:r>
      <w:r w:rsidRPr="00903500">
        <w:rPr>
          <w:rStyle w:val="FootnoteReference"/>
          <w:szCs w:val="24"/>
        </w:rPr>
        <w:footnoteReference w:id="7"/>
      </w:r>
      <w:r w:rsidRPr="00903500">
        <w:rPr>
          <w14:textOutline w14:w="0" w14:cap="flat" w14:cmpd="sng" w14:algn="ctr">
            <w14:noFill/>
            <w14:prstDash w14:val="solid"/>
            <w14:bevel/>
          </w14:textOutline>
        </w:rPr>
        <w:t xml:space="preserve"> vyčleněných na správní výdaje orgánů Unie jako celku na rok 2022, což představuje zvýšení o 4,76 % oproti rozpočtu na rok 2021 (2 064 milionů EUR);</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2.</w:t>
      </w:r>
      <w:r w:rsidRPr="00903500">
        <w:rPr>
          <w14:textOutline w14:w="0" w14:cap="flat" w14:cmpd="sng" w14:algn="ctr">
            <w14:noFill/>
            <w14:prstDash w14:val="solid"/>
            <w14:bevel/>
          </w14:textOutline>
        </w:rPr>
        <w:tab/>
        <w:t>konstatuje, že celkové příjmy zaúčtované k 31. prosinci 2022 činily 250 473 772 EUR (oproti 215 332 108 EUR v roce 2021); konstatuje, že účelově vázané příjmy poskytnuté v roce 2022 činily 61 267 620 EUR (oproti 37 150 962 EUR v roce 2021);</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3.</w:t>
      </w:r>
      <w:r w:rsidRPr="00903500">
        <w:rPr>
          <w14:textOutline w14:w="0" w14:cap="flat" w14:cmpd="sng" w14:algn="ctr">
            <w14:noFill/>
            <w14:prstDash w14:val="solid"/>
            <w14:bevel/>
          </w14:textOutline>
        </w:rPr>
        <w:tab/>
        <w:t>upozorňuje na to, že 76,5 % celkových čerpaných prostředků připadá na pět kapitol: kapitola 10 „Členové orgánu“; kapitola 12 „Úředníci a dočasní zaměstnanci“; kapitola 14 „Ostatní zaměstnanci a externí služby“; kapitola 20 „Budovy a náklady s nimi spojené“ a kapitola 42 „Výdaje na parlamentní asistenci“.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4.</w:t>
      </w:r>
      <w:r w:rsidRPr="00903500">
        <w:rPr>
          <w14:textOutline w14:w="0" w14:cap="flat" w14:cmpd="sng" w14:algn="ctr">
            <w14:noFill/>
            <w14:prstDash w14:val="solid"/>
            <w14:bevel/>
          </w14:textOutline>
        </w:rPr>
        <w:tab/>
        <w:t>bere na vědomí číselné údaje, na jejichž základě byla sestavena účetní závěrka Parlamentu za rozpočtový rok 2022, konkrétně:</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900AE0" w:rsidRPr="00903500" w:rsidTr="00467CDA">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900AE0" w:rsidRPr="00903500" w:rsidRDefault="00900AE0" w:rsidP="00F33887">
            <w:pPr>
              <w:autoSpaceDE w:val="0"/>
              <w:autoSpaceDN w:val="0"/>
              <w:adjustRightInd w:val="0"/>
              <w:ind w:left="567" w:hanging="567"/>
            </w:pPr>
            <w:r w:rsidRPr="00903500">
              <w:rPr>
                <w:b/>
              </w:rPr>
              <w:t>a) Dostupné prostředky (v EUR)</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prostředky na rok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2 161 651 286,00</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neautomatické přenosy prostředků z rozpočtového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22 007 230,00</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automatické přenosy prostředků z rozpočtového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380 099 194,75</w:t>
            </w:r>
          </w:p>
        </w:tc>
      </w:tr>
      <w:tr w:rsidR="00900AE0" w:rsidRPr="00903500" w:rsidTr="00467CDA">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prostředky odpovídající účelově vázaným příjmům na rok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61 267 620,37</w:t>
            </w:r>
          </w:p>
        </w:tc>
      </w:tr>
      <w:tr w:rsidR="00900AE0" w:rsidRPr="00903500" w:rsidTr="00467CDA">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přenosy prostředků odpovídajících účelově vázaným příjmům z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39 603 266,73</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00AE0" w:rsidRPr="00903500" w:rsidRDefault="00900AE0" w:rsidP="00F33887">
            <w:pPr>
              <w:autoSpaceDE w:val="0"/>
              <w:autoSpaceDN w:val="0"/>
              <w:adjustRightInd w:val="0"/>
              <w:ind w:left="567" w:hanging="567"/>
            </w:pPr>
            <w:r w:rsidRPr="00903500">
              <w:t xml:space="preserve">Celkem: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00AE0" w:rsidRPr="00903500" w:rsidRDefault="00900AE0" w:rsidP="00F33887">
            <w:pPr>
              <w:autoSpaceDE w:val="0"/>
              <w:autoSpaceDN w:val="0"/>
              <w:adjustRightInd w:val="0"/>
              <w:ind w:left="567" w:hanging="567"/>
              <w:jc w:val="right"/>
            </w:pPr>
            <w:r w:rsidRPr="00903500">
              <w:t>2 664 628 597,85</w:t>
            </w:r>
          </w:p>
        </w:tc>
      </w:tr>
      <w:tr w:rsidR="00900AE0" w:rsidRPr="00903500" w:rsidTr="00467CDA">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rPr>
                <w:b/>
              </w:rPr>
            </w:pPr>
            <w:r w:rsidRPr="00903500">
              <w:rPr>
                <w:b/>
              </w:rPr>
              <w:t>b) Využití prostředků v rozpočtovém roce 2022 (v EUR)</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závazky: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2 607 456 700,15</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provedené platby: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2 186 635 235,75</w:t>
            </w:r>
          </w:p>
        </w:tc>
      </w:tr>
      <w:tr w:rsidR="00900AE0" w:rsidRPr="00903500" w:rsidTr="00467CDA">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prostředky automaticky přenesené do následujícího roku včetně prostředků z účelově vázaných příjmů: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p>
          <w:p w:rsidR="00900AE0" w:rsidRPr="00903500" w:rsidRDefault="00900AE0" w:rsidP="00F33887">
            <w:pPr>
              <w:autoSpaceDE w:val="0"/>
              <w:autoSpaceDN w:val="0"/>
              <w:adjustRightInd w:val="0"/>
              <w:ind w:left="567" w:hanging="567"/>
              <w:jc w:val="right"/>
            </w:pPr>
            <w:r w:rsidRPr="00903500">
              <w:t>428 826 276,81</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prostředky přenesené neautomaticky: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0</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zrušené prostředky: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49 167 085,50</w:t>
            </w:r>
          </w:p>
        </w:tc>
      </w:tr>
      <w:tr w:rsidR="00900AE0" w:rsidRPr="00903500" w:rsidTr="00467CDA">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rPr>
                <w:b/>
              </w:rPr>
            </w:pPr>
            <w:r w:rsidRPr="00903500">
              <w:rPr>
                <w:b/>
              </w:rPr>
              <w:t>c) Rozpočtové příjmy (v EUR)</w:t>
            </w:r>
          </w:p>
        </w:tc>
      </w:tr>
      <w:tr w:rsidR="00900AE0" w:rsidRPr="00903500" w:rsidTr="00467CD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pPr>
            <w:r w:rsidRPr="00903500">
              <w:t xml:space="preserve">příjmy v roce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250 473 772,00</w:t>
            </w:r>
          </w:p>
        </w:tc>
      </w:tr>
      <w:tr w:rsidR="00900AE0" w:rsidRPr="00903500" w:rsidTr="00467CDA">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900AE0" w:rsidRPr="00903500" w:rsidRDefault="00900AE0" w:rsidP="00F33887">
            <w:pPr>
              <w:autoSpaceDE w:val="0"/>
              <w:autoSpaceDN w:val="0"/>
              <w:adjustRightInd w:val="0"/>
              <w:ind w:left="567" w:hanging="567"/>
            </w:pPr>
            <w:r w:rsidRPr="00903500">
              <w:rPr>
                <w:b/>
              </w:rPr>
              <w:t>d) Celková rozvaha k 31. prosinci 2022 (v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00AE0" w:rsidRPr="00903500" w:rsidRDefault="00900AE0" w:rsidP="00F33887">
            <w:pPr>
              <w:autoSpaceDE w:val="0"/>
              <w:autoSpaceDN w:val="0"/>
              <w:adjustRightInd w:val="0"/>
              <w:ind w:left="567" w:hanging="567"/>
              <w:jc w:val="right"/>
            </w:pPr>
            <w:r w:rsidRPr="00903500">
              <w:t>1 735 834 446,00</w:t>
            </w:r>
          </w:p>
        </w:tc>
      </w:tr>
    </w:tbl>
    <w:p w:rsidR="00900AE0" w:rsidRPr="00903500" w:rsidRDefault="00900AE0" w:rsidP="00F33887">
      <w:pPr>
        <w:pStyle w:val="NormalHanging12a"/>
        <w:spacing w:before="240"/>
      </w:pPr>
      <w:r w:rsidRPr="00903500">
        <w:t>5.</w:t>
      </w:r>
      <w:r w:rsidRPr="00903500">
        <w:tab/>
        <w:t>konstatuje, že v rozpočtovém roce 2022 schválil Rozpočtový výbor Parlamentu v souladu s články 31 a 49 finančního nařízení 21 převodů ve výši 88 449 115 EUR neboli 4,09 % konečných prostředků (dále jen „převody typu C“); konstatuje, že předsedkyně schválila 11 převodů ve výši 34 246 879 EUR, což představuje 1,6 % rozpočtu na rok 2022 (dále jen „převody typu P“); táže se, mezi jakými rozpočtovými položkami k těmto převodům typu P došlo; vyzývá předsednictví, aby proaktivně informovalo Výbor pro rozpočtovou kontrolu o příslušných částkách a rozpočtových položkách;</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6.</w:t>
      </w:r>
      <w:r w:rsidRPr="00903500">
        <w:rPr>
          <w14:textOutline w14:w="0" w14:cap="flat" w14:cmpd="sng" w14:algn="ctr">
            <w14:noFill/>
            <w14:prstDash w14:val="solid"/>
            <w14:bevel/>
          </w14:textOutline>
        </w:rPr>
        <w:tab/>
        <w:t>konstatuje, že v souvislosti s pandemií COVID-19 vznikl podle odhadů mírný přebytek ve výši 16 417 325 EUR, který byl převeden z položek souvisejících například s cestovními výdaji, organizací a přijímáním skupin návštěvníků, provozem návštěvnických center Parlamentu, externím osobním školením, dokumentací/publikacemi a místními parlamentními asistenty a stážisty pro poslance; konstatuje, že pandemie COVID-19 si zároveň vyžádala posílení jiných rozpočtových položek o celkem 7 549 000 EUR; zdůrazňuje, že tyto položky se týkají zejména poskytování finanční podpory zaměstnancům pracujícím z domu, zdraví a prevence a dodatečných výdajů na tlumočení na podporu práce na dálku a vícejazyčných schůzí na dálku a hybridních schůzí;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7.</w:t>
      </w:r>
      <w:r w:rsidRPr="00903500">
        <w:rPr>
          <w14:textOutline w14:w="0" w14:cap="flat" w14:cmpd="sng" w14:algn="ctr">
            <w14:noFill/>
            <w14:prstDash w14:val="solid"/>
            <w14:bevel/>
          </w14:textOutline>
        </w:rPr>
        <w:tab/>
        <w:t xml:space="preserve">konstatuje, že rok 2022 byl pro orgány Unie, včetně Parlamentu, rokem přechodným; konstatuje, že opatření zavedená v důsledku pandemie COVID-19 byla ukončena v červnu 2022; vítá úsilí všech generálních ředitelství a generálního tajemníka o zavedení nezbytných nástrojů k obnovení parlamentní práce tak, aby fungovala stejně jako před pandemií COVID-19; vítá úspěšné obnovení prezenčních plenárních zasedání od března 2022; připomíná, že se tak stalo po dvou letech, během nichž muselo proběhnout více než 12 000 hlasovacích operací na dálku, a to během nejméně 175 hlasovacích schůzí rozdělených do 30 dílčích zasedání; </w:t>
      </w:r>
    </w:p>
    <w:p w:rsidR="00900AE0" w:rsidRPr="00903500" w:rsidRDefault="00900AE0" w:rsidP="00AA742C">
      <w:pPr>
        <w:pStyle w:val="NormalHanging12a"/>
      </w:pPr>
      <w:r w:rsidRPr="00903500">
        <w:t>8.</w:t>
      </w:r>
      <w:r w:rsidRPr="00903500">
        <w:tab/>
        <w:t>konstatuje, že na rozpočtový rok 2022 měla zásadní vliv ruská útočná válka proti Ukrajině a mimořádně vysoká úroveň inflace, která na konci roku 2022 v Unii stále činila 10,4 % na roční bázi; uznává, že správa Parlamentu vložila do plnění rozpočtu značné úsilí s cílem uspokojit naléhavé potřeby vyplývající z krizové situace; vítá, že Parlament daroval technické vybavení na podporu Ukrajiny v těžkých válečných časech;</w:t>
      </w:r>
    </w:p>
    <w:p w:rsidR="00900AE0" w:rsidRPr="00903500" w:rsidRDefault="00900AE0" w:rsidP="00F33887">
      <w:pPr>
        <w:spacing w:after="240"/>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Výroky Evropského účetního dvora ve věci spolehlivosti účetní závěrky za rok 2022 a legality a správnosti transakcí, na nichž se zakládá</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9.</w:t>
      </w:r>
      <w:r w:rsidRPr="00903500">
        <w:rPr>
          <w14:textOutline w14:w="0" w14:cap="flat" w14:cmpd="sng" w14:algn="ctr">
            <w14:noFill/>
            <w14:prstDash w14:val="solid"/>
            <w14:bevel/>
          </w14:textOutline>
        </w:rPr>
        <w:tab/>
        <w:t>připomíná, že Evropský účetní dvůr (dále jen „Účetní dvůr“) provádí specifické posouzení správních a jiných výdajů jako jediné skupiny politik pro všechny orgány Unie; zdůrazňuje, že správní výdaje zahrnují výdaje na lidské zdroje, včetně důchodů, které v roce 2022 představovaly přibližně 70 % celkových správních výdajů, a výdaje na budovy, vybavení, energii, komunikaci a informační technologie; zdůrazňuje, že z mnohaleté práce Účetního dvora vyplývá, že tyto výdaje jsou celkově spojeny s nízkým rizikem;</w:t>
      </w:r>
    </w:p>
    <w:p w:rsidR="00900AE0" w:rsidRPr="00903500" w:rsidRDefault="00900AE0" w:rsidP="00AA742C">
      <w:pPr>
        <w:pStyle w:val="NormalHanging12a"/>
      </w:pPr>
      <w:r w:rsidRPr="00903500">
        <w:t>10.</w:t>
      </w:r>
      <w:r w:rsidRPr="00903500">
        <w:tab/>
        <w:t>konstatuje, že okruh 7 víceletého finančního rámce „Evropská veřejná správa“ v roce 2022 představoval 11,6 miliardy EUR neboli 5,9 % rozpočtu Unie, z čehož na Parlament připadá 2,2 miliardy EUR neboli 18,9 %; vítá skutečnost, že Účetní dvůr shledal, že míra chyb ve výdajích na „evropskou veřejnou správu“ není významná; vyzývá Parlament, aby provedl kontrolu a určil, u kterých typů transakcí byl zaznamenán vysoký podíl chyb, i když pod prahem významnosti, a aby prozkoumal, jaké změny v postupu jsou nutné k předcházení a odhalování takových chyb v budoucnu;</w:t>
      </w:r>
    </w:p>
    <w:p w:rsidR="00900AE0" w:rsidRPr="00903500" w:rsidRDefault="00900AE0" w:rsidP="00AA742C">
      <w:pPr>
        <w:pStyle w:val="NormalHanging12a"/>
      </w:pPr>
      <w:r w:rsidRPr="00903500">
        <w:t>11.</w:t>
      </w:r>
      <w:r w:rsidRPr="00903500">
        <w:tab/>
        <w:t>konstatuje, že výroční zpráva Účetního dvora o plnění rozpočtu na rozpočtový rok 2022 obsahuje konkrétní zjištění týkající se Parlamentu; bere na vědomí doporučení Účetního dvora, aby správa Parlamentu posílila své pokyny k plnění rozpočtových prostředků politickými skupinami a aby nadále pracovala na zlepšení vnitřních pravidel a zajistila dodržování pravidel a postupů při zadávání veřejných zakázek;</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12.</w:t>
      </w:r>
      <w:r w:rsidRPr="00903500">
        <w:rPr>
          <w14:textOutline w14:w="0" w14:cap="flat" w14:cmpd="sng" w14:algn="ctr">
            <w14:noFill/>
            <w14:prstDash w14:val="solid"/>
            <w14:bevel/>
          </w14:textOutline>
        </w:rPr>
        <w:tab/>
        <w:t>konstatuje, že Účetní dvůr vybral pro Parlament vzorek 13 transakcí a že u tří z nich zjistil vyčíslitelné chyby; konstatuje, že zadávání veřejných zakázek bylo jednou z otázek, na které Účetní dvůr poukázal; zdůrazňuje, že tento typ zjištění se objevil i v minulosti;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13.</w:t>
      </w:r>
      <w:r w:rsidRPr="00903500">
        <w:rPr>
          <w14:textOutline w14:w="0" w14:cap="flat" w14:cmpd="sng" w14:algn="ctr">
            <w14:noFill/>
            <w14:prstDash w14:val="solid"/>
            <w14:bevel/>
          </w14:textOutline>
        </w:rPr>
        <w:tab/>
        <w:t>bere na vědomí připomínky Účetního dvora týkající se vnitřních předpisů Parlamentu; připomíná, že politické skupiny spravují finanční prostředky, které jim byly přiděleny, podle zásad nepřímého řízení finančních prostředků za analogického použití čl. 62 odst. 1 písm. c) finančního nařízení; domnívá se, že tato pravidla sama o sobě nahrazují „dohody o přiznání příspěvku“ (ve smyslu čl. 155 odst. 6 finančního nařízení);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14.</w:t>
      </w:r>
      <w:r w:rsidRPr="00903500">
        <w:rPr>
          <w14:textOutline w14:w="0" w14:cap="flat" w14:cmpd="sng" w14:algn="ctr">
            <w14:noFill/>
            <w14:prstDash w14:val="solid"/>
            <w14:bevel/>
          </w14:textOutline>
        </w:rPr>
        <w:tab/>
        <w:t>připomíná, že podle vnitřních pravidel Parlamentu jsou politické skupiny odpovědné tomuto orgánu za správu rozpočtových prostředků v rámci pravomocí, které jim svěřilo předsednictvo; bere na vědomí, že prostředky mají být spravovány v souladu s těmito pravidly a že by měla být přijata vhodná opatření, aby se předešlo jakémukoli nedodržení pravidel;</w:t>
      </w:r>
    </w:p>
    <w:p w:rsidR="00900AE0" w:rsidRPr="00903500" w:rsidRDefault="00900AE0" w:rsidP="00AA742C">
      <w:pPr>
        <w:pStyle w:val="NormalHanging12a"/>
      </w:pPr>
      <w:r w:rsidRPr="00903500">
        <w:t>15.</w:t>
      </w:r>
      <w:r w:rsidRPr="00903500">
        <w:tab/>
        <w:t>politickým skupinám se na jejich žádost dostává od Parlamentu pomoci a poradenství; konstatuje, že v roce 2022 finanční útvary politických skupin zintenzivnily podpisy dohod s národními delegacemi s cílem zajistit řádné řízení prostředků v položce 400;</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16.</w:t>
      </w:r>
      <w:r w:rsidRPr="00903500">
        <w:rPr>
          <w14:textOutline w14:w="0" w14:cap="flat" w14:cmpd="sng" w14:algn="ctr">
            <w14:noFill/>
            <w14:prstDash w14:val="solid"/>
            <w14:bevel/>
          </w14:textOutline>
        </w:rPr>
        <w:tab/>
        <w:t>vítá závazek správy zlepšit pokyny pro politické skupiny ohledně řádného provádění vnitřních pravidel Parlamentu a pomoci jim s cílem zlepšit jejich vnitřní finanční řízení; vítá skutečnost, že správní útvary dále upřesní pokyny týkající se zadávání veřejných zakázek politickými skupinami;</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Výroční zpráva interního auditora</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17.</w:t>
      </w:r>
      <w:r w:rsidRPr="00903500">
        <w:rPr>
          <w14:textOutline w14:w="0" w14:cap="flat" w14:cmpd="sng" w14:algn="ctr">
            <w14:noFill/>
            <w14:prstDash w14:val="solid"/>
            <w14:bevel/>
          </w14:textOutline>
        </w:rPr>
        <w:tab/>
        <w:t>bere na vědomí, že na schůzce příslušného výboru s interním auditorem, která se konala 4. prosince 2023, interní auditor předložil svou výroční zprávu a popsal provedené audity věrohodnosti a poskytnuté poradenské služby a informoval o výsledku aktuálního stavu, který v roce 2022 zahrnoval průřezové sledování nedokončených opatření ze zpráv o interním auditu, audit služebních cest zaměstnanců, přezkum rámce řízení rizik v Parlamentu, audit procesu zadávání veřejných zakázek v GŘ INLO, audit nákupu a využívání bezpečnostního vybavení a služeb v GŘ SAFE, audit financování evropských politických stran a evropských politických nadací – druhý úkol a pravidelný přezkum projektu budovy ADENAUER 2 – fáze 3 (dokončení východního křídla);</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18.</w:t>
      </w:r>
      <w:r w:rsidRPr="00903500">
        <w:rPr>
          <w14:textOutline w14:w="0" w14:cap="flat" w14:cmpd="sng" w14:algn="ctr">
            <w14:noFill/>
            <w14:prstDash w14:val="solid"/>
            <w14:bevel/>
          </w14:textOutline>
        </w:rPr>
        <w:tab/>
        <w:t>vítá a podporuje opatření, na nichž se interní auditor dohodl s odpovědnými generálními ředitelstvími v návaznosti na úkoly týkající se ujištění o věrohodnosti v souvislosti s auditem služebních cest zaměstnanců, s přezkumem rámce řízení rizik v Parlamentu a s auditem procesu zadávání veřejných zakázek v GŘ INLO;</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19.</w:t>
      </w:r>
      <w:r w:rsidRPr="00903500">
        <w:rPr>
          <w14:textOutline w14:w="0" w14:cap="flat" w14:cmpd="sng" w14:algn="ctr">
            <w14:noFill/>
            <w14:prstDash w14:val="solid"/>
            <w14:bevel/>
          </w14:textOutline>
        </w:rPr>
        <w:tab/>
        <w:t>bere na vědomí úkoly spojené se zajištěním věrohodnosti, u nichž se v současné době připravují předběžné závěry nebo u nichž stále probíhá práce v terénu a která se v současné době řídí procesem stanoveným v Listině úkolů interního auditora;</w:t>
      </w:r>
    </w:p>
    <w:p w:rsidR="00900AE0" w:rsidRPr="00903500" w:rsidRDefault="00900AE0" w:rsidP="00AA742C">
      <w:pPr>
        <w:pStyle w:val="NormalHanging12a"/>
      </w:pPr>
      <w:r w:rsidRPr="00903500">
        <w:t>20.</w:t>
      </w:r>
      <w:r w:rsidRPr="00903500">
        <w:tab/>
        <w:t>konstatuje, že výsledkem následného procesu, který probíhal v roce 2022, bylo ukončení 38 z 92 nedokončených opatření, u nichž vypršela dohodnutá lhůta pro provedení; je znepokojen skutečností, že k 31. prosinci 2022 bylo 29 nedokončených opatření po splatnosti již více než 12 měsíců; očekává, že jednotlivá generální ředitelství zajistí, aby zbývající opatření byla bez dalšího prodlení dokončena a dohodnutá opatření byla prováděna v souladu s termíny stanovenými ve výroční zprávě interního auditora;</w:t>
      </w:r>
    </w:p>
    <w:p w:rsidR="00900AE0" w:rsidRPr="00903500" w:rsidRDefault="00900AE0" w:rsidP="00AA742C">
      <w:pPr>
        <w:pStyle w:val="NormalHanging12a"/>
      </w:pPr>
      <w:r w:rsidRPr="00903500">
        <w:t>21.</w:t>
      </w:r>
      <w:r w:rsidRPr="00903500">
        <w:tab/>
        <w:t>bere na vědomí, že v souladu s čl. 118 odst. 9 finančního nařízení zprávy a zjištění interního auditora i zpráva každého orgánu Unie se zpřístupní veřejnosti poté, co interní auditor schválí opatření přijatá k jejich provedení; konstatuje, že v praxi jsou zprávy a zjištění zveřejňovány teprve poté, co byla provedena všechna doporučení</w:t>
      </w:r>
      <w:r w:rsidR="000D48AD" w:rsidRPr="00F33887">
        <w:rPr>
          <w:bCs/>
          <w:iCs/>
        </w:rPr>
        <w:t>, což znamená de facto několikaleté zpoždění při zveřejňování;</w:t>
      </w:r>
      <w:r w:rsidR="000D48AD" w:rsidRPr="00F33887">
        <w:t xml:space="preserve"> </w:t>
      </w:r>
      <w:r w:rsidR="000D48AD" w:rsidRPr="00F33887">
        <w:rPr>
          <w:bCs/>
          <w:iCs/>
        </w:rPr>
        <w:t>vyzývá předsednictvo, aby každou zprávu o interním auditu zpřístupnilo veřejnosti jeden rok po jejím dokončení, jakmile interní auditor potvrdí opatření přijatá k provedení doporučení z předchozího roku</w:t>
      </w:r>
      <w:r w:rsidRPr="000D48AD">
        <w:t>; připomíná, že poslanci mohou získat přístup k důvěrným dokumentům</w:t>
      </w:r>
      <w:r w:rsidRPr="00903500">
        <w:t xml:space="preserve"> pouze v souladu s pravidly předsednictva na základě zásady „vědět jen to nejnutnější“; </w:t>
      </w:r>
      <w:r w:rsidRPr="00903500">
        <w:lastRenderedPageBreak/>
        <w:t>připomíná, že všichni členové Výboru pro rozpočtovou kontrolu mají právo požádat o důvěrný přístup ke zprávě o interním auditu v rámci postupu udělování absolutoria; vítá skutečnost, že interní auditor podává Výboru pro rozpočtovou kontrolu zprávy o provedených ročních auditech;</w:t>
      </w:r>
    </w:p>
    <w:p w:rsidR="00900AE0" w:rsidRPr="00903500" w:rsidRDefault="00900AE0" w:rsidP="00AA742C">
      <w:pPr>
        <w:pStyle w:val="NormalHanging12a"/>
      </w:pPr>
      <w:r w:rsidRPr="00903500">
        <w:t>22.</w:t>
      </w:r>
      <w:r w:rsidRPr="00903500">
        <w:tab/>
        <w:t>konstatuje, že v důsledku toho, že v průběhu roku zůstalo neobsazené místo plánované pro auditora informačních systémů, nemohl být v roce 2022 proveden jeden plánovaný audit v oblasti IT (týkající se informovanosti zaměstnanců o kybernetické bezpečnosti); upozorňuje na obtíže při hledání specifických profilů auditorů, včetně pracovníků v oblasti informačních technologií, kteří by prováděli plánované audity podle jejich požadavků; vyzývá útvar interního auditu, aby se tímto problémem zabýval a zajistil tak včasné dokončení zbývajícího auditu pro příští cyklus udělování absolutoria;</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23.</w:t>
      </w:r>
      <w:r w:rsidRPr="00903500">
        <w:rPr>
          <w14:textOutline w14:w="0" w14:cap="flat" w14:cmpd="sng" w14:algn="ctr">
            <w14:noFill/>
            <w14:prstDash w14:val="solid"/>
            <w14:bevel/>
          </w14:textOutline>
        </w:rPr>
        <w:tab/>
        <w:t>vítá skutečnost, že útvar interního auditu prostřednictvím svého programu zajišťování a zlepšování kvality na rok 2022 nadále usiluje o zlepšení své činnosti při poskytování objektivního ujištění rozhodovacím a dozorovým orgánům, schvalujícím osobám a vedení; bere na vědomí, že interní auditor prohlásil, že od žádného zdroje neobdržel pokyny ani doporučení, které by mohly ohrozit jeho nezávislost;</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Opatření přijatá v návaznosti na usnesení o udělení absolutoria za rok 2021</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24.</w:t>
      </w:r>
      <w:r w:rsidRPr="00903500">
        <w:rPr>
          <w14:textOutline w14:w="0" w14:cap="flat" w14:cmpd="sng" w14:algn="ctr">
            <w14:noFill/>
            <w14:prstDash w14:val="solid"/>
            <w14:bevel/>
          </w14:textOutline>
        </w:rPr>
        <w:tab/>
        <w:t>bere na vědomí písemné odpovědi na usnesení o udělení absolutoria za rok 2021, které byly dány Výboru pro rozpočtovou kontrolu Parlamentu dne 13. září 2023, vystoupení generálního tajemníka k záležitostem obsaženým v usnesení Parlamentu o udělení absolutoria za rok 2021 a následnou výměnu názorů s poslanci;</w:t>
      </w:r>
    </w:p>
    <w:p w:rsidR="00900AE0" w:rsidRPr="00903500" w:rsidRDefault="00900AE0" w:rsidP="00AA742C">
      <w:pPr>
        <w:pStyle w:val="NormalHanging12a"/>
      </w:pPr>
      <w:r w:rsidRPr="00903500">
        <w:t>25.</w:t>
      </w:r>
      <w:r w:rsidRPr="00903500">
        <w:tab/>
        <w:t>připomíná, že jakmile plenární zasedání vyzve k tomu, aby Parlament zavedl jiná pravidla nebo opatření, předsednictvo tato navržená pravidla nebo opatření projedná a hlasuje o nich; s ohledem na článek 25 jednacího řádu připomíná, že za rozhodování o finančních, organizačních a administrativních záležitostech týkajících se poslanců je odpovědné předsednictvo; připomíná, že předsednictvo se skládá z předsedy Evropského parlamentu, 14 místopředsedů a pěti kvestorů (členů bez hlasovacího práva) demokraticky zvolených Parlamentem; konstatuje, že členové předsednictva projednávají návrh odhadu příjmů a výdajů Parlamentu; připomíná, že udělení absolutoria je výkonem demokratické kontroly a že konkrétní požadavky přijaté na plenárním zasedání v usneseních o udělení absolutoria mají být zohledněny při diskusích předsednictva;</w:t>
      </w:r>
    </w:p>
    <w:p w:rsidR="00900AE0" w:rsidRPr="00903500" w:rsidRDefault="00900AE0" w:rsidP="00AA742C">
      <w:pPr>
        <w:pStyle w:val="NormalHanging12a"/>
      </w:pPr>
      <w:r w:rsidRPr="00903500">
        <w:t>26.</w:t>
      </w:r>
      <w:r w:rsidRPr="00903500">
        <w:tab/>
        <w:t>je si vědom skutečnosti, že od vypuknutí pandemie COVID-19 v březnu 2020 až do postupného zrušení hygienických omezení na začátku roku 2022 se jednání předsednictva soustředila především na rozhodnutí zaměřená na ochranu integrity poslanců a zaměstnanců při zajištění kontinuity činnosti a na provádění praktických opatření solidarity vůči třem hostitelským členským státům Parlamentu;</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předsednictví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27.</w:t>
      </w:r>
      <w:r w:rsidRPr="00903500">
        <w:rPr>
          <w14:textOutline w14:w="0" w14:cap="flat" w14:cmpd="sng" w14:algn="ctr">
            <w14:noFill/>
            <w14:prstDash w14:val="solid"/>
            <w14:bevel/>
          </w14:textOutline>
        </w:rPr>
        <w:tab/>
        <w:t xml:space="preserve">připomíná, že generální ředitelství pro předsednictví (GŘ PRES) poskytuje odborné znalosti a usnadňuje legislativní a parlamentní práci předsedy, pléna a řídicích orgánů Parlamentu a poslanců v každé fázi parlamentního a legislativního procesu; připomíná, že je rovněž odpovědné za interinstitucionální vztahy, za protokolární podporu oficiálních návštěv a akcí zaštítěných předsedou, za správu utajovaných informací Unie a za správu úřední a doporučené pošty a že do listopadu 2022 byl odpovědný za </w:t>
      </w:r>
      <w:r w:rsidRPr="00903500">
        <w:rPr>
          <w14:textOutline w14:w="0" w14:cap="flat" w14:cmpd="sng" w14:algn="ctr">
            <w14:noFill/>
            <w14:prstDash w14:val="solid"/>
            <w14:bevel/>
          </w14:textOutline>
        </w:rPr>
        <w:lastRenderedPageBreak/>
        <w:t xml:space="preserve">meziparlamentní vztahy; konstatuje, že k 31. prosinci 2022 mělo 364 zaměstnanců, z toho 307 úředníků, 19 dočasných zaměstnanců, 37 smluvních zaměstnanců a 1 agenturního zaměstnance; </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28.</w:t>
      </w:r>
      <w:r w:rsidRPr="00903500">
        <w:rPr>
          <w14:textOutline w14:w="0" w14:cap="flat" w14:cmpd="sng" w14:algn="ctr">
            <w14:noFill/>
            <w14:prstDash w14:val="solid"/>
            <w14:bevel/>
          </w14:textOutline>
        </w:rPr>
        <w:tab/>
        <w:t>konstatuje, že konečná výše prostředků GŘ PRES v roce 2022 činila 1 275 565 EUR, což představuje 0,1 % rozpočtu Parlamentu; zdůrazňuje, že z této částky bylo přiděleno celkem 1 169 055,78 EUR; vítá vysokou míru čerpání prostředků;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29.</w:t>
      </w:r>
      <w:r w:rsidRPr="00903500">
        <w:rPr>
          <w14:textOutline w14:w="0" w14:cap="flat" w14:cmpd="sng" w14:algn="ctr">
            <w14:noFill/>
            <w14:prstDash w14:val="solid"/>
            <w14:bevel/>
          </w14:textOutline>
        </w:rPr>
        <w:tab/>
        <w:t xml:space="preserve">vítá pokrok dosažený při provádění různých složek programu </w:t>
      </w:r>
      <w:proofErr w:type="spellStart"/>
      <w:r w:rsidRPr="00903500">
        <w:rPr>
          <w14:textOutline w14:w="0" w14:cap="flat" w14:cmpd="sng" w14:algn="ctr">
            <w14:noFill/>
            <w14:prstDash w14:val="solid"/>
            <w14:bevel/>
          </w14:textOutline>
        </w:rPr>
        <w:t>eLegislate</w:t>
      </w:r>
      <w:proofErr w:type="spellEnd"/>
      <w:r w:rsidRPr="00903500">
        <w:rPr>
          <w14:textOutline w14:w="0" w14:cap="flat" w14:cmpd="sng" w14:algn="ctr">
            <w14:noFill/>
            <w14:prstDash w14:val="solid"/>
            <w14:bevel/>
          </w14:textOutline>
        </w:rPr>
        <w:t xml:space="preserve">, který využívá technologii XML pro rychlejší a snazší přípravu jak pozměňovacích návrhů k legislativním návrhům, tak přípravných dokumentů pro interinstitucionální legislativní jednání; vyzývá jednotlivé zúčastněné útvary, aby dále zintenzivnily své úsilí a zajistily, že všechny kroky v parlamentním legislativním procesu budou od začátku legislativního procesu v 10. volebním období podporovány nástroji </w:t>
      </w:r>
      <w:proofErr w:type="spellStart"/>
      <w:r w:rsidRPr="00903500">
        <w:rPr>
          <w14:textOutline w14:w="0" w14:cap="flat" w14:cmpd="sng" w14:algn="ctr">
            <w14:noFill/>
            <w14:prstDash w14:val="solid"/>
            <w14:bevel/>
          </w14:textOutline>
        </w:rPr>
        <w:t>eLegislate</w:t>
      </w:r>
      <w:proofErr w:type="spellEnd"/>
      <w:r w:rsidRPr="00903500">
        <w:rPr>
          <w14:textOutline w14:w="0" w14:cap="flat" w14:cmpd="sng" w14:algn="ctr">
            <w14:noFill/>
            <w14:prstDash w14:val="solid"/>
            <w14:bevel/>
          </w14:textOutline>
        </w:rPr>
        <w:t>;</w:t>
      </w:r>
    </w:p>
    <w:p w:rsidR="00900AE0" w:rsidRPr="00903500" w:rsidRDefault="00900AE0" w:rsidP="00AA742C">
      <w:pPr>
        <w:pStyle w:val="NormalHanging12a"/>
      </w:pPr>
      <w:r w:rsidRPr="00903500">
        <w:t>30.</w:t>
      </w:r>
      <w:r w:rsidRPr="00903500">
        <w:tab/>
        <w:t>zdůrazňuje, že transparentnost, odpovědnost a integrita jsou základními etickými zásadami v rámci orgánů Unie, a zejména Parlamentu jako sídla evropské demokracie; vítá rychlá opatření, která Parlament přijal v souvislosti s událostmi týkajícími se případů údajné korupce poslanců a zaměstnanců v prosinci 2022; vítá příspěvek GŘ PRES ke 14bodovému akčnímu plánu navrženému předsedkyní a jeho úsilí při provádění nových pravidel týkajících se integrity a transparentnosti; dále vítá úsilí politických orgánů Parlamentu o zvýšení transparentnosti, integrity a odpovědnosti v Parlamentu; vyzývá správu, aby sledovala rozpočtový a finanční dopad těchto opatření; konstatuje, že Parlament utvrzuje důvěru v rozhodovací proces Unie tím, že při své činnosti zlepšuje transparentnost, etiku a řádné chování v nejreprezentativnějším unijním orgánu;</w:t>
      </w:r>
      <w:r w:rsidR="00D9721A">
        <w:t xml:space="preserve"> </w:t>
      </w:r>
      <w:r w:rsidR="00D9721A" w:rsidRPr="00903500">
        <w:t>připomíná, že tyto události jsou obecně známy jako „</w:t>
      </w:r>
      <w:proofErr w:type="spellStart"/>
      <w:r w:rsidR="00D9721A" w:rsidRPr="00903500">
        <w:t>Katargate</w:t>
      </w:r>
      <w:proofErr w:type="spellEnd"/>
      <w:r w:rsidR="00D9721A" w:rsidRPr="00903500">
        <w:t>“;</w:t>
      </w:r>
    </w:p>
    <w:p w:rsidR="00900AE0" w:rsidRPr="00903500" w:rsidRDefault="00900AE0" w:rsidP="00AA742C">
      <w:pPr>
        <w:pStyle w:val="NormalHanging12a"/>
      </w:pPr>
      <w:r w:rsidRPr="00903500">
        <w:t>3</w:t>
      </w:r>
      <w:r w:rsidR="00D16DD4">
        <w:t>1</w:t>
      </w:r>
      <w:r w:rsidRPr="00903500">
        <w:t>.</w:t>
      </w:r>
      <w:r w:rsidRPr="00903500">
        <w:tab/>
        <w:t>konstatuje, že rok 2022 byl prvním rokem plného zavedení povinného rejstříku transparentnosti podle revidované interinstitucionální dohody, kterou v červenci 2021</w:t>
      </w:r>
      <w:r w:rsidRPr="00903500">
        <w:rPr>
          <w:rStyle w:val="FootnoteReference"/>
        </w:rPr>
        <w:footnoteReference w:id="8"/>
      </w:r>
      <w:r w:rsidRPr="00903500">
        <w:t xml:space="preserve"> přijaly Parlament, Komise a Rada; konstatuje, že interinstitucionální dohoda sice zavádí některé zásady pro posílení společné kultury transparentnosti, ale ponechává na třech signatářských stranách, aby prováděly podmíněnost a následná doplňková opatření podle vlastního uvážení; poukazuje na to, že Parlament zlepšil podmíněnost, zatímco zapojení Rady zůstává omezené;</w:t>
      </w:r>
    </w:p>
    <w:p w:rsidR="00900AE0" w:rsidRPr="00903500" w:rsidRDefault="00900AE0" w:rsidP="00AA742C">
      <w:pPr>
        <w:pStyle w:val="NormalHanging12a"/>
      </w:pPr>
      <w:r w:rsidRPr="00903500">
        <w:t>3</w:t>
      </w:r>
      <w:r w:rsidR="00D16DD4">
        <w:t>2</w:t>
      </w:r>
      <w:r w:rsidRPr="00903500">
        <w:t>.</w:t>
      </w:r>
      <w:r w:rsidRPr="00903500">
        <w:tab/>
        <w:t>připomíná význam tohoto rejstříku jakožto klíčového nástroje pro posilování transparentního a etického zastupování zájmů na úrovni Unie tím, že zavádí povinný zápis do něj jako výchozí požadavek pro to, aby se zástupci zájmových skupin mohli zapojit do určité činnosti s orgány Unie, včetně Parlamentu; žádá, aby byly poskytnuty veškeré nezbytné zdroje k zajištění účinného prosazování vnitřních pravidel týkajících se rejstříku transparentnosti, včetně případného ukládání odpovídajících sankcí;</w:t>
      </w:r>
    </w:p>
    <w:p w:rsidR="00900AE0" w:rsidRDefault="00900AE0" w:rsidP="00AA742C">
      <w:pPr>
        <w:pStyle w:val="NormalHanging12a"/>
      </w:pPr>
      <w:r w:rsidRPr="00903500">
        <w:t>3</w:t>
      </w:r>
      <w:r w:rsidR="00D16DD4">
        <w:t>3</w:t>
      </w:r>
      <w:r w:rsidRPr="00903500">
        <w:t>.</w:t>
      </w:r>
      <w:r w:rsidRPr="00903500">
        <w:tab/>
        <w:t xml:space="preserve">vítá větší využívání rejstříku transparentnosti jako informačního a referenčního nástroje pro činnosti zastupování zájmů na úrovni Unie, o čemž svědčí nárůst počtu žádostí o zápis a meziroční zvýšení počtu návštěv internetových stránek; vítá pravidelnou komunikaci, </w:t>
      </w:r>
      <w:proofErr w:type="spellStart"/>
      <w:r w:rsidRPr="00903500">
        <w:t>helpdesk</w:t>
      </w:r>
      <w:proofErr w:type="spellEnd"/>
      <w:r w:rsidRPr="00903500">
        <w:t xml:space="preserve"> a osvětové činnosti sekretariátu směrem k zúčastněným stranám v rámci institucí i mimo ně, jakož i vývoj IT řešení pro zlepšení rejstříku transparentnosti; připomíná, že je třeba nadále posilovat kontroly kvality údajů u nových žadatelů; </w:t>
      </w:r>
      <w:r w:rsidRPr="00903500">
        <w:lastRenderedPageBreak/>
        <w:t>konstatuje, že kvalita zápisů v rejstříku transparentnosti se v posledních letech zlepšila v důsledku rozsáhlejšího, cíleného monitorování kvality a v důsledku šetření vycházejících ze stížností nebo šetření z vlastního podnětu sekretariátu, a oceňuje úlohu společného sekretariátu při tomto zlepšování, a to i přes omezené zdroje;</w:t>
      </w:r>
      <w:r w:rsidR="00467CDA">
        <w:t xml:space="preserve"> </w:t>
      </w:r>
      <w:r w:rsidRPr="00903500">
        <w:t>konstatuje, že sekretariát na základě cílených kontrol kvality 4238 záznamů provedených v průběhu roku 2022 zjistil, že 44 % z nich poskytlo uspokojivou kvalitu údajů od samého počátku (počet podobný jako v roce 2021, +4 %), zatímco dalších 35,2 % zástupců zájmových skupin v návaznosti na cílené kontroly zlepšilo informace a 13,6 % záznamů bylo po kontrolách odstraněno v důsledku nezpůsobilosti nebo neprovedené aktualizace; zdůrazňuje, že je třeba přidělit sekretariátu další zdroje, aby bylo možné provádět kontrolu rejstříku transparentnosti, a zajistit tak kvalitu údajů; žádá, aby byla rozšířena působnost rejstříku tak, aby zahrnoval i zástupce zemí mimo EU; doporučuje, aby byla použita IT řešení k integraci rejstříku transparentnosti do všech činností Parlamentu, do nichž jsou zapojeny externí subjekty, aby bylo možné zaznamenávat a sledovat jejich účast prostřednictvím příslušných databází;</w:t>
      </w:r>
    </w:p>
    <w:p w:rsidR="000D48AD" w:rsidRPr="000D48AD" w:rsidRDefault="000D48AD" w:rsidP="00AA742C">
      <w:pPr>
        <w:pStyle w:val="NormalHanging12a"/>
      </w:pPr>
      <w:r w:rsidRPr="00F33887">
        <w:t>34.</w:t>
      </w:r>
      <w:r w:rsidRPr="000D48AD">
        <w:tab/>
      </w:r>
      <w:r w:rsidRPr="00F33887">
        <w:t>opětovně vyjadřuje znepokojení nad rozsáhlým zahraničním vměšováním a dezinformačními kampaněmi, jejichž terčem je Unie a které vede zejména Rusko; zdůrazňuje, že je nutné posílit v Parlamentu kulturu bezpečnosti; žádá povinné a pravidelné školení poslanců a zaměstnanců Parlamentu v otázkách bezpečnosti a bezúhonnosti, náležité bezpečnostní prověrky a důkladnější prověřování zaměstnanců, zejména těch, kteří se účastní neveřejných jednání; požaduje přísnější kontrolu organizace akcí, zvaní externích hostů do Parlamentu a přístupu ke komunikačním platformám Parlamentu; vyzývá k urychlenému prošetření informací o ruském vlivu v Parlamentu;</w:t>
      </w:r>
    </w:p>
    <w:p w:rsidR="00900AE0" w:rsidRPr="00903500" w:rsidRDefault="00900AE0" w:rsidP="00AA742C">
      <w:pPr>
        <w:pStyle w:val="NormalHanging12a"/>
      </w:pPr>
      <w:r w:rsidRPr="000D48AD">
        <w:t>35.</w:t>
      </w:r>
      <w:r w:rsidRPr="000D48AD">
        <w:tab/>
        <w:t>v návaznosti na události s údajnou korupcí v Evropském parlamentu, k nimž došlo na konci roku 2022, vyzývá</w:t>
      </w:r>
      <w:r w:rsidRPr="00903500">
        <w:t xml:space="preserve"> k zavedení přísných standardů transparentnosti a přístupu do unijních orgánů pro všechny subjekty uvedené v rejstříku transparentnosti; připomíná, že nevládní organizace byly údajně zneužity jako nástroj zahraničního vměšování do rozhodovacích procesů Parlamentu; v tomto kontextu připomíná, že je zapotřebí komplexní předběžná finanční kontrola s uvedením veškerých zdrojů financování všech subjektů před tím, než budou zapsány do rejstříku transparentnosti; připomíná, že před zapojením do pořádání akcí a konferencí v prostorách Parlamentu platí povinnost registrace v rejstříku transparentnosti;</w:t>
      </w:r>
    </w:p>
    <w:p w:rsidR="00900AE0" w:rsidRPr="00903500" w:rsidRDefault="00900AE0" w:rsidP="00AA742C">
      <w:pPr>
        <w:pStyle w:val="NormalHanging12a"/>
      </w:pPr>
      <w:r w:rsidRPr="00903500">
        <w:t>36.</w:t>
      </w:r>
      <w:r w:rsidRPr="00903500">
        <w:tab/>
        <w:t>vyzývá Komisi, aby zajistila, že veškeré financování z fondů Unie bude skutečně vysledovatelné od přímého příjemce až po konečného příjemce, pokud jsou prostředky předávány v řetězci, jak se promítlo do návrhu na přepracování finančního nařízení a jak požaduje zpráva z vlastního podnětu „Transparentnost a odpovědnost nevládních organizací financovaných z rozpočtu EU“, která byla přijata dne 17. ledna 2024</w:t>
      </w:r>
      <w:r w:rsidRPr="00903500">
        <w:rPr>
          <w:rStyle w:val="FootnoteReference"/>
        </w:rPr>
        <w:footnoteReference w:id="9"/>
      </w:r>
      <w:r w:rsidRPr="00903500">
        <w:t>; vyzývá k revizi pokynů pro zápis do rejstříku transparentnosti, aby byly zveřejněny všechny příchozí a odchozí finanční prostředky, včetně převodu finančních prostředků z jednoho zúčastněného subjektu na jiný; zdůrazňuje, že všechny zaregistrované osoby nebo subjekty, jež jsou příjemci finančních prostředků od třetích stran, které se nemusí registrovat v rejstříku transparentnosti, musí zveřejnit zdroj svého financování;</w:t>
      </w:r>
    </w:p>
    <w:p w:rsidR="00900AE0" w:rsidRDefault="00900AE0" w:rsidP="00AA742C">
      <w:pPr>
        <w:pStyle w:val="NormalHanging12a"/>
      </w:pPr>
      <w:r w:rsidRPr="00903500">
        <w:t>37.</w:t>
      </w:r>
      <w:r w:rsidRPr="00903500">
        <w:tab/>
        <w:t xml:space="preserve">připomíná, že článek 11 jednacího řádu ukládá členům povinnost zveřejňovat svá setkání se zástupci zájmových skupin; s velkým znepokojením konstatuje, že v období do 26. ledna 2023 nezveřejnilo 261 současných poslanců na internetových stránkách </w:t>
      </w:r>
      <w:r w:rsidRPr="00903500">
        <w:lastRenderedPageBreak/>
        <w:t>Parlamentu ani jednu schůzku se zástupcem zájmových skupin; připomíná, že informace a upomínky týkající se povinnosti zveřejňovat schůzky by měly být všem poslancům zasílány v pravidelných intervalech;</w:t>
      </w:r>
    </w:p>
    <w:p w:rsidR="00545256" w:rsidRPr="00545256" w:rsidRDefault="00545256" w:rsidP="00AA742C">
      <w:pPr>
        <w:pStyle w:val="NormalHanging12a"/>
      </w:pPr>
      <w:r w:rsidRPr="00F33887">
        <w:t>3</w:t>
      </w:r>
      <w:r w:rsidR="00830945">
        <w:t>8</w:t>
      </w:r>
      <w:r w:rsidRPr="00F33887">
        <w:t>.</w:t>
      </w:r>
      <w:r w:rsidRPr="00545256">
        <w:tab/>
      </w:r>
      <w:r w:rsidRPr="00F33887">
        <w:t>bere na vědomí revidovaný kodex chování poslanců a kladení většího důrazu na integritu a transparentnost, pokud jde o prohlášení poslanců o finančních zájmech, možný střet zájmů, setkávání se zástupci nejrůznějších subjektů a prohlášení o získávání podnětů; zdůrazňuje, že jsou nová pravidla vítána, ale že jejich výklad vyvolává mnoho otázek a vyžaduje opatření ze strany správy Parlamentu a výboru pro kodex chování; poukazuje na to, že k tomu, aby poslanci dodržovali nová pravidla, je nezbytný jejich jasný a spolehlivý výklad, aby byla zajištěna nejvyšší úroveň právní jistoty; vyzývá k pravidelnému zasílání aktuálních informací do kanceláří poslanců s cílem zajistit jejich větší viditelnost a přístupnost</w:t>
      </w:r>
      <w:r>
        <w:t>;</w:t>
      </w:r>
    </w:p>
    <w:p w:rsidR="00900AE0" w:rsidRPr="00903500" w:rsidRDefault="00900AE0" w:rsidP="00AA742C">
      <w:pPr>
        <w:pStyle w:val="NormalHanging12a"/>
      </w:pPr>
      <w:r w:rsidRPr="00903500">
        <w:t>3</w:t>
      </w:r>
      <w:r w:rsidR="00830945">
        <w:t>9</w:t>
      </w:r>
      <w:r w:rsidRPr="00903500">
        <w:t>.</w:t>
      </w:r>
      <w:r w:rsidRPr="00903500">
        <w:tab/>
        <w:t>považuje jmenovité hlasování za klíčový nástroj transparentnosti a odpovědnosti vůči občanům Unie; požaduje, aby bylo zavedeno automatické jmenovité hlasování u všech konečných hlasování s výjimkou tajného hlasování a aby byl zvýšen počet jmenovitých hlasování, o něž může politická skupina požádat na jednom dílčím zasedání v čl. 190 odst. 2, nebo aby byly z tohoto omezení vyňaty legislativní dokumenty;</w:t>
      </w:r>
    </w:p>
    <w:p w:rsidR="00900AE0" w:rsidRPr="00903500" w:rsidRDefault="00830945"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s uspokojením bere na vědomí úspěšné uspořádání voleb předsedy, místopředsedů a kvestorů v polovině funkčního období v roce 2022 v distančním režimu, jak rozhodla Konference předsedů; uznává význam systému distančního hlasování v plénu pro úspěšný průběh tak citlivého a složitého tajného hlasování;</w:t>
      </w:r>
    </w:p>
    <w:p w:rsidR="00900AE0" w:rsidRPr="00903500" w:rsidRDefault="00900AE0" w:rsidP="00AA742C">
      <w:pPr>
        <w:pStyle w:val="NormalHanging12a"/>
      </w:pPr>
      <w:r w:rsidRPr="00903500">
        <w:t>4</w:t>
      </w:r>
      <w:r w:rsidR="00830945">
        <w:t>1</w:t>
      </w:r>
      <w:r w:rsidRPr="00903500">
        <w:t>.</w:t>
      </w:r>
      <w:r w:rsidRPr="00903500">
        <w:tab/>
        <w:t>připomíná změny jednacího řádu Parlamentu ze dne 20. prosince 2020, které umožňují distanční hlasování, a skutečnost, že distanční hlasování ve výborech není v současné době povoleno, pokud předseda neshledá, že nastaly mimořádné okolnosti; opakuje svou žádost, která byla několikrát přijata na plenárním zasedání, aby předsednictvo umožnilo poslancům vykonávat právo na distanční hlasování v době, kdy čerpají mateřskou nebo otcovskou dovolenou, v době dlouhodobé nemoci nebo v případech vyšší moci, a zužitkovala tak velké administrativní úsilí a finanční investice, které Parlament vynaložil na technická řešení umožňující distanční hlasování;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4</w:t>
      </w:r>
      <w:r w:rsidR="00830945">
        <w:rPr>
          <w14:textOutline w14:w="0" w14:cap="flat" w14:cmpd="sng" w14:algn="ctr">
            <w14:noFill/>
            <w14:prstDash w14:val="solid"/>
            <w14:bevel/>
          </w14:textOutline>
        </w:rPr>
        <w:t>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GŘ PRES dokázalo řešit potřeby, které vznikly po stanovení odhadu příjmů a výdajů na rok 2022, a to navzdory nestabilní zdravotní situaci a jejímu dopadu na úroveň parlamentní činnosti; podotýká, že také vytvořil přebytek, který by mohl být použit na financování potřeb ostatních generálních ředitelství, jež vznikly v důsledku vysoké inflace v roce 2022;</w:t>
      </w:r>
    </w:p>
    <w:p w:rsidR="00900AE0" w:rsidRPr="00903500" w:rsidRDefault="00900AE0" w:rsidP="00AA742C">
      <w:pPr>
        <w:pStyle w:val="NormalHanging12a"/>
      </w:pPr>
      <w:r w:rsidRPr="00903500">
        <w:t>4</w:t>
      </w:r>
      <w:r w:rsidR="00830945">
        <w:t>3</w:t>
      </w:r>
      <w:r w:rsidRPr="00903500">
        <w:t>.</w:t>
      </w:r>
      <w:r w:rsidRPr="00903500">
        <w:tab/>
        <w:t>připomíná, že podle Smlouvy o Evropské unii (SEU), a zejména Protokolu č. 6 ke Smlouvám, má Parlament sídlo ve Štrasburku, kde se koná dvanáct měsíčních plenárních zasedání, včetně zasedání o rozpočtu; zdůrazňuje, že pozastavení zasedání ve Štrasburku a zavedení distanční účasti souvisí s výjimečnými okolnostmi pandemie COVID-19; připomíná, že každá změna smluv vyžaduje jednomyslný souhlas členských států; připomíná, že převážná většina Parlamentu vyjádřila podporu tomu, aby existovalo jediné sídlo s cílem zajistit efektivní vynakládání prostředků daňových poplatníků Unie a převzít institucionální odpovědnost za snižování uhlíkové stopy tohoto orgánu; upozorňuje, že trvalé změny by vyžadovaly změnu Smlouvy;</w:t>
      </w:r>
    </w:p>
    <w:p w:rsidR="00900AE0" w:rsidRPr="00903500" w:rsidRDefault="00900AE0" w:rsidP="00AA742C">
      <w:pPr>
        <w:pStyle w:val="NormalHanging12a"/>
      </w:pPr>
      <w:r w:rsidRPr="00903500">
        <w:t>4</w:t>
      </w:r>
      <w:r w:rsidR="00830945">
        <w:t>4</w:t>
      </w:r>
      <w:r w:rsidRPr="00903500">
        <w:t>.</w:t>
      </w:r>
      <w:r w:rsidRPr="00903500">
        <w:tab/>
        <w:t xml:space="preserve">konstatuje, že pozastavení dílčích zasedání ve Štrasburku během pandemie COVID-19 přispělo podle sekretariátu Parlamentu k celkovým úsporám ve výši 26 260 608 EUR a </w:t>
      </w:r>
      <w:r w:rsidRPr="00903500">
        <w:lastRenderedPageBreak/>
        <w:t>zároveň výrazně snížilo uhlíkovou stopu Parlamentu; zdůrazňuje, že podle odhadu Účetního dvora by ukončení stěhování ze Štrasburku do Bruselu mohlo přinést roční úspory 114 milionů EUR plus jednorázovou úsporu 616 milionů EUR, pokud budou budovy ve Štrasburku úspěšně prodány, nebo jednorázové náklady 40 milionů EUR, pokud by budovy zůstaly neprodané</w:t>
      </w:r>
      <w:r w:rsidRPr="00903500">
        <w:rPr>
          <w:vertAlign w:val="superscript"/>
        </w:rPr>
        <w:footnoteReference w:id="10"/>
      </w:r>
      <w:r w:rsidRPr="00903500">
        <w:t>; domnívá se, že vzhledem k současné klimatické krizi je zachování sídla ve Štrasburku nezodpovědné; vyzývá Radu, aby zohlednila postoj Parlamentu a urychleně v této věci jednala;</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komunikaci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4</w:t>
      </w:r>
      <w:r w:rsidR="00830945">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generální ředitelství pro komunikaci (</w:t>
      </w:r>
      <w:r w:rsidR="00F75E28" w:rsidRPr="00903500">
        <w:t>GŘ</w:t>
      </w:r>
      <w:r w:rsidRPr="00903500">
        <w:rPr>
          <w14:textOutline w14:w="0" w14:cap="flat" w14:cmpd="sng" w14:algn="ctr">
            <w14:noFill/>
            <w14:prstDash w14:val="solid"/>
            <w14:bevel/>
          </w14:textOutline>
        </w:rPr>
        <w:t xml:space="preserve"> COMM) je generální ředitelství s více pracovišti, jehož zaměstnanci sídlí v Bruselu, Štrasburku a kontaktních kancelářích v každém z 27 členských států, jakož i v Londýně, Washingtonu (do 1. listopadu 2022, kdy byly dvě kontaktní kanceláře Parlamentu převedeny pod nové generální ředitelství pro partnerství pro parlamentní demokracii) a v Domě Jeana </w:t>
      </w:r>
      <w:proofErr w:type="spellStart"/>
      <w:r w:rsidRPr="00903500">
        <w:rPr>
          <w14:textOutline w14:w="0" w14:cap="flat" w14:cmpd="sng" w14:algn="ctr">
            <w14:noFill/>
            <w14:prstDash w14:val="solid"/>
            <w14:bevel/>
          </w14:textOutline>
        </w:rPr>
        <w:t>Monneta</w:t>
      </w:r>
      <w:proofErr w:type="spellEnd"/>
      <w:r w:rsidRPr="00903500">
        <w:rPr>
          <w14:textOutline w14:w="0" w14:cap="flat" w14:cmpd="sng" w14:algn="ctr">
            <w14:noFill/>
            <w14:prstDash w14:val="solid"/>
            <w14:bevel/>
          </w14:textOutline>
        </w:rPr>
        <w:t xml:space="preserve"> v </w:t>
      </w:r>
      <w:proofErr w:type="spellStart"/>
      <w:r w:rsidRPr="00903500">
        <w:rPr>
          <w14:textOutline w14:w="0" w14:cap="flat" w14:cmpd="sng" w14:algn="ctr">
            <w14:noFill/>
            <w14:prstDash w14:val="solid"/>
            <w14:bevel/>
          </w14:textOutline>
        </w:rPr>
        <w:t>Bazoches</w:t>
      </w:r>
      <w:proofErr w:type="spellEnd"/>
      <w:r w:rsidRPr="00903500">
        <w:rPr>
          <w14:textOutline w14:w="0" w14:cap="flat" w14:cmpd="sng" w14:algn="ctr">
            <w14:noFill/>
            <w14:prstDash w14:val="solid"/>
            <w14:bevel/>
          </w14:textOutline>
        </w:rPr>
        <w:t xml:space="preserve"> (Francie);</w:t>
      </w:r>
    </w:p>
    <w:p w:rsidR="00900AE0" w:rsidRDefault="00900AE0" w:rsidP="00AA742C">
      <w:pPr>
        <w:pStyle w:val="NormalHanging12a"/>
      </w:pPr>
      <w:r w:rsidRPr="00903500">
        <w:t>4</w:t>
      </w:r>
      <w:r w:rsidR="00830945">
        <w:t>6</w:t>
      </w:r>
      <w:r w:rsidRPr="00903500">
        <w:t>.</w:t>
      </w:r>
      <w:r w:rsidRPr="00903500">
        <w:tab/>
        <w:t>konstatuje, že mezi hlavní úkoly GŘ COMM patří spolupráce se sdělovacími prostředky, informování, vysvětlování a zviditelňování práce Parlamentu, zvyšování povědomí o Parlamentu mezi občany, zúčastněnými stranami a osobami formujícími veřejné mínění prostřednictvím kontaktních kanceláří Evropského parlamentu (EPLO) v členských státech, podpora interakce s občany prostřednictvím rozšiřovaných návštěvnických projektů, akcí a informačních kampaní i přítomnosti na sociálních sítích a poskytování odborných znalostí poslancům a politickým skupinám v oblastech, jako je mediální zpravodajství a sledování veřejného mínění; a boj všemi prostředky proti dezinformacím, zejména v období před volbami;</w:t>
      </w:r>
    </w:p>
    <w:p w:rsidR="00545256" w:rsidRPr="00545256" w:rsidRDefault="00545256" w:rsidP="00AA742C">
      <w:pPr>
        <w:pStyle w:val="NormalHanging12a"/>
      </w:pPr>
      <w:r w:rsidRPr="00F33887">
        <w:t>4</w:t>
      </w:r>
      <w:r w:rsidR="00830945">
        <w:t>7</w:t>
      </w:r>
      <w:r w:rsidRPr="00F33887">
        <w:t>.</w:t>
      </w:r>
      <w:r w:rsidRPr="00545256">
        <w:tab/>
      </w:r>
      <w:r w:rsidRPr="00F33887">
        <w:t xml:space="preserve">zdůrazňuje, že je třeba, aby </w:t>
      </w:r>
      <w:r w:rsidR="00830945">
        <w:t>P</w:t>
      </w:r>
      <w:r w:rsidRPr="00F33887">
        <w:t xml:space="preserve">arlament a ostatní orgány a instituce Unie </w:t>
      </w:r>
      <w:r w:rsidR="00D44CD3">
        <w:t>měly</w:t>
      </w:r>
      <w:r w:rsidRPr="00F33887">
        <w:t xml:space="preserve"> adekvátní zdroj</w:t>
      </w:r>
      <w:r w:rsidR="00D44CD3">
        <w:t>e</w:t>
      </w:r>
      <w:r w:rsidRPr="00F33887">
        <w:t xml:space="preserve"> pro zabezpečení svého kyberprostoru před snahami o manipulaci s informacemi, přičemž musí plně ctít hodnoty Unie;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545256">
        <w:rPr>
          <w14:textOutline w14:w="0" w14:cap="flat" w14:cmpd="sng" w14:algn="ctr">
            <w14:noFill/>
            <w14:prstDash w14:val="solid"/>
            <w14:bevel/>
          </w14:textOutline>
        </w:rPr>
        <w:t>4</w:t>
      </w:r>
      <w:r w:rsidR="00BF6C0F">
        <w:rPr>
          <w14:textOutline w14:w="0" w14:cap="flat" w14:cmpd="sng" w14:algn="ctr">
            <w14:noFill/>
            <w14:prstDash w14:val="solid"/>
            <w14:bevel/>
          </w14:textOutline>
        </w:rPr>
        <w:t>8</w:t>
      </w:r>
      <w:r w:rsidRPr="00545256">
        <w:rPr>
          <w14:textOutline w14:w="0" w14:cap="flat" w14:cmpd="sng" w14:algn="ctr">
            <w14:noFill/>
            <w14:prstDash w14:val="solid"/>
            <w14:bevel/>
          </w14:textOutline>
        </w:rPr>
        <w:t>.</w:t>
      </w:r>
      <w:r w:rsidRPr="00545256">
        <w:rPr>
          <w14:textOutline w14:w="0" w14:cap="flat" w14:cmpd="sng" w14:algn="ctr">
            <w14:noFill/>
            <w14:prstDash w14:val="solid"/>
            <w14:bevel/>
          </w14:textOutline>
        </w:rPr>
        <w:tab/>
        <w:t>konstatuje, že konečná výše prostředků GŘ COMM činila v roce 2022</w:t>
      </w:r>
      <w:r w:rsidRPr="00903500">
        <w:rPr>
          <w14:textOutline w14:w="0" w14:cap="flat" w14:cmpd="sng" w14:algn="ctr">
            <w14:noFill/>
            <w14:prstDash w14:val="solid"/>
            <w14:bevel/>
          </w14:textOutline>
        </w:rPr>
        <w:t xml:space="preserve"> 121 235 650 EUR, což představuje 5,6 % rozpočtu Parlamentu; zdůrazňuje, že z této částky bylo přiděleno celkem 121 146 177 EUR; vítá vysokou míru čerpání prostředků;</w:t>
      </w:r>
    </w:p>
    <w:p w:rsidR="00900AE0" w:rsidRPr="00903500" w:rsidRDefault="00900AE0" w:rsidP="00AA742C">
      <w:pPr>
        <w:pStyle w:val="NormalHanging12a"/>
      </w:pPr>
      <w:r w:rsidRPr="00903500">
        <w:t>4</w:t>
      </w:r>
      <w:r w:rsidR="00BF6C0F">
        <w:t>9</w:t>
      </w:r>
      <w:r w:rsidRPr="00903500">
        <w:t>.</w:t>
      </w:r>
      <w:r w:rsidRPr="00903500">
        <w:tab/>
        <w:t>bere na vědomí komplexnost činností GŘ COMM; konstatuje, že je třeba zviditelnit práci Parlamentu a zvýšit důvěru občanů v Parlament jako instituci, což by vyžadovalo navýšení rozpočtu pro GŘ COMM;</w:t>
      </w:r>
    </w:p>
    <w:p w:rsidR="00900AE0" w:rsidRPr="00903500" w:rsidRDefault="00BF6C0F"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zdůrazňuje, že během prvních čtyř měsíců roku 2022 bylo plnění rozpočtu GŘ COMM stále ovlivněno pandemií COVID-19, zejména pokud jde o skupiny návštěvníků a návštěvnická zařízení; poznamenává, že velká část přebytků vzniklých pozastavením činností byla přerozdělena mezi ostatní útvary Parlamentu na financování jiných priorit a na řešení dopadu inflace na výdaje na zaměstnance; konstatuje, že výrazné zvýšení cen se výrazně dotklo i některých činností GŘ COMM, jako jsou audiovizuální služby;</w:t>
      </w:r>
    </w:p>
    <w:p w:rsidR="00900AE0" w:rsidRPr="00903500" w:rsidRDefault="00BF6C0F" w:rsidP="00AA742C">
      <w:pPr>
        <w:pStyle w:val="NormalHanging12a"/>
      </w:pPr>
      <w:r>
        <w:t>51</w:t>
      </w:r>
      <w:r w:rsidR="00900AE0" w:rsidRPr="00903500">
        <w:t>.</w:t>
      </w:r>
      <w:r w:rsidR="00900AE0" w:rsidRPr="00903500">
        <w:tab/>
        <w:t xml:space="preserve">konstatuje, že dne 10. března 2022 vydala předsedkyně revidované rozhodnutí o „bezpečnostních opatřeních k omezení šíření onemocnění COVID-19“, které znamenalo obnovení fyzické přítomnosti pro několik činností, včetně opětovného přijímání skupin návštěvníků; vítá rozhodnutí o zvýšení vyplácených finančních příspěvků na cestovné, </w:t>
      </w:r>
      <w:r w:rsidR="00900AE0" w:rsidRPr="00903500">
        <w:lastRenderedPageBreak/>
        <w:t>ubytování, stravování a drobné místní výdaje o 10 % pro skupinové návštěvy pod záštitou poslanců v roce 2022; vyzývá předsednictvo, aby změnilo své rozhodnutí snížit roční kvótu pro návštěvníky pod záštitou poslance ze 110 na 100 na poslance a z 55 na 50 v letech, v nichž se konají volby; zdůrazňuje, že rozhodnutí o převodu nevyužité kvóty z roku 2020 na roky 2022, 2023 a 2024 zůstalo nezměněno; trvá na tom, aby předsednictvo vyřadilo akreditované asistenty ze seznamu povolených vedoucích skupin a aby tuto funkci mohl vykonávat pouze člen skupiny pod záštitou poslance nebo profesionál, jako jsou osoby pověřené prováděním plateb nebo cestovní kanceláře, s cílem zabránit tomu, aby byli akreditovaní asistenti nuceni přebírat finanční odpovědnost, která se může týkat značných finančních částek;</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5</w:t>
      </w:r>
      <w:r w:rsidR="00BF6C0F">
        <w:rPr>
          <w14:textOutline w14:w="0" w14:cap="flat" w14:cmpd="sng" w14:algn="ctr">
            <w14:noFill/>
            <w14:prstDash w14:val="solid"/>
            <w14:bevel/>
          </w14:textOutline>
        </w:rPr>
        <w:t>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v důsledku energetické krize v Unii se výrazně zvýšily ceny cestování a stravování; bere na vědomí plánovanou revizi pravidel pro vyplácení příspěvků skupinovým návštěvám pod záštitou poslance;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5</w:t>
      </w:r>
      <w:r w:rsidR="00BF6C0F">
        <w:rPr>
          <w14:textOutline w14:w="0" w14:cap="flat" w14:cmpd="sng" w14:algn="ctr">
            <w14:noFill/>
            <w14:prstDash w14:val="solid"/>
            <w14:bevel/>
          </w14:textOutline>
        </w:rPr>
        <w:t>3</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postupné rušení pandemických omezení COVID-19 v členských státech umožnilo kontaktním kancelářím Evropského parlamentu obnovit činnost za běžných podmínek, která byla systematicky doplněna o hybridní prvky; zdůrazňuje, že v rámci kontaktních kanceláří byla uspořádána řada aktivit spojených s Evropským rokem mládeže; konstatuje, že v členských státech jsou poslanci systematicky zváni na akce a činnosti se sdělovacími prostředky, zúčastněnými stranami, organizacemi občanské společnosti a mládežnickou komunitou; konstatuje, že kontaktní kanceláře rovněž podporují zapojení poslanců do akcí a činností třetích stran;</w:t>
      </w:r>
    </w:p>
    <w:p w:rsidR="00900AE0" w:rsidRPr="00903500" w:rsidRDefault="00900AE0" w:rsidP="00AA742C">
      <w:pPr>
        <w:pStyle w:val="NormalHanging12a"/>
      </w:pPr>
      <w:r w:rsidRPr="00903500">
        <w:t>5</w:t>
      </w:r>
      <w:r w:rsidR="00BF6C0F">
        <w:t>4</w:t>
      </w:r>
      <w:r w:rsidRPr="00903500">
        <w:t>.</w:t>
      </w:r>
      <w:r w:rsidRPr="00903500">
        <w:tab/>
        <w:t>bere na vědomí, že poslanci měli z důvodu výjimečných opatření zavedených kvůli pandemii možnost účastnit se plenárních rozprav z kontaktních kanceláří Parlamentu v členských státech, v nichž byli zvoleni, což usnadnila opatření GŘ COMM; vítá zvýšené úsilí GŘ COMM o využití nových technologií k usnadnění práce poslanců během pandemie COVID-19; uznává, že vzdálený přístup vnitrostátních médií ke komunikačním aktivitám Parlamentu otevřel nové možnosti interakce s občany Unie;</w:t>
      </w:r>
    </w:p>
    <w:p w:rsidR="00900AE0" w:rsidRDefault="00900AE0" w:rsidP="00AA742C">
      <w:pPr>
        <w:spacing w:after="24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5</w:t>
      </w:r>
      <w:r w:rsidR="00BF6C0F">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že v roce 2022 dokončilo GŘ COMM většinu přípravných prací před volbami do Evropského parlamentu v roce 2024; konstatuje, že předsednictvo Parlamentu schválilo v roce 2022 komunikační strategii pro volby v roce 2024; konstatuje, že v polovině roku 2022 byla vyhlášena celoevropská výzva k předkládání návrhů, na jejímž základě bylo uděleno 19 grantů, z nichž byly financovány akce na budování kapacit nebo aktivity na podporu zapojení občanů do evropských voleb;</w:t>
      </w:r>
    </w:p>
    <w:p w:rsidR="00545256" w:rsidRPr="00545256" w:rsidRDefault="00545256" w:rsidP="00AA742C">
      <w:pPr>
        <w:spacing w:after="240"/>
        <w:ind w:left="567" w:hanging="567"/>
        <w:rPr>
          <w:szCs w:val="24"/>
          <w14:textOutline w14:w="0" w14:cap="flat" w14:cmpd="sng" w14:algn="ctr">
            <w14:noFill/>
            <w14:prstDash w14:val="solid"/>
            <w14:bevel/>
          </w14:textOutline>
        </w:rPr>
      </w:pPr>
      <w:r w:rsidRPr="00F33887">
        <w:t>5</w:t>
      </w:r>
      <w:r w:rsidR="00BF6C0F">
        <w:t>6</w:t>
      </w:r>
      <w:r w:rsidRPr="00F33887">
        <w:t>.</w:t>
      </w:r>
      <w:r w:rsidRPr="00545256">
        <w:tab/>
      </w:r>
      <w:r w:rsidRPr="00F33887">
        <w:t xml:space="preserve">vítá </w:t>
      </w:r>
      <w:r w:rsidR="00BF6C0F">
        <w:t>přijetí</w:t>
      </w:r>
      <w:r w:rsidRPr="00F33887">
        <w:t xml:space="preserve"> Evropského aktu o svobodě sdělovacích prostředků</w:t>
      </w:r>
      <w:r w:rsidR="005A2089">
        <w:t>,</w:t>
      </w:r>
      <w:r w:rsidRPr="00F33887">
        <w:t xml:space="preserve"> </w:t>
      </w:r>
      <w:r w:rsidR="005A2089">
        <w:t>který</w:t>
      </w:r>
      <w:r w:rsidRPr="00F33887">
        <w:t xml:space="preserve"> </w:t>
      </w:r>
      <w:r w:rsidR="005A2089">
        <w:t>zavádí</w:t>
      </w:r>
      <w:r w:rsidRPr="00F33887">
        <w:t xml:space="preserve"> </w:t>
      </w:r>
      <w:r w:rsidR="005A2089">
        <w:t xml:space="preserve">nový </w:t>
      </w:r>
      <w:r w:rsidRPr="00F33887">
        <w:t xml:space="preserve">soubor pravidel na podporu plurality a </w:t>
      </w:r>
      <w:r w:rsidR="005A2089">
        <w:t>nezávislosti</w:t>
      </w:r>
      <w:r w:rsidRPr="00F33887">
        <w:t xml:space="preserve"> sdělovacích prostředků v celé Unii; zastává názor, že tento akt je dalším nástrojem pro nepřetržitý boj Unie proti systematickým zahraničním dezinformačním kampaním a vměšování, které mají destabilizovat Unii;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5</w:t>
      </w:r>
      <w:r w:rsidR="005A2089">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centra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xml:space="preserve"> představují pozitivní projekty, které propagují práci Unie a vysvětlují občanům její politiky; s uspokojením konstatuje, že v posledních dvou letech se počet návštěvníků center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xml:space="preserve"> zvýšil; konstatuje, že počty návštěvníků, kteří si každoročně dopřejí zážitek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xml:space="preserve">, se rovnají tisícům za měsíc; konstatuje, že navzdory pokračující inflační krizi v roce 2022 byla otevřena dvě nová centra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xml:space="preserve"> (Paříž a Řím), což kontaktním kancelářím umožnilo využívat škálu příležitostí pro práci s veřejností a rozšiřovat své sítě; konstatuje, že na konci roku 2022 bylo splněno více než 80 % cílů projektu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w:t>
      </w:r>
    </w:p>
    <w:p w:rsidR="00900AE0" w:rsidRDefault="00900AE0" w:rsidP="00AA742C">
      <w:pPr>
        <w:pStyle w:val="NormalHanging12a"/>
      </w:pPr>
      <w:r w:rsidRPr="00903500">
        <w:lastRenderedPageBreak/>
        <w:t>5</w:t>
      </w:r>
      <w:r w:rsidR="005A2089">
        <w:t>8</w:t>
      </w:r>
      <w:r w:rsidRPr="00903500">
        <w:t>.</w:t>
      </w:r>
      <w:r w:rsidRPr="00903500">
        <w:tab/>
        <w:t>připomíná neutuchající zápas Unie za ochranu evropských hodnot a zachování integrity našich demokratických procesů; vítá opatření, jimiž Parlament přispívá k těmto cílům a k boji proti dezinformacím a manipulaci s informacemi; vyzývá k posílení těchto opatření s ohledem na nadcházející volby do Evropského parlamentu a žádá GŘ COMM, aby pokračovalo ve vývoji a provádění účinných strategií boje proti dezinformacím a manipulaci s informacemi, zejména v souvislosti s volbami; zdůrazňuje, že jednou z nejsilnějších zbraní boje proti dezinformacím je pozitivní a na faktech založená komunikace o činnosti Parlamentu;</w:t>
      </w:r>
    </w:p>
    <w:p w:rsidR="00545256" w:rsidRPr="00545256" w:rsidRDefault="00545256" w:rsidP="00AA742C">
      <w:pPr>
        <w:pStyle w:val="NormalHanging12a"/>
      </w:pPr>
      <w:r w:rsidRPr="00F33887">
        <w:t>5</w:t>
      </w:r>
      <w:r w:rsidR="005A2089">
        <w:t>9</w:t>
      </w:r>
      <w:r w:rsidRPr="00F33887">
        <w:t>.</w:t>
      </w:r>
      <w:r w:rsidRPr="00545256">
        <w:tab/>
      </w:r>
      <w:r w:rsidRPr="00F33887">
        <w:t>je přesvědčen o tom, že pokud Parlament poskytne přístup ke svým zdrojům, například do nahrávacích studií a k jiným komunikačním platformám, nesmí být tento přístup zneužit k oslabování hodnot Unie nebo k šíření nepřátelských informací autoritářskými režimy;</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personál</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6</w:t>
      </w:r>
      <w:r w:rsidR="0088516A">
        <w:rPr>
          <w14:textOutline w14:w="0" w14:cap="flat" w14:cmpd="sng" w14:algn="ctr">
            <w14:noFill/>
            <w14:prstDash w14:val="solid"/>
            <w14:bevel/>
          </w14:textOutline>
        </w:rPr>
        <w:t>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generální ředitelství pro personál (GŘ PERS) odpovídá za vhodné a účinné řízení lidských zdrojů v Parlamentu a zajišťuje, aby poslanci měli k dispozici vysoce kvalifikované pracovníky, kteří jim umožní řádně vykonávat jejich mandát;</w:t>
      </w:r>
    </w:p>
    <w:p w:rsidR="00900AE0" w:rsidRPr="00903500" w:rsidRDefault="0088516A"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konstatuje, že konečná výše prostředků GŘ PERS v roce 2022 činila 1 090 141 584 EUR, což představuje 50,4 % rozpočtu Parlamentu; zdůrazňuje, že z této částky bylo přiděleno celkem 1 087 939 413 EUR; vítá vysokou míru čerpání prostředků;</w:t>
      </w:r>
    </w:p>
    <w:p w:rsidR="00900AE0" w:rsidRPr="00903500" w:rsidRDefault="0088516A"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konstatuje, že v roce 2022 Parlament přijal méně úředníků z výběrových řízení pořádaných Evropským úřadem pro výběr personálu (EPSO) (48 úředníků) než z interních a otevřených výběrových řízení pořádaných Parlamentem (139 úředníků); vyjadřuje politování nad tím, že se úřad EPSO setkal s různými problémy v souvislosti s dozorem nad online testy a jazykovým režimem výběrových řízení; uznává obecné obtíže, s nimiž se GŘ PERS a další GŘ potýkají při získávání a udržení talentů, což má dopad na výkonnost pracovníků Parlamentu; vyzývá k účinnějším, cílenějším a kratším výběrovým řízením, která by zvýšila atraktivitu Parlamentu jako zaměstnavatele a umožnila generálním ředitelstvím rychle přijímat odborníky potřebné pro jejich práci;</w:t>
      </w:r>
    </w:p>
    <w:p w:rsidR="00900AE0" w:rsidRPr="00903500" w:rsidRDefault="0088516A" w:rsidP="00AA742C">
      <w:pPr>
        <w:pStyle w:val="NormalHanging12a"/>
      </w:pPr>
      <w:r>
        <w:t>63</w:t>
      </w:r>
      <w:r w:rsidR="00900AE0" w:rsidRPr="00903500">
        <w:t>.</w:t>
      </w:r>
      <w:r w:rsidR="00900AE0" w:rsidRPr="00903500">
        <w:tab/>
        <w:t>zdůrazňuje, že zajištění spravedlivé zeměpisné rovnováhy je důležitou součástí vytváření skutečně evropské veřejné služby, a poznamenává, že v průběhu let přijal Parlament v tomto ohledu řadu opatření; konstatuje, že je stále co zlepšovat; konstatuje, že předsednictvo vytvořilo právní rámec pro pořádání soutěží pro jednotlivé země a rozhodlo se uspořádat první takovou soutěž; zdůrazňuje, že soutěže by měly být vždy založeny na odborné připravenosti dané osoby bez ohledu na věk, pohlaví či víru;</w:t>
      </w:r>
    </w:p>
    <w:p w:rsidR="00900AE0" w:rsidRPr="00903500" w:rsidRDefault="00900AE0" w:rsidP="00AA742C">
      <w:pPr>
        <w:pStyle w:val="NormalHanging12a"/>
      </w:pPr>
      <w:r w:rsidRPr="00903500">
        <w:t>6</w:t>
      </w:r>
      <w:r w:rsidR="0088516A">
        <w:t>4</w:t>
      </w:r>
      <w:r w:rsidRPr="00903500">
        <w:t>.</w:t>
      </w:r>
      <w:r w:rsidRPr="00903500">
        <w:tab/>
        <w:t>připomíná, že předsednictvo dne 13. ledna 2020 schválilo nové a ambicióznější cíle pro genderovou vyváženost na vyšších a středních úrovních vedení správy Parlamentu, kterých má být dosaženo do roku 2024, což znamená, že by ženy měly obsadit 50 % míst vedoucích oddělení, 50 % míst ředitelů a 40 % míst generálních ředitelů; připomíná, že následně byl vypracován akční plán pro rovnost žen a mužů na období 2021–2022, jehož cílem je usnadnit plnění těchto cílů a komplexně začleňovat hlediska genderové rovnosti do všech činností Parlamentu, který předsednictvo schválilo dne 6. července 2020; uvádí, že v roce 2022 ženy zaujímaly 28,6 % míst generálních ředitelů, vítá skutečnost, že jejich zastoupení v rámci ředitelských místo činilo 50,8 % a na úrovni vedoucích oddělení to bylo 43,5 % míst;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6</w:t>
      </w:r>
      <w:r w:rsidR="0088516A">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že některá generální ředitelství vyjádřila obavy ohledně získávání talentů a specializovaných profilů, které jsou nezbytné pro výkon hlavní činnosti Parlamentu; upozorňuje, že při případné internalizaci lze uvažovat pouze o službách, které jsou nezbytné; zdůrazňuje, že některé služby jsou vzhledem ke své specifické povaze, která nesplňuje podmínky pro internalizaci, zajišťovány externími poskytovateli služeb; je proto toho názoru, že u služeb, které nesplňují tyto podmínky, by řídící orgány neměly zvažovat internalizaci;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6</w:t>
      </w:r>
      <w:r w:rsidR="0088516A">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vítá práci, kterou GŘ PERS odvedlo v souvislosti s akreditovanými parlamentními asistenty (APA); zdůrazňuje, že </w:t>
      </w:r>
      <w:proofErr w:type="spellStart"/>
      <w:r w:rsidRPr="00903500">
        <w:rPr>
          <w14:textOutline w14:w="0" w14:cap="flat" w14:cmpd="sng" w14:algn="ctr">
            <w14:noFill/>
            <w14:prstDash w14:val="solid"/>
            <w14:bevel/>
          </w14:textOutline>
        </w:rPr>
        <w:t>Infodesk</w:t>
      </w:r>
      <w:proofErr w:type="spellEnd"/>
      <w:r w:rsidRPr="00903500">
        <w:rPr>
          <w14:textOutline w14:w="0" w14:cap="flat" w14:cmpd="sng" w14:algn="ctr">
            <w14:noFill/>
            <w14:prstDash w14:val="solid"/>
            <w14:bevel/>
          </w14:textOutline>
        </w:rPr>
        <w:t xml:space="preserve"> GŘ PERS uspořádal 85 informačních schůzek pro úředníky, dočasné a smluvní zaměstnance a pro akreditované parlamentní asistenty, dále šest webových seminářů o odchodu do důchodu a 14 informačních schůzek pro nové stážisty poslanců; vítá práci oddělení front </w:t>
      </w:r>
      <w:proofErr w:type="spellStart"/>
      <w:r w:rsidRPr="00903500">
        <w:rPr>
          <w14:textOutline w14:w="0" w14:cap="flat" w14:cmpd="sng" w14:algn="ctr">
            <w14:noFill/>
            <w14:prstDash w14:val="solid"/>
            <w14:bevel/>
          </w14:textOutline>
        </w:rPr>
        <w:t>office</w:t>
      </w:r>
      <w:proofErr w:type="spellEnd"/>
      <w:r w:rsidRPr="00903500">
        <w:rPr>
          <w14:textOutline w14:w="0" w14:cap="flat" w14:cmpd="sng" w14:algn="ctr">
            <w14:noFill/>
            <w14:prstDash w14:val="solid"/>
            <w14:bevel/>
          </w14:textOutline>
        </w:rPr>
        <w:t xml:space="preserve"> pro akreditované parlamentní asistenty v souvislosti s náborem a správou smluv akreditovaných parlamentních asistentů a jeho působnost jako kontaktního místa pro všechny související otázky a postupy; konstatuje, že toto oddělení odpovědělo na 12 405 žádostí o informace, včetně náborů, změn smluv, jejich prodloužení, odstoupení od nich a ukončení; s uspokojením konstatuje, že 100 % smluv pro akreditované parlamentní asistenty bylo vypracováno do 10 pracovních dnů;</w:t>
      </w:r>
    </w:p>
    <w:p w:rsidR="00900AE0" w:rsidRPr="00903500" w:rsidRDefault="00900AE0" w:rsidP="00AA742C">
      <w:pPr>
        <w:pStyle w:val="NormalHanging12a"/>
      </w:pPr>
      <w:r w:rsidRPr="00903500">
        <w:t>6</w:t>
      </w:r>
      <w:r w:rsidR="0088516A">
        <w:t>7</w:t>
      </w:r>
      <w:r w:rsidRPr="00903500">
        <w:t>.</w:t>
      </w:r>
      <w:r w:rsidRPr="00903500">
        <w:tab/>
        <w:t>s uspokojením bere na vědomí, že v souladu s požadavkem obsaženým v usnesení o udělení absolutoria za rok 2021 předsednictvo na své schůzi dne 10. července 2023 požádalo o zavedení možnosti vyjednat ukončení smlouvy mezi poslancem a jeho akreditovaným asistentem v případě, kdy je nutné ukončit smlouvu s akreditovaným asistentem z jiných důvodů, než je ztráta důvěry;</w:t>
      </w:r>
    </w:p>
    <w:p w:rsidR="00900AE0" w:rsidRPr="00903500" w:rsidRDefault="00900AE0" w:rsidP="00AA742C">
      <w:pPr>
        <w:pStyle w:val="NormalHanging12a"/>
      </w:pPr>
      <w:r w:rsidRPr="00903500">
        <w:t>6</w:t>
      </w:r>
      <w:r w:rsidR="0088516A">
        <w:t>8</w:t>
      </w:r>
      <w:r w:rsidRPr="00903500">
        <w:t>.</w:t>
      </w:r>
      <w:r w:rsidRPr="00903500">
        <w:tab/>
        <w:t>uznává, že práce akreditovaných asistentů je nedílnou součástí práce poslanců a že hrají důležitou roli v legislativních postupech Unie; konstatuje, že po přijetí statutu akreditovaných parlamentních asistentů v roce 2009 se v průběhu let postupně zvýšila míra uznání</w:t>
      </w:r>
      <w:r w:rsidR="00545256">
        <w:t xml:space="preserve"> </w:t>
      </w:r>
      <w:r w:rsidR="00545256" w:rsidRPr="00903500">
        <w:t xml:space="preserve">jejich </w:t>
      </w:r>
      <w:r w:rsidR="00545256">
        <w:t>práce</w:t>
      </w:r>
      <w:r w:rsidRPr="00903500">
        <w:t>; bere na vědomí úsilí Parlamentu o vytvoření rámce pro poskytování podpory akreditovaným asistentům</w:t>
      </w:r>
      <w:r w:rsidR="00AC0FF7" w:rsidRPr="00F33887">
        <w:t>; vyzývá předsednictvo a správu Parlamentu, aby pravidelně a formálně konzultovaly s výborem akreditovaných asistentů revize a reformy, které mají přímý dopad na práva akreditovaných asistentů</w:t>
      </w:r>
      <w:r w:rsidRPr="00AC0FF7">
        <w:t>; vyzývá k řádnému dodržování</w:t>
      </w:r>
      <w:r w:rsidRPr="00903500">
        <w:t xml:space="preserve"> platných pravidel; vyzývá správu Parlamentu, aby prozkoumalo proveditelnost zavedení výpovědní lhůty do smluv akreditovaných asistentů pro případ neočekávaného odchodu poslance E</w:t>
      </w:r>
      <w:r w:rsidR="0041696F">
        <w:t>vropského parlamentu</w:t>
      </w:r>
      <w:r w:rsidRPr="00903500">
        <w:t>, ať už dobrovolného či nedobrovolného;</w:t>
      </w:r>
      <w:r w:rsidRPr="00903500">
        <w:rPr>
          <w:b/>
          <w:i/>
        </w:rPr>
        <w:t> </w:t>
      </w:r>
    </w:p>
    <w:p w:rsidR="00900AE0" w:rsidRPr="00903500" w:rsidRDefault="00900AE0" w:rsidP="00AA742C">
      <w:pPr>
        <w:pStyle w:val="NormalHanging12a"/>
      </w:pPr>
      <w:r w:rsidRPr="00903500">
        <w:t>6</w:t>
      </w:r>
      <w:r w:rsidR="008C517C">
        <w:t>9</w:t>
      </w:r>
      <w:r w:rsidRPr="00903500">
        <w:t>.</w:t>
      </w:r>
      <w:r w:rsidRPr="00903500">
        <w:tab/>
        <w:t xml:space="preserve">konstatuje, že akreditovaní asistenti se účastní oficiálních služebních cest do tří pracovních míst Parlamentu; konstatuje, že předsednictvo dne 11. prosince 2023 přijalo změny „Prováděcích opatření k hlavě VII pracovního řádu ostatních zaměstnanců Evropské unie“, které upravují zaměstnávání akreditovaných parlamentních asistentů; konstatuje, že podle tohoto rozhodnutí se pravidla platná pro služební cesty úředníků a ostatních zaměstnanců Parlamentu použijí obdobně i na akreditované asistenty; konstatuje, že pokud akreditovaní parlamentní asistenti mají potvrzený cestovní příkaz k cestě do Štrasburku během plenárního zasedání Evropského parlamentu, mohou tam cestovat charterovým vlakem; konstatuje, že v případě, že jsou charterové vlaky </w:t>
      </w:r>
      <w:proofErr w:type="spellStart"/>
      <w:r w:rsidRPr="00903500">
        <w:t>Eurostar</w:t>
      </w:r>
      <w:proofErr w:type="spellEnd"/>
      <w:r w:rsidRPr="00903500">
        <w:t xml:space="preserve"> plné, jsou akreditovaným asistentům nabízeny výrazně horší a méně spolehlivé možnosti cestování než ostatním zaměstnancům Parlamentu; vyzývá Parlament, aby prověřil potřebu dalšího vlaku; připomíná, že akreditovaným parlamentním asistentům doprovázejícím poslance na dílčí zasedání ve Štrasburku musí být vydán cestovní příkaz a proplaceny náklady v souladu s platnými pravidly;</w:t>
      </w:r>
    </w:p>
    <w:p w:rsidR="00900AE0" w:rsidRPr="001B3596" w:rsidRDefault="008C517C" w:rsidP="00AA742C">
      <w:pPr>
        <w:pStyle w:val="NormalHanging12a"/>
      </w:pPr>
      <w:r>
        <w:lastRenderedPageBreak/>
        <w:t>70</w:t>
      </w:r>
      <w:r w:rsidR="00900AE0" w:rsidRPr="00903500">
        <w:t>.</w:t>
      </w:r>
      <w:r w:rsidR="00900AE0" w:rsidRPr="00903500">
        <w:tab/>
        <w:t>konstatuje, že rozhodnutí předsednictva o použitelných pravidlech pro pracovní cesty výborů mimo tři pracovní místa ve znění z listopadu 2011, které bylo pozměněno v návaznosti na diskuse Konference předsedů v dubnu 2011 a v rámci předsednictva v listopadu 2011, v současné době zakazuje, aby akreditovaní asistenti doprovázeli poslance na cestách oficiálních parlamentních delegací a na služebních cestách výborů; konstatuje, že umožnění neoficiální účasti akreditovaných asistentů na parlamentních služebních cestách představuje pro dobrou pověst Parlamentu vážné riziko a přináší specifické problémy, pokud jde o jejich pojistné krytí; připomíná, že poslance Evropského parlamentu na těchto služebních cestách už doprovázejí zástupci politických skupin</w:t>
      </w:r>
      <w:r w:rsidR="001B3596" w:rsidRPr="00F33887">
        <w:t>, avšak poukazuje na to, že technická podpora, kterou na služebních cestách poskytují akreditovaní asistenti, má pro poslance, kteří se těchto cest účastní, klíčový význam;</w:t>
      </w:r>
      <w:r w:rsidR="001B3596" w:rsidRPr="001B3596">
        <w:t xml:space="preserve"> </w:t>
      </w:r>
      <w:r w:rsidR="001B3596" w:rsidRPr="00F33887">
        <w:t>opakuje svůj dlouhodobý požadavek, aby akreditovaní asistenti mohli za určitých podmínek, které budou ještě stanoveny, doprovázet poslance na oficiálních parlamentních delegacích a služebních cestách mimo tři pracovní místa, jak bylo zopakováno na plenárním zasedání v několika usneseních o udělení absolutoria; naléhavě vyzývá předsednictvo a Konferenci předsedů, aby na tento požadavek reagovaly kladně</w:t>
      </w:r>
      <w:r w:rsidR="00900AE0" w:rsidRPr="001B3596">
        <w:t>;</w:t>
      </w:r>
    </w:p>
    <w:p w:rsidR="00900AE0" w:rsidRPr="00903500" w:rsidRDefault="00900AE0" w:rsidP="00AA742C">
      <w:pPr>
        <w:pStyle w:val="NormalHanging12a"/>
      </w:pPr>
      <w:r w:rsidRPr="00903500">
        <w:t>7</w:t>
      </w:r>
      <w:r w:rsidR="008C517C">
        <w:t>1</w:t>
      </w:r>
      <w:r w:rsidRPr="00903500">
        <w:t>.</w:t>
      </w:r>
      <w:r w:rsidRPr="00903500">
        <w:tab/>
        <w:t xml:space="preserve">připomíná, že akreditovaní asistenti jsou bez ohledu na jejich zkušenosti a kvalifikaci vyloučeni z účasti na interních výběrových řízeních Evropského parlamentu; vyzývá předsednictvo, aby prozkoumalo možnost poskytnout akreditovaným asistentům stejné příležitosti na spravedlivém základě, podle kritérií stanovených příslušnými generálními ředitelstvími a za podmínek, které budou teprve stanoveny, aby se akreditovaní asistenti mohli účastnit vnitřních výběrových řízení ve srovnatelném postavení jako zaměstnanci Evropského parlamentu; konstatuje, že akreditovaní asistenti díky dlouholetým zkušenostem důkladně rozumí politickým a technickým nuancím spojeným s výkonem mandátu poslanců Evropského parlamentu i různým právním postupům Unie; zdůrazňuje, že větší zapojení akreditovaných asistentů do vnitřních struktur Parlamentu by mohlo vést k větší </w:t>
      </w:r>
      <w:proofErr w:type="spellStart"/>
      <w:r w:rsidRPr="00903500">
        <w:t>inkluzivitě</w:t>
      </w:r>
      <w:proofErr w:type="spellEnd"/>
      <w:r w:rsidRPr="00903500">
        <w:t>, rozmanitosti a geografické vyváženosti pracovních sil; zdůrazňuje význam uchovávání a předávání znalostí v Evropském parlamentu v souvislosti s interními pracovními metodami;</w:t>
      </w:r>
    </w:p>
    <w:p w:rsidR="00900AE0" w:rsidRPr="00903500" w:rsidRDefault="008C517C" w:rsidP="00AA742C">
      <w:pPr>
        <w:pStyle w:val="NormalHanging12a"/>
      </w:pPr>
      <w:r>
        <w:t>72</w:t>
      </w:r>
      <w:r w:rsidR="00900AE0" w:rsidRPr="00903500">
        <w:t>.</w:t>
      </w:r>
      <w:r w:rsidR="00900AE0" w:rsidRPr="00903500">
        <w:tab/>
        <w:t>konstatuje, že přechodné období po skončení funkce, které se vztahuje na akreditované asistenty, je nejméně dvojnásobné oproti přechodnému období, které se vztahuje na poslance Evropského parlamentu; vyzývá k diskusi o harmonizaci přechodného období po skončení funkce pro zaměstnance Evropského parlamentu;</w:t>
      </w:r>
    </w:p>
    <w:p w:rsidR="00900AE0" w:rsidRPr="00903500" w:rsidRDefault="00900AE0" w:rsidP="00AA742C">
      <w:pPr>
        <w:pStyle w:val="NormalHanging12a"/>
      </w:pPr>
      <w:r w:rsidRPr="00903500">
        <w:t>7</w:t>
      </w:r>
      <w:r w:rsidR="00EE0F1A">
        <w:t>3</w:t>
      </w:r>
      <w:r w:rsidRPr="00903500">
        <w:t>.</w:t>
      </w:r>
      <w:r w:rsidRPr="00903500">
        <w:tab/>
        <w:t>vítá pokrok dosažený při revizi pravidel pro zaměstnávání akreditovaných parlamentních asistentů; vítá pozitivní harmonizaci, kterou toto rozhodnutí zaměstnancům přináší; vítá dosaženou dohodu o vzájemném ukončování smluv mezi akreditovanými asistenty a poslanci Evropského parlamentu; vítá sjednocení pravidel týkajících se příspěvků na služební cesty pro akreditované asistenty a zaměstnance; vítá revizi povinného školení pro akreditované asistenty při nástupu do funkce; vítá revizi pravidel týkajících se mateřství, jež se vztahují na akreditované asistenty, s cílem zlepšit efektivní využívání zdrojů ze strany poslanců Evropského parlamentu; vyjadřuje uznání předsednictvu Evropského parlamentu za to, že v uplynulých letech vyhovělo žádostem pléna Evropského parlamentu a podnětům výboru akreditovaných asistentů; vybízí předsednictvo EP, aby pokračovalo v konstruktivní spolupráci s výborem akreditovaných asistentů na dalších nevyřešených otázkách;</w:t>
      </w:r>
    </w:p>
    <w:p w:rsidR="00F75E28" w:rsidRDefault="00900AE0" w:rsidP="00AA742C">
      <w:pPr>
        <w:pStyle w:val="NormalHanging12a"/>
      </w:pPr>
      <w:r w:rsidRPr="00903500">
        <w:t>7</w:t>
      </w:r>
      <w:r w:rsidR="00EE0F1A">
        <w:t>4</w:t>
      </w:r>
      <w:r w:rsidRPr="00903500">
        <w:t>.</w:t>
      </w:r>
      <w:r w:rsidRPr="00903500">
        <w:tab/>
        <w:t xml:space="preserve">v zájmu posílení transparentnosti a odpovědnosti při činnosti Evropského parlamentu a podpory spravedlivého rozdělování zdrojů se navrhují následující revize týkající se </w:t>
      </w:r>
      <w:r w:rsidRPr="00903500">
        <w:lastRenderedPageBreak/>
        <w:t xml:space="preserve">parlamentní asistence a celkových stropů a rozpočtu: </w:t>
      </w:r>
    </w:p>
    <w:p w:rsidR="00F75E28" w:rsidRDefault="00900AE0" w:rsidP="00F33887">
      <w:pPr>
        <w:pStyle w:val="NormalHanging12a"/>
        <w:ind w:left="1134"/>
      </w:pPr>
      <w:r w:rsidRPr="00903500">
        <w:t>1.</w:t>
      </w:r>
      <w:r w:rsidR="00F75E28">
        <w:tab/>
      </w:r>
      <w:r w:rsidRPr="00903500">
        <w:t xml:space="preserve">minimální příděl rozpočtových prostředků na parlamentní asistenci je stanoven na nejméně 35 %; </w:t>
      </w:r>
    </w:p>
    <w:p w:rsidR="00F75E28" w:rsidRDefault="00900AE0" w:rsidP="00F33887">
      <w:pPr>
        <w:pStyle w:val="NormalHanging12a"/>
        <w:ind w:left="1134"/>
      </w:pPr>
      <w:r w:rsidRPr="00903500">
        <w:t>2.</w:t>
      </w:r>
      <w:r w:rsidR="00F75E28">
        <w:tab/>
      </w:r>
      <w:r w:rsidRPr="00903500">
        <w:t xml:space="preserve">maximální příděl rozpočtových prostředků na ostatní příjemce je omezen na 65 % a je rozdělen takto: </w:t>
      </w:r>
    </w:p>
    <w:p w:rsidR="00F75E28" w:rsidRDefault="00900AE0" w:rsidP="00F33887">
      <w:pPr>
        <w:pStyle w:val="NormalHanging12a"/>
        <w:ind w:left="1701"/>
      </w:pPr>
      <w:r w:rsidRPr="00903500">
        <w:t>a</w:t>
      </w:r>
      <w:r w:rsidR="00F75E28">
        <w:t>)</w:t>
      </w:r>
      <w:r w:rsidR="00F75E28">
        <w:tab/>
      </w:r>
      <w:r w:rsidRPr="00903500">
        <w:t xml:space="preserve">poskytovatelé služeb maximálně 25 % rozpočtových prostředků; </w:t>
      </w:r>
    </w:p>
    <w:p w:rsidR="00F75E28" w:rsidRDefault="00900AE0" w:rsidP="00F33887">
      <w:pPr>
        <w:pStyle w:val="NormalHanging12a"/>
        <w:ind w:left="1701"/>
      </w:pPr>
      <w:r w:rsidRPr="00903500">
        <w:t>b</w:t>
      </w:r>
      <w:r w:rsidR="00F75E28">
        <w:t>)</w:t>
      </w:r>
      <w:r w:rsidR="00F75E28">
        <w:tab/>
      </w:r>
      <w:r w:rsidRPr="00903500">
        <w:t xml:space="preserve">místní asistenti maximálně 25 % rozpočtových prostředků; </w:t>
      </w:r>
    </w:p>
    <w:p w:rsidR="00900AE0" w:rsidRPr="00903500" w:rsidRDefault="00900AE0" w:rsidP="00F33887">
      <w:pPr>
        <w:pStyle w:val="NormalHanging12a"/>
        <w:ind w:left="1701"/>
      </w:pPr>
      <w:r w:rsidRPr="00903500">
        <w:t>c</w:t>
      </w:r>
      <w:r w:rsidR="00F75E28">
        <w:t>)</w:t>
      </w:r>
      <w:r w:rsidR="00F75E28">
        <w:tab/>
      </w:r>
      <w:r w:rsidRPr="00903500">
        <w:t>stážisté maximálně 15 % rozpočtových prostředků;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7</w:t>
      </w:r>
      <w:r w:rsidR="00EE0F1A">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po dvou ročnících </w:t>
      </w:r>
      <w:proofErr w:type="spellStart"/>
      <w:r w:rsidRPr="00903500">
        <w:rPr>
          <w14:textOutline w14:w="0" w14:cap="flat" w14:cmpd="sng" w14:algn="ctr">
            <w14:noFill/>
            <w14:prstDash w14:val="solid"/>
            <w14:bevel/>
          </w14:textOutline>
        </w:rPr>
        <w:t>Schumanova</w:t>
      </w:r>
      <w:proofErr w:type="spellEnd"/>
      <w:r w:rsidRPr="00903500">
        <w:rPr>
          <w14:textOutline w14:w="0" w14:cap="flat" w14:cmpd="sng" w14:algn="ctr">
            <w14:noFill/>
            <w14:prstDash w14:val="solid"/>
            <w14:bevel/>
          </w14:textOutline>
        </w:rPr>
        <w:t xml:space="preserve"> programu pro přijímání nových zaměstnanců a rozvoj jejich dovedností, které byly dokončeny v roce 2022, bylo v roce 2022 přijato 16 % uchazečů z těch, kteří byli zařazeni na rezervní seznam; zdůrazňuje, že díky této akci bylo přijato 50 úspěšných uchazečů z 16 různých členských států; poznamenává, že z těchto členských států jich devět bylo zastoupeno malým nebo velmi malým počtem zaměstnanců, ale nyní jsou zastoupeny více a reprezentuje je 70 % příslušných úspěšných kandidátů; vyzdvihuje vytvoření sítě absolventů z řad bývalých stážistů Parlamentu schválené generálním tajemníkem na konci roku 2022;</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7</w:t>
      </w:r>
      <w:r w:rsidR="00EE0F1A">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že GŘ PERS zavedlo program pozitivních opatření pro uchazeče se zdravotním postižením, což vedlo k výrazně vyššímu počtu přihlášek než v předchozích letech;</w:t>
      </w:r>
    </w:p>
    <w:p w:rsidR="00900AE0" w:rsidRPr="00903500" w:rsidRDefault="00900AE0" w:rsidP="00AA742C">
      <w:pPr>
        <w:pStyle w:val="NormalHanging12a"/>
      </w:pPr>
      <w:r w:rsidRPr="00903500">
        <w:t>7</w:t>
      </w:r>
      <w:r w:rsidR="00EE0F1A">
        <w:t>7</w:t>
      </w:r>
      <w:r w:rsidRPr="00903500">
        <w:t>.</w:t>
      </w:r>
      <w:r w:rsidRPr="00903500">
        <w:tab/>
        <w:t>připomíná rozhodnutí generálního tajemníka z listopadu 2022 týkající se nových pravidel pro práci na dálku v Parlamentu, která se vztahují na sekretariát Parlamentu; připomíná, že poslanci a politické skupiny se mohou rovněž rozhodnout pravidla pro práci na dálku uplatňovat, jak je uvedeno v tomto rozhodnutí; poznamenává, že vyvážené využívání hybridního pracovního prostředí je přínosné a produktivní, a proto vítá rozhodnutí zachovat možnost práce na dálku; připomíná, že fyzická přítomnost má vždy zásadní význam pro efektivní a účinnou interakci všech aktérů v každém parlamentním procesu;</w:t>
      </w:r>
    </w:p>
    <w:p w:rsidR="00900AE0" w:rsidRPr="00903500" w:rsidRDefault="00900AE0" w:rsidP="00AA742C">
      <w:pPr>
        <w:pStyle w:val="NormalHanging12a"/>
      </w:pPr>
      <w:r w:rsidRPr="00903500">
        <w:t>7</w:t>
      </w:r>
      <w:r w:rsidR="00EE0F1A">
        <w:t>8</w:t>
      </w:r>
      <w:r w:rsidRPr="00903500">
        <w:t>.</w:t>
      </w:r>
      <w:r w:rsidRPr="00903500">
        <w:tab/>
        <w:t>navrhuje, aby v zájmu sladění potřeb správy Parlamentu (včetně týmové soudržnosti, interní komunikace a zaškolování nově příchozích), které by měly pozitivní dopad na jeho výkonnost a atraktivitu Parlamentu jako zaměstnavatele, byla i nadále prováděna analýza nových způsobů práce; bere na vědomí zavedení možnosti, aby zaměstnanci pracovali na dálku ze zahraničí po dobu pěti dnů ročně; konstatuje, že některá opatření související s pandemií COVID-19 změnila pracovní podmínky v konkrétních službách; vyzývá k proaktivnímu monitorování a hodnocení nových způsobů práce, aby neměly negativní dopad na dobré pracovní podmínky a spokojenost zaměstnanců;</w:t>
      </w:r>
    </w:p>
    <w:p w:rsidR="00900AE0" w:rsidRDefault="00900AE0" w:rsidP="00AA742C">
      <w:pPr>
        <w:pStyle w:val="NormalHanging12a"/>
      </w:pPr>
      <w:r w:rsidRPr="00903500">
        <w:t>7</w:t>
      </w:r>
      <w:r w:rsidR="00EE0F1A">
        <w:t>9</w:t>
      </w:r>
      <w:r w:rsidRPr="00903500">
        <w:t>.</w:t>
      </w:r>
      <w:r w:rsidRPr="00903500">
        <w:tab/>
        <w:t xml:space="preserve">konstatuje, že ze 459 poslanců 8. volebního období, kteří nebyli v roce 2019 znovu zvoleni, bylo Parlamentu předloženo pouze jediné oznámení o zaměstnání po skončení mandátu (článek 6 Kodexu chování); oceňuje, že pro bývalé poslance platí zákaz zapojovat se během šesti měsíců po skončení jejich mandátu do lobbistických aktivit a že byl zaveden postup pro případ jeho nedodržení; oceňuje, že již není možné vydat bývalému poslanci lobbistický průkaz v období šesti měsíců po skončení jeho mandátu, a že pokud je bývalému poslanci vydán lobbistický průkaz po uplynutí tohoto období, jeho původní průkaz poslance je deaktivován; konstatuje, že ze 199 úředníků, kteří v roce 2022 ukončili služební poměr, požádalo 65 úředníků o povolení k činnosti po </w:t>
      </w:r>
      <w:r w:rsidRPr="00903500">
        <w:lastRenderedPageBreak/>
        <w:t>ukončení služebního poměru (článek 16 služebního řádu); vyzývá Parlament, aby zavedl přísnější pravidla pro poslance a úředníky za účelem regulace „otáčivých dveří“;</w:t>
      </w:r>
    </w:p>
    <w:p w:rsidR="001B3596" w:rsidRPr="001B3596" w:rsidRDefault="00EE0F1A" w:rsidP="00AA742C">
      <w:pPr>
        <w:pStyle w:val="NormalHanging12a"/>
      </w:pPr>
      <w:r>
        <w:t>80</w:t>
      </w:r>
      <w:r w:rsidR="001B3596" w:rsidRPr="00F33887">
        <w:t>.</w:t>
      </w:r>
      <w:r w:rsidR="001B3596" w:rsidRPr="001B3596">
        <w:tab/>
      </w:r>
      <w:r w:rsidR="001B3596" w:rsidRPr="00F33887">
        <w:t>je pevně přesvědčen o tom, že sponzorování akcí a cest by nikdy nemělo sloužit k oslabování hodnot Unie nebo k šíření nepřátelských informací autoritářskými režimy; znovu vyzývá k zavedení přísnějších pravidel pro cesty poslanců EP, které hradí třetí země a zahraniční subjekty; domnívá se, že podobná pravidla by měla být vypracována pro cesty akreditovaných parlamentních asistentů a zaměstnanců politických skupin;</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infrastrukturu a logistiku</w:t>
      </w:r>
    </w:p>
    <w:p w:rsidR="00900AE0" w:rsidRPr="00903500" w:rsidRDefault="00EE0F1A"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připomíná, že generální ředitelství pro infrastrukturu a logistiku (GŘ INLO) spravuje prostory o rozloze 1,3 milionu m</w:t>
      </w:r>
      <w:r w:rsidR="00900AE0" w:rsidRPr="00903500">
        <w:rPr>
          <w:vertAlign w:val="superscript"/>
          <w14:textOutline w14:w="0" w14:cap="flat" w14:cmpd="sng" w14:algn="ctr">
            <w14:noFill/>
            <w14:prstDash w14:val="solid"/>
            <w14:bevel/>
          </w14:textOutline>
        </w:rPr>
        <w:t>2</w:t>
      </w:r>
      <w:r w:rsidR="00900AE0" w:rsidRPr="00903500">
        <w:rPr>
          <w14:textOutline w14:w="0" w14:cap="flat" w14:cmpd="sng" w14:algn="ctr">
            <w14:noFill/>
            <w14:prstDash w14:val="solid"/>
            <w14:bevel/>
          </w14:textOutline>
        </w:rPr>
        <w:t xml:space="preserve"> v Bruselu, Lucemburku a ve Štrasburku a kontaktní kanceláře a prostory </w:t>
      </w:r>
      <w:proofErr w:type="spellStart"/>
      <w:r w:rsidR="00900AE0" w:rsidRPr="00903500">
        <w:rPr>
          <w14:textOutline w14:w="0" w14:cap="flat" w14:cmpd="sng" w14:algn="ctr">
            <w14:noFill/>
            <w14:prstDash w14:val="solid"/>
            <w14:bevel/>
          </w14:textOutline>
        </w:rPr>
        <w:t>Europe</w:t>
      </w:r>
      <w:proofErr w:type="spellEnd"/>
      <w:r w:rsidR="00900AE0" w:rsidRPr="00903500">
        <w:rPr>
          <w14:textOutline w14:w="0" w14:cap="flat" w14:cmpd="sng" w14:algn="ctr">
            <w14:noFill/>
            <w14:prstDash w14:val="solid"/>
            <w14:bevel/>
          </w14:textOutline>
        </w:rPr>
        <w:t xml:space="preserve"> </w:t>
      </w:r>
      <w:proofErr w:type="spellStart"/>
      <w:r w:rsidR="00900AE0" w:rsidRPr="00903500">
        <w:rPr>
          <w14:textOutline w14:w="0" w14:cap="flat" w14:cmpd="sng" w14:algn="ctr">
            <w14:noFill/>
            <w14:prstDash w14:val="solid"/>
            <w14:bevel/>
          </w14:textOutline>
        </w:rPr>
        <w:t>Experience</w:t>
      </w:r>
      <w:proofErr w:type="spellEnd"/>
      <w:r w:rsidR="00900AE0" w:rsidRPr="00903500">
        <w:rPr>
          <w14:textOutline w14:w="0" w14:cap="flat" w14:cmpd="sng" w14:algn="ctr">
            <w14:noFill/>
            <w14:prstDash w14:val="solid"/>
            <w14:bevel/>
          </w14:textOutline>
        </w:rPr>
        <w:t xml:space="preserve"> v členských státech; připomíná, že GŘ INLO zajišťuje také stravování a dopravu a spravuje a vybavuje kancelářské a zasedací prostory Parlamentu; konstatuje, že k 31. prosinci 2022 mělo 652 zaměstnanců, z toho 267 úředníků, 47 dočasných zaměstnanců a 338 smluvních zaměstnanců;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8</w:t>
      </w:r>
      <w:r w:rsidR="00EE0F1A">
        <w:rPr>
          <w14:textOutline w14:w="0" w14:cap="flat" w14:cmpd="sng" w14:algn="ctr">
            <w14:noFill/>
            <w14:prstDash w14:val="solid"/>
            <w14:bevel/>
          </w14:textOutline>
        </w:rPr>
        <w:t>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konečná výše prostředků GŘ INLO v roce 2022 činila 271 191 093 EUR, což představuje 12,5 % rozpočtu Parlamentu; zdůrazňuje, že z této částky bylo přiděleno celkem 269 189 287 EUR; vítá vysokou míru čerpání prostředků; bere na vědomí, že rozpočtové položky, u nichž byla míra čerpání nižší než 95 %, se týkaly oblasti mobility, neúspěšného výběrového řízení na nákup vozidel a nižší než očekávané činnosti v důsledku pandemie onemocnění COVID-19, což vedlo k nižším výdajům na interní zasedání;</w:t>
      </w:r>
    </w:p>
    <w:p w:rsidR="00900AE0" w:rsidRPr="00903500" w:rsidRDefault="00EE0F1A"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 xml:space="preserve">bere na vědomí, že strategie Parlamentu v oblasti budov pro období po roce 2019 nabízí ucelený rámec pro rozhodnutí a přispívá ke konsolidaci portfolia nemovitostí Parlamentu a zároveň umožňuje přizpůsobit budovy vývoji v oblasti organizace schůzí, představit Parlament na místní úrovni a přiblížit jej občanům postupným zaváděním center Europa </w:t>
      </w:r>
      <w:proofErr w:type="spellStart"/>
      <w:r w:rsidR="00900AE0" w:rsidRPr="00903500">
        <w:rPr>
          <w14:textOutline w14:w="0" w14:cap="flat" w14:cmpd="sng" w14:algn="ctr">
            <w14:noFill/>
            <w14:prstDash w14:val="solid"/>
            <w14:bevel/>
          </w14:textOutline>
        </w:rPr>
        <w:t>Experience</w:t>
      </w:r>
      <w:proofErr w:type="spellEnd"/>
      <w:r w:rsidR="00900AE0" w:rsidRPr="00903500">
        <w:rPr>
          <w14:textOutline w14:w="0" w14:cap="flat" w14:cmpd="sng" w14:algn="ctr">
            <w14:noFill/>
            <w14:prstDash w14:val="solid"/>
            <w14:bevel/>
          </w14:textOutline>
        </w:rPr>
        <w:t>, posílit bezpečnost budov Parlamentu a dosáhnout vzájemného propojení centrálních budov; konstatuje, že většina opatření a kroků uvedených ve stávající strategii týkající se budov je buď dokončena, nebo se na nich už pracuje;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8</w:t>
      </w:r>
      <w:r w:rsidR="00EE0F1A">
        <w:rPr>
          <w14:textOutline w14:w="0" w14:cap="flat" w14:cmpd="sng" w14:algn="ctr">
            <w14:noFill/>
            <w14:prstDash w14:val="solid"/>
            <w14:bevel/>
          </w14:textOutline>
        </w:rPr>
        <w:t>4</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zdůrazňuje, že je nutné zajistit efektivní správu budov Parlamentu, která by se orientovala na výsledky; vyjadřuje spokojenost s výsledky hodnocení budov za rok 2022, jak byly předsednictvu sděleny v červnu 2022 ve formě pasů pro budovy, kde index energetické náročnosti a kvality vnitřního prostředí (EPIQR) dosáhl pouze 0,1 bodu, což svědčí o jejich celkově vynikajícím stavu a o účinném plánování preventivní a nápravné údržby a údržby ze strany příslušných útvarů Parlamentu v rámci integrované strategie správy budov zaměřené na řízení životního cyklu portfolia budov Parlamentu, kterou předsednictvo přijalo 8. března 2021;</w:t>
      </w:r>
    </w:p>
    <w:p w:rsidR="00900AE0" w:rsidRPr="00903500" w:rsidRDefault="00900AE0" w:rsidP="00AA742C">
      <w:pPr>
        <w:pStyle w:val="NormalHanging12a"/>
      </w:pPr>
      <w:r w:rsidRPr="00903500">
        <w:t>8</w:t>
      </w:r>
      <w:r w:rsidR="00EE0F1A">
        <w:t>5</w:t>
      </w:r>
      <w:r w:rsidRPr="00903500">
        <w:t>.</w:t>
      </w:r>
      <w:r w:rsidRPr="00903500">
        <w:tab/>
        <w:t>vítá závazek GŘ INLO zavádět řešení udržitelná z hlediska životního prostředí; konstatuje, že v roce 2022 Parlament vyrobil více než 19 % vlastní energie z obnovitelných zdrojů; vítá vypracování studie o výrobě elektřiny na místě ve Štrasburku v roce 2022 a následnou právě probíhající instalaci 1 400 m</w:t>
      </w:r>
      <w:r w:rsidRPr="00903500">
        <w:rPr>
          <w:vertAlign w:val="superscript"/>
        </w:rPr>
        <w:t>2</w:t>
      </w:r>
      <w:r w:rsidRPr="00903500">
        <w:t xml:space="preserve"> </w:t>
      </w:r>
      <w:proofErr w:type="spellStart"/>
      <w:r w:rsidRPr="00903500">
        <w:t>fotovoltaických</w:t>
      </w:r>
      <w:proofErr w:type="spellEnd"/>
      <w:r w:rsidRPr="00903500">
        <w:t xml:space="preserve"> panelů na budovách PFLIMLIN, DE MADARIAGA a CHURCHILL; zdůrazňuje, že by se Parlament mohl o tuto energii podělit s městem Štrasburk, jelikož jeho prostory jsou většinou prázdné; vyzývá předsednictvo, aby zvážilo rovněž pronájem střešních ploch externím uživatelům za účelem instalace solárních panelů, </w:t>
      </w:r>
      <w:r w:rsidRPr="00903500">
        <w:lastRenderedPageBreak/>
        <w:t>a využilo je tak jako dodatečný zdroj příjmů Parlamentu;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8</w:t>
      </w:r>
      <w:r w:rsidR="00EE0F1A">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10. května 2022 bude v Lucemburku slavnostně otevřeno východní křídlo budovy ADENAUER, které spolu s uvedením západního křídla do provozu po dokončení jeho výstavby v roce 2024 vytvoří jedinou budovu, v níž budou na jednom místě sídlit všechny parlamentní útvary nacházející se v Lucemburku;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8</w:t>
      </w:r>
      <w:r w:rsidR="00EE0F1A">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otevření 15 seminárních místností pro návštěvníky, víceúčelové agory a </w:t>
      </w:r>
      <w:proofErr w:type="spellStart"/>
      <w:r w:rsidRPr="00903500">
        <w:rPr>
          <w14:textOutline w14:w="0" w14:cap="flat" w14:cmpd="sng" w14:algn="ctr">
            <w14:noFill/>
            <w14:prstDash w14:val="solid"/>
            <w14:bevel/>
          </w14:textOutline>
        </w:rPr>
        <w:t>Sacharovova</w:t>
      </w:r>
      <w:proofErr w:type="spellEnd"/>
      <w:r w:rsidRPr="00903500">
        <w:rPr>
          <w14:textOutline w14:w="0" w14:cap="flat" w14:cmpd="sng" w14:algn="ctr">
            <w14:noFill/>
            <w14:prstDash w14:val="solid"/>
            <w14:bevel/>
          </w14:textOutline>
        </w:rPr>
        <w:t xml:space="preserve"> salonku v budově ZWEIG, které přispějí k lepšímu zážitku návštěvníků Evropského parlamentu v Bruselu; bere na vědomí, že byla dokončena stavba chodby spojující budovu ZWEIG s budovami Výboru regionů a Evropského hospodářského a sociálního výboru;</w:t>
      </w:r>
    </w:p>
    <w:p w:rsidR="00900AE0" w:rsidRPr="00903500" w:rsidRDefault="00900AE0" w:rsidP="00AA742C">
      <w:pPr>
        <w:pStyle w:val="NormalHanging12a"/>
      </w:pPr>
      <w:r w:rsidRPr="00903500">
        <w:t>8</w:t>
      </w:r>
      <w:r w:rsidR="00EE0F1A">
        <w:t>8</w:t>
      </w:r>
      <w:r w:rsidRPr="00903500">
        <w:t>.</w:t>
      </w:r>
      <w:r w:rsidRPr="00903500">
        <w:tab/>
        <w:t>vítá úsilí Parlamentu podporovat zaměstnance při používání udržitelných dopravních prostředků k dojíždění tím, že jim výměnou za omezení přístupu na parkoviště bezplatně poskytuje větší počet tradičních a elektrických jízdních kol a proplácí část nákladů na veřejnou dopravu; vítá nový program, který nabízí 90% snížení ceny sezónních jízdenek na bruselskou veřejnou dopravu, což vedlo k 26,57% nárůstu počtu zaměstnanců využívajících sezónní jízdenky spolufinancované Parlamentem;</w:t>
      </w:r>
    </w:p>
    <w:p w:rsidR="00900AE0" w:rsidRPr="00903500" w:rsidRDefault="00900AE0" w:rsidP="00AA742C">
      <w:pPr>
        <w:pStyle w:val="NormalHanging12a"/>
      </w:pPr>
      <w:r w:rsidRPr="00903500">
        <w:t>8</w:t>
      </w:r>
      <w:r w:rsidR="00EE0F1A">
        <w:t>9</w:t>
      </w:r>
      <w:r w:rsidRPr="00903500">
        <w:t>.</w:t>
      </w:r>
      <w:r w:rsidRPr="00903500">
        <w:tab/>
        <w:t>vítá možnost zapůjčení standardních a elektrických jízdních kol pro zaměstnance během dílčích zasedání ve Štrasburku; vítá rozšíření vozového parku jízdních kol; lituje, že v praxi jsou veškerá kola zarezervována už několik dní předem; vyzývá Parlament, aby prověřil možnost nabízet ve Štrasburku více jízdních kol k zapůjčení a prodloužit lhůty pro jejich vyzvednutí, aby se tak vyhovělo poptávce poslanců a zaměstnanců a přispělo ke zvýšení udržitelné mobility;</w:t>
      </w:r>
    </w:p>
    <w:p w:rsidR="00900AE0" w:rsidRDefault="00EE0F1A" w:rsidP="00AA742C">
      <w:pPr>
        <w:pStyle w:val="NormalHanging12a"/>
      </w:pPr>
      <w:r>
        <w:t>90</w:t>
      </w:r>
      <w:r w:rsidR="00900AE0" w:rsidRPr="00903500">
        <w:t>.</w:t>
      </w:r>
      <w:r w:rsidR="00900AE0" w:rsidRPr="00903500">
        <w:tab/>
        <w:t>vítá, že se podíl vozů s nulovými emisemi nebo hybridních vozů napájených z elektrické sítě ve vozovém parku služeb osobní dopravy zvýšil z 81 % v roce 2021 na 97 % v roce 2022;</w:t>
      </w:r>
    </w:p>
    <w:p w:rsidR="001B3596" w:rsidRPr="001B3596" w:rsidRDefault="00EE0F1A" w:rsidP="00AA742C">
      <w:pPr>
        <w:pStyle w:val="NormalHanging12a"/>
      </w:pPr>
      <w:r>
        <w:t>91</w:t>
      </w:r>
      <w:r w:rsidR="001B3596" w:rsidRPr="00F33887">
        <w:t>.</w:t>
      </w:r>
      <w:r w:rsidR="001B3596" w:rsidRPr="001B3596">
        <w:tab/>
      </w:r>
      <w:r w:rsidR="001B3596" w:rsidRPr="00F33887">
        <w:t>poukazuje na skutečnost, že v roce 2022 zbývalo ve vozidlech pohybujících se mezi Bruselem a Štrasburkem kvůli plenárním zasedáním mnoho volných míst; znovu vyzývá správu Parlamentu, aby rozšířila skupinu uživatelů a umožnila zaměstnancům Parlamentu cestovat do Štrasburku a zpět služebním vozovým parkem bez přítomnosti poslance a zároveň zajistila, aby byla zajištěna místa pro poslance;</w:t>
      </w:r>
    </w:p>
    <w:p w:rsidR="00900AE0" w:rsidRPr="00903500" w:rsidRDefault="00EE0F1A"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uznává význam a přínos parlamentní certifikace EMAS s ohledem na jeho institucionální přístup k udržitelnému životnímu prostředí a oběhovému hospodářství; bere na vědomí opatření, která správa přijala v oblasti úspory vody a nakládání s odpady;</w:t>
      </w:r>
    </w:p>
    <w:p w:rsidR="00900AE0" w:rsidRPr="00903500" w:rsidRDefault="00EE0F1A" w:rsidP="00AA742C">
      <w:pPr>
        <w:pStyle w:val="NormalHanging12a"/>
      </w:pPr>
      <w:r>
        <w:t>93</w:t>
      </w:r>
      <w:r w:rsidR="00900AE0" w:rsidRPr="00903500">
        <w:t>.</w:t>
      </w:r>
      <w:r w:rsidR="00900AE0" w:rsidRPr="00903500">
        <w:tab/>
      </w:r>
      <w:r w:rsidR="001B3596" w:rsidRPr="00F33887">
        <w:t>bere na vědomí jednomyslné</w:t>
      </w:r>
      <w:r w:rsidR="00900AE0" w:rsidRPr="001B3596">
        <w:t xml:space="preserve"> rozhodnutí předsednictva ze dne 23. října 2019 schválit zřízení laboratoře IDEA </w:t>
      </w:r>
      <w:proofErr w:type="spellStart"/>
      <w:r w:rsidR="00900AE0" w:rsidRPr="001B3596">
        <w:t>Lab</w:t>
      </w:r>
      <w:proofErr w:type="spellEnd"/>
      <w:r w:rsidR="00900AE0" w:rsidRPr="001B3596">
        <w:t xml:space="preserve"> s cílem testovat nová inovativní řešení v rámci správy kanceláří a budov; </w:t>
      </w:r>
      <w:r w:rsidR="001B3596" w:rsidRPr="00F33887">
        <w:t>vítá vytvoření stálé laboratoře pro inovace, která by mohla vést v rámci budoucích renovačních projektů k potenciálním úsporám, a vyzývá tomu, aby pro ni byla vytvořena samostatná rozpočtová položka;</w:t>
      </w:r>
      <w:r w:rsidR="001B3596" w:rsidRPr="001B3596">
        <w:t xml:space="preserve"> </w:t>
      </w:r>
      <w:r w:rsidR="00900AE0" w:rsidRPr="001B3596">
        <w:t xml:space="preserve">poukazuje na to, že tato laboratoř má být k dispozici poslancům, a </w:t>
      </w:r>
      <w:r w:rsidR="001B3596" w:rsidRPr="00F33887">
        <w:t>žádá, aby byli poslanci informováni o inovacích a testovaných řešeních, která budou v budoucnu zaváděna, i o těch, která nebudou dále prosazována, a z jakých důvodů; je toho názoru, že jednou z priorit uvedené laboratoře by mělo být inovativní architektonické</w:t>
      </w:r>
      <w:r w:rsidR="00900AE0" w:rsidRPr="001B3596">
        <w:t xml:space="preserve"> řešení, </w:t>
      </w:r>
      <w:r w:rsidR="00AF3795">
        <w:t>aby</w:t>
      </w:r>
      <w:r w:rsidR="00AF3795" w:rsidRPr="00F33887">
        <w:t xml:space="preserve"> bylo možné využít prostor, </w:t>
      </w:r>
      <w:r w:rsidR="00AF3795">
        <w:t>jejž</w:t>
      </w:r>
      <w:r w:rsidR="001B3596" w:rsidRPr="00F33887">
        <w:t xml:space="preserve"> zabírají nevyužívané sprchy</w:t>
      </w:r>
      <w:r w:rsidR="001B3596" w:rsidRPr="001B3596">
        <w:t xml:space="preserve"> v</w:t>
      </w:r>
      <w:r w:rsidR="001B3596" w:rsidRPr="00F33887">
        <w:t> kancelářích poslanců</w:t>
      </w:r>
      <w:r w:rsidR="00900AE0" w:rsidRPr="001B3596">
        <w:t xml:space="preserve">; vyzývá pracovní skupinu </w:t>
      </w:r>
      <w:r w:rsidR="00900AE0" w:rsidRPr="001B3596">
        <w:lastRenderedPageBreak/>
        <w:t>předsednictva pro budovy a správu Parlamentu, aby zajistil</w:t>
      </w:r>
      <w:r w:rsidR="001B3596" w:rsidRPr="001B3596">
        <w:t>y</w:t>
      </w:r>
      <w:r w:rsidR="00900AE0" w:rsidRPr="001B3596">
        <w:t xml:space="preserve"> větší transparentnost, pokud</w:t>
      </w:r>
      <w:r w:rsidR="00900AE0" w:rsidRPr="00903500">
        <w:t xml:space="preserve"> jde o rozpočet uvedené laboratoře, a aby pravidelně předkládal</w:t>
      </w:r>
      <w:r w:rsidR="001B3596">
        <w:t>y</w:t>
      </w:r>
      <w:r w:rsidR="00900AE0" w:rsidRPr="00903500">
        <w:t xml:space="preserve"> Výboru pro rozpočtovou kontrolu seznam inovativních řešení, jejich náklady a příslušnou zpětnou vazbu a informace o potenciálních úsporách v případě jejich realizace;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9</w:t>
      </w:r>
      <w:r w:rsidR="00AF3795">
        <w:rPr>
          <w14:textOutline w14:w="0" w14:cap="flat" w14:cmpd="sng" w14:algn="ctr">
            <w14:noFill/>
            <w14:prstDash w14:val="solid"/>
            <w14:bevel/>
          </w14:textOutline>
        </w:rPr>
        <w:t>4</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bere na vědomí nejrůznější projekty a práce související s přístupností budov, které se provádějí na všech třech pracovištích i v kontaktních kancelářích Evropského parlamentu a v centrech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xml:space="preserve"> s cílem zajistit naprostý soulad s platným právním rámcem v souladu se závazkem Parlamentu být bezbariérovou institucí, která by byla přístupná všem;</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9</w:t>
      </w:r>
      <w:r w:rsidR="00AF3795">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uznává, že v důsledku ruské útočné války proti Ukrajině a energetické krize, narušení dodavatelských řetězců a nedostatku surovin bylo GŘ INLO nuceno přezkoumat své projekty a upravit svůj rozpočet; poznamenává, že v důsledku vzniklého deficitu v rozpočtu na energii muselo GŘ INLO zmrazit nebo pozastavit některé projekty, aby uvolnilo zdroje potřebné k vyrovnání se s vysokým nárůstem cen; </w:t>
      </w:r>
    </w:p>
    <w:p w:rsidR="00900AE0" w:rsidRPr="00903500" w:rsidRDefault="00900AE0" w:rsidP="00AA742C">
      <w:pPr>
        <w:pStyle w:val="NormalHanging12a"/>
      </w:pPr>
      <w:r w:rsidRPr="00903500">
        <w:t>9</w:t>
      </w:r>
      <w:r w:rsidR="00AF3795">
        <w:t>6</w:t>
      </w:r>
      <w:r w:rsidRPr="00903500">
        <w:t>.</w:t>
      </w:r>
      <w:r w:rsidRPr="00903500">
        <w:tab/>
        <w:t>bere na vědomí opatření zavedená za účelem snížení spotřeby energie v Parlamentu, jako je snížení maximální teploty vytápění v kancelářských prostorách a zvýšení minimální teploty chlazení, vypínání systémů vytápění a chlazení během víkendu a státních svátků, omezené osvětlení fasád budov a snížení úrovně vnitřního osvětlení; je si vědom toho, že tato opatření je třeba přehodnotit v závislosti na vývoji energetické krize a že by měla být vždy zaručena pohoda zaměstnanců;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9</w:t>
      </w:r>
      <w:r w:rsidR="00AF3795">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nejrůznější opatření zavedená správou v návaznosti na příslušná rozhodnutí předsednictva z května a října 2022 vedla k výraznému snížení spotřeby energie, které od května 2022 do října 2023 dosáhlo úspor ve výši 10,5 milionu EUR;</w:t>
      </w:r>
    </w:p>
    <w:p w:rsidR="00900AE0" w:rsidRPr="00903500" w:rsidRDefault="00900AE0" w:rsidP="00AA742C">
      <w:pPr>
        <w:pStyle w:val="NormalHanging12a"/>
      </w:pPr>
      <w:r w:rsidRPr="00903500">
        <w:t>9</w:t>
      </w:r>
      <w:r w:rsidR="00AF3795">
        <w:t>8</w:t>
      </w:r>
      <w:r w:rsidRPr="00903500">
        <w:t>.</w:t>
      </w:r>
      <w:r w:rsidRPr="00903500">
        <w:tab/>
        <w:t xml:space="preserve">konstatuje, že v průběhu roku 2022 GŘ INLO pokračovalo v provádění strategie Parlamentu v oblasti budov po roce 2019; bere na vědomí přínos koupě budovy </w:t>
      </w:r>
      <w:proofErr w:type="spellStart"/>
      <w:r w:rsidRPr="00903500">
        <w:t>Trèves</w:t>
      </w:r>
      <w:proofErr w:type="spellEnd"/>
      <w:r w:rsidRPr="00903500">
        <w:t xml:space="preserve"> II k provádění této strategie a ke konsolidaci nemovitostí Parlamentu, zejména s cílem umožnit propojení centrálních budov Parlamentu v Bruselu; požaduje, aby byl vypracován harmonogram propojení budov </w:t>
      </w:r>
      <w:proofErr w:type="spellStart"/>
      <w:r w:rsidRPr="00903500">
        <w:t>Trèves</w:t>
      </w:r>
      <w:proofErr w:type="spellEnd"/>
      <w:r w:rsidRPr="00903500">
        <w:t xml:space="preserve"> I a </w:t>
      </w:r>
      <w:proofErr w:type="spellStart"/>
      <w:r w:rsidRPr="00903500">
        <w:t>Trèves</w:t>
      </w:r>
      <w:proofErr w:type="spellEnd"/>
      <w:r w:rsidRPr="00903500">
        <w:t> II s hlavními centrálními budovami v Bruselu;</w:t>
      </w:r>
    </w:p>
    <w:p w:rsidR="00900AE0" w:rsidRPr="00903500" w:rsidRDefault="00900AE0" w:rsidP="00AA742C">
      <w:pPr>
        <w:pStyle w:val="NormalHanging12a"/>
      </w:pPr>
      <w:r w:rsidRPr="00903500">
        <w:t>9</w:t>
      </w:r>
      <w:r w:rsidR="00AF3795">
        <w:t>9</w:t>
      </w:r>
      <w:r w:rsidRPr="00903500">
        <w:t>.</w:t>
      </w:r>
      <w:r w:rsidRPr="00903500">
        <w:tab/>
      </w:r>
      <w:r w:rsidR="005B5AA1" w:rsidRPr="00F33887">
        <w:t>vyjadřuje Parlamentu uznání za to</w:t>
      </w:r>
      <w:r w:rsidR="005B5AA1" w:rsidRPr="00E305B9">
        <w:t>, že v letech 2017 až 2022 provedl práce ke zlepšení přístupnosti budov v Bruselu v celkové hodnotě 3,3 milionu EUR</w:t>
      </w:r>
      <w:r w:rsidR="005B5AA1" w:rsidRPr="00F33887">
        <w:rPr>
          <w:rStyle w:val="FootnoteReference"/>
        </w:rPr>
        <w:footnoteReference w:id="11"/>
      </w:r>
      <w:r w:rsidR="005B5AA1" w:rsidRPr="00E305B9">
        <w:t>;</w:t>
      </w:r>
      <w:r w:rsidR="005B5AA1" w:rsidRPr="00F33887">
        <w:t xml:space="preserve"> s potěšením konstatuje</w:t>
      </w:r>
      <w:r w:rsidRPr="00E305B9">
        <w:t xml:space="preserve">, že tribuna v návštěvnickém prostoru jednacího sálu v budově SPAAK </w:t>
      </w:r>
      <w:r w:rsidR="005B5AA1" w:rsidRPr="00E305B9">
        <w:t>je nyní</w:t>
      </w:r>
      <w:r w:rsidRPr="00E305B9">
        <w:t xml:space="preserve"> přístupná osobám </w:t>
      </w:r>
      <w:r w:rsidRPr="00DC740B">
        <w:t>s</w:t>
      </w:r>
      <w:r w:rsidR="005B5AA1" w:rsidRPr="00DC740B">
        <w:t>e</w:t>
      </w:r>
      <w:r w:rsidRPr="00DC740B">
        <w:t> </w:t>
      </w:r>
      <w:r w:rsidR="005B5AA1" w:rsidRPr="00DC740B">
        <w:t>sníženou</w:t>
      </w:r>
      <w:r w:rsidRPr="00DC740B">
        <w:t xml:space="preserve"> pohyblivostí</w:t>
      </w:r>
      <w:r w:rsidRPr="00E305B9">
        <w:t xml:space="preserve">; připomíná, že Unie stojí v čele prosazování začleňování a rovnosti všech svých občanů; </w:t>
      </w:r>
      <w:r w:rsidR="005B5AA1" w:rsidRPr="00F33887">
        <w:t>připomíná, že všem evropským občanům by měl být při návštěvě orgánů Unie zajištěn rovný přístup;</w:t>
      </w:r>
      <w:r w:rsidR="005B5AA1" w:rsidRPr="00E305B9">
        <w:t xml:space="preserve"> </w:t>
      </w:r>
      <w:r w:rsidRPr="00E305B9">
        <w:t xml:space="preserve">vyzývá </w:t>
      </w:r>
      <w:r w:rsidR="005B5AA1" w:rsidRPr="00F33887">
        <w:t xml:space="preserve">Parlament, aby pokračoval </w:t>
      </w:r>
      <w:r w:rsidR="00E305B9" w:rsidRPr="00F33887">
        <w:t>v</w:t>
      </w:r>
      <w:r w:rsidRPr="00E305B9">
        <w:t xml:space="preserve"> analýze potřeb návštěvníků se zdravotním postižením a </w:t>
      </w:r>
      <w:r w:rsidR="00E305B9" w:rsidRPr="00E305B9">
        <w:t>aby</w:t>
      </w:r>
      <w:r w:rsidRPr="00E305B9">
        <w:t xml:space="preserve"> zaved</w:t>
      </w:r>
      <w:r w:rsidR="00E305B9" w:rsidRPr="00E305B9">
        <w:t>l</w:t>
      </w:r>
      <w:r w:rsidRPr="00E305B9">
        <w:t xml:space="preserve"> vhodn</w:t>
      </w:r>
      <w:r w:rsidR="00E305B9" w:rsidRPr="00E305B9">
        <w:t>á</w:t>
      </w:r>
      <w:r w:rsidRPr="00903500">
        <w:t xml:space="preserve"> opatření;</w:t>
      </w:r>
    </w:p>
    <w:p w:rsidR="00900AE0" w:rsidRPr="00903500" w:rsidRDefault="00AF3795" w:rsidP="00AA742C">
      <w:pPr>
        <w:pStyle w:val="NormalHanging12a"/>
      </w:pPr>
      <w:r>
        <w:t>100</w:t>
      </w:r>
      <w:r w:rsidR="00900AE0" w:rsidRPr="00903500">
        <w:t>.</w:t>
      </w:r>
      <w:r w:rsidR="00900AE0" w:rsidRPr="00903500">
        <w:tab/>
        <w:t xml:space="preserve">bere na vědomí zápis předsednictva z dodatečného zasedání ze dne 6. července 2022, na kterém předsednictvo vzalo na vědomí výsledky mezinárodní architektonické soutěže na renovaci budovy SPAAK a schválilo je; konstatuje, že předsednictvo podpořilo pět laureátů; konstatuje, že v průběhu roku 2022 nebylo na toto téma přijato žádné jiné rozhodnutí, a proto z toho nevyplynuly žádné finanční důsledky, a zároveň </w:t>
      </w:r>
      <w:r w:rsidR="00900AE0" w:rsidRPr="00903500">
        <w:lastRenderedPageBreak/>
        <w:t>zdůrazňuje, že je čím dál tím naléhavější zahájit práce na její renovaci co nejdříve; poukazuje na to, že vzhledem ke zhoršujícímu se stavu této budovy byly dne 14. února 2024 na úrovni výboru urychleně schváleny konečné plány na zahájení renovačních prací; zdůrazňuje, že současná budova má velmi nízkou energetickou účinnost a chybí jí potřebná flexibilita, aby byla vhodná pro daný účel; poukazuje na to, že Evropský parlament by měl být z hlediska energetické účinnosti a udržitelnosti průkopníkem s vlastním portfoliem budov, aby se zachovala podpora občanů, pokud jde o cíle Zelené dohody; konstatuje, že její renovace by vedla k významným úsporám nákladů ve výši několika milionů eur ročně a navíc by pomohla splnit požadavky budoucí evropské směrnice o energetické účinnosti a energetické náročnosti budov; </w:t>
      </w:r>
    </w:p>
    <w:p w:rsidR="00900AE0" w:rsidRPr="00903500" w:rsidRDefault="00AF3795" w:rsidP="00AA742C">
      <w:pPr>
        <w:pStyle w:val="NormalHanging12a"/>
      </w:pPr>
      <w:r>
        <w:t>101</w:t>
      </w:r>
      <w:r w:rsidR="00900AE0" w:rsidRPr="00903500">
        <w:t>.</w:t>
      </w:r>
      <w:r w:rsidR="00900AE0" w:rsidRPr="00903500">
        <w:tab/>
        <w:t>dále bere na vědomí rozhodnutí předsednictva ze dne 6. července 2022 o strategii týkající se budov ve Štrasburku, která se zaměřuje na zlepšení hostitelských a ubytovacích kapacit, optimalizaci využití prostor Parlamentu, zlepšení přístupnosti budov a konsolidaci funkčnosti pro zaměstnance;</w:t>
      </w:r>
    </w:p>
    <w:p w:rsidR="00900AE0" w:rsidRPr="00903500" w:rsidRDefault="00AF3795" w:rsidP="00AA742C">
      <w:pPr>
        <w:pStyle w:val="NormalHanging12a"/>
      </w:pPr>
      <w:r>
        <w:t>102</w:t>
      </w:r>
      <w:r w:rsidR="00900AE0" w:rsidRPr="00903500">
        <w:t>.</w:t>
      </w:r>
      <w:r w:rsidR="00900AE0" w:rsidRPr="00903500">
        <w:tab/>
        <w:t xml:space="preserve">konstatuje, že samoobslužná jídelna Parlamentu v -1. patře budovy </w:t>
      </w:r>
      <w:proofErr w:type="spellStart"/>
      <w:r w:rsidR="00900AE0" w:rsidRPr="00903500">
        <w:t>Spinelli</w:t>
      </w:r>
      <w:proofErr w:type="spellEnd"/>
      <w:r w:rsidR="00900AE0" w:rsidRPr="00903500">
        <w:t xml:space="preserve"> bývá ve špičkách často přeplněná, kvůli čemuž se tvoří dlouhé fronty a prodlužuje čekací doba; vyzývá předsednictvo, aby zvážilo zavedení omezení přístupu do jídelen v hlavních budovách Parlamentu pro externí návštěvníky a skupiny návštěvníků; je znepokojen neuspokojivým poměrem ceny a kvality jídel, zejména nedostatkem cenově dostupných vegetariánských jídel; žádá správu, aby navrhla řešení, jak tuto situaci napravit;</w:t>
      </w:r>
    </w:p>
    <w:p w:rsidR="00900AE0" w:rsidRPr="00903500" w:rsidRDefault="00AF3795" w:rsidP="00AA742C">
      <w:pPr>
        <w:pStyle w:val="NormalHanging12a"/>
      </w:pPr>
      <w:r>
        <w:t>103</w:t>
      </w:r>
      <w:r w:rsidR="00900AE0" w:rsidRPr="00903500">
        <w:t>.</w:t>
      </w:r>
      <w:r w:rsidR="00900AE0" w:rsidRPr="00903500">
        <w:tab/>
        <w:t>konstatuje, že v roce 2022, po zrušení kapacitních omezení souvisejících s onemocněním COVID, činila nabídka míst ve služebních vozech jedoucích v pondělí z Bruselu do Štrasburku 250 míst a že v roce 2022 bylo v týdnech, kdy probíhalo dílčí zasedání, obsazeno průměrně 162 těchto míst, tj. 65 % míst dostupných ve vozech; znovu správu Parlamentu vyzývá k tomu, aby zajistila větší využívání uvedených míst při současném zajištění míst pro poslance, a zabránila tak plýtvání prostředky;</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překlad</w:t>
      </w:r>
    </w:p>
    <w:p w:rsidR="00900AE0" w:rsidRPr="00903500" w:rsidRDefault="00AF3795" w:rsidP="00AA742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900AE0" w:rsidRPr="00903500">
        <w:rPr>
          <w14:textOutline w14:w="0" w14:cap="flat" w14:cmpd="sng" w14:algn="ctr">
            <w14:noFill/>
            <w14:prstDash w14:val="solid"/>
            <w14:bevel/>
          </w14:textOutline>
        </w:rPr>
        <w:t>.</w:t>
      </w:r>
      <w:r w:rsidR="00900AE0" w:rsidRPr="00903500">
        <w:rPr>
          <w14:textOutline w14:w="0" w14:cap="flat" w14:cmpd="sng" w14:algn="ctr">
            <w14:noFill/>
            <w14:prstDash w14:val="solid"/>
            <w14:bevel/>
          </w14:textOutline>
        </w:rPr>
        <w:tab/>
        <w:t>připomíná, že generální ředitelství pro překlad (GŘ TRAD) odpovídá za poskytování kvalitních vícejazyčných právních předpisů a dalších jazykových služeb Evropskému parlamentu, útvarům Parlamentu a všem občanům Unie, a to na základě zásady úplné vícejazyčnosti založené na účinném využívání zdrojů; konstatuje, že k 31. prosinci 2022 zde pracovalo 1 109 zaměstnanců, z toho 945 úředníků, 97 dočasných zaměstnanců, 66 smluvních zaměstnanců a 1 agenturní zaměstnanec;</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10</w:t>
      </w:r>
      <w:r w:rsidR="00FB4EB5">
        <w:rPr>
          <w14:textOutline w14:w="0" w14:cap="flat" w14:cmpd="sng" w14:algn="ctr">
            <w14:noFill/>
            <w14:prstDash w14:val="solid"/>
            <w14:bevel/>
          </w14:textOutline>
        </w:rPr>
        <w:t>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konečná výše prostředků GŘ TRAD v roce 2022 činila 17 105 500 EUR, což představuje 0,8 % rozpočtu Parlamentu; zdůrazňuje, že z této částky bylo přiděleno celkem 16 834 967 EUR; oceňuje vysokou míru čerpání prostředků;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10</w:t>
      </w:r>
      <w:r w:rsidR="00FB4EB5">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závazek GŘ TRAD poskytovat kvalitní jazykové služby včas; s uspokojením konstatuje, že v roce 2022 bylo přeloženo více než 2,89 milionu hrubých stran, což představuje 26% nárůst oproti roku 2021; s uspokojením konstatuje, že naprostá většina prací byla odevzdána včas (98,5 % za normálních okolností a 98,6 % v případech, kdy požadavky nebyly v souladu s pravidly);</w:t>
      </w:r>
    </w:p>
    <w:p w:rsidR="00900AE0" w:rsidRDefault="00900AE0" w:rsidP="00AA742C">
      <w:pPr>
        <w:spacing w:after="24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10</w:t>
      </w:r>
      <w:r w:rsidR="00FB4EB5">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vítá prosazování a tvorbu obsahu v „jazyce občanů“ ze strany GŘ TRAD, což je vlastní přístup Parlamentu ke srozumitelnému jazyku přizpůsobenému potřebám občanů </w:t>
      </w:r>
      <w:r w:rsidRPr="00903500">
        <w:rPr>
          <w14:textOutline w14:w="0" w14:cap="flat" w14:cmpd="sng" w14:algn="ctr">
            <w14:noFill/>
            <w14:prstDash w14:val="solid"/>
            <w14:bevel/>
          </w14:textOutline>
        </w:rPr>
        <w:lastRenderedPageBreak/>
        <w:t>ve 24 úředních jazycích Unie; vítá zřízení ukrajinského jazykového týmu, který poskytuje jazykové služby v ukrajinštině, včetně překladů, zvukových produktů a titulků pro specializované webové stránky;</w:t>
      </w:r>
    </w:p>
    <w:p w:rsidR="003F550C" w:rsidRPr="003F550C" w:rsidRDefault="003F550C" w:rsidP="00AA742C">
      <w:pPr>
        <w:spacing w:after="240"/>
        <w:ind w:left="567" w:hanging="567"/>
        <w:rPr>
          <w:szCs w:val="24"/>
          <w14:textOutline w14:w="0" w14:cap="flat" w14:cmpd="sng" w14:algn="ctr">
            <w14:noFill/>
            <w14:prstDash w14:val="solid"/>
            <w14:bevel/>
          </w14:textOutline>
        </w:rPr>
      </w:pPr>
      <w:r w:rsidRPr="00F33887">
        <w:t>10</w:t>
      </w:r>
      <w:r w:rsidR="00FB4EB5">
        <w:t>8</w:t>
      </w:r>
      <w:r w:rsidRPr="00F33887">
        <w:t>.</w:t>
      </w:r>
      <w:r w:rsidRPr="003F550C">
        <w:tab/>
      </w:r>
      <w:r w:rsidRPr="00F33887">
        <w:t>připomíná dlouhodobý požadavek neslyšících od roku 2016, aby bylo možné předkládat Parlamentu petice v národních znakových jazycích EU; zdůrazňuje, že toto opatření by umožnilo neslyšícím uplatňovat své petiční právo, které je jedním ze základních práv všech evropských občanů zakotveným jak ve Smlouvě, tak v Listině základních práv</w:t>
      </w:r>
      <w:r w:rsidR="002D71DC">
        <w:t xml:space="preserve"> Evropské unie</w:t>
      </w:r>
      <w:r w:rsidRPr="00F33887">
        <w:t>; bere na vědomí analýzu, kterou provedly GŘ LINC a GŘ ITEC ohledně nejúčinnějšího řešení s minimálními náklady, která byla zaslána Petičnímu výboru v květnu 2020; vyzývá správu, aby toto řešení přijala a usnadnila předkládání petic vyjádřených v národních znakových jazycích EU prostřednictvím petičního portálu;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10</w:t>
      </w:r>
      <w:r w:rsidR="00FB4EB5">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s uspokojením bere na vědomí úspěšné ukončení prvního kola otevřeného výběrového řízení pro odborníky v oblasti mezikulturních a jazykových vztahů, které se týká 11 jazyků a které pořádá GŘ TRAD a GŘ PERS; zdůrazňuje, že GŘ TRAD zahájilo rovněž nábor úspěšných kandidátů svého vůbec prvního otevřeného výběrového řízení pro odborníky na srozumitelný jazyk; vítá skutečnost, že díky spolupráci se podařilo výrazně urychlit nábor vysoce kvalifikovaných úředníků s aktuálními a perspektivními profily;</w:t>
      </w:r>
    </w:p>
    <w:p w:rsidR="00900AE0" w:rsidRPr="00903500" w:rsidRDefault="00900AE0" w:rsidP="00AA742C">
      <w:pPr>
        <w:pStyle w:val="NormalHanging12a"/>
      </w:pPr>
      <w:r w:rsidRPr="00903500">
        <w:t>1</w:t>
      </w:r>
      <w:r w:rsidR="00FB4EB5">
        <w:t>1</w:t>
      </w:r>
      <w:r w:rsidRPr="00903500">
        <w:t>0.</w:t>
      </w:r>
      <w:r w:rsidRPr="00903500">
        <w:tab/>
        <w:t>připomíná, že úřední jazyky, které mají používat orgány, instituce a jiné subjekty Unie, jsou stanoveny v nařízení č. 1</w:t>
      </w:r>
      <w:r w:rsidRPr="00903500">
        <w:rPr>
          <w:vertAlign w:val="superscript"/>
        </w:rPr>
        <w:footnoteReference w:id="12"/>
      </w:r>
      <w:r w:rsidRPr="00903500">
        <w:t>; bere na vědomí, že GŘ TRAD zajišťuje, aby byl procedurální obsah Parlamentu k dispozici ve všech 24 úředních a pracovních jazycích Unie; oceňuje výjimečnou práci tlumočníků v roce 2022, která v maximální možné míře zajišťovala tlumočení veřejných diskuzí do všech úředních jazyků EU; zdůrazňuje, že podle jednacího řádu Parlamentu mají poslanci právo hovořit kterýmkoli z 24 úředních jazyků Unie, což odráží evropskou kulturní a jazykovou rozmanitost, díky níž je pro všechny občany Unie zajištěna větší přístupnost a transparentnost unijních orgánů; konstatuje, že se v rámci parlamentní činnosti široce používá zejména jeden jazyk; žádá, aby byla respektována mnohojazyčnost a aby byl v případě potřeby zajištěn dostatečný počet pracovníků pro překlady a tlumočení;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FB4EB5">
        <w:rPr>
          <w14:textOutline w14:w="0" w14:cap="flat" w14:cmpd="sng" w14:algn="ctr">
            <w14:noFill/>
            <w14:prstDash w14:val="solid"/>
            <w14:bevel/>
          </w14:textOutline>
        </w:rPr>
        <w:t>11</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zdůrazňuje, že GŘ TRAD je jazykovým orgánem Evropského parlamentu, a to tím, že podporuje přijímání vícejazyčných právních předpisů, a také tím, že zaváděním jasných jazykových norem přispívá k vícejazyčné komunikaci s občany Unie ve srozumitelném jazyce;</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logistiku a tlumočení konferencí</w:t>
      </w:r>
    </w:p>
    <w:p w:rsidR="00900AE0" w:rsidRPr="00903500" w:rsidRDefault="00900AE0" w:rsidP="00AA742C">
      <w:pPr>
        <w:pStyle w:val="NormalHanging12a"/>
      </w:pPr>
      <w:r w:rsidRPr="00903500">
        <w:t>1</w:t>
      </w:r>
      <w:r w:rsidR="009F0E13">
        <w:t>12</w:t>
      </w:r>
      <w:r w:rsidRPr="00903500">
        <w:t>.</w:t>
      </w:r>
      <w:r w:rsidRPr="00903500">
        <w:tab/>
        <w:t>připomíná, že generální ředitelství pro logistiku a tlumočení konferencí (DG LINC) odpovídá za poskytování jazykové, technické a logistické podpory při zasedáních a konferencích; konstatuje, že k 31. prosinci 2022 mělo 554 zaměstnanců, z toho 443 úředníků, 29 dočasných zaměstnanců a 82 smluvních zaměstnanců; zdůrazňuje, že kvalita poskytovaného tlumočení má přímý dopad na sdělení předávaná občanům Unie;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13</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konečná výše prostředků GŘ LINC v roce 2022 činila 79 569 347 EUR, což představuje 3,7 % rozpočtu Parlamentu; zdůrazňuje, že z této částky bylo přiděleno </w:t>
      </w:r>
      <w:r w:rsidRPr="00903500">
        <w:rPr>
          <w14:textOutline w14:w="0" w14:cap="flat" w14:cmpd="sng" w14:algn="ctr">
            <w14:noFill/>
            <w14:prstDash w14:val="solid"/>
            <w14:bevel/>
          </w14:textOutline>
        </w:rPr>
        <w:lastRenderedPageBreak/>
        <w:t>celkem 79 282 501 EUR; oceňuje vysokou míru čerpání prostředků;</w:t>
      </w:r>
    </w:p>
    <w:p w:rsidR="00900AE0" w:rsidRPr="00903500" w:rsidRDefault="00900AE0" w:rsidP="00AA742C">
      <w:pPr>
        <w:pStyle w:val="NormalHanging12a"/>
      </w:pPr>
      <w:r w:rsidRPr="00903500">
        <w:t>1</w:t>
      </w:r>
      <w:r w:rsidR="009F0E13">
        <w:t>14</w:t>
      </w:r>
      <w:r w:rsidRPr="00903500">
        <w:t>.</w:t>
      </w:r>
      <w:r w:rsidRPr="00903500">
        <w:tab/>
        <w:t>zdůrazňuje, že poptávka po službách GŘ LINC začala výrazně růst od počátku roku 2022, kdy stále platila omezení v souvislosti s onemocněním COVID-19; přiznává, že to znamenalo tlak na zdroje, protože kvůli omezení fyzického kontaktu a dalším omezením bylo zapotřebí více tlumočníků, rozsáhlejší technická podpora a větší množství komplexních plánovacích operací; bere na vědomí, že vliv inflace se projevil na odměnách externích konferenčních tlumočníků; konstatuje, že vyšší náklady na tlumočení byly částečně zmírněny tlumočením plenárních zasedání ve Štrasburku na dálku z Bruselu, jehož cílem bylo zlepšit pracovní podmínky, především zajistit lepší kvalitu zvuku a omezit počet a délku hodin tlumočení na dálku;</w:t>
      </w:r>
    </w:p>
    <w:p w:rsidR="00900AE0" w:rsidRPr="00903500" w:rsidRDefault="00900AE0" w:rsidP="00AA742C">
      <w:pPr>
        <w:pStyle w:val="NormalHanging12a"/>
      </w:pPr>
      <w:r w:rsidRPr="00903500">
        <w:t>1</w:t>
      </w:r>
      <w:r w:rsidR="009F0E13">
        <w:t>15</w:t>
      </w:r>
      <w:r w:rsidRPr="00903500">
        <w:t>.</w:t>
      </w:r>
      <w:r w:rsidRPr="00903500">
        <w:tab/>
        <w:t>bere na vědomí, že se zástupci tlumočníků ohradili proti pracovním podmínkám platným pro tlumočení na dálku kvůli dopadům na fyzické a duševní zdraví tlumočníků, které má dlouhodobé tlumočení na dálku, zejména kvůli nahlášeným problémům se sluchem; připomíná, že evropské orgány mají vůči svým pracovníkům povinnost péče; zdůrazňuje, že následné protestní akce konané v létě a na podzim roku 2022 vedly k zastavení tlumočení, což se dotklo i vzdálených řečníků; poznamenává, že prozatímní pracovní ujednání pro tlumočníky týkající se jednání s dálkovou účastí vstoupila v platnost 17. října 2022; konstatuje, že umožnila znovu zajistit tlumočení pro vzdálené mluvčí při zachování zkrácené týdenní pracovní doby tlumočníků, což vedlo ke snížení objemu poskytovaných služeb; konstatuje, že sociální dialog zaměřený na vytvoření trvalého rámce a plné obnovení tlumočnických služeb probíhal na konci roku 2022 a byl ukončen v roce 2023;</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11</w:t>
      </w:r>
      <w:r w:rsidR="009F0E13">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oceňuje, že v roce 2022 dokázalo GŘ LINC konsolidovat poskytování tlumočnických služeb a zároveň se přizpůsobit náročnému regulačnímu prostředí; s uspokojením konstatuje, že GŘ LINC obsloužilo celkem 5 278 parlamentních schůzí s tlumočením a poskytlo v průměru 5 266 hodin tlumočení za pracovní týden, což je nárůst oproti 4 172 schůzím a 4 039 hodinám tlumočení týdně v roce 2021; konstatuje, že tento údaj je stále pod úrovní průměrných hodnot z let 2017 a 2018 před </w:t>
      </w:r>
      <w:proofErr w:type="spellStart"/>
      <w:r w:rsidRPr="00903500">
        <w:rPr>
          <w14:textOutline w14:w="0" w14:cap="flat" w14:cmpd="sng" w14:algn="ctr">
            <w14:noFill/>
            <w14:prstDash w14:val="solid"/>
            <w14:bevel/>
          </w14:textOutline>
        </w:rPr>
        <w:t>koronavirovou</w:t>
      </w:r>
      <w:proofErr w:type="spellEnd"/>
      <w:r w:rsidRPr="00903500">
        <w:rPr>
          <w14:textOutline w14:w="0" w14:cap="flat" w14:cmpd="sng" w14:algn="ctr">
            <w14:noFill/>
            <w14:prstDash w14:val="solid"/>
            <w14:bevel/>
          </w14:textOutline>
        </w:rPr>
        <w:t xml:space="preserve"> pandemií;</w:t>
      </w:r>
    </w:p>
    <w:p w:rsidR="00900AE0" w:rsidRPr="003F550C" w:rsidRDefault="00900AE0" w:rsidP="00AA742C">
      <w:pPr>
        <w:pStyle w:val="NormalHanging12a"/>
      </w:pPr>
      <w:r w:rsidRPr="00903500">
        <w:t>11</w:t>
      </w:r>
      <w:r w:rsidR="009F0E13">
        <w:t>7</w:t>
      </w:r>
      <w:r w:rsidRPr="00903500">
        <w:t>.</w:t>
      </w:r>
      <w:r w:rsidRPr="00903500">
        <w:tab/>
      </w:r>
      <w:r w:rsidR="003F550C" w:rsidRPr="00F33887">
        <w:t xml:space="preserve">připomíná článek 26 Listiny základních práv Evropské unie; </w:t>
      </w:r>
      <w:r w:rsidRPr="003F550C">
        <w:t>opakuje svou dlouhodobou žádost generálnímu tajemníkovi, aby analyzoval možnost tlumočení do mezinárodního znakového jazyka při všech plenárních rozpravách a aby této žádosti neprodleně vyhověl; je navíc přesvědčen, že přenášení plenárních zasedání do znakových jazyků používaných v jednotlivých členských státech by zvýšilo účast osob se zdravotním postižením na demokratickém procesu EU</w:t>
      </w:r>
      <w:r w:rsidR="003F550C" w:rsidRPr="003F550C">
        <w:t xml:space="preserve">; </w:t>
      </w:r>
      <w:r w:rsidR="003F550C" w:rsidRPr="00F33887">
        <w:t>zdůrazňuje význam používání digitálních nástrojů, včetně asistenčních zařízení využívajících umělou inteligenci; dále trvá na tom, že všem osobám se zdravotním postižením je třeba zajistit dostupné informace pomocí snadno čitelných formátů, piktogramů a nových technologií</w:t>
      </w:r>
      <w:r w:rsidRPr="003F550C">
        <w:t>;</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finance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11</w:t>
      </w:r>
      <w:r w:rsidR="009F0E13">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generální ředitelství pro finance (GŘ FINS) je správním orgánem odpovědným za rozpočtové a finanční záležitosti Parlamentu; konstatuje, že k 31. prosinci 2022 mělo 246 zaměstnanců, z toho 149 úředníků, 27 dočasných zaměstnanců, 63 smluvních zaměstnanců a 7 agenturních zaměstnanců;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11</w:t>
      </w:r>
      <w:r w:rsidR="009F0E13">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konečná výše prostředků GŘ FINS v roce 2022 činila 396 723 134 EUR, což představuje 18,4 % rozpočtu Parlamentu; zdůrazňuje, že z této částky bylo přiděleno celkem 395 647 243 EUR; oceňuje vysokou míru čerpání prostředků;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1</w:t>
      </w:r>
      <w:r w:rsidR="009F0E13">
        <w:rPr>
          <w14:textOutline w14:w="0" w14:cap="flat" w14:cmpd="sng" w14:algn="ctr">
            <w14:noFill/>
            <w14:prstDash w14:val="solid"/>
            <w14:bevel/>
          </w14:textOutline>
        </w:rPr>
        <w:t>20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v roce 2022 se řada úkolů, za které odpovídá GŘ FINS, víceméně vrátila na úroveň před pandemií; konstatuje, že válka na Ukrajině měla hmatatelný dopad na činnost GŘ FINS a vyžádala si odolnost a přizpůsobivost, aby bylo možné zajistit kontinuitu některých činností v Parlamentu prostřednictvím mobilizace a přerozdělení finančních zdrojů potřebných k vyrovnání se s inflačním šokem;</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2</w:t>
      </w:r>
      <w:r w:rsidRPr="00903500">
        <w:rPr>
          <w14:textOutline w14:w="0" w14:cap="flat" w14:cmpd="sng" w14:algn="ctr">
            <w14:noFill/>
            <w14:prstDash w14:val="solid"/>
            <w14:bevel/>
          </w14:textOutline>
        </w:rPr>
        <w:t>1.</w:t>
      </w:r>
      <w:r w:rsidRPr="00903500">
        <w:rPr>
          <w14:textOutline w14:w="0" w14:cap="flat" w14:cmpd="sng" w14:algn="ctr">
            <w14:noFill/>
            <w14:prstDash w14:val="solid"/>
            <w14:bevel/>
          </w14:textOutline>
        </w:rPr>
        <w:tab/>
        <w:t>vítá skutečnost, že v reakci na výrazný nárůst inflace a úrokových sazeb a na celosvětovou energetickou krizi zpřísnilo GŘ FINS dohled nad mírou čerpání rozpočtových prostředků a muselo přijmout mimořádná opatření k zajištění kontinuity fungování Parlamentu, mimo jiné prostřednictvím četného přerozdělení rozpočtu a žádosti o opravný rozpočet v listopadu 2022;</w:t>
      </w:r>
    </w:p>
    <w:p w:rsidR="00900AE0" w:rsidRPr="00903500" w:rsidRDefault="00900AE0" w:rsidP="00AA742C">
      <w:pPr>
        <w:pStyle w:val="NormalHanging12a"/>
      </w:pPr>
      <w:r w:rsidRPr="00903500">
        <w:t>1</w:t>
      </w:r>
      <w:r w:rsidR="009F0E13">
        <w:t>22</w:t>
      </w:r>
      <w:r w:rsidRPr="00903500">
        <w:t>.</w:t>
      </w:r>
      <w:r w:rsidRPr="00903500">
        <w:tab/>
        <w:t>s uspokojením konstatuje, že GŘ FINS dokázalo využít efektivitu svých procesů a nasazení svých zaměstnanců k zajištění kontinuity služeb, za které odpovídá, a k dosažení cílů stanovených ve svém ročním pracovním programu; bere na vědomí obavy poslanců ohledně nepřiměřených a často značných průtahů při vyřizování proplácení náhrad, kdy průměrná doba nutná k proplacení cestovních náhrad a denních příspěvků činí až 40 dní; vítá, že Parlament neustále modernizuje své procesy, aby mohl poslancům nabízet lepší služby prostřednictvím automatizace, zjednodušení a digitalizace; vyzývá GŘ FINS k dalšímu zrychlení pracovních postupů, aby bylo možné urychlit příslušná řízení, zejména tím, že své pracovníky vybaví potřebnými nástroji a softwarem pro efektivní vypořádání se s pracovní zátěží, což povede ke kratší době zpracování příslušných žádostí;</w:t>
      </w:r>
    </w:p>
    <w:p w:rsidR="00900AE0" w:rsidRPr="00903500" w:rsidRDefault="00900AE0" w:rsidP="00AA742C">
      <w:pPr>
        <w:pStyle w:val="NormalHanging12a"/>
      </w:pPr>
      <w:r w:rsidRPr="00903500">
        <w:t>1</w:t>
      </w:r>
      <w:r w:rsidR="009F0E13">
        <w:t>23</w:t>
      </w:r>
      <w:r w:rsidRPr="00903500">
        <w:t>.</w:t>
      </w:r>
      <w:r w:rsidRPr="00903500">
        <w:tab/>
        <w:t>uznává práci místních asistentů jako nezbytnou součást činnosti poslanců v jejich volebních obvodech a jako místa prvního kontaktu s občany; zdůrazňuje, že proces náboru místních asistentů a podepisování smluv s nimi je kvůli nesčetným administrativním požadavkům, které vedou k dvojí kontrole a nejasným požadavkům, už několik let stále náročnější; zdůrazňuje, že by GŘ FINS mělo vzít na vědomí, že místní asistenti podléhají vnitrostátním právním předpisům, a proto požaduje, aby se procesem přijímání zaměstnanců zabývala oddělení pro jednotlivé země; dále připomíná, že dobrovolná a politická činnost místních asistentů je v rámci pravidel stanovených Evropským parlamentem často běžným zaměstnáním, které by nemělo být důvodem ke zbytečným kontrolám;</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24</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zapojení GŘ FINS do změn regulačního rámce pro financování politických struktur; vítá skutečnost, že se GŘ FINS podílelo na vypracování návrhu na změnu pravidel pro využívání prostředků v souvislosti s financováním politických skupin, který předsednictvo přijalo v červenci 2022; konstatuje, že tato změna zohledňuje situaci vzniklou v důsledku pandemie onemocnění COVID-19 a výjimečně stanovuje způsob, jak zachovat strop pro převod nevyužitých prostředků z roku 2022 do roku 2023 ve výši 75 % namísto 50 %; s uspokojením konstatuje, že se GŘ FINS rovněž podílelo na práci na revizi nařízení Evropského parlamentu a Rady (EU, Euratom) č. 1141/2014 ze dne 22. října 2014 o statutu a financování evropských politických stran a evropských politických nadací</w:t>
      </w:r>
      <w:r w:rsidRPr="00903500">
        <w:rPr>
          <w:rStyle w:val="FootnoteReference"/>
          <w:szCs w:val="24"/>
        </w:rPr>
        <w:footnoteReference w:id="13"/>
      </w:r>
      <w:r w:rsidRPr="00903500">
        <w:rPr>
          <w14:textOutline w14:w="0" w14:cap="flat" w14:cmpd="sng" w14:algn="ctr">
            <w14:noFill/>
            <w14:prstDash w14:val="solid"/>
            <w14:bevel/>
          </w14:textOutline>
        </w:rPr>
        <w: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25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oceňuje setrvalé úsilí vynaložené v roce 2022 na digitalizaci procesů, včetně vývoje nových funkcí a přepracování aplikace e-</w:t>
      </w:r>
      <w:proofErr w:type="spellStart"/>
      <w:r w:rsidRPr="00903500">
        <w:rPr>
          <w14:textOutline w14:w="0" w14:cap="flat" w14:cmpd="sng" w14:algn="ctr">
            <w14:noFill/>
            <w14:prstDash w14:val="solid"/>
            <w14:bevel/>
          </w14:textOutline>
        </w:rPr>
        <w:t>Portal</w:t>
      </w:r>
      <w:proofErr w:type="spellEnd"/>
      <w:r w:rsidRPr="00903500">
        <w:rPr>
          <w14:textOutline w14:w="0" w14:cap="flat" w14:cmpd="sng" w14:algn="ctr">
            <w14:noFill/>
            <w14:prstDash w14:val="solid"/>
            <w14:bevel/>
          </w14:textOutline>
        </w:rPr>
        <w:t>; s uspokojením konstatuje, že se díky tomu zvýšila míra jejího využívání;</w:t>
      </w:r>
    </w:p>
    <w:p w:rsidR="00900AE0" w:rsidRPr="00903500" w:rsidRDefault="00900AE0" w:rsidP="00AA742C">
      <w:pPr>
        <w:pStyle w:val="NormalHanging12a"/>
      </w:pPr>
      <w:r w:rsidRPr="00903500">
        <w:lastRenderedPageBreak/>
        <w:t>12</w:t>
      </w:r>
      <w:r w:rsidR="009F0E13">
        <w:t>6</w:t>
      </w:r>
      <w:r w:rsidRPr="00903500">
        <w:t>.</w:t>
      </w:r>
      <w:r w:rsidRPr="00903500">
        <w:tab/>
        <w:t>připomíná, že long-</w:t>
      </w:r>
      <w:proofErr w:type="spellStart"/>
      <w:r w:rsidRPr="00903500">
        <w:t>Covid</w:t>
      </w:r>
      <w:proofErr w:type="spellEnd"/>
      <w:r w:rsidRPr="00903500">
        <w:t xml:space="preserve"> vyžaduje dlouhodobou péči a je stále předmětem intenzivního výzkumu; konstatuje, že mezi poslanci Parlamentu EU, zaměstnanci a akreditovanými asistenty jsou dlouhodobě nemocní, kteří potřebují neustálou pomoc; s politováním konstatuje, že současný Společný systém zdravotního pojištění (JSIS) nepočítá s odpovídajícími náhradami, což pro dotyčné osoby představuje velkou finanční zátěž; zdůrazňuje, že podobné nepříznivé podmínky platí pro mnoho osob s autoimunitními chorobami, které nejsou náležitě uznávány; vyzývá GŘ FINS a úřad PMO, aby upravily pravidla pro úhradu nákladů, tak aby lépe odrážela jejich potřeby;</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12</w:t>
      </w:r>
      <w:r w:rsidR="009F0E13">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pořádání pracovních zasedání na konkrétní témata týkající se veřejných zakázek, včetně řízení cen zakázek a řízení boje proti podvodům; bere na vědomí srovnávací studie a studie proveditelnosti, jejichž závěry svědčí ve prospěch modelu Komise založeného na elektronickém zadávání veřejných zakázek;</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12</w:t>
      </w:r>
      <w:r w:rsidR="009F0E13">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GŘ FINS koordinuje služby spojené s organizací cest, které jsou upraveny podle potřeb poslanců, a všechny administrativní služby Parlamentu, včetně cestovní kanceláře; vítá skutečnost, že GŘ FINS ve spolupráci s cestovní kanceláří vyvinulo úsilí o zavedení automatizovaného proplácení cestovních výdajů poslanců na cesty po železnici; upozorňuje, že rok 2022 byl předposledním rokem před ukončením smlouvy stávající agentury; opakuje, že nově vybraná agentura by měla být schopna nabídnout poslancům flexibilnější a cenově výhodnější řešení, která by byla podobná nabídkám, jež mohou najít na volném trhu;</w:t>
      </w:r>
    </w:p>
    <w:p w:rsidR="00900AE0" w:rsidRPr="00903500" w:rsidRDefault="00900AE0" w:rsidP="00AA742C">
      <w:pPr>
        <w:pStyle w:val="NormalHanging12a"/>
      </w:pPr>
      <w:r w:rsidRPr="00903500">
        <w:t>12</w:t>
      </w:r>
      <w:r w:rsidR="009F0E13">
        <w:t>9</w:t>
      </w:r>
      <w:r w:rsidRPr="00903500">
        <w:t>.</w:t>
      </w:r>
      <w:r w:rsidRPr="00903500">
        <w:tab/>
        <w:t>je znepokojen tím, že v roce 2022 bylo zjištěno pět případů podezření na podvod, kdy poslanci údajně požadovali náhradu za určitý dopravní prostředek, zatímco ve skutečnosti používali levnější; konstatuje, že se očekává vydání dvou příkazů k navrácení prostředků v celkové výši 39 807 EUR a že další případy jsou v současné době předmětem dalšího šetření, přičemž tyto případy se týkají několika rozpočtových let a mohly by dosáhnout výše 801 000 EUR;</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30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oznámení ze schůze předsednictva konané dne 7. března 2022 o zřízení účelové pracovní skupiny předsednictva pro příspěvek na všeobecné výdaje, jejímž úkolem je vyhodnotit provádění rozhodnutí předsednictva ze dne 2. července 2018, kterým se stanovuje seznam výdajů, jež lze hradit z příspěvku na všeobecné výdaje na základě zkušeností získaných během 9. volebního období; poznamenává, že předsednictvo na svém zasedání dne 17. října 2022 přijalo soubor změn prováděcích opatření ke statutu poslanců, který objasňuje pravidla platná pro nárok na příspěvek na všeobecné výdaje a pro jeho používání a opatření zaměřená na zvýšení transparentnosti a rovněž zvyšuje právní jistotu, pokud jde o nárok na získání příspěvku; zdůrazňuje, že tato účelová pracovní skupina byla požádána, aby náležitě zohlednila hledisko transparentnosti, odpovědnosti a řádného finančního řízení finančních prostředků poskytovaných poslancům, a to s ohledem na zásadu svobody a nezávislosti parlamentního mandátu a na nutnost nevytvářet zbytečnou administrativní zátěž pro poslance, jejich kanceláře a útvary Parlamentu;</w:t>
      </w:r>
    </w:p>
    <w:p w:rsidR="00900AE0" w:rsidRPr="00903500" w:rsidRDefault="00900AE0" w:rsidP="00AA742C">
      <w:pPr>
        <w:pStyle w:val="NormalHanging12a"/>
      </w:pPr>
      <w:r w:rsidRPr="00903500">
        <w:t>1</w:t>
      </w:r>
      <w:r w:rsidR="009F0E13">
        <w:t>31</w:t>
      </w:r>
      <w:r w:rsidRPr="00903500">
        <w:t>.</w:t>
      </w:r>
      <w:r w:rsidRPr="00903500">
        <w:tab/>
        <w:t>poukazuje na to, že v roce 2022 bylo předloženo pouze 32 dobrovolných prohlášení o používání příspěvku na všeobecné výdaje od 26 poslanců, z nichž 29 obsahovalo zprávu auditora; vítá snahu sekretariátu povzbudit poslance Evropského parlamentu, aby tyto možnosti více využívali;</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3</w:t>
      </w:r>
      <w:r w:rsidRPr="00903500">
        <w:rPr>
          <w14:textOutline w14:w="0" w14:cap="flat" w14:cmpd="sng" w14:algn="ctr">
            <w14:noFill/>
            <w14:prstDash w14:val="solid"/>
            <w14:bevel/>
          </w14:textOutline>
        </w:rPr>
        <w:t>2.</w:t>
      </w:r>
      <w:r w:rsidRPr="00903500">
        <w:rPr>
          <w14:textOutline w14:w="0" w14:cap="flat" w14:cmpd="sng" w14:algn="ctr">
            <w14:noFill/>
            <w14:prstDash w14:val="solid"/>
            <w14:bevel/>
          </w14:textOutline>
        </w:rPr>
        <w:tab/>
        <w:t xml:space="preserve">zdůrazňuje, že poslanci mají možnost sami nebo s pomocí externího auditora zdokumentovat, jak využívají finanční prostředky z příspěvku na všeobecné výdaje, a to </w:t>
      </w:r>
      <w:r w:rsidRPr="00903500">
        <w:rPr>
          <w14:textOutline w14:w="0" w14:cap="flat" w14:cmpd="sng" w14:algn="ctr">
            <w14:noFill/>
            <w14:prstDash w14:val="solid"/>
            <w14:bevel/>
          </w14:textOutline>
        </w:rPr>
        <w:lastRenderedPageBreak/>
        <w:t>podrobně nebo podle druhu nákladů, a mohou v souladu s čl. 11 odst. 2 jednacího řádu Evropského parlamentu zveřejnit tyto informace nebo výňatek z nich na svých internetových stránkách; považuje za pozitivní, že se součástí prováděcích opatření ke statutu poslanců stal zjednodušený seznam druhů nákladů a byl rovněž přijat pozměňovací návrh objasňující možnost poslanců využívat příspěvek na všeobecné výdaje v případě vyčerpání jiných příspěvků;</w:t>
      </w:r>
    </w:p>
    <w:p w:rsidR="00900AE0" w:rsidRPr="00903500" w:rsidRDefault="00900AE0" w:rsidP="00AA742C">
      <w:pPr>
        <w:pStyle w:val="NormalHanging12a"/>
      </w:pPr>
      <w:r w:rsidRPr="00903500">
        <w:t>1</w:t>
      </w:r>
      <w:r w:rsidR="009F0E13">
        <w:t>33</w:t>
      </w:r>
      <w:r w:rsidRPr="00903500">
        <w:t>.</w:t>
      </w:r>
      <w:r w:rsidRPr="00903500">
        <w:tab/>
        <w:t>připomíná, že úřad OLAF má mandát k vyšetřování podezření na závažná pochybení zaměstnanců a členů orgánů Unie, včetně možného porušení Kodexu chování poslanců Evropského parlamentu; konstatuje, že v roce 2022 nedošlo k žádnému případu, kdy by úřad OLAF požádal o přístup do kanceláří nebo k e-mailovým účtům poslanců; konstatuje, že by mohl být dokončen postup rozšíření mandátu úřadu OLAF v Parlamentu na případy důvodného podezření týkající se jednotlivých poslanců, pokud to je z hlediska vyšetřování naprosto nezbytné a přiměřené a pokud je bez omezení zachována důvěrnost informací v souladu se zásadou imunit stanovenou v Protokolu č. 7 o výsadách a imunitách Evropské unie; znovu vyzývá předsednictvo, aby tento postup neprodleně zavedlo;</w:t>
      </w:r>
    </w:p>
    <w:p w:rsidR="00900AE0" w:rsidRPr="00903500" w:rsidRDefault="00900AE0" w:rsidP="00AA742C">
      <w:pPr>
        <w:pStyle w:val="NormalHanging12a"/>
      </w:pPr>
      <w:r w:rsidRPr="00903500">
        <w:t>1</w:t>
      </w:r>
      <w:r w:rsidR="009F0E13">
        <w:t>34</w:t>
      </w:r>
      <w:r w:rsidRPr="00903500">
        <w:t>.</w:t>
      </w:r>
      <w:r w:rsidRPr="00903500">
        <w:tab/>
        <w:t>konstatuje, že v roce 2022 vyšetřoval úřad OLAF 32 případů týkajících se Parlamentu v souvislosti s otázkami souvisejícími zejména s finančními a sociálními nároky poslanců, financováním politických struktur a plněním pracovních povinností zaměstnanců; zdůrazňuje, že vydal 14 zpráv, z nichž některé obsahovaly více než jedno doporučení, 5 obsahovalo finanční doporučení, 5 disciplinární doporučení, 1 správní doporučení a 7 neobsahovalo žádná doporučení; bere na vědomí, že v roce 2022 Úřad evropského veřejného žalobce (EPPO) vyšetřoval 4 případy týkající se Parlamentu v souvislosti s finančními a sociálními nároky poslanců a financováním politických struktur; konstatuje, že žádné z šetření, které tento úřad provedl v roce 2022, nebylo uzavřeno v témže roce; žádá správní orgány, aby pokud to je z právního hlediska možné, zjistily, zda byla doporučení úřadu OLAF plně provedena a zda byly ohrožené částky získány zpět, a aby poskytly shrnutí typologie vyšetřovaných případů bez uvedení citlivých údajů, aby bylo možné vyvodit patřičné závěry a zajistit zlepšení;</w:t>
      </w:r>
    </w:p>
    <w:p w:rsidR="00900AE0" w:rsidRPr="003F550C"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9F0E13">
        <w:rPr>
          <w14:textOutline w14:w="0" w14:cap="flat" w14:cmpd="sng" w14:algn="ctr">
            <w14:noFill/>
            <w14:prstDash w14:val="solid"/>
            <w14:bevel/>
          </w14:textOutline>
        </w:rPr>
        <w:t>35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Parlament systematicky odmítá žádosti úřadu OLAF o provádění inspekcí v kancelářích poslanců Evropského parlamentu a o přístup k jejich elektronickým serverům a zařízením</w:t>
      </w:r>
      <w:r w:rsidR="003F550C">
        <w:t xml:space="preserve">; </w:t>
      </w:r>
      <w:r w:rsidR="003F550C" w:rsidRPr="00F33887">
        <w:t xml:space="preserve">poukazuje na to, že poslanci jsou chráněni tím, že neodpovídají za odevzdané hlasy a názory vyjádřené při výkonu svých povinností, a že jsou chráněni před stíháním a omezováním své osobní svobody během zasedání Evropského parlamentu; připomíná, že úřad OLAF může vstupovat do kanceláří poslanců pouze poté, co jim předseda </w:t>
      </w:r>
      <w:r w:rsidR="009F0E13">
        <w:t>P</w:t>
      </w:r>
      <w:r w:rsidR="003F550C" w:rsidRPr="00F33887">
        <w:t>arlamentu umožní na žádost příslušného orgánu členského státu, ve většině případů soudce, přístup do těchto kanceláří; připomíná, že úřad OLAF musí při plnění svých povinností a vyšetřování dodržovat tato omezení, a zdůrazňuje, že údajné pochybení poslanců nelze použít jako záminku k požadování přímého přístupu do jejich kanceláří</w:t>
      </w:r>
      <w:r w:rsidRPr="003F550C">
        <w:rPr>
          <w14:textOutline w14:w="0" w14:cap="flat" w14:cmpd="sng" w14:algn="ctr">
            <w14:noFill/>
            <w14:prstDash w14:val="solid"/>
            <w14:bevel/>
          </w14:textOutline>
        </w:rPr>
        <w:t>;</w:t>
      </w:r>
    </w:p>
    <w:p w:rsidR="00900AE0" w:rsidRPr="00903500" w:rsidRDefault="00900AE0" w:rsidP="00AA742C">
      <w:pPr>
        <w:pStyle w:val="NormalHanging12a"/>
      </w:pPr>
      <w:r w:rsidRPr="00903500">
        <w:t>13</w:t>
      </w:r>
      <w:r w:rsidR="00DF327E">
        <w:t>6</w:t>
      </w:r>
      <w:r w:rsidRPr="00903500">
        <w:t>.</w:t>
      </w:r>
      <w:r w:rsidRPr="00903500">
        <w:tab/>
        <w:t>vyjadřuje politování nad tím, že přestože bylo za posledních dvanáct let zaznamenáno nejméně 25 porušení kodexu chování ze strany poslanců, předsedové Parlamentu ani jednou neuložili žádnému poslanci finanční sankci; vyzývá předsedkyni, aby zvážila uložení finanční sankce v případech, kdy se prokáže, že poslanci porušili kodex chování, aby se zajistilo, že sankce budou mít skutečně odrazující účinek;</w:t>
      </w:r>
    </w:p>
    <w:p w:rsidR="00900AE0" w:rsidRPr="00903500" w:rsidRDefault="00900AE0" w:rsidP="00AA742C">
      <w:pPr>
        <w:pStyle w:val="NormalHanging12a"/>
      </w:pPr>
      <w:r w:rsidRPr="00903500">
        <w:t>13</w:t>
      </w:r>
      <w:r w:rsidR="00DF327E">
        <w:t>7</w:t>
      </w:r>
      <w:r w:rsidRPr="00903500">
        <w:t>.</w:t>
      </w:r>
      <w:r w:rsidRPr="00903500">
        <w:tab/>
        <w:t xml:space="preserve">bere na vědomí, že v roce 2022 získal Evropský parlament od jednotlivých poslanců zpět částku 261 891 EUR v příjmové rozpočtové položce 3300 „Vrácení neoprávněně </w:t>
      </w:r>
      <w:r w:rsidRPr="00903500">
        <w:lastRenderedPageBreak/>
        <w:t>vyplacených částek“; konstatuje, že značná část této částky nesouvisí s příspěvkem na parlamentní asistenci; konstatuje, že částky získané zpět v příjmové rozpočtové položce 3300 (od jednotlivých poslanců Evropského parlamentu, ale také od politických skupin/stran/nadací, třetích stran, zaměstnanců, jiných osob atd.) představují z velké části technické zpětné získání prostředků, jako je například vyrovnání částek vynaložených v souvislosti se smlouvami, které se vyvíjely nebo byly ukončeny, a z velké většiny se netýkají akreditovaných asistentů; poznamenává, že tyto částky zahrnují také případy, které se týkají dobrovolných úhrad ze strany omezeného počtu poslanců, a specifické případy oprav, které byly způsobeny buď administrativními chybami ve výpočtech EP, nebo zpětnou změnou pravidel v některých členských státech a příslušnou kompenzací; poznamenává, že do této kategorie spadají také změny smluvních podmínek a případné související zpětné získání prostředků po ověřené úpravě smluvních podmínek;</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inovace a technickou podporu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13</w:t>
      </w:r>
      <w:r w:rsidR="00DF327E">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generální ředitelství pro inovace a technickou podporu (GŘ ITEC) poskytuje Parlamentu služby a vybavení v oblasti informačních a komunikačních technologií (IKT), videokonferenční a multimediální služby a také publikační a tiskové služby; konstatuje, že k 31. prosinci 2022 mělo 543 zaměstnanců, z toho 349 úředníků, 53 dočasných zaměstnanců a 141 smluvních zaměstnanců;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13</w:t>
      </w:r>
      <w:r w:rsidR="00DF327E">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konečná výše prostředků pro GŘ ITEC v roce 2022 činila 134 808 679 EUR, což představuje 6,2 % rozpočtu Parlamentu; zdůrazňuje, že z této částky bylo přiděleno celkem 134 439 573 EUR; oceňuje vysokou míru čerpání prostředků;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14</w:t>
      </w:r>
      <w:r w:rsidR="00DF327E">
        <w:rPr>
          <w14:textOutline w14:w="0" w14:cap="flat" w14:cmpd="sng" w14:algn="ctr">
            <w14:noFill/>
            <w14:prstDash w14:val="solid"/>
            <w14:bevel/>
          </w14:textOutline>
        </w:rPr>
        <w:t>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skutečnost, že GŘ ITEC spolupracuje s generálními ředitelstvími, která jsou jeho klienty, na vytváření bezpečného, hybridního a datově orientovaného pracovního prostředí pro poslance a zaměstnance, které se zaměřuje na příslušné uživatele; s uspokojením bere na vědomí jeho podporu udržitelného a odpovědného zavádění inovativních technologií, jako je umělá inteligence a analýza dat, s cílem zlepšit rozhodovací schopnosti v jednotlivých útvarech Parlamentu;</w:t>
      </w:r>
    </w:p>
    <w:p w:rsidR="00900AE0" w:rsidRPr="003F550C" w:rsidRDefault="00900AE0" w:rsidP="00AA742C">
      <w:pPr>
        <w:pStyle w:val="NormalHanging12a"/>
      </w:pPr>
      <w:r w:rsidRPr="00903500">
        <w:t>1</w:t>
      </w:r>
      <w:r w:rsidR="00DF327E">
        <w:t>41</w:t>
      </w:r>
      <w:r w:rsidRPr="00903500">
        <w:t>.</w:t>
      </w:r>
      <w:r w:rsidRPr="00903500">
        <w:tab/>
        <w:t xml:space="preserve">připomíná přínos bezplatného softwaru s otevřeným zdrojovým kódem při zvyšování bezpečnosti, neboť umožňuje Parlamentu zjišťovat a odstraňovat nedostatky, udržovat kontrolu nad údaji prostřednictvím </w:t>
      </w:r>
      <w:proofErr w:type="spellStart"/>
      <w:r w:rsidRPr="00903500">
        <w:t>hostingu</w:t>
      </w:r>
      <w:proofErr w:type="spellEnd"/>
      <w:r w:rsidRPr="00903500">
        <w:t xml:space="preserve"> na svých serverech a navrhovat řešení podle vlastních specifikací a zároveň zabránit závislosti na jednom poskytovali</w:t>
      </w:r>
      <w:r w:rsidR="003F550C" w:rsidRPr="00AB6948">
        <w:t xml:space="preserve">; </w:t>
      </w:r>
      <w:r w:rsidR="003F550C" w:rsidRPr="00F33887">
        <w:t>připomíná, že při výběru softwaru by měly rozhodovat výhradně vysoké normy kybernetické bezpečnosti</w:t>
      </w:r>
      <w:r w:rsidRPr="003F550C">
        <w: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DF327E">
        <w:rPr>
          <w14:textOutline w14:w="0" w14:cap="flat" w14:cmpd="sng" w14:algn="ctr">
            <w14:noFill/>
            <w14:prstDash w14:val="solid"/>
            <w14:bevel/>
          </w14:textOutline>
        </w:rPr>
        <w:t>42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činnost Parlamentu v oblasti kybernetické obrany byla silně poznamenána prostředím neustále rostoucích kybernetických hrozeb a rizik v okolí Parlamentu a dalších orgánů, institucí a jiných subjektů Unie; vítá skutečnost, že centrum CERT-EU využilo další zdroje k tomu, aby Parlamentu poskytlo vodítko v oblasti aplikací </w:t>
      </w:r>
      <w:proofErr w:type="spellStart"/>
      <w:r w:rsidRPr="00903500">
        <w:rPr>
          <w14:textOutline w14:w="0" w14:cap="flat" w14:cmpd="sng" w14:algn="ctr">
            <w14:noFill/>
            <w14:prstDash w14:val="solid"/>
            <w14:bevel/>
          </w14:textOutline>
        </w:rPr>
        <w:t>cloudové</w:t>
      </w:r>
      <w:proofErr w:type="spellEnd"/>
      <w:r w:rsidRPr="00903500">
        <w:rPr>
          <w14:textOutline w14:w="0" w14:cap="flat" w14:cmpd="sng" w14:algn="ctr">
            <w14:noFill/>
            <w14:prstDash w14:val="solid"/>
            <w14:bevel/>
          </w14:textOutline>
        </w:rPr>
        <w:t xml:space="preserve"> infrastruktury, rozšířeného zpravodajství o kybernetických hrozbách, nepřetržitého monitorování bezpečnostního perimetru a vyhledávání slabých míst;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DF327E">
        <w:rPr>
          <w14:textOutline w14:w="0" w14:cap="flat" w14:cmpd="sng" w14:algn="ctr">
            <w14:noFill/>
            <w14:prstDash w14:val="solid"/>
            <w14:bevel/>
          </w14:textOutline>
        </w:rPr>
        <w:t>4</w:t>
      </w:r>
      <w:r w:rsidRPr="00903500">
        <w:rPr>
          <w14:textOutline w14:w="0" w14:cap="flat" w14:cmpd="sng" w14:algn="ctr">
            <w14:noFill/>
            <w14:prstDash w14:val="solid"/>
            <w14:bevel/>
          </w14:textOutline>
        </w:rPr>
        <w:t>3.</w:t>
      </w:r>
      <w:r w:rsidRPr="00903500">
        <w:rPr>
          <w14:textOutline w14:w="0" w14:cap="flat" w14:cmpd="sng" w14:algn="ctr">
            <w14:noFill/>
            <w14:prstDash w14:val="solid"/>
            <w14:bevel/>
          </w14:textOutline>
        </w:rPr>
        <w:tab/>
        <w:t xml:space="preserve">vítá vytvoření ředitelství pro kybernetickou bezpečnost v roce 2022, které bude zodpovídat za bezpečnost informací a bude se skládat ze tří oddělení zabývajících se bezpečnostními operacemi, bezpečnostní politikou a bezpečnostními riziky; naléhavě vyzývá Parlament, aby pokračoval ve svém úsilí a zvýšil investice do kybernetické </w:t>
      </w:r>
      <w:r w:rsidRPr="00903500">
        <w:rPr>
          <w14:textOutline w14:w="0" w14:cap="flat" w14:cmpd="sng" w14:algn="ctr">
            <w14:noFill/>
            <w14:prstDash w14:val="solid"/>
            <w14:bevel/>
          </w14:textOutline>
        </w:rPr>
        <w:lastRenderedPageBreak/>
        <w:t xml:space="preserve">bezpečnosti; vítá, že GŘ ITEC nabídlo možnost kontrolovat IT zařízení na přítomnost </w:t>
      </w:r>
      <w:proofErr w:type="spellStart"/>
      <w:r w:rsidRPr="00903500">
        <w:rPr>
          <w14:textOutline w14:w="0" w14:cap="flat" w14:cmpd="sng" w14:algn="ctr">
            <w14:noFill/>
            <w14:prstDash w14:val="solid"/>
            <w14:bevel/>
          </w14:textOutline>
        </w:rPr>
        <w:t>spywaru</w:t>
      </w:r>
      <w:proofErr w:type="spellEnd"/>
      <w:r w:rsidRPr="00903500">
        <w:rPr>
          <w14:textOutline w14:w="0" w14:cap="flat" w14:cmpd="sng" w14:algn="ctr">
            <w14:noFill/>
            <w14:prstDash w14:val="solid"/>
            <w14:bevel/>
          </w14:textOutline>
        </w:rPr>
        <w:t>, jako je PEGASUS, a vyzývá jej, aby v této oblasti pokračovalo;</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DF327E">
        <w:rPr>
          <w14:textOutline w14:w="0" w14:cap="flat" w14:cmpd="sng" w14:algn="ctr">
            <w14:noFill/>
            <w14:prstDash w14:val="solid"/>
            <w14:bevel/>
          </w14:textOutline>
        </w:rPr>
        <w:t>44</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v návaznosti na častější používání přenosných zařízení v roce 2022 vydalo GŘ ITEC globální studii s cílem naplánovat zlepšení sítě Wi-Fi v budovách Parlamentu; upozorňuje, že v roce 2022 bylo na budově SPAAK v Bruselu nainstalováno dalších 351 antén; oceňuje úsilí vynaložené na zlepšení sítě Wi-Fi v budovách Parlamentu; vyzývá k dalšímu rozšíření mobilní sítě v budovách Parlamentu ve Štrasburku, aby se zlepšil příjem mobilních telefonů;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DF327E">
        <w:rPr>
          <w14:textOutline w14:w="0" w14:cap="flat" w14:cmpd="sng" w14:algn="ctr">
            <w14:noFill/>
            <w14:prstDash w14:val="solid"/>
            <w14:bevel/>
          </w14:textOutline>
        </w:rPr>
        <w:t>45</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zdůrazňuje, že celosvětová inflace vede spolu s problémy v dodavatelském řetězci k rostoucím nákladům v nejrůznějších oblastech – od hardwaru až po odborné služby; oceňuje, že GŘ ITEC změnilo priority probíhajících investic do IT; vítá nový a rychlejší cyklus řízení IT v rámci programu „Agilní IT“ GŘ ITEC;</w:t>
      </w:r>
    </w:p>
    <w:p w:rsidR="00900AE0" w:rsidRDefault="00900AE0" w:rsidP="00AA742C">
      <w:pPr>
        <w:spacing w:after="24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14</w:t>
      </w:r>
      <w:r w:rsidR="00DF327E">
        <w:rPr>
          <w14:textOutline w14:w="0" w14:cap="flat" w14:cmpd="sng" w14:algn="ctr">
            <w14:noFill/>
            <w14:prstDash w14:val="solid"/>
            <w14:bevel/>
          </w14:textOutline>
        </w:rPr>
        <w:t>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pandemie </w:t>
      </w:r>
      <w:r w:rsidR="00DF327E" w:rsidRPr="00903500">
        <w:rPr>
          <w14:textOutline w14:w="0" w14:cap="flat" w14:cmpd="sng" w14:algn="ctr">
            <w14:noFill/>
            <w14:prstDash w14:val="solid"/>
            <w14:bevel/>
          </w14:textOutline>
        </w:rPr>
        <w:t>COVID-19</w:t>
      </w:r>
      <w:r w:rsidR="00DF327E">
        <w:rPr>
          <w14:textOutline w14:w="0" w14:cap="flat" w14:cmpd="sng" w14:algn="ctr">
            <w14:noFill/>
            <w14:prstDash w14:val="solid"/>
            <w14:bevel/>
          </w14:textOutline>
        </w:rPr>
        <w:t xml:space="preserve"> </w:t>
      </w:r>
      <w:r w:rsidRPr="00903500">
        <w:rPr>
          <w14:textOutline w14:w="0" w14:cap="flat" w14:cmpd="sng" w14:algn="ctr">
            <w14:noFill/>
            <w14:prstDash w14:val="solid"/>
            <w14:bevel/>
          </w14:textOutline>
        </w:rPr>
        <w:t>urychlila průběh digitální transformace Parlamentu v posledních několika letech; upozorňuje na přechod k hybridnímu Parlamentu se zcela flexibilním pracovním režimem od fyzické přítomnosti k plně digitálnímu pracovnímu prostředí; oceňuje odolnost, kterou Parlament prokázal tváří v tvář pandemii COVID-19, a jeho rychlou a pružnou reakci, kdy využil předchozích investic do digitalizace;</w:t>
      </w:r>
    </w:p>
    <w:p w:rsidR="003F550C" w:rsidRPr="003F550C" w:rsidRDefault="003F550C" w:rsidP="00AA742C">
      <w:pPr>
        <w:spacing w:after="240"/>
        <w:ind w:left="567" w:hanging="567"/>
        <w:rPr>
          <w:szCs w:val="24"/>
          <w14:textOutline w14:w="0" w14:cap="flat" w14:cmpd="sng" w14:algn="ctr">
            <w14:noFill/>
            <w14:prstDash w14:val="solid"/>
            <w14:bevel/>
          </w14:textOutline>
        </w:rPr>
      </w:pPr>
      <w:r w:rsidRPr="00F33887">
        <w:t>14</w:t>
      </w:r>
      <w:r w:rsidR="007C6935">
        <w:t>7</w:t>
      </w:r>
      <w:r w:rsidRPr="00F33887">
        <w:t>.</w:t>
      </w:r>
      <w:r w:rsidRPr="003F550C">
        <w:tab/>
      </w:r>
      <w:r w:rsidRPr="00F33887">
        <w:t xml:space="preserve">připomíná dlouhodobý požadavek komunity neslyšících, aby bylo možné předkládat petice v národních znakových jazycích používaných v Unii; bere na vědomí diskuze, které proběhly na schůzích Petičního výboru ve dnech 29. listopadu 2023 a 19. března 2024, kdy se projednávala konkrétně petice č. 1056/2016, a poukazuje na závazek Parlamentu zajistit lepší přístup všech evropských občanů k této možnosti; připomíná, že jednací řád </w:t>
      </w:r>
      <w:r w:rsidR="007C6935">
        <w:t>P</w:t>
      </w:r>
      <w:r w:rsidRPr="00F33887">
        <w:t>arlamentu vyžaduje, aby petice byly předkládány písemně; vyzývá správu Parlamentu, aby provedla nezbytné změny na petičním portálu s cílem umožnit předkladatelům podpořit jejich písemnou petici překladem videozáznamu do znakového jazyka; vybízí ji dále, aby vyzvala příslušné zúčastněné strany, včetně zástupců komunity neslyšících, aby během provádění navrhovaných opatření poskytly své podněty a zpětnou vazbu s cílem zajistit jejich účinnost a </w:t>
      </w:r>
      <w:proofErr w:type="spellStart"/>
      <w:r w:rsidRPr="00F33887">
        <w:t>inkluzivnost</w:t>
      </w:r>
      <w:proofErr w:type="spellEnd"/>
      <w:r w:rsidRPr="00F33887">
        <w:t>;</w:t>
      </w:r>
    </w:p>
    <w:p w:rsidR="00900AE0" w:rsidRPr="00903500" w:rsidRDefault="00900AE0" w:rsidP="00AA742C">
      <w:pPr>
        <w:pStyle w:val="NormalHanging12a"/>
      </w:pPr>
      <w:r w:rsidRPr="00903500">
        <w:t>14</w:t>
      </w:r>
      <w:r w:rsidR="007C6935">
        <w:t>8</w:t>
      </w:r>
      <w:r w:rsidRPr="00903500">
        <w:t>.</w:t>
      </w:r>
      <w:r w:rsidRPr="00903500">
        <w:tab/>
        <w:t>vítá skutečnost, že portál digitálního podpisu (</w:t>
      </w:r>
      <w:proofErr w:type="spellStart"/>
      <w:r w:rsidRPr="00903500">
        <w:t>DiSP</w:t>
      </w:r>
      <w:proofErr w:type="spellEnd"/>
      <w:r w:rsidRPr="00903500">
        <w:t>) umožňuje poslancům digitálně podepisovat dokumenty, čímž se zlepšuje účinnost, sledovatelnost a transparentnost postupů, a konstatuje, že bez ohledu na možnost zasílat podepsané plenární pozměňovací návrhy plenárním útvarům e-mailem nebo prostřednictvím portálu EP Transfer je podepisování plenárních pozměňovacích návrhů stále zastaralým náročným postupem; vyzývá předsednictvo, aby podniklo nezbytné kroky k tomu, aby poslanci mohli v budoucnu podepisovat plenární pozměňovací návrhy digitálně;</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Generální ředitelství pro bezpečnost a ochranu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14</w:t>
      </w:r>
      <w:r w:rsidR="007C6935">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generální ředitelství pro bezpečnost a ochranu (GŘ SAFE) usiluje o předvídání, prevenci a zmírňování bezpečnostních rizik a hrozeb pro Parlament a jeho poslance a zaměstnance pomocí přístupu založeného na rizicích, který náležitě zohledňuje demokratickou povahu tohoto orgánu a hodnoty, jež ztělesňuje, zejména otevřenost a transparentnost; konstatuje, že k 31. prosinci 2022 mělo 882 zaměstnanců, z toho 170 úředníků, 22 dočasných zaměstnanců a 690 smluvních zaměstnanců;</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7C6935">
        <w:rPr>
          <w14:textOutline w14:w="0" w14:cap="flat" w14:cmpd="sng" w14:algn="ctr">
            <w14:noFill/>
            <w14:prstDash w14:val="solid"/>
            <w14:bevel/>
          </w14:textOutline>
        </w:rPr>
        <w:t>50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konstatuje, že konečná výše prostředků GŘ SAFE v roce 2022 činila 29 507 334 EUR, což představuje 1,4 % rozpočtu Parlamentu; zdůrazňuje, že z této částky bylo přiděleno </w:t>
      </w:r>
      <w:r w:rsidRPr="00903500">
        <w:rPr>
          <w14:textOutline w14:w="0" w14:cap="flat" w14:cmpd="sng" w14:algn="ctr">
            <w14:noFill/>
            <w14:prstDash w14:val="solid"/>
            <w14:bevel/>
          </w14:textOutline>
        </w:rPr>
        <w:lastRenderedPageBreak/>
        <w:t>celkem 28 370 796 EUR; oceňuje vysokou míru čerpání prostředků;</w:t>
      </w:r>
    </w:p>
    <w:p w:rsidR="00900AE0" w:rsidRPr="00903500" w:rsidRDefault="00900AE0" w:rsidP="00AA742C">
      <w:pPr>
        <w:pStyle w:val="NormalHanging12a"/>
      </w:pPr>
      <w:r w:rsidRPr="00903500">
        <w:t>1</w:t>
      </w:r>
      <w:r w:rsidR="007C6935">
        <w:t>51</w:t>
      </w:r>
      <w:r w:rsidRPr="00903500">
        <w:t>.</w:t>
      </w:r>
      <w:r w:rsidRPr="00903500">
        <w:tab/>
        <w:t>vítá internalizaci obecných bezpečnostních služeb v Lucemburku, která vstoupila v platnost 1. ledna 2022; potvrzuje, že za podmínek nabízených v rámci funkční skupiny I je obtížné přilákat a přijmout specializované pracovníky ze všech členských států v oblasti bezpečnosti; připomíná zvláštní situaci v Lucemburku, kde je plat nabízený v této funkční skupině nižší než vnitrostátní minimální mezioborová mzda, což nutí Parlament přistoupit k sociálnímu vyrovnání;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7C6935">
        <w:rPr>
          <w14:textOutline w14:w="0" w14:cap="flat" w14:cmpd="sng" w14:algn="ctr">
            <w14:noFill/>
            <w14:prstDash w14:val="solid"/>
            <w14:bevel/>
          </w14:textOutline>
        </w:rPr>
        <w:t>52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poukazuje na zvýšenou poptávku po tom, aby GŘ SAFE poskytovalo při rostoucím počtu velkých akcí nadstandardní a výjimečné bezpečnostní služby na všech pracovištích; uznává, že pro bezpečnostní služby Parlamentu, které mají pevně stanovený počet zaměstnanců, není snadné pozitivně reagovat na tyto rostoucí potřeby;</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7C6935">
        <w:rPr>
          <w14:textOutline w14:w="0" w14:cap="flat" w14:cmpd="sng" w14:algn="ctr">
            <w14:noFill/>
            <w14:prstDash w14:val="solid"/>
            <w14:bevel/>
          </w14:textOutline>
        </w:rPr>
        <w:t>53</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že v roce 2022 došlo k návratu k normálnímu stavu návštěvnosti po uvolnění omezení souvisejících s pandemií onemocnění COVID-19; obává se, že nedostatek prostor v Bruselu pro přijímání a akreditaci účastníků akcí a konferencí by mohl ohrozit bezpečnost Parlamentu;</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7C6935">
        <w:rPr>
          <w14:textOutline w14:w="0" w14:cap="flat" w14:cmpd="sng" w14:algn="ctr">
            <w14:noFill/>
            <w14:prstDash w14:val="solid"/>
            <w14:bevel/>
          </w14:textOutline>
        </w:rPr>
        <w:t>5</w:t>
      </w:r>
      <w:r w:rsidRPr="00903500">
        <w:rPr>
          <w14:textOutline w14:w="0" w14:cap="flat" w14:cmpd="sng" w14:algn="ctr">
            <w14:noFill/>
            <w14:prstDash w14:val="solid"/>
            <w14:bevel/>
          </w14:textOutline>
        </w:rPr>
        <w:t>4.</w:t>
      </w:r>
      <w:r w:rsidRPr="00903500">
        <w:rPr>
          <w14:textOutline w14:w="0" w14:cap="flat" w14:cmpd="sng" w14:algn="ctr">
            <w14:noFill/>
            <w14:prstDash w14:val="solid"/>
            <w14:bevel/>
          </w14:textOutline>
        </w:rPr>
        <w:tab/>
        <w:t xml:space="preserve">zdůrazňuje, že je důležité důkladně plánovat projekty týkající se kontaktních kanceláří Evropského parlamentu a center Europa </w:t>
      </w:r>
      <w:proofErr w:type="spellStart"/>
      <w:r w:rsidRPr="00903500">
        <w:rPr>
          <w14:textOutline w14:w="0" w14:cap="flat" w14:cmpd="sng" w14:algn="ctr">
            <w14:noFill/>
            <w14:prstDash w14:val="solid"/>
            <w14:bevel/>
          </w14:textOutline>
        </w:rPr>
        <w:t>Experience</w:t>
      </w:r>
      <w:proofErr w:type="spellEnd"/>
      <w:r w:rsidRPr="00903500">
        <w:rPr>
          <w14:textOutline w14:w="0" w14:cap="flat" w14:cmpd="sng" w14:algn="ctr">
            <w14:noFill/>
            <w14:prstDash w14:val="solid"/>
            <w14:bevel/>
          </w14:textOutline>
        </w:rPr>
        <w:t>, aby bylo možné pečlivě odhadnout výdaje na bezpečnostní služby a vybavení;</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 xml:space="preserve">Průřezové otázky s dopadem na rozpočet Parlamentu v rozpočtovém roce 2022 </w:t>
      </w:r>
    </w:p>
    <w:p w:rsidR="00900AE0" w:rsidRPr="00903500" w:rsidRDefault="00900AE0" w:rsidP="00AA742C">
      <w:pPr>
        <w:spacing w:after="240"/>
        <w:ind w:left="567" w:hanging="567"/>
        <w:rPr>
          <w:b/>
          <w:noProof/>
          <w:u w:val="single"/>
        </w:rPr>
      </w:pPr>
      <w:r w:rsidRPr="00903500">
        <w:rPr>
          <w:b/>
          <w:u w:val="single"/>
        </w:rPr>
        <w:t xml:space="preserve">Obtěžování </w:t>
      </w:r>
    </w:p>
    <w:p w:rsidR="00900AE0" w:rsidRPr="00903500" w:rsidRDefault="00900AE0" w:rsidP="00AA742C">
      <w:pPr>
        <w:pStyle w:val="NormalHanging12a"/>
      </w:pPr>
      <w:r w:rsidRPr="00903500">
        <w:t>1</w:t>
      </w:r>
      <w:r w:rsidR="007C6935">
        <w:t>55</w:t>
      </w:r>
      <w:r w:rsidRPr="00903500">
        <w:t>.</w:t>
      </w:r>
      <w:r w:rsidRPr="00903500">
        <w:tab/>
        <w:t>vítá politiku nulové tolerance Parlamentu vůči obtěžování a uskutečněné osvětové kampaně; zdůrazňuje, že cílem Kodexu vhodného chování poslanců Evropského parlamentu je zajistit, aby se poslanci chovali ke všem osobám pracujícím v Parlamentu důstojně, zdvořile a s respektem, bez předsudků či diskriminace; připomíná, že v roce 2022 se školení zúčastnilo 56 poslanců Evropského parlamentu; konstatuje, že od listopadu 2018, kdy byla nabídnuta první školení, se jich zúčastnilo celkem 324 současných poslanců Evropského parlamentu (46 %) a 56 bývalých poslanců, kterým skončil mandát; konstatuje, že v roce 2022 se školení proti obtěžování zúčastnilo 106 zaměstnanců a akreditovaných asistentů; se znepokojením konstatuje, že bez ohledu na aktivity, které jsou prováděny za účelem odstranění obtěžování na pracovišti, k případům obtěžování stále dochází;</w:t>
      </w:r>
    </w:p>
    <w:p w:rsidR="00900AE0" w:rsidRPr="00903500" w:rsidRDefault="00900AE0" w:rsidP="00AA742C">
      <w:pPr>
        <w:pStyle w:val="NormalHanging12a"/>
      </w:pPr>
      <w:r w:rsidRPr="00903500">
        <w:t>1</w:t>
      </w:r>
      <w:r w:rsidR="007C6935">
        <w:t>56</w:t>
      </w:r>
      <w:r w:rsidRPr="00903500">
        <w:t>.</w:t>
      </w:r>
      <w:r w:rsidRPr="00903500">
        <w:tab/>
        <w:t>připomíná, že v několika předchozích případech bylo při udělování absolutoria požadováno zavedení povinných školicích kurzů proti obtěžování pro všechny poslance, akreditované asistenty a zaměstnance, včetně osob ve vedoucích funkcích v nejrůznějších generálních ředitelstvích a politických skupinách; bere na vědomí, že s cílem přispět k vytvoření lepšího pracovního prostředí v Evropském parlamentu a zabránit zneužívání moci schválilo předsednictvo dne 10. července 2023 dále koncepci školení týkajícího se úspěšného vedení týmů a prevence obtěžování; vítá snahu předsednictva zavést školení proti obtěžování jako povinnost pro všechny poslance, vedoucí oddělení, ředitele a generální ředitele;</w:t>
      </w:r>
    </w:p>
    <w:p w:rsidR="00900AE0" w:rsidRPr="003F550C"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15</w:t>
      </w:r>
      <w:r w:rsidR="007C6935">
        <w:rPr>
          <w14:textOutline w14:w="0" w14:cap="flat" w14:cmpd="sng" w14:algn="ctr">
            <w14:noFill/>
            <w14:prstDash w14:val="solid"/>
            <w14:bevel/>
          </w14:textOutline>
        </w:rPr>
        <w:t>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zdůrazňuje, že by mělo být zavedeno povinné školení proti obtěžování pro poslance, akreditované asistenty poslanců a zaměstnance</w:t>
      </w:r>
      <w:r w:rsidR="003F550C" w:rsidRPr="003F550C">
        <w:t xml:space="preserve"> </w:t>
      </w:r>
      <w:r w:rsidR="003F550C" w:rsidRPr="00F33887">
        <w:t xml:space="preserve">a že všichni zaměstnanci, včetně zdravotnického personálu, kteří jsou zapojeni do postupů boje proti obtěžování, by měli </w:t>
      </w:r>
      <w:r w:rsidR="003F550C" w:rsidRPr="00F33887">
        <w:lastRenderedPageBreak/>
        <w:t>být pro tyto postupy speciálně vyškoleni</w:t>
      </w:r>
      <w:r w:rsidRPr="003F550C">
        <w:rPr>
          <w14:textOutline w14:w="0" w14:cap="flat" w14:cmpd="sng" w14:algn="ctr">
            <w14:noFill/>
            <w14:prstDash w14:val="solid"/>
            <w14:bevel/>
          </w14:textOutline>
        </w:rPr>
        <w: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15</w:t>
      </w:r>
      <w:r w:rsidR="004351B4">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upozorňuje na to, že poradní výbor zabývající se stížnostmi na obtěžování a prevencí obtěžování na pracovišti obdržel v roce 2022 dvě stížnosti, které podali dva stážisté; konstatuje, že kromě toho se na výbor obrátil jeden zaměstnanec s žádostí o konzultaci; </w:t>
      </w:r>
    </w:p>
    <w:p w:rsidR="00900AE0" w:rsidRDefault="00900AE0" w:rsidP="00AA742C">
      <w:pPr>
        <w:spacing w:after="24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15</w:t>
      </w:r>
      <w:r w:rsidR="004351B4">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zdůrazňuje, že poradní výbor, který se zabývá stížnostmi na obtěžování týkajícími se poslanců, má mandát prověřovat obvinění poslanců z psychického nebo sexuálního obtěžování ze strany všech kategorií zaměstnanců, včetně akreditovaných asistentů, stážistů, vyslaných národních odborníků a zaměstnanců politických skupin; konstatuje, že s cílem dále posílit politiku Parlamentu v oblasti boje proti obtěžování přijalo předsednictvo dne 20. listopadu 2023 řadu dalších změn pravidel fungování poradního výboru, který se zabývá stížnostmi na obtěžování ze strany poslanců</w:t>
      </w:r>
      <w:r w:rsidR="003F550C">
        <w:t xml:space="preserve">; </w:t>
      </w:r>
      <w:r w:rsidR="003F550C" w:rsidRPr="00F33887">
        <w:t>znovu vyzývá předsednictvo, aby do obou poradních výborů zahrnulo nezávislé odborníky na otázky obtěžování, kteří budou nápomocni při plnění jejich povinností</w:t>
      </w:r>
      <w:r w:rsidRPr="003F550C">
        <w:rPr>
          <w14:textOutline w14:w="0" w14:cap="flat" w14:cmpd="sng" w14:algn="ctr">
            <w14:noFill/>
            <w14:prstDash w14:val="solid"/>
            <w14:bevel/>
          </w14:textOutline>
        </w:rPr>
        <w:t>;</w:t>
      </w:r>
    </w:p>
    <w:p w:rsidR="003F550C" w:rsidRPr="003F550C" w:rsidRDefault="003F550C" w:rsidP="00AA742C">
      <w:pPr>
        <w:spacing w:after="240"/>
        <w:ind w:left="567" w:hanging="567"/>
        <w:rPr>
          <w:szCs w:val="24"/>
          <w14:textOutline w14:w="0" w14:cap="flat" w14:cmpd="sng" w14:algn="ctr">
            <w14:noFill/>
            <w14:prstDash w14:val="solid"/>
            <w14:bevel/>
          </w14:textOutline>
        </w:rPr>
      </w:pPr>
      <w:r w:rsidRPr="00F33887">
        <w:t>1</w:t>
      </w:r>
      <w:r w:rsidR="004351B4">
        <w:t>60</w:t>
      </w:r>
      <w:r w:rsidRPr="00F33887">
        <w:t>.</w:t>
      </w:r>
      <w:r w:rsidRPr="003F550C">
        <w:tab/>
      </w:r>
      <w:r w:rsidRPr="00F33887">
        <w:t>zdůrazňuje, že sexuální a psychické obtěžování není přijatelné za žádných okolností; připomíná, že Parlament úspěšně zřídil několik kontaktních míst pro řešení případů obtěžování, jako je poradní výbor zabývající se stížnostmi na obtěžování týkajícími se poslanců a poradní výbor pro obtěžování a jeho prevenci na pracovišti, a vytvořil místa důvěrných poradců; je velmi znepokojen odhalením údajného sexuálního obtěžování ze strany jednoho poslance od léta 2022 ve sdělovacích prostředcích, aniž by byla přijata příslušná opatření; připomíná, že všem politickým skupinám se důrazně doporučuje, aby o možných případech informovaly tyto výbory, a že vytváření externích struktur za stejným účelem vede k obcházení protokolu Parlamentu proti obtěžování a ke vzniku dvoustupňového systému; zdůrazňuje, že to má za následek vážnou nejistotu obětí a stanovení různých pravidel pro různé politické strany;</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3F550C">
        <w:rPr>
          <w14:textOutline w14:w="0" w14:cap="flat" w14:cmpd="sng" w14:algn="ctr">
            <w14:noFill/>
            <w14:prstDash w14:val="solid"/>
            <w14:bevel/>
          </w14:textOutline>
        </w:rPr>
        <w:t>1</w:t>
      </w:r>
      <w:r w:rsidR="004351B4">
        <w:rPr>
          <w14:textOutline w14:w="0" w14:cap="flat" w14:cmpd="sng" w14:algn="ctr">
            <w14:noFill/>
            <w14:prstDash w14:val="solid"/>
            <w14:bevel/>
          </w14:textOutline>
        </w:rPr>
        <w:t>61</w:t>
      </w:r>
      <w:r w:rsidRPr="003F550C">
        <w:rPr>
          <w14:textOutline w14:w="0" w14:cap="flat" w14:cmpd="sng" w14:algn="ctr">
            <w14:noFill/>
            <w14:prstDash w14:val="solid"/>
            <w14:bevel/>
          </w14:textOutline>
        </w:rPr>
        <w:t>.</w:t>
      </w:r>
      <w:r w:rsidRPr="003F550C">
        <w:rPr>
          <w14:textOutline w14:w="0" w14:cap="flat" w14:cmpd="sng" w14:algn="ctr">
            <w14:noFill/>
            <w14:prstDash w14:val="solid"/>
            <w14:bevel/>
          </w14:textOutline>
        </w:rPr>
        <w:tab/>
        <w:t>konstatuje, že v roce 2022 požádalo o pomoc orgánu podle článku 24 služebního</w:t>
      </w:r>
      <w:r w:rsidRPr="00903500">
        <w:rPr>
          <w14:textOutline w14:w="0" w14:cap="flat" w14:cmpd="sng" w14:algn="ctr">
            <w14:noFill/>
            <w14:prstDash w14:val="solid"/>
            <w14:bevel/>
          </w14:textOutline>
        </w:rPr>
        <w:t xml:space="preserve"> řádu 13 zaměstnanců (oproti 9 v roce 2021); podotýká, že se 6 případů (oproti 5 v roce 2021) týkalo údajného obtěžování; zdůrazňuje, že žádný z dotyčných zaměstnanců nebyl úředníkem a že všech šest bylo akreditovanými asistenty nebo bývalými akreditovanými asistenty;</w:t>
      </w:r>
    </w:p>
    <w:p w:rsidR="00900AE0" w:rsidRPr="00903500" w:rsidRDefault="00900AE0" w:rsidP="00AA742C">
      <w:pPr>
        <w:pStyle w:val="NormalHanging12a"/>
      </w:pPr>
      <w:r w:rsidRPr="00903500">
        <w:t>1</w:t>
      </w:r>
      <w:r w:rsidR="004351B4">
        <w:t>62</w:t>
      </w:r>
      <w:r w:rsidRPr="00903500">
        <w:t>.</w:t>
      </w:r>
      <w:r w:rsidRPr="00903500">
        <w:tab/>
        <w:t>domnívá se, že by mělo být zohledněno i obtěžování asistenta poslance ze strany jiných asistentů nebo úředníků Parlamentu;</w:t>
      </w:r>
    </w:p>
    <w:p w:rsidR="00900AE0" w:rsidRPr="00903500" w:rsidRDefault="00900AE0" w:rsidP="00AA742C">
      <w:pPr>
        <w:spacing w:after="240"/>
        <w:ind w:left="567" w:hanging="567"/>
        <w:rPr>
          <w:b/>
          <w:noProof/>
          <w:u w:val="single"/>
        </w:rPr>
      </w:pPr>
      <w:r w:rsidRPr="00903500">
        <w:rPr>
          <w:b/>
          <w:u w:val="single"/>
        </w:rPr>
        <w:t>Oznamovatelé („</w:t>
      </w:r>
      <w:proofErr w:type="spellStart"/>
      <w:r w:rsidRPr="00903500">
        <w:rPr>
          <w:b/>
          <w:u w:val="single"/>
        </w:rPr>
        <w:t>whistlebloweři</w:t>
      </w:r>
      <w:proofErr w:type="spellEnd"/>
      <w:r w:rsidRPr="00903500">
        <w:rPr>
          <w:b/>
          <w:u w:val="single"/>
        </w:rPr>
        <w:t>“)</w:t>
      </w:r>
    </w:p>
    <w:p w:rsidR="00900AE0" w:rsidRPr="00903500" w:rsidRDefault="00900AE0" w:rsidP="00AA742C">
      <w:pPr>
        <w:pStyle w:val="NormalHanging12a"/>
      </w:pPr>
      <w:r w:rsidRPr="00903500">
        <w:t>1</w:t>
      </w:r>
      <w:r w:rsidR="004351B4">
        <w:t>63</w:t>
      </w:r>
      <w:r w:rsidRPr="00903500">
        <w:t>.</w:t>
      </w:r>
      <w:r w:rsidRPr="00903500">
        <w:tab/>
        <w:t xml:space="preserve">připomíná, že zaměstnanci orgánů Unie mají povinnost oznámit veškeré informace poukazující na korupci, podvody a jiné závažné nesrovnalosti, které zjistí při výkonu své práce; konstatuje, že Parlament v roce 2022 zaznamenal jeden případ </w:t>
      </w:r>
      <w:proofErr w:type="spellStart"/>
      <w:r w:rsidRPr="00903500">
        <w:t>whistleblowingu</w:t>
      </w:r>
      <w:proofErr w:type="spellEnd"/>
      <w:r w:rsidRPr="00903500">
        <w:t>; vítá, že v roce 2022 proběhla práce na aktualizaci interních pravidel, kterými se provádí čl. 22 písm. c) služebního řádu ze dne 4. prosince 2015, spočívající v doplnění komplexnějších a podrobnějších interních pravidel; bere na vědomí, že 20. listopadu 2023 bylo přijato rozhodnutí předsednictva týkající se interních pravidel pro oznamování nekalých praktik, které se začne uplatňovat od 1. prosince 2023, včetně ustanovení o ochraně oznamovatelů, předávání důkazů úřadu OLAF a případně EPPO a lhůt pro vyřizování stížností;</w:t>
      </w:r>
    </w:p>
    <w:p w:rsidR="00900AE0" w:rsidRPr="00903500" w:rsidRDefault="00900AE0" w:rsidP="00AA742C">
      <w:pPr>
        <w:pStyle w:val="NormalHanging12a"/>
      </w:pPr>
      <w:r w:rsidRPr="00903500">
        <w:t>1</w:t>
      </w:r>
      <w:r w:rsidR="004351B4">
        <w:t>64</w:t>
      </w:r>
      <w:r w:rsidRPr="00903500">
        <w:t>.</w:t>
      </w:r>
      <w:r w:rsidRPr="00903500">
        <w:tab/>
        <w:t>v návaznosti na oznámení předsednictva č. 18/2023 o vnitřních pravidlech pro </w:t>
      </w:r>
      <w:proofErr w:type="spellStart"/>
      <w:r w:rsidRPr="00903500">
        <w:t>whistleblowing</w:t>
      </w:r>
      <w:proofErr w:type="spellEnd"/>
      <w:r w:rsidRPr="00903500">
        <w:t xml:space="preserve"> a povinnostech, které jsou uloženy akreditovaným asistentům </w:t>
      </w:r>
      <w:r w:rsidRPr="00903500">
        <w:lastRenderedPageBreak/>
        <w:t>a zaměstnancům, aby hlásili jakékoli porušování, je nezbytné, aby všechny útvary Parlamentu byly rovněž povinny hlásit veškeré informace, které mají k dispozici, o podvodech, porušování finančních pravidel nebo jakémkoli jednání, které je v rozporu s etickým kodexem Parlamentu. Tato povinnost se vztahuje na veškeré takové informace bez ohledu na jejich důvěrnost a měla by být oznámena příslušnému útvaru v Parlamentu;</w:t>
      </w:r>
    </w:p>
    <w:p w:rsidR="00900AE0" w:rsidRPr="00903500" w:rsidRDefault="00900AE0" w:rsidP="00AA742C">
      <w:pPr>
        <w:spacing w:after="240"/>
        <w:ind w:left="567" w:hanging="567"/>
        <w:rPr>
          <w:b/>
          <w:noProof/>
          <w:u w:val="single"/>
        </w:rPr>
      </w:pPr>
      <w:r w:rsidRPr="00903500">
        <w:rPr>
          <w:b/>
          <w:u w:val="single"/>
        </w:rPr>
        <w:t>Dobrovolný důchodový fond</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6</w:t>
      </w:r>
      <w:r w:rsidRPr="00903500">
        <w:rPr>
          <w14:textOutline w14:w="0" w14:cap="flat" w14:cmpd="sng" w14:algn="ctr">
            <w14:noFill/>
            <w14:prstDash w14:val="solid"/>
            <w14:bevel/>
          </w14:textOutline>
        </w:rPr>
        <w:t>5.</w:t>
      </w:r>
      <w:r w:rsidRPr="00903500">
        <w:rPr>
          <w14:textOutline w14:w="0" w14:cap="flat" w14:cmpd="sng" w14:algn="ctr">
            <w14:noFill/>
            <w14:prstDash w14:val="solid"/>
            <w14:bevel/>
          </w14:textOutline>
        </w:rPr>
        <w:tab/>
        <w:t>konstatuje, že k 31. prosinci 2021 dosáhl pojistně-matematický schodek dobrovolného důchodového fondu 379 milionů EUR (ve srovnání s 371,4 milionu EUR ke dni 31. prosince 2020); vítá změny článku 76 prováděcích opatření ke statutu poslanců, které předsednictvo Parlamentu provedlo v souvislosti s doplňkovým (dobrovolným) důchodovým systémem, jenž vstoupil v platnost dne 1. července 2023, a jejichž cílem je snížit budoucí důchodové závazky z 362,7 milionu EUR přibližně na 139 milionů EUR a pojistně-matematický schodek fondu z 310 milionů EUR přibližně na 86 milionů EUR;</w:t>
      </w:r>
    </w:p>
    <w:p w:rsidR="00900AE0" w:rsidRPr="00903500" w:rsidRDefault="00900AE0" w:rsidP="00AA742C">
      <w:pPr>
        <w:pStyle w:val="NormalHanging12a"/>
      </w:pPr>
      <w:r w:rsidRPr="00903500">
        <w:t>1</w:t>
      </w:r>
      <w:r w:rsidR="004351B4">
        <w:t>66</w:t>
      </w:r>
      <w:r w:rsidRPr="00903500">
        <w:t>.</w:t>
      </w:r>
      <w:r w:rsidRPr="00903500">
        <w:tab/>
        <w:t>vítá poslední rozhodnutí přijatá předsednictvem; připomíná, že tento problém bude třeba řešit i v budoucnu, neboť se očekává, že fond vyčerpá svá aktiva nejpozději do roku 2027; bere na vědomí, že Parlament není zapojen do správy investičního portfolia dobrovolného důchodového fondu; vyzývá však správce fondu, aby provedl řádné posouzení rizika poškození pověsti v případě příslušných investic; konstatuje, že členům předsednictva bylo rovněž poskytnuto právní posouzení nejnovějších rozsudků Soudního dvora Evropské unie a jejich důsledků pro budoucí rozhodování předsednictva, aby mohli přijmout informované rozhodnutí; upozorňuje, že u Soudního dvora Evropské unie probíhá odvolací řízení a že po vynesení rozsudku bude třeba se touto otázkou znovu zabývat;</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67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žádá správu a předsednictvo, aby se </w:t>
      </w:r>
      <w:r w:rsidR="00F153D9">
        <w:rPr>
          <w14:textOutline w14:w="0" w14:cap="flat" w14:cmpd="sng" w14:algn="ctr">
            <w14:noFill/>
            <w14:prstDash w14:val="solid"/>
            <w14:bevel/>
          </w14:textOutline>
        </w:rPr>
        <w:t xml:space="preserve">touto záležitostí znovu </w:t>
      </w:r>
      <w:r w:rsidRPr="00903500">
        <w:rPr>
          <w14:textOutline w14:w="0" w14:cap="flat" w14:cmpd="sng" w14:algn="ctr">
            <w14:noFill/>
            <w14:prstDash w14:val="solid"/>
            <w14:bevel/>
          </w14:textOutline>
        </w:rPr>
        <w:t xml:space="preserve">zabývaly </w:t>
      </w:r>
      <w:r w:rsidR="00F153D9" w:rsidRPr="00F33887">
        <w:t>až poté</w:t>
      </w:r>
      <w:r w:rsidR="00F153D9" w:rsidRPr="00F153D9">
        <w:t xml:space="preserve">, </w:t>
      </w:r>
      <w:r w:rsidR="00F153D9" w:rsidRPr="00F33887">
        <w:t>co Soudní dvůr EU předloží právní posouzení s cílem zvážit budoucnost dobrovolného důchodového fondu</w:t>
      </w:r>
      <w:r w:rsidRPr="00903500">
        <w:rPr>
          <w14:textOutline w14:w="0" w14:cap="flat" w14:cmpd="sng" w14:algn="ctr">
            <w14:noFill/>
            <w14:prstDash w14:val="solid"/>
            <w14:bevel/>
          </w14:textOutline>
        </w:rPr>
        <w:t>;</w:t>
      </w:r>
    </w:p>
    <w:p w:rsidR="00900AE0" w:rsidRPr="00903500" w:rsidRDefault="00900AE0" w:rsidP="00AA742C">
      <w:pPr>
        <w:spacing w:after="240"/>
        <w:ind w:left="567" w:hanging="567"/>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Výroční zpráva o udělených zakázkách</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16</w:t>
      </w:r>
      <w:r w:rsidR="004351B4">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ve finančním nařízení je upřesněno, jaké informace o zakázkách udělených Parlamentem je nutné poskytovat rozpočtovému orgánu a veřejnosti; konstatuje, že ve finančním nařízení je stanovena povinnost zveřejňovat udělené zakázky v hodnotě nad 15 000 EUR, tj. ve výši, která odpovídá prahové hodnotě, při jejímž překročení je nutno konat výběrové řízení s více nabídkami; konstatuje, že z celkového počtu 194 zakázek zadaných v roce 2022 bylo 63 zakázek v hodnotě 359,3 milionu EUR zadáno v otevřeném řízení a 1 zakázka v hodnotě 460 000 EUR v užším řízení; konstatuje, že v rámci jednacích řízení bylo zadáno 126 zakázek v hodnotě 48 milionů EUR;</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16</w:t>
      </w:r>
      <w:r w:rsidR="004351B4">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v roce 2022 došlo ke snížení celkového objemu zadaných zakázek (194) ve srovnání s rokem 2021 (221); bere na vědomí podstatné snížení smluvních částek, které v roce 2022 dosáhly 410 milionů EUR oproti 1 016 milionům EUR v roce 2021;</w:t>
      </w:r>
    </w:p>
    <w:p w:rsidR="00900AE0" w:rsidRPr="00903500" w:rsidRDefault="00900AE0" w:rsidP="00AA742C">
      <w:pPr>
        <w:spacing w:after="24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následující rozdělení zakázek, které byly uděleny v letech 2022 a 2021, podle jednotlivých druhů, včetně zakázek týkajících se nemovitostí:</w:t>
      </w:r>
    </w:p>
    <w:tbl>
      <w:tblPr>
        <w:tblStyle w:val="TableGrid"/>
        <w:tblW w:w="5000" w:type="pct"/>
        <w:tblLook w:val="04A0" w:firstRow="1" w:lastRow="0" w:firstColumn="1" w:lastColumn="0" w:noHBand="0" w:noVBand="1"/>
      </w:tblPr>
      <w:tblGrid>
        <w:gridCol w:w="2349"/>
        <w:gridCol w:w="1979"/>
        <w:gridCol w:w="1578"/>
        <w:gridCol w:w="1578"/>
        <w:gridCol w:w="1576"/>
      </w:tblGrid>
      <w:tr w:rsidR="00900AE0" w:rsidRPr="00903500" w:rsidTr="00467CDA">
        <w:trPr>
          <w:trHeight w:val="516"/>
        </w:trPr>
        <w:tc>
          <w:tcPr>
            <w:tcW w:w="1296" w:type="pct"/>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lastRenderedPageBreak/>
              <w:t>Typ zakázky</w:t>
            </w:r>
          </w:p>
        </w:tc>
        <w:tc>
          <w:tcPr>
            <w:tcW w:w="1963" w:type="pct"/>
            <w:gridSpan w:val="2"/>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t>2021</w:t>
            </w:r>
          </w:p>
        </w:tc>
        <w:tc>
          <w:tcPr>
            <w:tcW w:w="1741" w:type="pct"/>
            <w:gridSpan w:val="2"/>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t>2022</w:t>
            </w:r>
          </w:p>
        </w:tc>
      </w:tr>
      <w:tr w:rsidR="00900AE0" w:rsidRPr="00903500" w:rsidTr="00467CDA">
        <w:trPr>
          <w:trHeight w:val="396"/>
        </w:trPr>
        <w:tc>
          <w:tcPr>
            <w:tcW w:w="1296" w:type="pct"/>
            <w:vMerge/>
            <w:hideMark/>
          </w:tcPr>
          <w:p w:rsidR="00900AE0" w:rsidRPr="00903500" w:rsidRDefault="00900AE0" w:rsidP="00F33887">
            <w:pPr>
              <w:contextualSpacing/>
              <w:rPr>
                <w:b/>
                <w:bCs/>
                <w:color w:val="000000" w:themeColor="text1"/>
                <w:szCs w:val="24"/>
              </w:rPr>
            </w:pPr>
          </w:p>
        </w:tc>
        <w:tc>
          <w:tcPr>
            <w:tcW w:w="1963" w:type="pct"/>
            <w:gridSpan w:val="2"/>
            <w:vMerge/>
            <w:hideMark/>
          </w:tcPr>
          <w:p w:rsidR="00900AE0" w:rsidRPr="00903500" w:rsidRDefault="00900AE0" w:rsidP="00F33887">
            <w:pPr>
              <w:contextualSpacing/>
              <w:rPr>
                <w:b/>
                <w:bCs/>
                <w:color w:val="000000" w:themeColor="text1"/>
                <w:szCs w:val="24"/>
              </w:rPr>
            </w:pPr>
          </w:p>
        </w:tc>
        <w:tc>
          <w:tcPr>
            <w:tcW w:w="1741" w:type="pct"/>
            <w:gridSpan w:val="2"/>
            <w:vMerge/>
            <w:hideMark/>
          </w:tcPr>
          <w:p w:rsidR="00900AE0" w:rsidRPr="00903500" w:rsidRDefault="00900AE0" w:rsidP="00F33887">
            <w:pPr>
              <w:contextualSpacing/>
              <w:rPr>
                <w:b/>
                <w:bCs/>
                <w:color w:val="000000" w:themeColor="text1"/>
                <w:szCs w:val="24"/>
              </w:rPr>
            </w:pPr>
          </w:p>
        </w:tc>
      </w:tr>
      <w:tr w:rsidR="00900AE0" w:rsidRPr="00903500" w:rsidTr="00467CDA">
        <w:trPr>
          <w:trHeight w:val="315"/>
        </w:trPr>
        <w:tc>
          <w:tcPr>
            <w:tcW w:w="1296" w:type="pct"/>
            <w:vMerge/>
            <w:hideMark/>
          </w:tcPr>
          <w:p w:rsidR="00900AE0" w:rsidRPr="00903500" w:rsidRDefault="00900AE0" w:rsidP="00F33887">
            <w:pPr>
              <w:contextualSpacing/>
              <w:rPr>
                <w:b/>
                <w:bCs/>
                <w:color w:val="000000" w:themeColor="text1"/>
                <w:szCs w:val="24"/>
              </w:rPr>
            </w:pPr>
          </w:p>
        </w:tc>
        <w:tc>
          <w:tcPr>
            <w:tcW w:w="1092" w:type="pct"/>
            <w:hideMark/>
          </w:tcPr>
          <w:p w:rsidR="00900AE0" w:rsidRPr="00903500" w:rsidRDefault="00900AE0" w:rsidP="00F33887">
            <w:pPr>
              <w:contextualSpacing/>
              <w:jc w:val="center"/>
              <w:rPr>
                <w:b/>
                <w:bCs/>
                <w:color w:val="000000" w:themeColor="text1"/>
                <w:szCs w:val="24"/>
              </w:rPr>
            </w:pPr>
            <w:r w:rsidRPr="00903500">
              <w:rPr>
                <w:b/>
                <w:color w:val="000000" w:themeColor="text1"/>
              </w:rPr>
              <w:t>počet</w:t>
            </w:r>
          </w:p>
        </w:tc>
        <w:tc>
          <w:tcPr>
            <w:tcW w:w="871" w:type="pct"/>
            <w:hideMark/>
          </w:tcPr>
          <w:p w:rsidR="00900AE0" w:rsidRPr="00903500" w:rsidRDefault="00900AE0" w:rsidP="00F33887">
            <w:pPr>
              <w:contextualSpacing/>
              <w:jc w:val="center"/>
              <w:rPr>
                <w:b/>
                <w:bCs/>
                <w:color w:val="000000" w:themeColor="text1"/>
                <w:szCs w:val="24"/>
              </w:rPr>
            </w:pPr>
            <w:r w:rsidRPr="00903500">
              <w:rPr>
                <w:b/>
                <w:color w:val="000000" w:themeColor="text1"/>
              </w:rPr>
              <w:t>procentní podíl</w:t>
            </w:r>
          </w:p>
        </w:tc>
        <w:tc>
          <w:tcPr>
            <w:tcW w:w="871" w:type="pct"/>
            <w:hideMark/>
          </w:tcPr>
          <w:p w:rsidR="00900AE0" w:rsidRPr="00903500" w:rsidRDefault="00900AE0" w:rsidP="00F33887">
            <w:pPr>
              <w:contextualSpacing/>
              <w:jc w:val="center"/>
              <w:rPr>
                <w:b/>
                <w:bCs/>
                <w:color w:val="000000" w:themeColor="text1"/>
                <w:szCs w:val="24"/>
              </w:rPr>
            </w:pPr>
            <w:r w:rsidRPr="00903500">
              <w:rPr>
                <w:b/>
                <w:color w:val="000000" w:themeColor="text1"/>
              </w:rPr>
              <w:t>počet</w:t>
            </w:r>
          </w:p>
        </w:tc>
        <w:tc>
          <w:tcPr>
            <w:tcW w:w="870" w:type="pct"/>
            <w:hideMark/>
          </w:tcPr>
          <w:p w:rsidR="00900AE0" w:rsidRPr="00903500" w:rsidRDefault="00900AE0" w:rsidP="00F33887">
            <w:pPr>
              <w:contextualSpacing/>
              <w:jc w:val="center"/>
              <w:rPr>
                <w:b/>
                <w:bCs/>
                <w:color w:val="000000" w:themeColor="text1"/>
                <w:szCs w:val="24"/>
              </w:rPr>
            </w:pPr>
            <w:r w:rsidRPr="00903500">
              <w:rPr>
                <w:b/>
                <w:color w:val="000000" w:themeColor="text1"/>
              </w:rPr>
              <w:t>procentní podíl</w:t>
            </w:r>
          </w:p>
        </w:tc>
      </w:tr>
      <w:tr w:rsidR="00900AE0" w:rsidRPr="00903500" w:rsidTr="00467CDA">
        <w:trPr>
          <w:trHeight w:val="300"/>
        </w:trPr>
        <w:tc>
          <w:tcPr>
            <w:tcW w:w="1296"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 </w:t>
            </w:r>
          </w:p>
        </w:tc>
        <w:tc>
          <w:tcPr>
            <w:tcW w:w="871"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871" w:type="pct"/>
          </w:tcPr>
          <w:p w:rsidR="00900AE0" w:rsidRPr="00903500" w:rsidRDefault="00900AE0" w:rsidP="00F33887">
            <w:pPr>
              <w:contextualSpacing/>
              <w:rPr>
                <w:color w:val="000000" w:themeColor="text1"/>
                <w:szCs w:val="24"/>
              </w:rPr>
            </w:pPr>
          </w:p>
        </w:tc>
        <w:tc>
          <w:tcPr>
            <w:tcW w:w="870" w:type="pct"/>
          </w:tcPr>
          <w:p w:rsidR="00900AE0" w:rsidRPr="00903500" w:rsidRDefault="00900AE0" w:rsidP="00F33887">
            <w:pPr>
              <w:contextualSpacing/>
              <w:jc w:val="right"/>
              <w:rPr>
                <w:color w:val="000000" w:themeColor="text1"/>
                <w:szCs w:val="24"/>
              </w:rPr>
            </w:pP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budovy</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8</w:t>
            </w:r>
          </w:p>
        </w:tc>
        <w:tc>
          <w:tcPr>
            <w:tcW w:w="871" w:type="pct"/>
            <w:hideMark/>
          </w:tcPr>
          <w:p w:rsidR="00900AE0" w:rsidRPr="00903500" w:rsidRDefault="00900AE0" w:rsidP="00F33887">
            <w:pPr>
              <w:contextualSpacing/>
              <w:jc w:val="center"/>
              <w:rPr>
                <w:color w:val="000000" w:themeColor="text1"/>
                <w:szCs w:val="24"/>
              </w:rPr>
            </w:pPr>
            <w:r w:rsidRPr="00903500">
              <w:rPr>
                <w:color w:val="000000" w:themeColor="text1"/>
              </w:rPr>
              <w:t>3,6 %</w:t>
            </w:r>
          </w:p>
        </w:tc>
        <w:tc>
          <w:tcPr>
            <w:tcW w:w="871" w:type="pct"/>
          </w:tcPr>
          <w:p w:rsidR="00900AE0" w:rsidRPr="00903500" w:rsidRDefault="00900AE0" w:rsidP="00F33887">
            <w:pPr>
              <w:contextualSpacing/>
              <w:jc w:val="center"/>
              <w:rPr>
                <w:color w:val="000000" w:themeColor="text1"/>
                <w:szCs w:val="24"/>
              </w:rPr>
            </w:pPr>
            <w:r w:rsidRPr="00903500">
              <w:rPr>
                <w:color w:val="000000" w:themeColor="text1"/>
              </w:rPr>
              <w:t>2</w:t>
            </w:r>
          </w:p>
        </w:tc>
        <w:tc>
          <w:tcPr>
            <w:tcW w:w="870" w:type="pct"/>
          </w:tcPr>
          <w:p w:rsidR="00900AE0" w:rsidRPr="00903500" w:rsidRDefault="00900AE0" w:rsidP="00F33887">
            <w:pPr>
              <w:contextualSpacing/>
              <w:jc w:val="center"/>
              <w:rPr>
                <w:color w:val="000000" w:themeColor="text1"/>
                <w:szCs w:val="24"/>
              </w:rPr>
            </w:pPr>
            <w:r w:rsidRPr="00903500">
              <w:rPr>
                <w:color w:val="000000" w:themeColor="text1"/>
              </w:rPr>
              <w:t>1 %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služby</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176</w:t>
            </w:r>
          </w:p>
        </w:tc>
        <w:tc>
          <w:tcPr>
            <w:tcW w:w="871" w:type="pct"/>
            <w:hideMark/>
          </w:tcPr>
          <w:p w:rsidR="00900AE0" w:rsidRPr="00903500" w:rsidRDefault="00900AE0" w:rsidP="00F33887">
            <w:pPr>
              <w:contextualSpacing/>
              <w:jc w:val="center"/>
              <w:rPr>
                <w:color w:val="000000" w:themeColor="text1"/>
                <w:szCs w:val="24"/>
              </w:rPr>
            </w:pPr>
            <w:r w:rsidRPr="00903500">
              <w:rPr>
                <w:color w:val="000000" w:themeColor="text1"/>
              </w:rPr>
              <w:t>79,6 %</w:t>
            </w:r>
          </w:p>
        </w:tc>
        <w:tc>
          <w:tcPr>
            <w:tcW w:w="871" w:type="pct"/>
          </w:tcPr>
          <w:p w:rsidR="00900AE0" w:rsidRPr="00903500" w:rsidRDefault="00900AE0" w:rsidP="00F33887">
            <w:pPr>
              <w:contextualSpacing/>
              <w:jc w:val="center"/>
              <w:rPr>
                <w:color w:val="000000" w:themeColor="text1"/>
                <w:szCs w:val="24"/>
              </w:rPr>
            </w:pPr>
            <w:r w:rsidRPr="00903500">
              <w:rPr>
                <w:color w:val="000000" w:themeColor="text1"/>
              </w:rPr>
              <w:t>169</w:t>
            </w:r>
          </w:p>
        </w:tc>
        <w:tc>
          <w:tcPr>
            <w:tcW w:w="870" w:type="pct"/>
          </w:tcPr>
          <w:p w:rsidR="00900AE0" w:rsidRPr="00903500" w:rsidRDefault="00900AE0" w:rsidP="00F33887">
            <w:pPr>
              <w:contextualSpacing/>
              <w:jc w:val="center"/>
              <w:rPr>
                <w:color w:val="000000" w:themeColor="text1"/>
                <w:szCs w:val="24"/>
              </w:rPr>
            </w:pPr>
            <w:r w:rsidRPr="00903500">
              <w:rPr>
                <w:color w:val="000000" w:themeColor="text1"/>
              </w:rPr>
              <w:t>87 %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zásobování</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27</w:t>
            </w:r>
          </w:p>
        </w:tc>
        <w:tc>
          <w:tcPr>
            <w:tcW w:w="871" w:type="pct"/>
            <w:hideMark/>
          </w:tcPr>
          <w:p w:rsidR="00900AE0" w:rsidRPr="00903500" w:rsidRDefault="00900AE0" w:rsidP="00F33887">
            <w:pPr>
              <w:contextualSpacing/>
              <w:jc w:val="center"/>
              <w:rPr>
                <w:color w:val="000000" w:themeColor="text1"/>
                <w:szCs w:val="24"/>
              </w:rPr>
            </w:pPr>
            <w:r w:rsidRPr="00903500">
              <w:rPr>
                <w:color w:val="000000" w:themeColor="text1"/>
              </w:rPr>
              <w:t>12,2 %</w:t>
            </w:r>
          </w:p>
        </w:tc>
        <w:tc>
          <w:tcPr>
            <w:tcW w:w="871" w:type="pct"/>
          </w:tcPr>
          <w:p w:rsidR="00900AE0" w:rsidRPr="00903500" w:rsidRDefault="00900AE0" w:rsidP="00F33887">
            <w:pPr>
              <w:contextualSpacing/>
              <w:jc w:val="center"/>
              <w:rPr>
                <w:color w:val="000000" w:themeColor="text1"/>
                <w:szCs w:val="24"/>
              </w:rPr>
            </w:pPr>
            <w:r w:rsidRPr="00903500">
              <w:rPr>
                <w:color w:val="000000" w:themeColor="text1"/>
              </w:rPr>
              <w:t>17</w:t>
            </w:r>
          </w:p>
        </w:tc>
        <w:tc>
          <w:tcPr>
            <w:tcW w:w="870" w:type="pct"/>
          </w:tcPr>
          <w:p w:rsidR="00900AE0" w:rsidRPr="00903500" w:rsidRDefault="00900AE0" w:rsidP="00F33887">
            <w:pPr>
              <w:contextualSpacing/>
              <w:jc w:val="center"/>
              <w:rPr>
                <w:color w:val="000000" w:themeColor="text1"/>
                <w:szCs w:val="24"/>
              </w:rPr>
            </w:pPr>
            <w:r w:rsidRPr="00903500">
              <w:rPr>
                <w:color w:val="000000" w:themeColor="text1"/>
              </w:rPr>
              <w:t>9 %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stavební práce</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10</w:t>
            </w:r>
          </w:p>
        </w:tc>
        <w:tc>
          <w:tcPr>
            <w:tcW w:w="871" w:type="pct"/>
            <w:hideMark/>
          </w:tcPr>
          <w:p w:rsidR="00900AE0" w:rsidRPr="00903500" w:rsidRDefault="00900AE0" w:rsidP="00F33887">
            <w:pPr>
              <w:contextualSpacing/>
              <w:jc w:val="center"/>
              <w:rPr>
                <w:color w:val="000000" w:themeColor="text1"/>
                <w:szCs w:val="24"/>
              </w:rPr>
            </w:pPr>
            <w:r w:rsidRPr="00903500">
              <w:rPr>
                <w:color w:val="000000" w:themeColor="text1"/>
              </w:rPr>
              <w:t>4,5 %</w:t>
            </w:r>
          </w:p>
        </w:tc>
        <w:tc>
          <w:tcPr>
            <w:tcW w:w="871" w:type="pct"/>
          </w:tcPr>
          <w:p w:rsidR="00900AE0" w:rsidRPr="00903500" w:rsidRDefault="00900AE0" w:rsidP="00F33887">
            <w:pPr>
              <w:contextualSpacing/>
              <w:jc w:val="center"/>
              <w:rPr>
                <w:color w:val="000000" w:themeColor="text1"/>
                <w:szCs w:val="24"/>
              </w:rPr>
            </w:pPr>
            <w:r w:rsidRPr="00903500">
              <w:rPr>
                <w:color w:val="000000" w:themeColor="text1"/>
              </w:rPr>
              <w:t>6</w:t>
            </w:r>
          </w:p>
        </w:tc>
        <w:tc>
          <w:tcPr>
            <w:tcW w:w="870" w:type="pct"/>
          </w:tcPr>
          <w:p w:rsidR="00900AE0" w:rsidRPr="00903500" w:rsidRDefault="00900AE0" w:rsidP="00F33887">
            <w:pPr>
              <w:contextualSpacing/>
              <w:jc w:val="center"/>
              <w:rPr>
                <w:color w:val="000000" w:themeColor="text1"/>
                <w:szCs w:val="24"/>
              </w:rPr>
            </w:pPr>
            <w:r w:rsidRPr="00903500">
              <w:rPr>
                <w:color w:val="000000" w:themeColor="text1"/>
              </w:rPr>
              <w:t>3 %</w:t>
            </w:r>
          </w:p>
        </w:tc>
      </w:tr>
      <w:tr w:rsidR="00900AE0" w:rsidRPr="00903500" w:rsidTr="00467CDA">
        <w:trPr>
          <w:trHeight w:val="315"/>
        </w:trPr>
        <w:tc>
          <w:tcPr>
            <w:tcW w:w="1296"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1092" w:type="pct"/>
            <w:hideMark/>
          </w:tcPr>
          <w:p w:rsidR="00900AE0" w:rsidRPr="00903500" w:rsidRDefault="00900AE0" w:rsidP="00F33887">
            <w:pPr>
              <w:contextualSpacing/>
              <w:jc w:val="center"/>
              <w:rPr>
                <w:color w:val="000000" w:themeColor="text1"/>
                <w:szCs w:val="24"/>
              </w:rPr>
            </w:pPr>
            <w:r w:rsidRPr="00903500">
              <w:rPr>
                <w:color w:val="000000" w:themeColor="text1"/>
              </w:rPr>
              <w:t> </w:t>
            </w:r>
          </w:p>
        </w:tc>
        <w:tc>
          <w:tcPr>
            <w:tcW w:w="871"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871" w:type="pct"/>
          </w:tcPr>
          <w:p w:rsidR="00900AE0" w:rsidRPr="00903500" w:rsidRDefault="00900AE0" w:rsidP="00F33887">
            <w:pPr>
              <w:contextualSpacing/>
              <w:rPr>
                <w:color w:val="000000" w:themeColor="text1"/>
                <w:szCs w:val="24"/>
              </w:rPr>
            </w:pPr>
          </w:p>
        </w:tc>
        <w:tc>
          <w:tcPr>
            <w:tcW w:w="870" w:type="pct"/>
          </w:tcPr>
          <w:p w:rsidR="00900AE0" w:rsidRPr="00903500" w:rsidRDefault="00900AE0" w:rsidP="00F33887">
            <w:pPr>
              <w:contextualSpacing/>
              <w:jc w:val="center"/>
              <w:rPr>
                <w:color w:val="000000" w:themeColor="text1"/>
                <w:szCs w:val="24"/>
              </w:rPr>
            </w:pPr>
          </w:p>
        </w:tc>
      </w:tr>
      <w:tr w:rsidR="00900AE0" w:rsidRPr="00903500" w:rsidTr="00467CDA">
        <w:trPr>
          <w:trHeight w:val="600"/>
        </w:trPr>
        <w:tc>
          <w:tcPr>
            <w:tcW w:w="1296" w:type="pct"/>
            <w:hideMark/>
          </w:tcPr>
          <w:p w:rsidR="00900AE0" w:rsidRPr="00903500" w:rsidRDefault="00900AE0" w:rsidP="00F33887">
            <w:pPr>
              <w:contextualSpacing/>
              <w:rPr>
                <w:b/>
                <w:bCs/>
                <w:color w:val="000000" w:themeColor="text1"/>
                <w:szCs w:val="24"/>
              </w:rPr>
            </w:pPr>
            <w:r w:rsidRPr="00903500">
              <w:rPr>
                <w:b/>
                <w:color w:val="000000" w:themeColor="text1"/>
              </w:rPr>
              <w:t xml:space="preserve">   celkem</w:t>
            </w:r>
          </w:p>
        </w:tc>
        <w:tc>
          <w:tcPr>
            <w:tcW w:w="1092" w:type="pct"/>
            <w:hideMark/>
          </w:tcPr>
          <w:p w:rsidR="00900AE0" w:rsidRPr="00903500" w:rsidRDefault="00900AE0" w:rsidP="00F33887">
            <w:pPr>
              <w:contextualSpacing/>
              <w:jc w:val="center"/>
              <w:rPr>
                <w:b/>
                <w:bCs/>
                <w:color w:val="000000" w:themeColor="text1"/>
                <w:szCs w:val="24"/>
              </w:rPr>
            </w:pPr>
            <w:r w:rsidRPr="00903500">
              <w:rPr>
                <w:b/>
                <w:color w:val="000000" w:themeColor="text1"/>
              </w:rPr>
              <w:t>221</w:t>
            </w:r>
          </w:p>
        </w:tc>
        <w:tc>
          <w:tcPr>
            <w:tcW w:w="871" w:type="pct"/>
            <w:hideMark/>
          </w:tcPr>
          <w:p w:rsidR="00900AE0" w:rsidRPr="00903500" w:rsidRDefault="00900AE0" w:rsidP="00F33887">
            <w:pPr>
              <w:contextualSpacing/>
              <w:jc w:val="center"/>
              <w:rPr>
                <w:b/>
                <w:bCs/>
                <w:color w:val="000000" w:themeColor="text1"/>
                <w:szCs w:val="24"/>
              </w:rPr>
            </w:pPr>
            <w:r w:rsidRPr="00903500">
              <w:rPr>
                <w:b/>
                <w:color w:val="000000" w:themeColor="text1"/>
              </w:rPr>
              <w:t>100 %</w:t>
            </w:r>
          </w:p>
        </w:tc>
        <w:tc>
          <w:tcPr>
            <w:tcW w:w="871" w:type="pct"/>
          </w:tcPr>
          <w:p w:rsidR="00900AE0" w:rsidRPr="00903500" w:rsidRDefault="00900AE0" w:rsidP="00F33887">
            <w:pPr>
              <w:contextualSpacing/>
              <w:jc w:val="center"/>
              <w:rPr>
                <w:b/>
                <w:bCs/>
                <w:color w:val="000000" w:themeColor="text1"/>
                <w:szCs w:val="24"/>
              </w:rPr>
            </w:pPr>
            <w:r w:rsidRPr="00903500">
              <w:rPr>
                <w:b/>
                <w:color w:val="000000" w:themeColor="text1"/>
              </w:rPr>
              <w:t>194</w:t>
            </w:r>
          </w:p>
        </w:tc>
        <w:tc>
          <w:tcPr>
            <w:tcW w:w="870" w:type="pct"/>
          </w:tcPr>
          <w:p w:rsidR="00900AE0" w:rsidRPr="00903500" w:rsidRDefault="00900AE0" w:rsidP="00F33887">
            <w:pPr>
              <w:contextualSpacing/>
              <w:jc w:val="center"/>
              <w:rPr>
                <w:b/>
                <w:bCs/>
                <w:color w:val="000000" w:themeColor="text1"/>
                <w:szCs w:val="24"/>
              </w:rPr>
            </w:pPr>
            <w:r w:rsidRPr="00903500">
              <w:rPr>
                <w:b/>
                <w:color w:val="000000" w:themeColor="text1"/>
              </w:rPr>
              <w:t>100 %</w:t>
            </w:r>
          </w:p>
        </w:tc>
      </w:tr>
    </w:tbl>
    <w:p w:rsidR="00900AE0" w:rsidRPr="00903500" w:rsidRDefault="00900AE0" w:rsidP="00F33887">
      <w:pPr>
        <w:tabs>
          <w:tab w:val="left" w:pos="567"/>
        </w:tabs>
        <w:contextualSpacing/>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900AE0" w:rsidRPr="00903500" w:rsidTr="00467CDA">
        <w:trPr>
          <w:trHeight w:val="516"/>
        </w:trPr>
        <w:tc>
          <w:tcPr>
            <w:tcW w:w="1296" w:type="pct"/>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t>Typ zakázky</w:t>
            </w:r>
          </w:p>
        </w:tc>
        <w:tc>
          <w:tcPr>
            <w:tcW w:w="1872" w:type="pct"/>
            <w:gridSpan w:val="2"/>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t>2021</w:t>
            </w:r>
          </w:p>
        </w:tc>
        <w:tc>
          <w:tcPr>
            <w:tcW w:w="1832" w:type="pct"/>
            <w:gridSpan w:val="2"/>
            <w:vMerge w:val="restart"/>
            <w:hideMark/>
          </w:tcPr>
          <w:p w:rsidR="00900AE0" w:rsidRPr="00903500" w:rsidRDefault="00900AE0" w:rsidP="00F33887">
            <w:pPr>
              <w:contextualSpacing/>
              <w:jc w:val="center"/>
              <w:rPr>
                <w:b/>
                <w:bCs/>
                <w:color w:val="000000" w:themeColor="text1"/>
                <w:szCs w:val="24"/>
              </w:rPr>
            </w:pPr>
            <w:r w:rsidRPr="00903500">
              <w:rPr>
                <w:b/>
                <w:color w:val="000000" w:themeColor="text1"/>
              </w:rPr>
              <w:t>2022</w:t>
            </w:r>
          </w:p>
        </w:tc>
      </w:tr>
      <w:tr w:rsidR="00900AE0" w:rsidRPr="00903500" w:rsidTr="00467CDA">
        <w:trPr>
          <w:trHeight w:val="396"/>
        </w:trPr>
        <w:tc>
          <w:tcPr>
            <w:tcW w:w="1296" w:type="pct"/>
            <w:vMerge/>
            <w:hideMark/>
          </w:tcPr>
          <w:p w:rsidR="00900AE0" w:rsidRPr="00903500" w:rsidRDefault="00900AE0" w:rsidP="00F33887">
            <w:pPr>
              <w:contextualSpacing/>
              <w:rPr>
                <w:b/>
                <w:bCs/>
                <w:color w:val="000000" w:themeColor="text1"/>
                <w:szCs w:val="24"/>
              </w:rPr>
            </w:pPr>
          </w:p>
        </w:tc>
        <w:tc>
          <w:tcPr>
            <w:tcW w:w="1872" w:type="pct"/>
            <w:gridSpan w:val="2"/>
            <w:vMerge/>
            <w:hideMark/>
          </w:tcPr>
          <w:p w:rsidR="00900AE0" w:rsidRPr="00903500" w:rsidRDefault="00900AE0" w:rsidP="00F33887">
            <w:pPr>
              <w:contextualSpacing/>
              <w:rPr>
                <w:b/>
                <w:bCs/>
                <w:color w:val="000000" w:themeColor="text1"/>
                <w:szCs w:val="24"/>
              </w:rPr>
            </w:pPr>
          </w:p>
        </w:tc>
        <w:tc>
          <w:tcPr>
            <w:tcW w:w="1832" w:type="pct"/>
            <w:gridSpan w:val="2"/>
            <w:vMerge/>
            <w:hideMark/>
          </w:tcPr>
          <w:p w:rsidR="00900AE0" w:rsidRPr="00903500" w:rsidRDefault="00900AE0" w:rsidP="00F33887">
            <w:pPr>
              <w:contextualSpacing/>
              <w:rPr>
                <w:b/>
                <w:bCs/>
                <w:color w:val="000000" w:themeColor="text1"/>
                <w:szCs w:val="24"/>
              </w:rPr>
            </w:pPr>
          </w:p>
        </w:tc>
      </w:tr>
      <w:tr w:rsidR="00900AE0" w:rsidRPr="00903500" w:rsidTr="00467CDA">
        <w:trPr>
          <w:trHeight w:val="315"/>
        </w:trPr>
        <w:tc>
          <w:tcPr>
            <w:tcW w:w="1296" w:type="pct"/>
            <w:vMerge/>
            <w:hideMark/>
          </w:tcPr>
          <w:p w:rsidR="00900AE0" w:rsidRPr="00903500" w:rsidRDefault="00900AE0" w:rsidP="00F33887">
            <w:pPr>
              <w:contextualSpacing/>
              <w:rPr>
                <w:b/>
                <w:bCs/>
                <w:color w:val="000000" w:themeColor="text1"/>
                <w:szCs w:val="24"/>
              </w:rPr>
            </w:pPr>
          </w:p>
        </w:tc>
        <w:tc>
          <w:tcPr>
            <w:tcW w:w="1059" w:type="pct"/>
            <w:hideMark/>
          </w:tcPr>
          <w:p w:rsidR="00900AE0" w:rsidRPr="00903500" w:rsidRDefault="00900AE0" w:rsidP="00F33887">
            <w:pPr>
              <w:contextualSpacing/>
              <w:jc w:val="center"/>
              <w:rPr>
                <w:b/>
                <w:bCs/>
                <w:color w:val="000000" w:themeColor="text1"/>
                <w:szCs w:val="24"/>
              </w:rPr>
            </w:pPr>
            <w:r w:rsidRPr="00903500">
              <w:rPr>
                <w:b/>
                <w:color w:val="000000" w:themeColor="text1"/>
              </w:rPr>
              <w:t>částka</w:t>
            </w:r>
          </w:p>
        </w:tc>
        <w:tc>
          <w:tcPr>
            <w:tcW w:w="814" w:type="pct"/>
            <w:hideMark/>
          </w:tcPr>
          <w:p w:rsidR="00900AE0" w:rsidRPr="00903500" w:rsidRDefault="00900AE0" w:rsidP="00F33887">
            <w:pPr>
              <w:contextualSpacing/>
              <w:jc w:val="center"/>
              <w:rPr>
                <w:b/>
                <w:bCs/>
                <w:color w:val="000000" w:themeColor="text1"/>
                <w:szCs w:val="24"/>
              </w:rPr>
            </w:pPr>
            <w:r w:rsidRPr="00903500">
              <w:rPr>
                <w:b/>
                <w:color w:val="000000" w:themeColor="text1"/>
              </w:rPr>
              <w:t>procentní podíl</w:t>
            </w:r>
          </w:p>
        </w:tc>
        <w:tc>
          <w:tcPr>
            <w:tcW w:w="973" w:type="pct"/>
            <w:hideMark/>
          </w:tcPr>
          <w:p w:rsidR="00900AE0" w:rsidRPr="00903500" w:rsidRDefault="00900AE0" w:rsidP="00F33887">
            <w:pPr>
              <w:contextualSpacing/>
              <w:jc w:val="center"/>
              <w:rPr>
                <w:b/>
                <w:bCs/>
                <w:color w:val="000000" w:themeColor="text1"/>
                <w:szCs w:val="24"/>
              </w:rPr>
            </w:pPr>
            <w:r w:rsidRPr="00903500">
              <w:rPr>
                <w:b/>
                <w:color w:val="000000" w:themeColor="text1"/>
              </w:rPr>
              <w:t>částka</w:t>
            </w:r>
          </w:p>
        </w:tc>
        <w:tc>
          <w:tcPr>
            <w:tcW w:w="859" w:type="pct"/>
            <w:hideMark/>
          </w:tcPr>
          <w:p w:rsidR="00900AE0" w:rsidRPr="00903500" w:rsidRDefault="00900AE0" w:rsidP="00F33887">
            <w:pPr>
              <w:contextualSpacing/>
              <w:jc w:val="center"/>
              <w:rPr>
                <w:b/>
                <w:bCs/>
                <w:color w:val="000000" w:themeColor="text1"/>
                <w:szCs w:val="24"/>
              </w:rPr>
            </w:pPr>
            <w:r w:rsidRPr="00903500">
              <w:rPr>
                <w:b/>
                <w:color w:val="000000" w:themeColor="text1"/>
              </w:rPr>
              <w:t>procentní podíl</w:t>
            </w:r>
          </w:p>
        </w:tc>
      </w:tr>
      <w:tr w:rsidR="00900AE0" w:rsidRPr="00903500" w:rsidTr="00467CDA">
        <w:trPr>
          <w:trHeight w:val="300"/>
        </w:trPr>
        <w:tc>
          <w:tcPr>
            <w:tcW w:w="1296" w:type="pct"/>
            <w:hideMark/>
          </w:tcPr>
          <w:p w:rsidR="00900AE0" w:rsidRPr="00903500" w:rsidRDefault="00900AE0" w:rsidP="00F33887">
            <w:pPr>
              <w:contextualSpacing/>
              <w:rPr>
                <w:color w:val="000000" w:themeColor="text1"/>
                <w:szCs w:val="24"/>
              </w:rPr>
            </w:pPr>
            <w:r w:rsidRPr="00903500">
              <w:rPr>
                <w:color w:val="000000" w:themeColor="text1"/>
              </w:rPr>
              <w:t xml:space="preserve">   </w:t>
            </w:r>
          </w:p>
        </w:tc>
        <w:tc>
          <w:tcPr>
            <w:tcW w:w="1059"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814"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973"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859" w:type="pct"/>
            <w:hideMark/>
          </w:tcPr>
          <w:p w:rsidR="00900AE0" w:rsidRPr="00903500" w:rsidRDefault="00900AE0" w:rsidP="00F33887">
            <w:pPr>
              <w:contextualSpacing/>
              <w:rPr>
                <w:color w:val="000000" w:themeColor="text1"/>
                <w:szCs w:val="24"/>
              </w:rPr>
            </w:pPr>
            <w:r w:rsidRPr="00903500">
              <w:rPr>
                <w:color w:val="000000" w:themeColor="text1"/>
              </w:rPr>
              <w:t>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budovy</w:t>
            </w:r>
          </w:p>
        </w:tc>
        <w:tc>
          <w:tcPr>
            <w:tcW w:w="1059" w:type="pct"/>
            <w:hideMark/>
          </w:tcPr>
          <w:p w:rsidR="00900AE0" w:rsidRPr="00903500" w:rsidRDefault="00900AE0" w:rsidP="00F33887">
            <w:pPr>
              <w:contextualSpacing/>
              <w:jc w:val="center"/>
              <w:rPr>
                <w:color w:val="000000" w:themeColor="text1"/>
                <w:szCs w:val="24"/>
              </w:rPr>
            </w:pPr>
            <w:r w:rsidRPr="00903500">
              <w:rPr>
                <w:color w:val="000000" w:themeColor="text1"/>
              </w:rPr>
              <w:t>168 302 638</w:t>
            </w:r>
          </w:p>
        </w:tc>
        <w:tc>
          <w:tcPr>
            <w:tcW w:w="814" w:type="pct"/>
            <w:hideMark/>
          </w:tcPr>
          <w:p w:rsidR="00900AE0" w:rsidRPr="00903500" w:rsidRDefault="00900AE0" w:rsidP="00F33887">
            <w:pPr>
              <w:contextualSpacing/>
              <w:jc w:val="center"/>
              <w:rPr>
                <w:color w:val="000000" w:themeColor="text1"/>
                <w:szCs w:val="24"/>
              </w:rPr>
            </w:pPr>
            <w:r w:rsidRPr="00903500">
              <w:rPr>
                <w:color w:val="000000" w:themeColor="text1"/>
              </w:rPr>
              <w:t>17 %</w:t>
            </w:r>
          </w:p>
        </w:tc>
        <w:tc>
          <w:tcPr>
            <w:tcW w:w="973" w:type="pct"/>
          </w:tcPr>
          <w:p w:rsidR="00900AE0" w:rsidRPr="00903500" w:rsidRDefault="00900AE0" w:rsidP="00F33887">
            <w:pPr>
              <w:contextualSpacing/>
              <w:jc w:val="center"/>
              <w:rPr>
                <w:color w:val="000000" w:themeColor="text1"/>
                <w:szCs w:val="24"/>
              </w:rPr>
            </w:pPr>
            <w:r w:rsidRPr="00903500">
              <w:rPr>
                <w:color w:val="000000" w:themeColor="text1"/>
              </w:rPr>
              <w:t>27 804 776</w:t>
            </w:r>
          </w:p>
        </w:tc>
        <w:tc>
          <w:tcPr>
            <w:tcW w:w="859" w:type="pct"/>
          </w:tcPr>
          <w:p w:rsidR="00900AE0" w:rsidRPr="00903500" w:rsidRDefault="00900AE0" w:rsidP="00F33887">
            <w:pPr>
              <w:contextualSpacing/>
              <w:jc w:val="center"/>
              <w:rPr>
                <w:color w:val="000000" w:themeColor="text1"/>
                <w:szCs w:val="24"/>
              </w:rPr>
            </w:pPr>
            <w:r w:rsidRPr="00903500">
              <w:rPr>
                <w:color w:val="000000" w:themeColor="text1"/>
              </w:rPr>
              <w:t>7 %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služby</w:t>
            </w:r>
          </w:p>
        </w:tc>
        <w:tc>
          <w:tcPr>
            <w:tcW w:w="1059" w:type="pct"/>
            <w:hideMark/>
          </w:tcPr>
          <w:p w:rsidR="00900AE0" w:rsidRPr="00903500" w:rsidRDefault="00900AE0" w:rsidP="00F33887">
            <w:pPr>
              <w:contextualSpacing/>
              <w:jc w:val="center"/>
              <w:rPr>
                <w:color w:val="000000" w:themeColor="text1"/>
                <w:szCs w:val="24"/>
              </w:rPr>
            </w:pPr>
            <w:r w:rsidRPr="00903500">
              <w:rPr>
                <w:color w:val="000000" w:themeColor="text1"/>
              </w:rPr>
              <w:t>634 689 038</w:t>
            </w:r>
          </w:p>
        </w:tc>
        <w:tc>
          <w:tcPr>
            <w:tcW w:w="814" w:type="pct"/>
            <w:hideMark/>
          </w:tcPr>
          <w:p w:rsidR="00900AE0" w:rsidRPr="00903500" w:rsidRDefault="00900AE0" w:rsidP="00F33887">
            <w:pPr>
              <w:contextualSpacing/>
              <w:jc w:val="center"/>
              <w:rPr>
                <w:color w:val="000000" w:themeColor="text1"/>
                <w:szCs w:val="24"/>
              </w:rPr>
            </w:pPr>
            <w:r w:rsidRPr="00903500">
              <w:rPr>
                <w:color w:val="000000" w:themeColor="text1"/>
              </w:rPr>
              <w:t>62 %</w:t>
            </w:r>
          </w:p>
        </w:tc>
        <w:tc>
          <w:tcPr>
            <w:tcW w:w="973" w:type="pct"/>
          </w:tcPr>
          <w:p w:rsidR="00900AE0" w:rsidRPr="00903500" w:rsidRDefault="00900AE0" w:rsidP="00F33887">
            <w:pPr>
              <w:contextualSpacing/>
              <w:jc w:val="center"/>
              <w:rPr>
                <w:color w:val="000000" w:themeColor="text1"/>
                <w:szCs w:val="24"/>
              </w:rPr>
            </w:pPr>
            <w:r w:rsidRPr="00903500">
              <w:rPr>
                <w:color w:val="000000" w:themeColor="text1"/>
              </w:rPr>
              <w:t>283 779 269</w:t>
            </w:r>
          </w:p>
        </w:tc>
        <w:tc>
          <w:tcPr>
            <w:tcW w:w="859" w:type="pct"/>
          </w:tcPr>
          <w:p w:rsidR="00900AE0" w:rsidRPr="00903500" w:rsidRDefault="00900AE0" w:rsidP="00F33887">
            <w:pPr>
              <w:contextualSpacing/>
              <w:jc w:val="center"/>
              <w:rPr>
                <w:color w:val="000000" w:themeColor="text1"/>
                <w:szCs w:val="24"/>
              </w:rPr>
            </w:pPr>
            <w:r w:rsidRPr="00903500">
              <w:rPr>
                <w:color w:val="000000" w:themeColor="text1"/>
              </w:rPr>
              <w:t>69 %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zásobování</w:t>
            </w:r>
          </w:p>
        </w:tc>
        <w:tc>
          <w:tcPr>
            <w:tcW w:w="1059" w:type="pct"/>
            <w:hideMark/>
          </w:tcPr>
          <w:p w:rsidR="00900AE0" w:rsidRPr="00903500" w:rsidRDefault="00900AE0" w:rsidP="00F33887">
            <w:pPr>
              <w:contextualSpacing/>
              <w:jc w:val="center"/>
              <w:rPr>
                <w:color w:val="000000" w:themeColor="text1"/>
                <w:szCs w:val="24"/>
              </w:rPr>
            </w:pPr>
            <w:r w:rsidRPr="00903500">
              <w:rPr>
                <w:color w:val="000000" w:themeColor="text1"/>
              </w:rPr>
              <w:t>136 777 513</w:t>
            </w:r>
          </w:p>
        </w:tc>
        <w:tc>
          <w:tcPr>
            <w:tcW w:w="814" w:type="pct"/>
            <w:hideMark/>
          </w:tcPr>
          <w:p w:rsidR="00900AE0" w:rsidRPr="00903500" w:rsidRDefault="00900AE0" w:rsidP="00F33887">
            <w:pPr>
              <w:contextualSpacing/>
              <w:jc w:val="center"/>
              <w:rPr>
                <w:color w:val="000000" w:themeColor="text1"/>
                <w:szCs w:val="24"/>
              </w:rPr>
            </w:pPr>
            <w:r w:rsidRPr="00903500">
              <w:rPr>
                <w:color w:val="000000" w:themeColor="text1"/>
              </w:rPr>
              <w:t>13 %</w:t>
            </w:r>
          </w:p>
        </w:tc>
        <w:tc>
          <w:tcPr>
            <w:tcW w:w="973" w:type="pct"/>
          </w:tcPr>
          <w:p w:rsidR="00900AE0" w:rsidRPr="00903500" w:rsidRDefault="00900AE0" w:rsidP="00F33887">
            <w:pPr>
              <w:contextualSpacing/>
              <w:jc w:val="center"/>
              <w:rPr>
                <w:color w:val="000000" w:themeColor="text1"/>
                <w:szCs w:val="24"/>
              </w:rPr>
            </w:pPr>
            <w:r w:rsidRPr="00903500">
              <w:rPr>
                <w:color w:val="000000" w:themeColor="text1"/>
              </w:rPr>
              <w:t>47 817 885</w:t>
            </w:r>
          </w:p>
        </w:tc>
        <w:tc>
          <w:tcPr>
            <w:tcW w:w="859" w:type="pct"/>
          </w:tcPr>
          <w:p w:rsidR="00900AE0" w:rsidRPr="00903500" w:rsidRDefault="00900AE0" w:rsidP="00F33887">
            <w:pPr>
              <w:contextualSpacing/>
              <w:jc w:val="center"/>
              <w:rPr>
                <w:color w:val="000000" w:themeColor="text1"/>
                <w:szCs w:val="24"/>
              </w:rPr>
            </w:pPr>
            <w:r w:rsidRPr="00903500">
              <w:rPr>
                <w:color w:val="000000" w:themeColor="text1"/>
              </w:rPr>
              <w:t>12 %</w:t>
            </w:r>
          </w:p>
        </w:tc>
      </w:tr>
      <w:tr w:rsidR="00900AE0" w:rsidRPr="00903500" w:rsidTr="00467CDA">
        <w:trPr>
          <w:trHeight w:val="300"/>
        </w:trPr>
        <w:tc>
          <w:tcPr>
            <w:tcW w:w="1296" w:type="pct"/>
            <w:hideMark/>
          </w:tcPr>
          <w:p w:rsidR="00900AE0" w:rsidRPr="00903500" w:rsidRDefault="00900AE0" w:rsidP="00F33887">
            <w:pPr>
              <w:ind w:firstLineChars="100" w:firstLine="240"/>
              <w:contextualSpacing/>
              <w:rPr>
                <w:color w:val="000000" w:themeColor="text1"/>
                <w:szCs w:val="24"/>
              </w:rPr>
            </w:pPr>
            <w:r w:rsidRPr="00903500">
              <w:rPr>
                <w:color w:val="000000" w:themeColor="text1"/>
              </w:rPr>
              <w:t>stavební práce</w:t>
            </w:r>
          </w:p>
        </w:tc>
        <w:tc>
          <w:tcPr>
            <w:tcW w:w="1059" w:type="pct"/>
            <w:hideMark/>
          </w:tcPr>
          <w:p w:rsidR="00900AE0" w:rsidRPr="00903500" w:rsidRDefault="00900AE0" w:rsidP="00F33887">
            <w:pPr>
              <w:contextualSpacing/>
              <w:jc w:val="center"/>
              <w:rPr>
                <w:color w:val="000000" w:themeColor="text1"/>
                <w:szCs w:val="24"/>
              </w:rPr>
            </w:pPr>
            <w:r w:rsidRPr="00903500">
              <w:rPr>
                <w:color w:val="000000" w:themeColor="text1"/>
              </w:rPr>
              <w:t>76 247 759</w:t>
            </w:r>
          </w:p>
        </w:tc>
        <w:tc>
          <w:tcPr>
            <w:tcW w:w="814" w:type="pct"/>
            <w:hideMark/>
          </w:tcPr>
          <w:p w:rsidR="00900AE0" w:rsidRPr="00903500" w:rsidRDefault="00900AE0" w:rsidP="00F33887">
            <w:pPr>
              <w:contextualSpacing/>
              <w:jc w:val="center"/>
              <w:rPr>
                <w:color w:val="000000" w:themeColor="text1"/>
                <w:szCs w:val="24"/>
              </w:rPr>
            </w:pPr>
            <w:r w:rsidRPr="00903500">
              <w:rPr>
                <w:color w:val="000000" w:themeColor="text1"/>
              </w:rPr>
              <w:t>8 %</w:t>
            </w:r>
          </w:p>
        </w:tc>
        <w:tc>
          <w:tcPr>
            <w:tcW w:w="973" w:type="pct"/>
          </w:tcPr>
          <w:p w:rsidR="00900AE0" w:rsidRPr="00903500" w:rsidRDefault="00900AE0" w:rsidP="00F33887">
            <w:pPr>
              <w:contextualSpacing/>
              <w:jc w:val="center"/>
              <w:rPr>
                <w:color w:val="000000" w:themeColor="text1"/>
                <w:szCs w:val="24"/>
              </w:rPr>
            </w:pPr>
            <w:r w:rsidRPr="00903500">
              <w:rPr>
                <w:color w:val="000000" w:themeColor="text1"/>
              </w:rPr>
              <w:t xml:space="preserve">50 642 975 </w:t>
            </w:r>
          </w:p>
        </w:tc>
        <w:tc>
          <w:tcPr>
            <w:tcW w:w="859" w:type="pct"/>
          </w:tcPr>
          <w:p w:rsidR="00900AE0" w:rsidRPr="00903500" w:rsidRDefault="00900AE0" w:rsidP="00F33887">
            <w:pPr>
              <w:contextualSpacing/>
              <w:jc w:val="center"/>
              <w:rPr>
                <w:color w:val="000000" w:themeColor="text1"/>
                <w:szCs w:val="24"/>
              </w:rPr>
            </w:pPr>
            <w:r w:rsidRPr="00903500">
              <w:rPr>
                <w:color w:val="000000" w:themeColor="text1"/>
              </w:rPr>
              <w:t>12 %</w:t>
            </w:r>
          </w:p>
        </w:tc>
      </w:tr>
      <w:tr w:rsidR="00900AE0" w:rsidRPr="00903500" w:rsidTr="00467CDA">
        <w:trPr>
          <w:trHeight w:val="315"/>
        </w:trPr>
        <w:tc>
          <w:tcPr>
            <w:tcW w:w="1296" w:type="pct"/>
            <w:hideMark/>
          </w:tcPr>
          <w:p w:rsidR="00900AE0" w:rsidRPr="00903500" w:rsidRDefault="00900AE0" w:rsidP="00F33887">
            <w:pPr>
              <w:contextualSpacing/>
              <w:rPr>
                <w:color w:val="000000" w:themeColor="text1"/>
                <w:szCs w:val="24"/>
              </w:rPr>
            </w:pPr>
            <w:r w:rsidRPr="00903500">
              <w:rPr>
                <w:color w:val="000000" w:themeColor="text1"/>
              </w:rPr>
              <w:t> </w:t>
            </w:r>
          </w:p>
        </w:tc>
        <w:tc>
          <w:tcPr>
            <w:tcW w:w="1059" w:type="pct"/>
            <w:hideMark/>
          </w:tcPr>
          <w:p w:rsidR="00900AE0" w:rsidRPr="00903500" w:rsidRDefault="00900AE0" w:rsidP="00F33887">
            <w:pPr>
              <w:contextualSpacing/>
              <w:jc w:val="center"/>
              <w:rPr>
                <w:color w:val="000000" w:themeColor="text1"/>
                <w:szCs w:val="24"/>
              </w:rPr>
            </w:pPr>
            <w:r w:rsidRPr="00903500">
              <w:rPr>
                <w:color w:val="000000" w:themeColor="text1"/>
              </w:rPr>
              <w:t> </w:t>
            </w:r>
          </w:p>
        </w:tc>
        <w:tc>
          <w:tcPr>
            <w:tcW w:w="814" w:type="pct"/>
            <w:hideMark/>
          </w:tcPr>
          <w:p w:rsidR="00900AE0" w:rsidRPr="00903500" w:rsidRDefault="00900AE0" w:rsidP="00F33887">
            <w:pPr>
              <w:contextualSpacing/>
              <w:jc w:val="right"/>
              <w:rPr>
                <w:color w:val="000000" w:themeColor="text1"/>
                <w:szCs w:val="24"/>
              </w:rPr>
            </w:pPr>
            <w:r w:rsidRPr="00903500">
              <w:rPr>
                <w:color w:val="000000" w:themeColor="text1"/>
              </w:rPr>
              <w:t> </w:t>
            </w:r>
          </w:p>
        </w:tc>
        <w:tc>
          <w:tcPr>
            <w:tcW w:w="973" w:type="pct"/>
          </w:tcPr>
          <w:p w:rsidR="00900AE0" w:rsidRPr="00903500" w:rsidRDefault="00900AE0" w:rsidP="00F33887">
            <w:pPr>
              <w:contextualSpacing/>
              <w:jc w:val="right"/>
              <w:rPr>
                <w:color w:val="000000" w:themeColor="text1"/>
                <w:szCs w:val="24"/>
              </w:rPr>
            </w:pPr>
          </w:p>
        </w:tc>
        <w:tc>
          <w:tcPr>
            <w:tcW w:w="859" w:type="pct"/>
          </w:tcPr>
          <w:p w:rsidR="00900AE0" w:rsidRPr="00903500" w:rsidRDefault="00900AE0" w:rsidP="00F33887">
            <w:pPr>
              <w:contextualSpacing/>
              <w:jc w:val="right"/>
              <w:rPr>
                <w:color w:val="000000" w:themeColor="text1"/>
                <w:szCs w:val="24"/>
              </w:rPr>
            </w:pPr>
          </w:p>
        </w:tc>
      </w:tr>
      <w:tr w:rsidR="00900AE0" w:rsidRPr="00903500" w:rsidTr="00467CDA">
        <w:trPr>
          <w:trHeight w:val="600"/>
        </w:trPr>
        <w:tc>
          <w:tcPr>
            <w:tcW w:w="1296" w:type="pct"/>
            <w:hideMark/>
          </w:tcPr>
          <w:p w:rsidR="00900AE0" w:rsidRPr="00903500" w:rsidRDefault="00900AE0" w:rsidP="00F33887">
            <w:pPr>
              <w:contextualSpacing/>
              <w:rPr>
                <w:b/>
                <w:bCs/>
                <w:color w:val="000000" w:themeColor="text1"/>
                <w:szCs w:val="24"/>
              </w:rPr>
            </w:pPr>
            <w:r w:rsidRPr="00903500">
              <w:rPr>
                <w:b/>
                <w:color w:val="000000" w:themeColor="text1"/>
              </w:rPr>
              <w:t xml:space="preserve">   celkem</w:t>
            </w:r>
          </w:p>
        </w:tc>
        <w:tc>
          <w:tcPr>
            <w:tcW w:w="1059" w:type="pct"/>
            <w:hideMark/>
          </w:tcPr>
          <w:p w:rsidR="00900AE0" w:rsidRPr="00903500" w:rsidRDefault="00900AE0" w:rsidP="00F33887">
            <w:pPr>
              <w:contextualSpacing/>
              <w:jc w:val="center"/>
              <w:rPr>
                <w:b/>
                <w:bCs/>
                <w:color w:val="000000" w:themeColor="text1"/>
                <w:szCs w:val="24"/>
              </w:rPr>
            </w:pPr>
            <w:r w:rsidRPr="00903500">
              <w:rPr>
                <w:b/>
                <w:color w:val="000000" w:themeColor="text1"/>
              </w:rPr>
              <w:t>1 016 016 948</w:t>
            </w:r>
          </w:p>
        </w:tc>
        <w:tc>
          <w:tcPr>
            <w:tcW w:w="814" w:type="pct"/>
            <w:hideMark/>
          </w:tcPr>
          <w:p w:rsidR="00900AE0" w:rsidRPr="00903500" w:rsidRDefault="00900AE0" w:rsidP="00F33887">
            <w:pPr>
              <w:contextualSpacing/>
              <w:jc w:val="center"/>
              <w:rPr>
                <w:b/>
                <w:bCs/>
                <w:color w:val="000000" w:themeColor="text1"/>
                <w:szCs w:val="24"/>
              </w:rPr>
            </w:pPr>
            <w:r w:rsidRPr="00903500">
              <w:rPr>
                <w:b/>
                <w:color w:val="000000" w:themeColor="text1"/>
              </w:rPr>
              <w:t>100 %</w:t>
            </w:r>
          </w:p>
        </w:tc>
        <w:tc>
          <w:tcPr>
            <w:tcW w:w="973" w:type="pct"/>
          </w:tcPr>
          <w:p w:rsidR="00900AE0" w:rsidRPr="00903500" w:rsidRDefault="00900AE0" w:rsidP="00F33887">
            <w:pPr>
              <w:contextualSpacing/>
              <w:jc w:val="center"/>
              <w:rPr>
                <w:b/>
                <w:bCs/>
                <w:color w:val="000000" w:themeColor="text1"/>
                <w:szCs w:val="24"/>
              </w:rPr>
            </w:pPr>
            <w:r w:rsidRPr="00903500">
              <w:rPr>
                <w:b/>
                <w:color w:val="000000" w:themeColor="text1"/>
              </w:rPr>
              <w:t>410 044 905</w:t>
            </w:r>
          </w:p>
        </w:tc>
        <w:tc>
          <w:tcPr>
            <w:tcW w:w="859" w:type="pct"/>
          </w:tcPr>
          <w:p w:rsidR="00900AE0" w:rsidRPr="00903500" w:rsidRDefault="00900AE0" w:rsidP="00F33887">
            <w:pPr>
              <w:contextualSpacing/>
              <w:jc w:val="center"/>
              <w:rPr>
                <w:b/>
                <w:bCs/>
                <w:color w:val="000000" w:themeColor="text1"/>
                <w:szCs w:val="24"/>
              </w:rPr>
            </w:pPr>
            <w:r w:rsidRPr="00903500">
              <w:rPr>
                <w:b/>
                <w:color w:val="000000" w:themeColor="text1"/>
              </w:rPr>
              <w:t>100 %</w:t>
            </w:r>
          </w:p>
        </w:tc>
      </w:tr>
    </w:tbl>
    <w:p w:rsidR="00900AE0" w:rsidRPr="00903500" w:rsidRDefault="00900AE0" w:rsidP="00F33887">
      <w:pPr>
        <w:spacing w:before="60" w:after="60"/>
        <w:ind w:left="567" w:hanging="567"/>
        <w:jc w:val="both"/>
        <w:rPr>
          <w:szCs w:val="24"/>
          <w14:textOutline w14:w="0" w14:cap="flat" w14:cmpd="sng" w14:algn="ctr">
            <w14:noFill/>
            <w14:prstDash w14:val="solid"/>
            <w14:bevel/>
          </w14:textOutline>
        </w:rPr>
      </w:pPr>
    </w:p>
    <w:p w:rsidR="00900AE0" w:rsidRPr="00903500" w:rsidRDefault="00900AE0" w:rsidP="00F33887">
      <w:pPr>
        <w:spacing w:before="60" w:after="60"/>
        <w:ind w:left="567" w:hanging="567"/>
        <w:rPr>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71</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bere na vědomí následující rozdělení zakázek udělených v letech 2022 a 2021 podle použitého typu řízení, pokud jde o jejich počet a hodnotu:</w:t>
      </w:r>
    </w:p>
    <w:p w:rsidR="00900AE0" w:rsidRPr="00903500" w:rsidRDefault="00900AE0" w:rsidP="00F33887">
      <w:pPr>
        <w:spacing w:before="60" w:after="60"/>
        <w:ind w:left="567" w:hanging="567"/>
        <w:rPr>
          <w:szCs w:val="24"/>
          <w14:textOutline w14:w="0" w14:cap="flat" w14:cmpd="sng" w14:algn="ctr">
            <w14:noFill/>
            <w14:prstDash w14:val="solid"/>
            <w14:bevel/>
          </w14:textOutline>
        </w:rPr>
      </w:pPr>
    </w:p>
    <w:tbl>
      <w:tblPr>
        <w:tblStyle w:val="TableGrid"/>
        <w:tblW w:w="5000" w:type="pct"/>
        <w:tblLook w:val="04A0" w:firstRow="1" w:lastRow="0" w:firstColumn="1" w:lastColumn="0" w:noHBand="0" w:noVBand="1"/>
      </w:tblPr>
      <w:tblGrid>
        <w:gridCol w:w="2792"/>
        <w:gridCol w:w="1328"/>
        <w:gridCol w:w="1620"/>
        <w:gridCol w:w="1678"/>
        <w:gridCol w:w="1642"/>
      </w:tblGrid>
      <w:tr w:rsidR="00900AE0" w:rsidRPr="00903500" w:rsidTr="00467CDA">
        <w:trPr>
          <w:trHeight w:val="516"/>
        </w:trPr>
        <w:tc>
          <w:tcPr>
            <w:tcW w:w="1541" w:type="pct"/>
            <w:vMerge w:val="restart"/>
            <w:hideMark/>
          </w:tcPr>
          <w:p w:rsidR="00900AE0" w:rsidRPr="00903500" w:rsidRDefault="00900AE0" w:rsidP="00F33887">
            <w:pPr>
              <w:jc w:val="center"/>
              <w:rPr>
                <w:b/>
                <w:bCs/>
                <w:color w:val="000000" w:themeColor="text1"/>
                <w:szCs w:val="24"/>
              </w:rPr>
            </w:pPr>
            <w:r w:rsidRPr="00903500">
              <w:rPr>
                <w:b/>
                <w:color w:val="000000" w:themeColor="text1"/>
              </w:rPr>
              <w:t xml:space="preserve">Typ řízení </w:t>
            </w:r>
          </w:p>
        </w:tc>
        <w:tc>
          <w:tcPr>
            <w:tcW w:w="1627" w:type="pct"/>
            <w:gridSpan w:val="2"/>
            <w:vMerge w:val="restart"/>
            <w:hideMark/>
          </w:tcPr>
          <w:p w:rsidR="00900AE0" w:rsidRPr="00903500" w:rsidRDefault="00900AE0" w:rsidP="00F33887">
            <w:pPr>
              <w:jc w:val="center"/>
              <w:rPr>
                <w:b/>
                <w:bCs/>
                <w:color w:val="000000" w:themeColor="text1"/>
                <w:szCs w:val="24"/>
              </w:rPr>
            </w:pPr>
            <w:r w:rsidRPr="00903500">
              <w:rPr>
                <w:b/>
                <w:color w:val="000000" w:themeColor="text1"/>
              </w:rPr>
              <w:t>2021</w:t>
            </w:r>
          </w:p>
        </w:tc>
        <w:tc>
          <w:tcPr>
            <w:tcW w:w="1832" w:type="pct"/>
            <w:gridSpan w:val="2"/>
            <w:vMerge w:val="restart"/>
            <w:hideMark/>
          </w:tcPr>
          <w:p w:rsidR="00900AE0" w:rsidRPr="00903500" w:rsidRDefault="00900AE0" w:rsidP="00F33887">
            <w:pPr>
              <w:jc w:val="center"/>
              <w:rPr>
                <w:b/>
                <w:bCs/>
                <w:color w:val="000000" w:themeColor="text1"/>
                <w:szCs w:val="24"/>
              </w:rPr>
            </w:pPr>
            <w:r w:rsidRPr="00903500">
              <w:rPr>
                <w:b/>
                <w:color w:val="000000" w:themeColor="text1"/>
              </w:rPr>
              <w:t>2022</w:t>
            </w:r>
          </w:p>
        </w:tc>
      </w:tr>
      <w:tr w:rsidR="00900AE0" w:rsidRPr="00903500" w:rsidTr="00467CDA">
        <w:trPr>
          <w:trHeight w:val="396"/>
        </w:trPr>
        <w:tc>
          <w:tcPr>
            <w:tcW w:w="1541" w:type="pct"/>
            <w:vMerge/>
            <w:hideMark/>
          </w:tcPr>
          <w:p w:rsidR="00900AE0" w:rsidRPr="00903500" w:rsidRDefault="00900AE0" w:rsidP="00F33887">
            <w:pPr>
              <w:rPr>
                <w:b/>
                <w:bCs/>
                <w:color w:val="000000" w:themeColor="text1"/>
                <w:szCs w:val="24"/>
              </w:rPr>
            </w:pPr>
          </w:p>
        </w:tc>
        <w:tc>
          <w:tcPr>
            <w:tcW w:w="1627" w:type="pct"/>
            <w:gridSpan w:val="2"/>
            <w:vMerge/>
            <w:hideMark/>
          </w:tcPr>
          <w:p w:rsidR="00900AE0" w:rsidRPr="00903500" w:rsidRDefault="00900AE0" w:rsidP="00F33887">
            <w:pPr>
              <w:rPr>
                <w:b/>
                <w:bCs/>
                <w:color w:val="000000" w:themeColor="text1"/>
                <w:szCs w:val="24"/>
              </w:rPr>
            </w:pPr>
          </w:p>
        </w:tc>
        <w:tc>
          <w:tcPr>
            <w:tcW w:w="1832" w:type="pct"/>
            <w:gridSpan w:val="2"/>
            <w:vMerge/>
            <w:hideMark/>
          </w:tcPr>
          <w:p w:rsidR="00900AE0" w:rsidRPr="00903500" w:rsidRDefault="00900AE0" w:rsidP="00F33887">
            <w:pPr>
              <w:rPr>
                <w:b/>
                <w:bCs/>
                <w:color w:val="000000" w:themeColor="text1"/>
                <w:szCs w:val="24"/>
              </w:rPr>
            </w:pPr>
          </w:p>
        </w:tc>
      </w:tr>
      <w:tr w:rsidR="00900AE0" w:rsidRPr="00903500" w:rsidTr="00467CDA">
        <w:trPr>
          <w:trHeight w:val="315"/>
        </w:trPr>
        <w:tc>
          <w:tcPr>
            <w:tcW w:w="1541" w:type="pct"/>
            <w:vMerge/>
            <w:hideMark/>
          </w:tcPr>
          <w:p w:rsidR="00900AE0" w:rsidRPr="00903500" w:rsidRDefault="00900AE0" w:rsidP="00F33887">
            <w:pPr>
              <w:rPr>
                <w:b/>
                <w:bCs/>
                <w:color w:val="000000" w:themeColor="text1"/>
                <w:szCs w:val="24"/>
              </w:rPr>
            </w:pPr>
          </w:p>
        </w:tc>
        <w:tc>
          <w:tcPr>
            <w:tcW w:w="733" w:type="pct"/>
            <w:hideMark/>
          </w:tcPr>
          <w:p w:rsidR="00900AE0" w:rsidRPr="00903500" w:rsidRDefault="00900AE0" w:rsidP="00F33887">
            <w:pPr>
              <w:jc w:val="center"/>
              <w:rPr>
                <w:b/>
                <w:bCs/>
                <w:color w:val="000000" w:themeColor="text1"/>
                <w:szCs w:val="24"/>
              </w:rPr>
            </w:pPr>
            <w:r w:rsidRPr="00903500">
              <w:rPr>
                <w:b/>
                <w:color w:val="000000" w:themeColor="text1"/>
              </w:rPr>
              <w:t>počet</w:t>
            </w:r>
          </w:p>
        </w:tc>
        <w:tc>
          <w:tcPr>
            <w:tcW w:w="894" w:type="pct"/>
            <w:hideMark/>
          </w:tcPr>
          <w:p w:rsidR="00900AE0" w:rsidRPr="00903500" w:rsidRDefault="00900AE0" w:rsidP="00F33887">
            <w:pPr>
              <w:jc w:val="center"/>
              <w:rPr>
                <w:b/>
                <w:bCs/>
                <w:color w:val="000000" w:themeColor="text1"/>
                <w:szCs w:val="24"/>
              </w:rPr>
            </w:pPr>
            <w:r w:rsidRPr="00903500">
              <w:rPr>
                <w:b/>
                <w:color w:val="000000" w:themeColor="text1"/>
              </w:rPr>
              <w:t>procentní podíl</w:t>
            </w:r>
          </w:p>
        </w:tc>
        <w:tc>
          <w:tcPr>
            <w:tcW w:w="926" w:type="pct"/>
            <w:hideMark/>
          </w:tcPr>
          <w:p w:rsidR="00900AE0" w:rsidRPr="00903500" w:rsidRDefault="00900AE0" w:rsidP="00F33887">
            <w:pPr>
              <w:jc w:val="center"/>
              <w:rPr>
                <w:b/>
                <w:bCs/>
                <w:color w:val="000000" w:themeColor="text1"/>
                <w:szCs w:val="24"/>
              </w:rPr>
            </w:pPr>
            <w:r w:rsidRPr="00903500">
              <w:rPr>
                <w:b/>
                <w:color w:val="000000" w:themeColor="text1"/>
              </w:rPr>
              <w:t>počet</w:t>
            </w:r>
          </w:p>
        </w:tc>
        <w:tc>
          <w:tcPr>
            <w:tcW w:w="906" w:type="pct"/>
            <w:hideMark/>
          </w:tcPr>
          <w:p w:rsidR="00900AE0" w:rsidRPr="00903500" w:rsidRDefault="00900AE0" w:rsidP="00F33887">
            <w:pPr>
              <w:jc w:val="center"/>
              <w:rPr>
                <w:b/>
                <w:bCs/>
                <w:color w:val="000000" w:themeColor="text1"/>
                <w:szCs w:val="24"/>
              </w:rPr>
            </w:pPr>
            <w:r w:rsidRPr="00903500">
              <w:rPr>
                <w:b/>
                <w:color w:val="000000" w:themeColor="text1"/>
              </w:rPr>
              <w:t>procentní podíl</w:t>
            </w:r>
          </w:p>
        </w:tc>
      </w:tr>
      <w:tr w:rsidR="00900AE0" w:rsidRPr="00903500" w:rsidTr="00467CDA">
        <w:trPr>
          <w:trHeight w:val="300"/>
        </w:trPr>
        <w:tc>
          <w:tcPr>
            <w:tcW w:w="1541" w:type="pct"/>
            <w:hideMark/>
          </w:tcPr>
          <w:p w:rsidR="00900AE0" w:rsidRPr="00903500" w:rsidRDefault="00900AE0" w:rsidP="00F33887">
            <w:pPr>
              <w:rPr>
                <w:color w:val="000000" w:themeColor="text1"/>
                <w:szCs w:val="24"/>
              </w:rPr>
            </w:pPr>
            <w:r w:rsidRPr="00903500">
              <w:rPr>
                <w:color w:val="000000" w:themeColor="text1"/>
              </w:rPr>
              <w:t> </w:t>
            </w:r>
          </w:p>
        </w:tc>
        <w:tc>
          <w:tcPr>
            <w:tcW w:w="733" w:type="pct"/>
            <w:hideMark/>
          </w:tcPr>
          <w:p w:rsidR="00900AE0" w:rsidRPr="00903500" w:rsidRDefault="00900AE0" w:rsidP="00F33887">
            <w:pPr>
              <w:rPr>
                <w:color w:val="000000" w:themeColor="text1"/>
                <w:szCs w:val="24"/>
              </w:rPr>
            </w:pPr>
            <w:r w:rsidRPr="00903500">
              <w:rPr>
                <w:color w:val="000000" w:themeColor="text1"/>
              </w:rPr>
              <w:t> </w:t>
            </w:r>
          </w:p>
        </w:tc>
        <w:tc>
          <w:tcPr>
            <w:tcW w:w="894" w:type="pct"/>
            <w:hideMark/>
          </w:tcPr>
          <w:p w:rsidR="00900AE0" w:rsidRPr="00903500" w:rsidRDefault="00900AE0" w:rsidP="00F33887">
            <w:pPr>
              <w:rPr>
                <w:color w:val="000000" w:themeColor="text1"/>
                <w:szCs w:val="24"/>
              </w:rPr>
            </w:pPr>
            <w:r w:rsidRPr="00903500">
              <w:rPr>
                <w:color w:val="000000" w:themeColor="text1"/>
              </w:rPr>
              <w:t> </w:t>
            </w:r>
          </w:p>
        </w:tc>
        <w:tc>
          <w:tcPr>
            <w:tcW w:w="926" w:type="pct"/>
            <w:hideMark/>
          </w:tcPr>
          <w:p w:rsidR="00900AE0" w:rsidRPr="00903500" w:rsidRDefault="00900AE0" w:rsidP="00F33887">
            <w:pPr>
              <w:rPr>
                <w:color w:val="000000" w:themeColor="text1"/>
                <w:szCs w:val="24"/>
              </w:rPr>
            </w:pPr>
            <w:r w:rsidRPr="00903500">
              <w:rPr>
                <w:color w:val="000000" w:themeColor="text1"/>
              </w:rPr>
              <w:t> </w:t>
            </w:r>
          </w:p>
        </w:tc>
        <w:tc>
          <w:tcPr>
            <w:tcW w:w="906" w:type="pct"/>
            <w:hideMark/>
          </w:tcPr>
          <w:p w:rsidR="00900AE0" w:rsidRPr="00903500" w:rsidRDefault="00900AE0" w:rsidP="00F33887">
            <w:pPr>
              <w:rPr>
                <w:color w:val="000000" w:themeColor="text1"/>
                <w:szCs w:val="24"/>
              </w:rPr>
            </w:pPr>
            <w:r w:rsidRPr="00903500">
              <w:rPr>
                <w:color w:val="000000" w:themeColor="text1"/>
              </w:rPr>
              <w:t>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otevřené řízení</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78</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35 %</w:t>
            </w:r>
          </w:p>
        </w:tc>
        <w:tc>
          <w:tcPr>
            <w:tcW w:w="926" w:type="pct"/>
          </w:tcPr>
          <w:p w:rsidR="00900AE0" w:rsidRPr="00903500" w:rsidRDefault="00900AE0" w:rsidP="00F33887">
            <w:pPr>
              <w:jc w:val="center"/>
              <w:rPr>
                <w:color w:val="000000" w:themeColor="text1"/>
                <w:szCs w:val="24"/>
              </w:rPr>
            </w:pPr>
            <w:r w:rsidRPr="00903500">
              <w:rPr>
                <w:color w:val="000000" w:themeColor="text1"/>
              </w:rPr>
              <w:t>63</w:t>
            </w:r>
          </w:p>
        </w:tc>
        <w:tc>
          <w:tcPr>
            <w:tcW w:w="906" w:type="pct"/>
          </w:tcPr>
          <w:p w:rsidR="00900AE0" w:rsidRPr="00903500" w:rsidRDefault="00900AE0" w:rsidP="00F33887">
            <w:pPr>
              <w:jc w:val="center"/>
              <w:rPr>
                <w:color w:val="000000" w:themeColor="text1"/>
                <w:szCs w:val="24"/>
              </w:rPr>
            </w:pPr>
            <w:r w:rsidRPr="00903500">
              <w:rPr>
                <w:color w:val="000000" w:themeColor="text1"/>
              </w:rPr>
              <w:t>32,5 %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jednací řízení</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135</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61 %</w:t>
            </w:r>
          </w:p>
        </w:tc>
        <w:tc>
          <w:tcPr>
            <w:tcW w:w="926" w:type="pct"/>
          </w:tcPr>
          <w:p w:rsidR="00900AE0" w:rsidRPr="00903500" w:rsidRDefault="00900AE0" w:rsidP="00F33887">
            <w:pPr>
              <w:jc w:val="center"/>
              <w:rPr>
                <w:color w:val="000000" w:themeColor="text1"/>
                <w:szCs w:val="24"/>
              </w:rPr>
            </w:pPr>
            <w:r w:rsidRPr="00903500">
              <w:rPr>
                <w:color w:val="000000" w:themeColor="text1"/>
              </w:rPr>
              <w:t>126</w:t>
            </w:r>
          </w:p>
        </w:tc>
        <w:tc>
          <w:tcPr>
            <w:tcW w:w="906" w:type="pct"/>
          </w:tcPr>
          <w:p w:rsidR="00900AE0" w:rsidRPr="00903500" w:rsidRDefault="00900AE0" w:rsidP="00F33887">
            <w:pPr>
              <w:jc w:val="center"/>
              <w:rPr>
                <w:color w:val="000000" w:themeColor="text1"/>
                <w:szCs w:val="24"/>
              </w:rPr>
            </w:pPr>
            <w:r w:rsidRPr="00903500">
              <w:rPr>
                <w:color w:val="000000" w:themeColor="text1"/>
              </w:rPr>
              <w:t>65 %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užší řízení</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2</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1 %</w:t>
            </w:r>
          </w:p>
        </w:tc>
        <w:tc>
          <w:tcPr>
            <w:tcW w:w="926" w:type="pct"/>
          </w:tcPr>
          <w:p w:rsidR="00900AE0" w:rsidRPr="00903500" w:rsidRDefault="00900AE0" w:rsidP="00F33887">
            <w:pPr>
              <w:jc w:val="center"/>
              <w:rPr>
                <w:color w:val="000000" w:themeColor="text1"/>
                <w:szCs w:val="24"/>
              </w:rPr>
            </w:pPr>
            <w:r w:rsidRPr="00903500">
              <w:rPr>
                <w:color w:val="000000" w:themeColor="text1"/>
              </w:rPr>
              <w:t>1</w:t>
            </w:r>
          </w:p>
        </w:tc>
        <w:tc>
          <w:tcPr>
            <w:tcW w:w="906" w:type="pct"/>
          </w:tcPr>
          <w:p w:rsidR="00900AE0" w:rsidRPr="00903500" w:rsidRDefault="00900AE0" w:rsidP="00F33887">
            <w:pPr>
              <w:jc w:val="center"/>
              <w:rPr>
                <w:color w:val="000000" w:themeColor="text1"/>
                <w:szCs w:val="24"/>
              </w:rPr>
            </w:pPr>
            <w:r w:rsidRPr="00903500">
              <w:rPr>
                <w:color w:val="000000" w:themeColor="text1"/>
              </w:rPr>
              <w:t>0,5 %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výjimečné řízení</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2</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1 %</w:t>
            </w:r>
          </w:p>
        </w:tc>
        <w:tc>
          <w:tcPr>
            <w:tcW w:w="926" w:type="pct"/>
          </w:tcPr>
          <w:p w:rsidR="00900AE0" w:rsidRPr="00903500" w:rsidRDefault="00900AE0" w:rsidP="00F33887">
            <w:pPr>
              <w:jc w:val="center"/>
              <w:rPr>
                <w:color w:val="000000" w:themeColor="text1"/>
                <w:szCs w:val="24"/>
              </w:rPr>
            </w:pPr>
            <w:r w:rsidRPr="00903500">
              <w:rPr>
                <w:color w:val="000000" w:themeColor="text1"/>
              </w:rPr>
              <w:t>1</w:t>
            </w:r>
          </w:p>
        </w:tc>
        <w:tc>
          <w:tcPr>
            <w:tcW w:w="906" w:type="pct"/>
          </w:tcPr>
          <w:p w:rsidR="00900AE0" w:rsidRPr="00903500" w:rsidRDefault="00900AE0" w:rsidP="00F33887">
            <w:pPr>
              <w:jc w:val="center"/>
              <w:rPr>
                <w:color w:val="000000" w:themeColor="text1"/>
                <w:szCs w:val="24"/>
              </w:rPr>
            </w:pPr>
            <w:r w:rsidRPr="00903500">
              <w:rPr>
                <w:color w:val="000000" w:themeColor="text1"/>
              </w:rPr>
              <w:t>0,5 %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seznam dle výzvy k vyjádření zájmu</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2</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1 %</w:t>
            </w:r>
          </w:p>
        </w:tc>
        <w:tc>
          <w:tcPr>
            <w:tcW w:w="926" w:type="pct"/>
          </w:tcPr>
          <w:p w:rsidR="00900AE0" w:rsidRPr="00903500" w:rsidRDefault="00900AE0" w:rsidP="00F33887">
            <w:pPr>
              <w:jc w:val="center"/>
              <w:rPr>
                <w:color w:val="000000" w:themeColor="text1"/>
                <w:szCs w:val="24"/>
              </w:rPr>
            </w:pPr>
            <w:r w:rsidRPr="00903500">
              <w:rPr>
                <w:color w:val="000000" w:themeColor="text1"/>
              </w:rPr>
              <w:t>1</w:t>
            </w:r>
          </w:p>
        </w:tc>
        <w:tc>
          <w:tcPr>
            <w:tcW w:w="906" w:type="pct"/>
          </w:tcPr>
          <w:p w:rsidR="00900AE0" w:rsidRPr="00903500" w:rsidRDefault="00900AE0" w:rsidP="00F33887">
            <w:pPr>
              <w:jc w:val="center"/>
              <w:rPr>
                <w:color w:val="000000" w:themeColor="text1"/>
                <w:szCs w:val="24"/>
              </w:rPr>
            </w:pPr>
            <w:r w:rsidRPr="00903500">
              <w:rPr>
                <w:color w:val="000000" w:themeColor="text1"/>
              </w:rPr>
              <w:t>0,5 %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dynamický nákupní systém</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1</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0,5 %</w:t>
            </w:r>
          </w:p>
        </w:tc>
        <w:tc>
          <w:tcPr>
            <w:tcW w:w="926" w:type="pct"/>
          </w:tcPr>
          <w:p w:rsidR="00900AE0" w:rsidRPr="00903500" w:rsidRDefault="00900AE0" w:rsidP="00F33887">
            <w:pPr>
              <w:jc w:val="center"/>
              <w:rPr>
                <w:color w:val="000000" w:themeColor="text1"/>
                <w:szCs w:val="24"/>
              </w:rPr>
            </w:pPr>
            <w:r w:rsidRPr="00903500">
              <w:rPr>
                <w:color w:val="000000" w:themeColor="text1"/>
              </w:rPr>
              <w:t>0</w:t>
            </w:r>
          </w:p>
        </w:tc>
        <w:tc>
          <w:tcPr>
            <w:tcW w:w="906" w:type="pct"/>
          </w:tcPr>
          <w:p w:rsidR="00900AE0" w:rsidRPr="00903500" w:rsidRDefault="00900AE0" w:rsidP="00F33887">
            <w:pPr>
              <w:jc w:val="center"/>
              <w:rPr>
                <w:color w:val="000000" w:themeColor="text1"/>
                <w:szCs w:val="24"/>
              </w:rPr>
            </w:pPr>
            <w:r w:rsidRPr="00903500">
              <w:rPr>
                <w:color w:val="000000" w:themeColor="text1"/>
              </w:rPr>
              <w:t>0 %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t>inovační partnerství</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0</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0 %</w:t>
            </w:r>
          </w:p>
        </w:tc>
        <w:tc>
          <w:tcPr>
            <w:tcW w:w="926" w:type="pct"/>
          </w:tcPr>
          <w:p w:rsidR="00900AE0" w:rsidRPr="00903500" w:rsidRDefault="00900AE0" w:rsidP="00F33887">
            <w:pPr>
              <w:jc w:val="center"/>
              <w:rPr>
                <w:color w:val="000000" w:themeColor="text1"/>
                <w:szCs w:val="24"/>
              </w:rPr>
            </w:pPr>
            <w:r w:rsidRPr="00903500">
              <w:rPr>
                <w:color w:val="000000" w:themeColor="text1"/>
              </w:rPr>
              <w:t>0</w:t>
            </w:r>
          </w:p>
        </w:tc>
        <w:tc>
          <w:tcPr>
            <w:tcW w:w="906" w:type="pct"/>
          </w:tcPr>
          <w:p w:rsidR="00900AE0" w:rsidRPr="00903500" w:rsidRDefault="00900AE0" w:rsidP="00F33887">
            <w:pPr>
              <w:jc w:val="center"/>
              <w:rPr>
                <w:color w:val="000000" w:themeColor="text1"/>
                <w:szCs w:val="24"/>
              </w:rPr>
            </w:pPr>
            <w:r w:rsidRPr="00903500">
              <w:rPr>
                <w:color w:val="000000" w:themeColor="text1"/>
              </w:rPr>
              <w:t>0 %</w:t>
            </w:r>
          </w:p>
        </w:tc>
      </w:tr>
      <w:tr w:rsidR="00900AE0" w:rsidRPr="00903500" w:rsidTr="00467CDA">
        <w:trPr>
          <w:trHeight w:val="300"/>
        </w:trPr>
        <w:tc>
          <w:tcPr>
            <w:tcW w:w="1541" w:type="pct"/>
            <w:hideMark/>
          </w:tcPr>
          <w:p w:rsidR="00900AE0" w:rsidRPr="00903500" w:rsidRDefault="00900AE0" w:rsidP="00F33887">
            <w:pPr>
              <w:ind w:firstLineChars="100" w:firstLine="240"/>
              <w:rPr>
                <w:color w:val="000000" w:themeColor="text1"/>
                <w:szCs w:val="24"/>
              </w:rPr>
            </w:pPr>
            <w:r w:rsidRPr="00903500">
              <w:rPr>
                <w:color w:val="000000" w:themeColor="text1"/>
              </w:rPr>
              <w:lastRenderedPageBreak/>
              <w:t>zrychlené OP</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1</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0,5 %</w:t>
            </w:r>
          </w:p>
        </w:tc>
        <w:tc>
          <w:tcPr>
            <w:tcW w:w="926" w:type="pct"/>
          </w:tcPr>
          <w:p w:rsidR="00900AE0" w:rsidRPr="00903500" w:rsidRDefault="00900AE0" w:rsidP="00F33887">
            <w:pPr>
              <w:jc w:val="center"/>
              <w:rPr>
                <w:color w:val="000000" w:themeColor="text1"/>
                <w:szCs w:val="24"/>
              </w:rPr>
            </w:pPr>
            <w:r w:rsidRPr="00903500">
              <w:rPr>
                <w:color w:val="000000" w:themeColor="text1"/>
              </w:rPr>
              <w:t>1</w:t>
            </w:r>
          </w:p>
        </w:tc>
        <w:tc>
          <w:tcPr>
            <w:tcW w:w="906" w:type="pct"/>
          </w:tcPr>
          <w:p w:rsidR="00900AE0" w:rsidRPr="00903500" w:rsidRDefault="00900AE0" w:rsidP="00F33887">
            <w:pPr>
              <w:jc w:val="center"/>
              <w:rPr>
                <w:color w:val="000000" w:themeColor="text1"/>
                <w:szCs w:val="24"/>
              </w:rPr>
            </w:pPr>
            <w:r w:rsidRPr="00903500">
              <w:rPr>
                <w:color w:val="000000" w:themeColor="text1"/>
              </w:rPr>
              <w:t>0,5 %</w:t>
            </w:r>
          </w:p>
        </w:tc>
      </w:tr>
      <w:tr w:rsidR="00900AE0" w:rsidRPr="00903500" w:rsidTr="00467CDA">
        <w:trPr>
          <w:trHeight w:val="315"/>
        </w:trPr>
        <w:tc>
          <w:tcPr>
            <w:tcW w:w="1541" w:type="pct"/>
            <w:hideMark/>
          </w:tcPr>
          <w:p w:rsidR="00900AE0" w:rsidRPr="00903500" w:rsidRDefault="00900AE0" w:rsidP="00F33887">
            <w:pPr>
              <w:rPr>
                <w:color w:val="000000" w:themeColor="text1"/>
                <w:szCs w:val="24"/>
              </w:rPr>
            </w:pPr>
            <w:r w:rsidRPr="00903500">
              <w:rPr>
                <w:color w:val="000000" w:themeColor="text1"/>
              </w:rPr>
              <w:t xml:space="preserve">    soutěž o návrh</w:t>
            </w:r>
          </w:p>
        </w:tc>
        <w:tc>
          <w:tcPr>
            <w:tcW w:w="733" w:type="pct"/>
            <w:hideMark/>
          </w:tcPr>
          <w:p w:rsidR="00900AE0" w:rsidRPr="00903500" w:rsidRDefault="00900AE0" w:rsidP="00F33887">
            <w:pPr>
              <w:jc w:val="center"/>
              <w:rPr>
                <w:color w:val="000000" w:themeColor="text1"/>
                <w:szCs w:val="24"/>
              </w:rPr>
            </w:pPr>
            <w:r w:rsidRPr="00903500">
              <w:rPr>
                <w:color w:val="000000" w:themeColor="text1"/>
              </w:rPr>
              <w:t>0</w:t>
            </w:r>
          </w:p>
        </w:tc>
        <w:tc>
          <w:tcPr>
            <w:tcW w:w="894" w:type="pct"/>
            <w:hideMark/>
          </w:tcPr>
          <w:p w:rsidR="00900AE0" w:rsidRPr="00903500" w:rsidRDefault="00900AE0" w:rsidP="00F33887">
            <w:pPr>
              <w:jc w:val="center"/>
              <w:rPr>
                <w:color w:val="000000" w:themeColor="text1"/>
                <w:szCs w:val="24"/>
              </w:rPr>
            </w:pPr>
            <w:r w:rsidRPr="00903500">
              <w:rPr>
                <w:color w:val="000000" w:themeColor="text1"/>
              </w:rPr>
              <w:t>0 %</w:t>
            </w:r>
          </w:p>
        </w:tc>
        <w:tc>
          <w:tcPr>
            <w:tcW w:w="926" w:type="pct"/>
          </w:tcPr>
          <w:p w:rsidR="00900AE0" w:rsidRPr="00903500" w:rsidRDefault="00900AE0" w:rsidP="00F33887">
            <w:pPr>
              <w:jc w:val="center"/>
              <w:rPr>
                <w:color w:val="000000" w:themeColor="text1"/>
                <w:szCs w:val="24"/>
              </w:rPr>
            </w:pPr>
            <w:r w:rsidRPr="00903500">
              <w:rPr>
                <w:color w:val="000000" w:themeColor="text1"/>
              </w:rPr>
              <w:t>1</w:t>
            </w:r>
          </w:p>
        </w:tc>
        <w:tc>
          <w:tcPr>
            <w:tcW w:w="906" w:type="pct"/>
          </w:tcPr>
          <w:p w:rsidR="00900AE0" w:rsidRPr="00903500" w:rsidRDefault="00900AE0" w:rsidP="00F33887">
            <w:pPr>
              <w:jc w:val="center"/>
              <w:rPr>
                <w:color w:val="000000" w:themeColor="text1"/>
                <w:szCs w:val="24"/>
              </w:rPr>
            </w:pPr>
            <w:r w:rsidRPr="00903500">
              <w:rPr>
                <w:color w:val="000000" w:themeColor="text1"/>
              </w:rPr>
              <w:t>0,5 %</w:t>
            </w:r>
          </w:p>
        </w:tc>
      </w:tr>
      <w:tr w:rsidR="00900AE0" w:rsidRPr="00903500" w:rsidTr="00467CDA">
        <w:trPr>
          <w:trHeight w:val="600"/>
        </w:trPr>
        <w:tc>
          <w:tcPr>
            <w:tcW w:w="1541" w:type="pct"/>
            <w:hideMark/>
          </w:tcPr>
          <w:p w:rsidR="00900AE0" w:rsidRPr="00903500" w:rsidRDefault="00900AE0" w:rsidP="00F33887">
            <w:pPr>
              <w:rPr>
                <w:b/>
                <w:bCs/>
                <w:color w:val="000000" w:themeColor="text1"/>
                <w:szCs w:val="24"/>
              </w:rPr>
            </w:pPr>
            <w:r w:rsidRPr="00903500">
              <w:rPr>
                <w:b/>
                <w:color w:val="000000" w:themeColor="text1"/>
              </w:rPr>
              <w:t xml:space="preserve">   celkem</w:t>
            </w:r>
          </w:p>
        </w:tc>
        <w:tc>
          <w:tcPr>
            <w:tcW w:w="733" w:type="pct"/>
            <w:hideMark/>
          </w:tcPr>
          <w:p w:rsidR="00900AE0" w:rsidRPr="00903500" w:rsidRDefault="00900AE0" w:rsidP="00F33887">
            <w:pPr>
              <w:jc w:val="center"/>
              <w:rPr>
                <w:b/>
                <w:bCs/>
                <w:color w:val="000000" w:themeColor="text1"/>
                <w:szCs w:val="24"/>
              </w:rPr>
            </w:pPr>
            <w:r w:rsidRPr="00903500">
              <w:rPr>
                <w:b/>
                <w:color w:val="000000" w:themeColor="text1"/>
              </w:rPr>
              <w:t>221</w:t>
            </w:r>
          </w:p>
        </w:tc>
        <w:tc>
          <w:tcPr>
            <w:tcW w:w="894" w:type="pct"/>
            <w:hideMark/>
          </w:tcPr>
          <w:p w:rsidR="00900AE0" w:rsidRPr="00903500" w:rsidRDefault="00900AE0" w:rsidP="00F33887">
            <w:pPr>
              <w:jc w:val="center"/>
              <w:rPr>
                <w:b/>
                <w:bCs/>
                <w:color w:val="000000" w:themeColor="text1"/>
                <w:szCs w:val="24"/>
              </w:rPr>
            </w:pPr>
            <w:r w:rsidRPr="00903500">
              <w:rPr>
                <w:b/>
                <w:color w:val="000000" w:themeColor="text1"/>
              </w:rPr>
              <w:t>100 %</w:t>
            </w:r>
          </w:p>
        </w:tc>
        <w:tc>
          <w:tcPr>
            <w:tcW w:w="926" w:type="pct"/>
          </w:tcPr>
          <w:p w:rsidR="00900AE0" w:rsidRPr="00903500" w:rsidRDefault="00900AE0" w:rsidP="00F33887">
            <w:pPr>
              <w:jc w:val="center"/>
              <w:rPr>
                <w:b/>
                <w:bCs/>
                <w:color w:val="000000" w:themeColor="text1"/>
                <w:szCs w:val="24"/>
              </w:rPr>
            </w:pPr>
            <w:r w:rsidRPr="00903500">
              <w:rPr>
                <w:b/>
                <w:color w:val="000000" w:themeColor="text1"/>
              </w:rPr>
              <w:t>194</w:t>
            </w:r>
          </w:p>
        </w:tc>
        <w:tc>
          <w:tcPr>
            <w:tcW w:w="906" w:type="pct"/>
          </w:tcPr>
          <w:p w:rsidR="00900AE0" w:rsidRPr="00903500" w:rsidRDefault="00900AE0" w:rsidP="00F33887">
            <w:pPr>
              <w:jc w:val="center"/>
              <w:rPr>
                <w:b/>
                <w:bCs/>
                <w:color w:val="000000" w:themeColor="text1"/>
                <w:szCs w:val="24"/>
              </w:rPr>
            </w:pPr>
            <w:r w:rsidRPr="00903500">
              <w:rPr>
                <w:b/>
                <w:color w:val="000000" w:themeColor="text1"/>
              </w:rPr>
              <w:t>100 %</w:t>
            </w:r>
          </w:p>
        </w:tc>
      </w:tr>
    </w:tbl>
    <w:p w:rsidR="00900AE0" w:rsidRPr="00903500" w:rsidRDefault="00900AE0" w:rsidP="00AA742C">
      <w:pPr>
        <w:spacing w:after="240"/>
        <w:rPr>
          <w:noProof/>
        </w:rPr>
      </w:pPr>
    </w:p>
    <w:p w:rsidR="00900AE0" w:rsidRPr="00903500" w:rsidRDefault="00900AE0" w:rsidP="00AA742C">
      <w:pPr>
        <w:spacing w:after="240"/>
        <w:jc w:val="both"/>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Politické skupiny (rozpočtová položka 400)</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72</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prostředky zapsané do rozpočtové položky 400 a přidělené politickým skupinám a nezařazeným poslancům byly v roce 2022 využity následovně</w:t>
      </w:r>
      <w:r w:rsidRPr="00903500">
        <w:rPr>
          <w:rStyle w:val="FootnoteReference"/>
          <w:szCs w:val="24"/>
        </w:rPr>
        <w:footnoteReference w:id="14"/>
      </w:r>
      <w:r w:rsidRPr="00903500">
        <w:rPr>
          <w14:textOutline w14:w="0" w14:cap="flat" w14:cmpd="sng" w14:algn="ctr">
            <w14:noFill/>
            <w14:prstDash w14:val="solid"/>
            <w14:bevel/>
          </w14:textOutline>
        </w:rPr>
        <w:t>:</w:t>
      </w:r>
    </w:p>
    <w:p w:rsidR="00900AE0" w:rsidRPr="00903500" w:rsidRDefault="00900AE0" w:rsidP="00AA742C">
      <w:pPr>
        <w:widowControl/>
        <w:spacing w:after="240"/>
        <w:rPr>
          <w:noProof/>
        </w:rPr>
      </w:pPr>
      <w:r w:rsidRPr="00903500">
        <w:br w:type="page"/>
      </w:r>
    </w:p>
    <w:p w:rsidR="00900AE0" w:rsidRPr="00903500" w:rsidRDefault="00900AE0" w:rsidP="00AA742C">
      <w:pPr>
        <w:spacing w:after="240"/>
        <w:rPr>
          <w:noProof/>
        </w:rPr>
        <w:sectPr w:rsidR="00900AE0" w:rsidRPr="00903500" w:rsidSect="00903500">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900AE0" w:rsidRPr="00903500" w:rsidTr="00467CDA">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lastRenderedPageBreak/>
              <w:t>Skupina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900AE0" w:rsidRPr="00903500" w:rsidRDefault="00900AE0" w:rsidP="00AA742C">
            <w:pPr>
              <w:widowControl/>
              <w:spacing w:after="240"/>
              <w:jc w:val="center"/>
              <w:rPr>
                <w:color w:val="000000"/>
                <w:sz w:val="18"/>
                <w:szCs w:val="18"/>
              </w:rPr>
            </w:pPr>
            <w:r w:rsidRPr="00903500">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900AE0" w:rsidRPr="00903500" w:rsidRDefault="00900AE0" w:rsidP="00AA742C">
            <w:pPr>
              <w:widowControl/>
              <w:spacing w:after="240"/>
              <w:jc w:val="center"/>
              <w:rPr>
                <w:color w:val="000000"/>
                <w:sz w:val="18"/>
                <w:szCs w:val="18"/>
              </w:rPr>
            </w:pPr>
            <w:r w:rsidRPr="00903500">
              <w:rPr>
                <w:color w:val="000000"/>
                <w:sz w:val="18"/>
              </w:rPr>
              <w:t>2021</w:t>
            </w:r>
          </w:p>
        </w:tc>
      </w:tr>
      <w:tr w:rsidR="00900AE0" w:rsidRPr="00903500" w:rsidTr="00467CDA">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900AE0" w:rsidRPr="00903500" w:rsidRDefault="00900AE0" w:rsidP="00AA742C">
            <w:pPr>
              <w:widowControl/>
              <w:spacing w:after="240"/>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roční prostředky</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vlastní zdroje a přenesené prostředky</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výdaje</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míra využití ročních prostředků</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prostředky přenesené do dalšího období</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roční prostředky</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vlastní zdroje a přenesené prostředky</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výdaje</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míra využití ročních prostředků</w:t>
            </w:r>
          </w:p>
        </w:tc>
        <w:tc>
          <w:tcPr>
            <w:tcW w:w="412" w:type="pct"/>
            <w:tcBorders>
              <w:top w:val="nil"/>
              <w:left w:val="nil"/>
              <w:bottom w:val="single" w:sz="8" w:space="0" w:color="auto"/>
              <w:right w:val="single" w:sz="8" w:space="0" w:color="auto"/>
            </w:tcBorders>
            <w:shd w:val="clear" w:color="auto" w:fill="auto"/>
            <w:vAlign w:val="center"/>
            <w:hideMark/>
          </w:tcPr>
          <w:p w:rsidR="00900AE0" w:rsidRPr="00903500" w:rsidRDefault="00900AE0" w:rsidP="00AA742C">
            <w:pPr>
              <w:widowControl/>
              <w:spacing w:after="240"/>
              <w:jc w:val="center"/>
              <w:rPr>
                <w:color w:val="000000"/>
                <w:sz w:val="18"/>
                <w:szCs w:val="18"/>
              </w:rPr>
            </w:pPr>
            <w:r w:rsidRPr="00903500">
              <w:rPr>
                <w:color w:val="000000"/>
                <w:sz w:val="18"/>
              </w:rPr>
              <w:t>prostředky přenesené do dalšího období</w:t>
            </w:r>
          </w:p>
        </w:tc>
      </w:tr>
      <w:tr w:rsidR="00900AE0" w:rsidRPr="00903500" w:rsidTr="00467CD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Evropská lidová strana (PPE)</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12 562</w:t>
            </w:r>
          </w:p>
        </w:tc>
      </w:tr>
      <w:tr w:rsidR="00900AE0" w:rsidRPr="00903500" w:rsidTr="00467CD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Progresivní aliance socialistů a demokratů v Evropském parlamentu (S&amp;D)</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10 188</w:t>
            </w:r>
          </w:p>
        </w:tc>
      </w:tr>
      <w:tr w:rsidR="00900AE0" w:rsidRPr="00903500" w:rsidTr="00467CDA">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proofErr w:type="spellStart"/>
            <w:r w:rsidRPr="00903500">
              <w:rPr>
                <w:b/>
                <w:color w:val="000000"/>
                <w:sz w:val="18"/>
              </w:rPr>
              <w:t>Renew</w:t>
            </w:r>
            <w:proofErr w:type="spellEnd"/>
            <w:r w:rsidRPr="00903500">
              <w:rPr>
                <w:b/>
                <w:color w:val="000000"/>
                <w:sz w:val="18"/>
              </w:rPr>
              <w:t xml:space="preserve"> </w:t>
            </w:r>
            <w:proofErr w:type="spellStart"/>
            <w:r w:rsidRPr="00903500">
              <w:rPr>
                <w:b/>
                <w:color w:val="000000"/>
                <w:sz w:val="18"/>
              </w:rPr>
              <w:t>Europe</w:t>
            </w:r>
            <w:proofErr w:type="spellEnd"/>
            <w:r w:rsidRPr="00903500">
              <w:rPr>
                <w:b/>
                <w:color w:val="000000"/>
                <w:sz w:val="18"/>
              </w:rPr>
              <w:t xml:space="preserve"> (dříve Aliance liberálů a demokratů pro Evropu (ALDE))</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6 894</w:t>
            </w:r>
          </w:p>
        </w:tc>
      </w:tr>
      <w:tr w:rsidR="00900AE0" w:rsidRPr="00903500" w:rsidTr="00467CD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Zelení/Evropská svobodná aliance (</w:t>
            </w:r>
            <w:proofErr w:type="spellStart"/>
            <w:r w:rsidRPr="00903500">
              <w:rPr>
                <w:b/>
                <w:color w:val="000000"/>
                <w:sz w:val="18"/>
              </w:rPr>
              <w:t>Verts</w:t>
            </w:r>
            <w:proofErr w:type="spellEnd"/>
            <w:r w:rsidRPr="00903500">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5 196</w:t>
            </w:r>
          </w:p>
        </w:tc>
      </w:tr>
      <w:tr w:rsidR="00900AE0" w:rsidRPr="00903500" w:rsidTr="00467CD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 xml:space="preserve">Identita a demokracie (ID)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5 155</w:t>
            </w:r>
          </w:p>
        </w:tc>
      </w:tr>
      <w:tr w:rsidR="00900AE0" w:rsidRPr="00903500" w:rsidTr="00467CD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Evropští konzervativci a reformisté (ECR)</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3 718</w:t>
            </w:r>
          </w:p>
        </w:tc>
      </w:tr>
      <w:tr w:rsidR="00900AE0" w:rsidRPr="00903500" w:rsidTr="00467CD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proofErr w:type="spellStart"/>
            <w:r w:rsidRPr="00903500">
              <w:rPr>
                <w:b/>
                <w:color w:val="000000"/>
                <w:sz w:val="18"/>
              </w:rPr>
              <w:t>The</w:t>
            </w:r>
            <w:proofErr w:type="spellEnd"/>
            <w:r w:rsidRPr="00903500">
              <w:rPr>
                <w:b/>
                <w:color w:val="000000"/>
                <w:sz w:val="18"/>
              </w:rPr>
              <w:t xml:space="preserve"> </w:t>
            </w:r>
            <w:proofErr w:type="spellStart"/>
            <w:r w:rsidRPr="00903500">
              <w:rPr>
                <w:b/>
                <w:color w:val="000000"/>
                <w:sz w:val="18"/>
              </w:rPr>
              <w:t>Left</w:t>
            </w:r>
            <w:proofErr w:type="spellEnd"/>
            <w:r w:rsidRPr="00903500">
              <w:rPr>
                <w:b/>
                <w:color w:val="000000"/>
                <w:sz w:val="18"/>
              </w:rPr>
              <w:t xml:space="preserve"> – Konfederace Evropské sjednocené levice a Severské zelené levice (GUE/NGL)</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2 036</w:t>
            </w:r>
          </w:p>
        </w:tc>
      </w:tr>
      <w:tr w:rsidR="00900AE0" w:rsidRPr="00903500" w:rsidTr="00467CD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00AE0" w:rsidRPr="00903500" w:rsidRDefault="00900AE0" w:rsidP="00AA742C">
            <w:pPr>
              <w:widowControl/>
              <w:spacing w:after="240"/>
              <w:rPr>
                <w:b/>
                <w:bCs/>
                <w:color w:val="000000"/>
                <w:sz w:val="18"/>
                <w:szCs w:val="18"/>
              </w:rPr>
            </w:pPr>
            <w:r w:rsidRPr="00903500">
              <w:rPr>
                <w:b/>
                <w:color w:val="000000"/>
                <w:sz w:val="18"/>
              </w:rPr>
              <w:t xml:space="preserve">Nezařazení poslanci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1 041</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900AE0" w:rsidRPr="00903500" w:rsidRDefault="00900AE0" w:rsidP="00AA742C">
            <w:pPr>
              <w:widowControl/>
              <w:spacing w:after="240"/>
              <w:jc w:val="right"/>
              <w:rPr>
                <w:color w:val="000000"/>
                <w:sz w:val="18"/>
                <w:szCs w:val="18"/>
              </w:rPr>
            </w:pPr>
            <w:r w:rsidRPr="00903500">
              <w:rPr>
                <w:color w:val="000000"/>
                <w:sz w:val="18"/>
              </w:rPr>
              <w:t>861</w:t>
            </w:r>
          </w:p>
        </w:tc>
      </w:tr>
      <w:tr w:rsidR="00900AE0" w:rsidRPr="00903500" w:rsidTr="00467CDA">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Celkem</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900AE0" w:rsidRPr="00903500" w:rsidRDefault="00900AE0" w:rsidP="00AA742C">
            <w:pPr>
              <w:widowControl/>
              <w:spacing w:after="240"/>
              <w:jc w:val="right"/>
              <w:rPr>
                <w:b/>
                <w:bCs/>
                <w:color w:val="000000"/>
                <w:sz w:val="18"/>
                <w:szCs w:val="18"/>
              </w:rPr>
            </w:pPr>
            <w:r w:rsidRPr="00903500">
              <w:rPr>
                <w:b/>
                <w:color w:val="000000"/>
                <w:sz w:val="18"/>
              </w:rPr>
              <w:t>46 611</w:t>
            </w:r>
          </w:p>
        </w:tc>
      </w:tr>
    </w:tbl>
    <w:p w:rsidR="00900AE0" w:rsidRPr="00903500" w:rsidRDefault="00900AE0" w:rsidP="00AA742C">
      <w:pPr>
        <w:spacing w:after="240"/>
        <w:rPr>
          <w:noProof/>
        </w:rPr>
      </w:pPr>
    </w:p>
    <w:p w:rsidR="00900AE0" w:rsidRPr="00903500" w:rsidRDefault="00900AE0" w:rsidP="00AA742C">
      <w:pPr>
        <w:widowControl/>
        <w:spacing w:after="240"/>
        <w:rPr>
          <w:noProof/>
        </w:rPr>
      </w:pPr>
      <w:r w:rsidRPr="00903500">
        <w:br w:type="page"/>
      </w:r>
    </w:p>
    <w:p w:rsidR="00900AE0" w:rsidRPr="00903500" w:rsidRDefault="00900AE0" w:rsidP="00AA742C">
      <w:pPr>
        <w:spacing w:after="240"/>
        <w:rPr>
          <w:noProof/>
        </w:rPr>
        <w:sectPr w:rsidR="00900AE0" w:rsidRPr="00903500" w:rsidSect="00903500">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lastRenderedPageBreak/>
        <w:t>1</w:t>
      </w:r>
      <w:r w:rsidR="004351B4">
        <w:rPr>
          <w14:textOutline w14:w="0" w14:cap="flat" w14:cmpd="sng" w14:algn="ctr">
            <w14:noFill/>
            <w14:prstDash w14:val="solid"/>
            <w14:bevel/>
          </w14:textOutline>
        </w:rPr>
        <w:t>73</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skutečnost, že nezávislí externí auditoři pro politické skupiny vydali v souvislosti s rozpočtovým rokem 2022 pouze výroky bez výhrad;</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74</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připomíná, že tyto prostředky jsou určeny na pokrytí činností souvisejících s politickou činností Unie a že politické skupiny se za jejich použití zodpovídají Parlamentu;</w:t>
      </w:r>
    </w:p>
    <w:p w:rsidR="00900AE0" w:rsidRPr="00903500" w:rsidRDefault="00900AE0" w:rsidP="00AA742C">
      <w:pPr>
        <w:spacing w:after="240"/>
        <w:rPr>
          <w:b/>
          <w:bCs/>
          <w:i/>
          <w:iCs/>
          <w:szCs w:val="24"/>
          <w14:textOutline w14:w="0" w14:cap="flat" w14:cmpd="sng" w14:algn="ctr">
            <w14:noFill/>
            <w14:prstDash w14:val="solid"/>
            <w14:bevel/>
          </w14:textOutline>
        </w:rPr>
      </w:pPr>
      <w:r w:rsidRPr="00903500">
        <w:rPr>
          <w:b/>
          <w:i/>
          <w14:textOutline w14:w="0" w14:cap="flat" w14:cmpd="sng" w14:algn="ctr">
            <w14:noFill/>
            <w14:prstDash w14:val="solid"/>
            <w14:bevel/>
          </w14:textOutline>
        </w:rPr>
        <w:t>Evropské politické strany a evropské politické nadace</w:t>
      </w:r>
    </w:p>
    <w:p w:rsidR="00900AE0" w:rsidRPr="00903500" w:rsidRDefault="00900AE0" w:rsidP="00AA742C">
      <w:pPr>
        <w:pStyle w:val="NormalHanging12a"/>
      </w:pPr>
      <w:r w:rsidRPr="00903500">
        <w:t>1</w:t>
      </w:r>
      <w:r w:rsidR="004351B4">
        <w:t>75</w:t>
      </w:r>
      <w:r w:rsidRPr="00903500">
        <w:t>.</w:t>
      </w:r>
      <w:r w:rsidRPr="00903500">
        <w:tab/>
        <w:t>konstatuje, že v roce 2022 poskytl úřad evropským politickým stranám a evropským politickým nadacím v 9 případech právo se vyjádřit a možnost přijmout nápravná opatření; dále poznamenává, že se jednalo o případy týkající se požadavků na podávání zpráv, pravidel týkajících se příjmů a společných činností; zdůrazňuje, že z včasné kontroly úřadu vyplývá, že dotyčné evropské politické strany a nadace ve všech těchto případech okamžitě provedly příslušná nápravná opatření; bere na vědomí, že úřad bude nadále sledovat, zda nápravná opatření s dlouhodobým účinkem zajistí trvalé dodržování předpisů v dotyčných oblastech; oceňuje, že v roce 2022 nemusely být přijaty žádné sankce;</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76</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vítá skutečnost, že v rámci příprav na volby do Evropského parlamentu v roce 2024 úřad aktivně rozšiřuje sítě spolupráce a zkoumá možnosti dalších partnerství na obranu demokratické integrity;</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77</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se znepokojením konstatuje, že úřad uvádí, že se potýká s omezenými lidskými zdroji; zdůrazňuje, že se vzhledem k vyvíjejícím se výzvám v období před volbami do Evropského parlamentu v roce 2024, zejména vzhledem k nutnosti chránit demokratickou integritu před novými formami zahraničního vměšování a k nezbytnému administrativnímu plnění všech nových úkolů, které by pro úřad vyplynuly na základě probíhajících jednání o přepracovaném znění nařízení (EU, Euratom) č. 1141/2014, očekává, že tato otázka bude stále naléhavější;</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17</w:t>
      </w:r>
      <w:r w:rsidR="004351B4">
        <w:rPr>
          <w14:textOutline w14:w="0" w14:cap="flat" w14:cmpd="sng" w14:algn="ctr">
            <w14:noFill/>
            <w14:prstDash w14:val="solid"/>
            <w14:bevel/>
          </w14:textOutline>
        </w:rPr>
        <w:t>8</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 xml:space="preserve">připomíná klíčovou úlohu dynamické a odolné evropské demokracie, která stojí na pluralitě politických stran na úrovni Unie; zdůrazňuje proto, že je nutné zajistit rovné podmínky a kontrolovat dodržování předpisů při plném respektování procesních práv; vítá v tomto ohledu zásadní práci úřadu, který nezávisle a v úzké spolupráci s Parlamentem zajišťuje soulad evropských politických stran a nadací s právním rámcem, zajišťuje občanům transparentnost a přispívá k integritě voleb do Parlamentu; </w:t>
      </w:r>
    </w:p>
    <w:p w:rsidR="00900AE0" w:rsidRPr="00903500" w:rsidRDefault="00900AE0" w:rsidP="00AA742C">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17</w:t>
      </w:r>
      <w:r w:rsidR="004351B4">
        <w:rPr>
          <w14:textOutline w14:w="0" w14:cap="flat" w14:cmpd="sng" w14:algn="ctr">
            <w14:noFill/>
            <w14:prstDash w14:val="solid"/>
            <w14:bevel/>
          </w14:textOutline>
        </w:rPr>
        <w:t>9</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prostředky zapsané do rozpočtové položky 402 byly v roce 2022 využity následovně</w:t>
      </w:r>
      <w:r w:rsidRPr="00903500">
        <w:rPr>
          <w:rStyle w:val="FootnoteReference"/>
          <w:szCs w:val="24"/>
        </w:rPr>
        <w:footnoteReference w:id="15"/>
      </w:r>
      <w:r w:rsidRPr="00903500">
        <w:rPr>
          <w14:textOutline w14:w="0" w14:cap="flat" w14:cmpd="sng" w14:algn="ctr">
            <w14:noFill/>
            <w14:prstDash w14:val="solid"/>
            <w14:bevel/>
          </w14:textOutline>
        </w:rPr>
        <w:t>:</w:t>
      </w:r>
    </w:p>
    <w:p w:rsidR="00900AE0" w:rsidRPr="00903500" w:rsidRDefault="00900AE0" w:rsidP="00900AE0">
      <w:pPr>
        <w:widowControl/>
        <w:rPr>
          <w:noProof/>
        </w:rPr>
      </w:pPr>
      <w:r w:rsidRPr="00903500">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900AE0" w:rsidRPr="00903500" w:rsidTr="00467CDA">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lastRenderedPageBreak/>
              <w:t>Strana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zkratka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vlastní zdroje</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konečný příspěvek EP</w:t>
            </w:r>
            <w:r w:rsidRPr="00903500">
              <w:rPr>
                <w:sz w:val="20"/>
                <w:vertAlign w:val="superscript"/>
                <w14:textOutline w14:w="0" w14:cap="flat" w14:cmpd="sng" w14:algn="ctr">
                  <w14:noFill/>
                  <w14:prstDash w14:val="solid"/>
                  <w14:bevel/>
                </w14:textOutline>
              </w:rPr>
              <w:t>(</w:t>
            </w:r>
            <w:r w:rsidRPr="00903500">
              <w:rPr>
                <w:rStyle w:val="FootnoteReference"/>
                <w:sz w:val="20"/>
              </w:rPr>
              <w:footnoteReference w:id="16"/>
            </w:r>
            <w:r w:rsidRPr="00903500">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příjmy celkem</w:t>
            </w:r>
            <w:r w:rsidRPr="00903500">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příspěvek EP jako % nárokovatelných výdajů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výsledný přebytek (k převodu do rezerv nebo schodek)</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Evropská lidová strana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448 128</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Strana evropských socialistů</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675 194</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Strana Aliance liberálů a demokratů pro Evropu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560 139</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Evropská strana zelených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846 993</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Strana evropské levice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40 396</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Evropská demokratická strana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EDS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127 134</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Evropská svobodná aliance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100 217</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Strana evropských konzervativců a reformistů</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ECR Party</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Evropské křesťanské politické hnutí</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 </w:t>
            </w:r>
          </w:p>
        </w:tc>
      </w:tr>
      <w:tr w:rsidR="00900AE0" w:rsidRPr="00903500" w:rsidTr="00467CD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14:textOutline w14:w="0" w14:cap="flat" w14:cmpd="sng" w14:algn="ctr">
                  <w14:noFill/>
                  <w14:prstDash w14:val="solid"/>
                  <w14:bevel/>
                </w14:textOutline>
              </w:rPr>
              <w:t>Strana Identita a demokracie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18"/>
                <w14:textOutline w14:w="0" w14:cap="flat" w14:cmpd="sng" w14:algn="ctr">
                  <w14:noFill/>
                  <w14:prstDash w14:val="solid"/>
                  <w14:bevel/>
                </w14:textOutline>
              </w:rPr>
              <w:t>strana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right"/>
              <w:rPr>
                <w:sz w:val="20"/>
                <w14:textOutline w14:w="0" w14:cap="flat" w14:cmpd="sng" w14:algn="ctr">
                  <w14:noFill/>
                  <w14:prstDash w14:val="solid"/>
                  <w14:bevel/>
                </w14:textOutline>
              </w:rPr>
            </w:pPr>
            <w:r w:rsidRPr="00903500">
              <w:rPr>
                <w:sz w:val="20"/>
              </w:rPr>
              <w:t xml:space="preserve"> – </w:t>
            </w:r>
          </w:p>
        </w:tc>
      </w:tr>
      <w:tr w:rsidR="00900AE0" w:rsidRPr="00903500" w:rsidTr="00467CDA">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right"/>
              <w:rPr>
                <w:sz w:val="20"/>
                <w14:textOutline w14:w="0" w14:cap="flat" w14:cmpd="sng" w14:algn="ctr">
                  <w14:noFill/>
                  <w14:prstDash w14:val="solid"/>
                  <w14:bevel/>
                </w14:textOutline>
              </w:rPr>
            </w:pPr>
            <w:r w:rsidRPr="00903500">
              <w:rPr>
                <w:b/>
                <w:sz w:val="20"/>
                <w14:textOutline w14:w="0" w14:cap="flat" w14:cmpd="sng" w14:algn="ctr">
                  <w14:noFill/>
                  <w14:prstDash w14:val="solid"/>
                  <w14:bevel/>
                </w14:textOutline>
              </w:rPr>
              <w:t>CELKEM</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900AE0" w:rsidRPr="00903500" w:rsidRDefault="00900AE0" w:rsidP="00467CDA">
            <w:pPr>
              <w:jc w:val="right"/>
              <w:rPr>
                <w:b/>
                <w:bCs/>
                <w:sz w:val="20"/>
              </w:rPr>
            </w:pPr>
            <w:r w:rsidRPr="00903500">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bCs/>
                <w:sz w:val="20"/>
              </w:rPr>
            </w:pPr>
            <w:r w:rsidRPr="00903500">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bCs/>
                <w:sz w:val="20"/>
              </w:rPr>
            </w:pPr>
            <w:r w:rsidRPr="00903500">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900AE0" w:rsidRPr="00903500" w:rsidRDefault="00900AE0" w:rsidP="00467CDA">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r w:rsidRPr="00903500">
              <w:rPr>
                <w:b/>
                <w:sz w:val="20"/>
              </w:rPr>
              <w:t>2 798 201</w:t>
            </w:r>
          </w:p>
        </w:tc>
      </w:tr>
    </w:tbl>
    <w:p w:rsidR="00900AE0" w:rsidRPr="00903500" w:rsidRDefault="00900AE0" w:rsidP="00900AE0">
      <w:pPr>
        <w:rPr>
          <w:noProof/>
        </w:rPr>
      </w:pPr>
    </w:p>
    <w:p w:rsidR="00900AE0" w:rsidRPr="00903500" w:rsidRDefault="00900AE0" w:rsidP="00900AE0">
      <w:pPr>
        <w:spacing w:after="240"/>
        <w:ind w:left="567" w:hanging="567"/>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1</w:t>
      </w:r>
      <w:r w:rsidR="004351B4">
        <w:rPr>
          <w14:textOutline w14:w="0" w14:cap="flat" w14:cmpd="sng" w14:algn="ctr">
            <w14:noFill/>
            <w14:prstDash w14:val="solid"/>
            <w14:bevel/>
          </w14:textOutline>
        </w:rPr>
        <w:t>80</w:t>
      </w:r>
      <w:r w:rsidRPr="00903500">
        <w:rPr>
          <w14:textOutline w14:w="0" w14:cap="flat" w14:cmpd="sng" w14:algn="ctr">
            <w14:noFill/>
            <w14:prstDash w14:val="solid"/>
            <w14:bevel/>
          </w14:textOutline>
        </w:rPr>
        <w:t>.</w:t>
      </w:r>
      <w:r w:rsidRPr="00903500">
        <w:rPr>
          <w14:textOutline w14:w="0" w14:cap="flat" w14:cmpd="sng" w14:algn="ctr">
            <w14:noFill/>
            <w14:prstDash w14:val="solid"/>
            <w14:bevel/>
          </w14:textOutline>
        </w:rPr>
        <w:tab/>
        <w:t>konstatuje, že prostředky zapsané do rozpočtové položky 403 byly v roce 2022 využity následovně</w:t>
      </w:r>
      <w:r w:rsidRPr="00903500">
        <w:rPr>
          <w:rStyle w:val="FootnoteReference"/>
          <w:szCs w:val="24"/>
        </w:rPr>
        <w:footnoteReference w:id="17"/>
      </w:r>
      <w:r w:rsidRPr="00903500">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900AE0" w:rsidRPr="00903500" w:rsidTr="00467CDA">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Nadace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zkratka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příslušnost ke straně</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vlastní zdroje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konečná výše grantu EP</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příjmy celkem</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grant EP jako % způsobilých výdajů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center"/>
              <w:rPr>
                <w:szCs w:val="24"/>
                <w14:textOutline w14:w="0" w14:cap="flat" w14:cmpd="sng" w14:algn="ctr">
                  <w14:noFill/>
                  <w14:prstDash w14:val="solid"/>
                  <w14:bevel/>
                </w14:textOutline>
              </w:rPr>
            </w:pPr>
            <w:r w:rsidRPr="00903500">
              <w:rPr>
                <w:sz w:val="20"/>
                <w14:textOutline w14:w="0" w14:cap="flat" w14:cmpd="sng" w14:algn="ctr">
                  <w14:noFill/>
                  <w14:prstDash w14:val="solid"/>
                  <w14:bevel/>
                </w14:textOutline>
              </w:rPr>
              <w:t>výsledný přebytek (k převodu do rezerv nebo schodek)</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 xml:space="preserve">Centrum Wilfrieda </w:t>
            </w:r>
            <w:proofErr w:type="spellStart"/>
            <w:r w:rsidRPr="00903500">
              <w:rPr>
                <w:sz w:val="20"/>
              </w:rPr>
              <w:t>Martense</w:t>
            </w:r>
            <w:proofErr w:type="spellEnd"/>
            <w:r w:rsidRPr="00903500">
              <w:rPr>
                <w:sz w:val="20"/>
              </w:rPr>
              <w:t xml:space="preserve"> pro evropská studia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235 689</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Evropská nadace pokrokových studií</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288 687</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Evropské liberální fórum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Zelená evropská nadace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 xml:space="preserve">Nadace </w:t>
            </w:r>
            <w:proofErr w:type="spellStart"/>
            <w:r w:rsidRPr="00903500">
              <w:rPr>
                <w:sz w:val="20"/>
              </w:rPr>
              <w:t>Transform</w:t>
            </w:r>
            <w:proofErr w:type="spellEnd"/>
            <w:r w:rsidRPr="00903500">
              <w:rPr>
                <w:sz w:val="20"/>
              </w:rPr>
              <w:t xml:space="preserve"> </w:t>
            </w:r>
            <w:proofErr w:type="spellStart"/>
            <w:r w:rsidRPr="00903500">
              <w:rPr>
                <w:sz w:val="20"/>
              </w:rPr>
              <w:t>Europe</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3 696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Institut evropských demokratů</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EDS</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 xml:space="preserve">Nadace </w:t>
            </w:r>
            <w:proofErr w:type="spellStart"/>
            <w:r w:rsidRPr="00903500">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proofErr w:type="spellStart"/>
            <w:r w:rsidRPr="0090350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23 981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Nový směr – Nadace pro evropskou reformu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proofErr w:type="spellStart"/>
            <w:r w:rsidRPr="00903500">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00AE0" w:rsidRPr="00903500" w:rsidRDefault="00900AE0" w:rsidP="00467CDA">
            <w:pPr>
              <w:widowControl/>
              <w:jc w:val="center"/>
              <w:rPr>
                <w:sz w:val="20"/>
                <w14:textOutline w14:w="0" w14:cap="flat" w14:cmpd="sng" w14:algn="ctr">
                  <w14:noFill/>
                  <w14:prstDash w14:val="solid"/>
                  <w14:bevel/>
                </w14:textOutline>
              </w:rPr>
            </w:pPr>
            <w:r w:rsidRPr="00903500">
              <w:rPr>
                <w:sz w:val="20"/>
              </w:rPr>
              <w:t>Nadace „</w:t>
            </w:r>
            <w:proofErr w:type="spellStart"/>
            <w:r w:rsidRPr="00903500">
              <w:rPr>
                <w:sz w:val="20"/>
              </w:rPr>
              <w:t>Association</w:t>
            </w:r>
            <w:proofErr w:type="spellEnd"/>
            <w:r w:rsidRPr="00903500">
              <w:rPr>
                <w:sz w:val="20"/>
              </w:rPr>
              <w:t xml:space="preserve"> </w:t>
            </w:r>
            <w:proofErr w:type="spellStart"/>
            <w:r w:rsidRPr="00903500">
              <w:rPr>
                <w:sz w:val="20"/>
              </w:rPr>
              <w:t>pour</w:t>
            </w:r>
            <w:proofErr w:type="spellEnd"/>
            <w:r w:rsidRPr="00903500">
              <w:rPr>
                <w:sz w:val="20"/>
              </w:rPr>
              <w:t xml:space="preserve"> </w:t>
            </w:r>
            <w:proofErr w:type="spellStart"/>
            <w:r w:rsidRPr="00903500">
              <w:rPr>
                <w:sz w:val="20"/>
              </w:rPr>
              <w:t>l’Identite</w:t>
            </w:r>
            <w:proofErr w:type="spellEnd"/>
            <w:r w:rsidRPr="00903500">
              <w:rPr>
                <w:sz w:val="20"/>
              </w:rPr>
              <w:t xml:space="preserve"> et </w:t>
            </w:r>
            <w:proofErr w:type="spellStart"/>
            <w:r w:rsidRPr="00903500">
              <w:rPr>
                <w:sz w:val="20"/>
              </w:rPr>
              <w:t>Democratie</w:t>
            </w:r>
            <w:proofErr w:type="spellEnd"/>
            <w:r w:rsidRPr="00903500">
              <w:rPr>
                <w:sz w:val="20"/>
              </w:rPr>
              <w: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nadace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center"/>
              <w:rPr>
                <w:sz w:val="20"/>
              </w:rPr>
            </w:pPr>
            <w:r w:rsidRPr="00903500">
              <w:rPr>
                <w:sz w:val="20"/>
              </w:rPr>
              <w:t>strana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00AE0" w:rsidRPr="00903500" w:rsidRDefault="00900AE0" w:rsidP="00467CDA">
            <w:pPr>
              <w:jc w:val="right"/>
              <w:rPr>
                <w:sz w:val="20"/>
              </w:rPr>
            </w:pPr>
            <w:r w:rsidRPr="0090350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900AE0" w:rsidRPr="00903500" w:rsidRDefault="00900AE0" w:rsidP="00467CDA">
            <w:pPr>
              <w:jc w:val="right"/>
              <w:rPr>
                <w:sz w:val="20"/>
              </w:rPr>
            </w:pPr>
            <w:r w:rsidRPr="00903500">
              <w:rPr>
                <w:sz w:val="20"/>
              </w:rPr>
              <w:t xml:space="preserve"> – </w:t>
            </w:r>
          </w:p>
        </w:tc>
      </w:tr>
      <w:tr w:rsidR="00900AE0" w:rsidRPr="00903500" w:rsidTr="00467CDA">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widowControl/>
              <w:jc w:val="right"/>
              <w:rPr>
                <w:b/>
                <w:szCs w:val="24"/>
                <w14:textOutline w14:w="0" w14:cap="flat" w14:cmpd="sng" w14:algn="ctr">
                  <w14:noFill/>
                  <w14:prstDash w14:val="solid"/>
                  <w14:bevel/>
                </w14:textOutline>
              </w:rPr>
            </w:pPr>
            <w:r w:rsidRPr="00903500">
              <w:rPr>
                <w:b/>
                <w:sz w:val="20"/>
                <w14:textOutline w14:w="0" w14:cap="flat" w14:cmpd="sng" w14:algn="ctr">
                  <w14:noFill/>
                  <w14:prstDash w14:val="solid"/>
                  <w14:bevel/>
                </w14:textOutline>
              </w:rPr>
              <w:t>CELKEM</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00AE0" w:rsidRPr="00903500" w:rsidRDefault="00900AE0" w:rsidP="00467CDA">
            <w:pPr>
              <w:rPr>
                <w:szCs w:val="24"/>
                <w14:textOutline w14:w="0" w14:cap="flat" w14:cmpd="sng" w14:algn="ctr">
                  <w14:noFill/>
                  <w14:prstDash w14:val="solid"/>
                  <w14:bevel/>
                </w14:textOutline>
              </w:rPr>
            </w:pPr>
            <w:r w:rsidRPr="00903500">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r w:rsidRPr="00903500">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r w:rsidRPr="00903500">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r w:rsidRPr="00903500">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900AE0" w:rsidRPr="00903500" w:rsidRDefault="00900AE0" w:rsidP="00467CDA">
            <w:pPr>
              <w:jc w:val="right"/>
              <w:rPr>
                <w:b/>
                <w:sz w:val="20"/>
              </w:rPr>
            </w:pPr>
            <w:r w:rsidRPr="00903500">
              <w:rPr>
                <w:b/>
                <w:sz w:val="20"/>
              </w:rPr>
              <w:t>552 053</w:t>
            </w:r>
          </w:p>
        </w:tc>
      </w:tr>
    </w:tbl>
    <w:p w:rsidR="00900AE0" w:rsidRPr="00903500" w:rsidRDefault="00900AE0" w:rsidP="00900AE0">
      <w:pPr>
        <w:widowControl/>
      </w:pPr>
    </w:p>
    <w:sectPr w:rsidR="00900AE0" w:rsidRPr="00903500" w:rsidSect="009035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CDA" w:rsidRPr="00903500" w:rsidRDefault="00467CDA">
      <w:r w:rsidRPr="00903500">
        <w:separator/>
      </w:r>
    </w:p>
  </w:endnote>
  <w:endnote w:type="continuationSeparator" w:id="0">
    <w:p w:rsidR="00467CDA" w:rsidRPr="00903500" w:rsidRDefault="00467CDA">
      <w:r w:rsidRPr="009035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rsidP="00467CDA">
    <w:pPr>
      <w:pStyle w:val="EPFooter"/>
    </w:pPr>
    <w:r w:rsidRPr="00903500">
      <w:t>PE</w:t>
    </w:r>
    <w:r w:rsidRPr="00903500">
      <w:rPr>
        <w:rStyle w:val="HideTWBExt"/>
      </w:rPr>
      <w:t>&lt;NoPE&gt;</w:t>
    </w:r>
    <w:r w:rsidRPr="00903500">
      <w:t>753.634</w:t>
    </w:r>
    <w:r w:rsidRPr="00903500">
      <w:rPr>
        <w:rStyle w:val="HideTWBExt"/>
      </w:rPr>
      <w:t>&lt;/NoPE&gt;&lt;Version&gt;</w:t>
    </w:r>
    <w:r w:rsidRPr="00903500">
      <w:t>v02-00</w:t>
    </w:r>
    <w:r w:rsidRPr="00903500">
      <w:rPr>
        <w:rStyle w:val="HideTWBExt"/>
      </w:rPr>
      <w:t>&lt;/Version&gt;</w:t>
    </w:r>
    <w:r w:rsidRPr="00903500">
      <w:tab/>
    </w:r>
    <w:r w:rsidRPr="00903500">
      <w:fldChar w:fldCharType="begin"/>
    </w:r>
    <w:r w:rsidRPr="00903500">
      <w:instrText xml:space="preserve"> PAGE  \* MERGEFORMAT </w:instrText>
    </w:r>
    <w:r w:rsidRPr="00903500">
      <w:fldChar w:fldCharType="separate"/>
    </w:r>
    <w:r w:rsidRPr="00903500">
      <w:rPr>
        <w:noProof/>
      </w:rPr>
      <w:t>2</w:t>
    </w:r>
    <w:r w:rsidRPr="00903500">
      <w:fldChar w:fldCharType="end"/>
    </w:r>
    <w:r w:rsidRPr="00903500">
      <w:t>/</w:t>
    </w:r>
    <w:r w:rsidR="004D3FB8">
      <w:fldChar w:fldCharType="begin"/>
    </w:r>
    <w:r w:rsidR="004D3FB8">
      <w:instrText xml:space="preserve"> NUMPAGES  \* MERGEFORMAT </w:instrText>
    </w:r>
    <w:r w:rsidR="004D3FB8">
      <w:fldChar w:fldCharType="separate"/>
    </w:r>
    <w:r w:rsidRPr="00903500">
      <w:rPr>
        <w:noProof/>
      </w:rPr>
      <w:t>35</w:t>
    </w:r>
    <w:r w:rsidR="004D3FB8">
      <w:rPr>
        <w:noProof/>
      </w:rPr>
      <w:fldChar w:fldCharType="end"/>
    </w:r>
    <w:r w:rsidRPr="00903500">
      <w:tab/>
    </w:r>
    <w:r w:rsidRPr="00903500">
      <w:rPr>
        <w:rStyle w:val="HideTWBExt"/>
      </w:rPr>
      <w:t>&lt;PathFdR&gt;</w:t>
    </w:r>
    <w:r w:rsidRPr="00903500">
      <w:t>RR\1298085CS.docx</w:t>
    </w:r>
    <w:r w:rsidRPr="00903500">
      <w:rPr>
        <w:rStyle w:val="HideTWBExt"/>
      </w:rPr>
      <w:t>&lt;/PathFdR&gt;</w:t>
    </w:r>
  </w:p>
  <w:p w:rsidR="00467CDA" w:rsidRPr="00903500" w:rsidRDefault="00467CDA" w:rsidP="00467CDA">
    <w:pPr>
      <w:pStyle w:val="EPFooter2"/>
    </w:pPr>
    <w:r w:rsidRPr="0090350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rsidP="00467CDA">
    <w:pPr>
      <w:pStyle w:val="EPFooter"/>
    </w:pPr>
    <w:r w:rsidRPr="00903500">
      <w:rPr>
        <w:rStyle w:val="HideTWBExt"/>
      </w:rPr>
      <w:t>&lt;PathFdR&gt;</w:t>
    </w:r>
    <w:r w:rsidRPr="00903500">
      <w:t>RR\1298085CS.docx</w:t>
    </w:r>
    <w:r w:rsidRPr="00903500">
      <w:rPr>
        <w:rStyle w:val="HideTWBExt"/>
      </w:rPr>
      <w:t>&lt;/PathFdR&gt;</w:t>
    </w:r>
    <w:r w:rsidRPr="00903500">
      <w:tab/>
    </w:r>
    <w:r w:rsidRPr="00903500">
      <w:tab/>
      <w:t>PE</w:t>
    </w:r>
    <w:r w:rsidRPr="00903500">
      <w:rPr>
        <w:rStyle w:val="HideTWBExt"/>
      </w:rPr>
      <w:t>&lt;NoPE&gt;</w:t>
    </w:r>
    <w:r w:rsidRPr="00903500">
      <w:t>753.634</w:t>
    </w:r>
    <w:r w:rsidRPr="00903500">
      <w:rPr>
        <w:rStyle w:val="HideTWBExt"/>
      </w:rPr>
      <w:t>&lt;/NoPE&gt;&lt;Version&gt;</w:t>
    </w:r>
    <w:r w:rsidRPr="00903500">
      <w:t>v02-00</w:t>
    </w:r>
    <w:r w:rsidRPr="00903500">
      <w:rPr>
        <w:rStyle w:val="HideTWBExt"/>
      </w:rPr>
      <w:t>&lt;/Version&gt;</w:t>
    </w:r>
  </w:p>
  <w:p w:rsidR="00467CDA" w:rsidRPr="00903500" w:rsidRDefault="00467CDA" w:rsidP="00467CDA">
    <w:pPr>
      <w:pStyle w:val="EPFooter2"/>
    </w:pPr>
    <w:r w:rsidRPr="00903500">
      <w:t>CS</w:t>
    </w:r>
    <w:r w:rsidRPr="00903500">
      <w:tab/>
    </w:r>
    <w:r w:rsidRPr="00903500">
      <w:rPr>
        <w:b w:val="0"/>
        <w:i/>
        <w:color w:val="C0C0C0"/>
        <w:sz w:val="22"/>
      </w:rPr>
      <w:t>Jednotná v rozmanitosti</w:t>
    </w:r>
    <w:r w:rsidRPr="0090350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CDA" w:rsidRPr="00903500" w:rsidRDefault="00467CDA">
      <w:r w:rsidRPr="00903500">
        <w:separator/>
      </w:r>
    </w:p>
  </w:footnote>
  <w:footnote w:type="continuationSeparator" w:id="0">
    <w:p w:rsidR="00467CDA" w:rsidRPr="00903500" w:rsidRDefault="00467CDA">
      <w:r w:rsidRPr="00903500">
        <w:continuationSeparator/>
      </w:r>
    </w:p>
  </w:footnote>
  <w:footnote w:id="1">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L 45, 24.2.2022, s. 1.</w:t>
      </w:r>
    </w:p>
  </w:footnote>
  <w:footnote w:id="2">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C, C/2023/2, 12.10.2023.</w:t>
      </w:r>
    </w:p>
  </w:footnote>
  <w:footnote w:id="3">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C 210, 15.6.2023, s. 1.</w:t>
      </w:r>
    </w:p>
  </w:footnote>
  <w:footnote w:id="4">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C, C/2023/103, 4.10.2023.</w:t>
      </w:r>
    </w:p>
  </w:footnote>
  <w:footnote w:id="5">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C, C/2023/112, 12.10.2023.</w:t>
      </w:r>
    </w:p>
  </w:footnote>
  <w:footnote w:id="6">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L 193, 30.7.2018, s. 1.</w:t>
      </w:r>
    </w:p>
  </w:footnote>
  <w:footnote w:id="7">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Nařízení Rady (EU, Euratom) 2020/2093 ze dne 17. prosince 2020, kterým se stanoví víceletý finanční rámec na období 2021–2027 (</w:t>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L 433 I, 22.12.2020, s. 11).</w:t>
      </w:r>
    </w:p>
  </w:footnote>
  <w:footnote w:id="8">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Interinstitucionální dohoda ze dne 20. května 2021 mezi Evropským parlamentem, Radou Evropské unie a Evropskou komisí o povinném rejstříku transparentnosti (</w:t>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L 207, 11.6.2021, s. 1).</w:t>
      </w:r>
    </w:p>
  </w:footnote>
  <w:footnote w:id="9">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P9_TA(2024)0036.</w:t>
      </w:r>
    </w:p>
  </w:footnote>
  <w:footnote w:id="10">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r w:rsidR="004D3FB8">
        <w:fldChar w:fldCharType="begin"/>
      </w:r>
      <w:r w:rsidR="004D3FB8" w:rsidRPr="004D3FB8">
        <w:rPr>
          <w:lang w:val="sv-SE"/>
        </w:rPr>
        <w:instrText xml:space="preserve"> HYPERLINK "https://www.eca.europa.eu/other%20publications/pl1407_letter/pl1407_letter_cs.pdf" </w:instrText>
      </w:r>
      <w:r w:rsidR="004D3FB8">
        <w:fldChar w:fldCharType="separate"/>
      </w:r>
      <w:r w:rsidRPr="004076CF">
        <w:rPr>
          <w:rStyle w:val="Hyperlink"/>
          <w:sz w:val="24"/>
          <w:lang w:val="cs-CZ"/>
        </w:rPr>
        <w:t>https://www.eca.europa.eu/other%20publications/pl1407_letter/pl1407_letter_cs.pdf</w:t>
      </w:r>
      <w:r w:rsidR="004D3FB8">
        <w:rPr>
          <w:rStyle w:val="Hyperlink"/>
          <w:sz w:val="24"/>
          <w:lang w:val="cs-CZ"/>
        </w:rPr>
        <w:fldChar w:fldCharType="end"/>
      </w:r>
      <w:r>
        <w:rPr>
          <w:sz w:val="24"/>
          <w:lang w:val="cs-CZ"/>
        </w:rPr>
        <w:t>.</w:t>
      </w:r>
    </w:p>
  </w:footnote>
  <w:footnote w:id="11">
    <w:p w:rsidR="005B5AA1" w:rsidRPr="00F33887" w:rsidRDefault="005B5AA1" w:rsidP="00F33887">
      <w:pPr>
        <w:pStyle w:val="FootnoteText"/>
        <w:ind w:left="567" w:hanging="567"/>
        <w:rPr>
          <w:sz w:val="24"/>
          <w:szCs w:val="24"/>
          <w:lang w:val="cs-CZ"/>
        </w:rPr>
      </w:pPr>
      <w:r w:rsidRPr="00F33887">
        <w:rPr>
          <w:rStyle w:val="FootnoteReference"/>
          <w:sz w:val="24"/>
          <w:szCs w:val="24"/>
        </w:rPr>
        <w:footnoteRef/>
      </w:r>
      <w:r w:rsidRPr="00F33887">
        <w:rPr>
          <w:sz w:val="24"/>
          <w:szCs w:val="24"/>
          <w:lang w:val="cs-CZ"/>
        </w:rPr>
        <w:t xml:space="preserve"> </w:t>
      </w:r>
      <w:r w:rsidRPr="00F33887">
        <w:rPr>
          <w:sz w:val="24"/>
          <w:szCs w:val="24"/>
          <w:lang w:val="cs-CZ"/>
        </w:rPr>
        <w:tab/>
        <w:t>Sdělení pracovní skupiny pro budovy, dopravu a ekologický Parlament předsednictvu (2023)10939, bod 16.</w:t>
      </w:r>
    </w:p>
  </w:footnote>
  <w:footnote w:id="12">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Nařízení č. 1 o užívání jazyků v Evropském hospodářském společenství (</w:t>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xml:space="preserve">. </w:t>
      </w:r>
      <w:r w:rsidR="004D3FB8">
        <w:rPr>
          <w:sz w:val="24"/>
          <w:lang w:val="cs-CZ"/>
        </w:rPr>
        <w:t xml:space="preserve">P </w:t>
      </w:r>
      <w:bookmarkStart w:id="9" w:name="_GoBack"/>
      <w:bookmarkEnd w:id="9"/>
      <w:r w:rsidRPr="00903500">
        <w:rPr>
          <w:sz w:val="24"/>
          <w:lang w:val="cs-CZ"/>
        </w:rPr>
        <w:t>17, 6.10.195</w:t>
      </w:r>
      <w:r w:rsidR="00896470">
        <w:rPr>
          <w:sz w:val="24"/>
          <w:lang w:val="cs-CZ"/>
        </w:rPr>
        <w:t>8</w:t>
      </w:r>
      <w:r w:rsidRPr="00903500">
        <w:rPr>
          <w:sz w:val="24"/>
          <w:lang w:val="cs-CZ"/>
        </w:rPr>
        <w:t>, s. 385).</w:t>
      </w:r>
    </w:p>
  </w:footnote>
  <w:footnote w:id="13">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r>
      <w:proofErr w:type="spellStart"/>
      <w:r w:rsidRPr="00903500">
        <w:rPr>
          <w:sz w:val="24"/>
          <w:lang w:val="cs-CZ"/>
        </w:rPr>
        <w:t>Úř</w:t>
      </w:r>
      <w:proofErr w:type="spellEnd"/>
      <w:r w:rsidRPr="00903500">
        <w:rPr>
          <w:sz w:val="24"/>
          <w:lang w:val="cs-CZ"/>
        </w:rPr>
        <w:t xml:space="preserve">. </w:t>
      </w:r>
      <w:proofErr w:type="spellStart"/>
      <w:r w:rsidRPr="00903500">
        <w:rPr>
          <w:sz w:val="24"/>
          <w:lang w:val="cs-CZ"/>
        </w:rPr>
        <w:t>věst</w:t>
      </w:r>
      <w:proofErr w:type="spellEnd"/>
      <w:r w:rsidRPr="00903500">
        <w:rPr>
          <w:sz w:val="24"/>
          <w:lang w:val="cs-CZ"/>
        </w:rPr>
        <w:t>. L 317, 4.11.2014, s. 1.</w:t>
      </w:r>
    </w:p>
  </w:footnote>
  <w:footnote w:id="14">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Všechny částky jsou uvedeny v tisících EUR.</w:t>
      </w:r>
    </w:p>
  </w:footnote>
  <w:footnote w:id="15">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Všechny částky jsou uvedeny v tisících EUR.</w:t>
      </w:r>
    </w:p>
  </w:footnote>
  <w:footnote w:id="16">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Údaj je složen z druhé části konečného financování za rok 2021 a z první části konečného financování za rok 2022 podle rozhodnutí předsednictva ze dne 26. února 2024.</w:t>
      </w:r>
    </w:p>
  </w:footnote>
  <w:footnote w:id="17">
    <w:p w:rsidR="00467CDA" w:rsidRPr="00903500" w:rsidRDefault="00467CDA" w:rsidP="00903500">
      <w:pPr>
        <w:pStyle w:val="FootnoteText"/>
        <w:ind w:left="567" w:hanging="567"/>
        <w:rPr>
          <w:sz w:val="24"/>
          <w:lang w:val="cs-CZ"/>
        </w:rPr>
      </w:pPr>
      <w:r w:rsidRPr="00903500">
        <w:rPr>
          <w:rStyle w:val="FootnoteReference"/>
          <w:sz w:val="24"/>
          <w:lang w:val="cs-CZ"/>
        </w:rPr>
        <w:footnoteRef/>
      </w:r>
      <w:r w:rsidRPr="00903500">
        <w:rPr>
          <w:sz w:val="24"/>
          <w:lang w:val="cs-CZ"/>
        </w:rPr>
        <w:t xml:space="preserve"> </w:t>
      </w:r>
      <w:r w:rsidRPr="00903500">
        <w:rPr>
          <w:sz w:val="24"/>
          <w:lang w:val="cs-CZ"/>
        </w:rPr>
        <w:tab/>
        <w:t>Všechny částky jsou uvedeny v tisících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DA" w:rsidRPr="00903500" w:rsidRDefault="00467CD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CS"/>
    <w:docVar w:name="dvnumam" w:val="0"/>
    <w:docVar w:name="dvpe" w:val="753.634"/>
    <w:docVar w:name="dvrapporteur" w:val="Zpravodaj: "/>
    <w:docVar w:name="dvtitre" w:val="Rozhodnutí Evropského parlamentu ze dne 11. dubna 2024 o udělení absolutoria za plnění souhrnného rozpočtu Evropské unie na rozpočtový rok 2022, oddíl I – Evropský parlament(2023/2130(DEC))"/>
  </w:docVars>
  <w:rsids>
    <w:rsidRoot w:val="00005390"/>
    <w:rsid w:val="00002272"/>
    <w:rsid w:val="00005390"/>
    <w:rsid w:val="0005648C"/>
    <w:rsid w:val="00064002"/>
    <w:rsid w:val="000677B9"/>
    <w:rsid w:val="000831BA"/>
    <w:rsid w:val="000A42CC"/>
    <w:rsid w:val="000D48AD"/>
    <w:rsid w:val="000E7DD9"/>
    <w:rsid w:val="0010095E"/>
    <w:rsid w:val="00125B37"/>
    <w:rsid w:val="00152C74"/>
    <w:rsid w:val="00187494"/>
    <w:rsid w:val="001B3596"/>
    <w:rsid w:val="001B4DE7"/>
    <w:rsid w:val="001F32AE"/>
    <w:rsid w:val="002767FF"/>
    <w:rsid w:val="002777A5"/>
    <w:rsid w:val="002B18FE"/>
    <w:rsid w:val="002B5493"/>
    <w:rsid w:val="002D71DC"/>
    <w:rsid w:val="00343214"/>
    <w:rsid w:val="00361C00"/>
    <w:rsid w:val="00395FA1"/>
    <w:rsid w:val="003A777C"/>
    <w:rsid w:val="003E15D4"/>
    <w:rsid w:val="003F550C"/>
    <w:rsid w:val="004076CF"/>
    <w:rsid w:val="00411CCE"/>
    <w:rsid w:val="0041666E"/>
    <w:rsid w:val="0041696F"/>
    <w:rsid w:val="00421060"/>
    <w:rsid w:val="004351B4"/>
    <w:rsid w:val="00467CDA"/>
    <w:rsid w:val="00471C19"/>
    <w:rsid w:val="004867E3"/>
    <w:rsid w:val="00494A28"/>
    <w:rsid w:val="004C0004"/>
    <w:rsid w:val="004C5D52"/>
    <w:rsid w:val="004D3FB8"/>
    <w:rsid w:val="0050519A"/>
    <w:rsid w:val="005072A1"/>
    <w:rsid w:val="00514517"/>
    <w:rsid w:val="00545256"/>
    <w:rsid w:val="00545827"/>
    <w:rsid w:val="00560270"/>
    <w:rsid w:val="00582820"/>
    <w:rsid w:val="005A2089"/>
    <w:rsid w:val="005B5AA1"/>
    <w:rsid w:val="005C2568"/>
    <w:rsid w:val="006037C0"/>
    <w:rsid w:val="006631B6"/>
    <w:rsid w:val="00680577"/>
    <w:rsid w:val="0069731C"/>
    <w:rsid w:val="006F74FA"/>
    <w:rsid w:val="00731ADD"/>
    <w:rsid w:val="00734777"/>
    <w:rsid w:val="00747932"/>
    <w:rsid w:val="00751A4A"/>
    <w:rsid w:val="00756632"/>
    <w:rsid w:val="00762C74"/>
    <w:rsid w:val="00786EC0"/>
    <w:rsid w:val="007C6935"/>
    <w:rsid w:val="007D1690"/>
    <w:rsid w:val="007E22AD"/>
    <w:rsid w:val="00817416"/>
    <w:rsid w:val="00830945"/>
    <w:rsid w:val="00842779"/>
    <w:rsid w:val="00865F67"/>
    <w:rsid w:val="00881A7B"/>
    <w:rsid w:val="008840E5"/>
    <w:rsid w:val="0088516A"/>
    <w:rsid w:val="00887B3E"/>
    <w:rsid w:val="00896470"/>
    <w:rsid w:val="008C2AC6"/>
    <w:rsid w:val="008C517C"/>
    <w:rsid w:val="00900AE0"/>
    <w:rsid w:val="00903500"/>
    <w:rsid w:val="00930C23"/>
    <w:rsid w:val="0093193B"/>
    <w:rsid w:val="0094511A"/>
    <w:rsid w:val="009509D8"/>
    <w:rsid w:val="00950B64"/>
    <w:rsid w:val="00981893"/>
    <w:rsid w:val="009F0E13"/>
    <w:rsid w:val="00A1687D"/>
    <w:rsid w:val="00A43E52"/>
    <w:rsid w:val="00A4678D"/>
    <w:rsid w:val="00A778C7"/>
    <w:rsid w:val="00AA0D0B"/>
    <w:rsid w:val="00AA742C"/>
    <w:rsid w:val="00AB441E"/>
    <w:rsid w:val="00AB6293"/>
    <w:rsid w:val="00AC0FF7"/>
    <w:rsid w:val="00AD1018"/>
    <w:rsid w:val="00AE0928"/>
    <w:rsid w:val="00AF3795"/>
    <w:rsid w:val="00AF3B82"/>
    <w:rsid w:val="00B12E95"/>
    <w:rsid w:val="00B22876"/>
    <w:rsid w:val="00B5202E"/>
    <w:rsid w:val="00B558F0"/>
    <w:rsid w:val="00BD2DF3"/>
    <w:rsid w:val="00BD48FE"/>
    <w:rsid w:val="00BD7BD8"/>
    <w:rsid w:val="00BE6ADC"/>
    <w:rsid w:val="00BF2918"/>
    <w:rsid w:val="00BF6C0F"/>
    <w:rsid w:val="00C05BFE"/>
    <w:rsid w:val="00C23CD4"/>
    <w:rsid w:val="00C61C0C"/>
    <w:rsid w:val="00C941CB"/>
    <w:rsid w:val="00CA27AD"/>
    <w:rsid w:val="00CC2357"/>
    <w:rsid w:val="00CD08D1"/>
    <w:rsid w:val="00CF071A"/>
    <w:rsid w:val="00D01606"/>
    <w:rsid w:val="00D058B8"/>
    <w:rsid w:val="00D16DD4"/>
    <w:rsid w:val="00D44CD3"/>
    <w:rsid w:val="00D56C11"/>
    <w:rsid w:val="00D834A0"/>
    <w:rsid w:val="00D872DF"/>
    <w:rsid w:val="00D91E21"/>
    <w:rsid w:val="00D9721A"/>
    <w:rsid w:val="00DA7FCD"/>
    <w:rsid w:val="00DC740B"/>
    <w:rsid w:val="00DF327E"/>
    <w:rsid w:val="00DF5612"/>
    <w:rsid w:val="00E305B9"/>
    <w:rsid w:val="00E365E1"/>
    <w:rsid w:val="00E820A4"/>
    <w:rsid w:val="00EB006A"/>
    <w:rsid w:val="00EB4772"/>
    <w:rsid w:val="00ED169E"/>
    <w:rsid w:val="00ED4235"/>
    <w:rsid w:val="00EE0F1A"/>
    <w:rsid w:val="00F04346"/>
    <w:rsid w:val="00F075DC"/>
    <w:rsid w:val="00F149E9"/>
    <w:rsid w:val="00F153D9"/>
    <w:rsid w:val="00F33887"/>
    <w:rsid w:val="00F5134D"/>
    <w:rsid w:val="00F74202"/>
    <w:rsid w:val="00F75E28"/>
    <w:rsid w:val="00F87713"/>
    <w:rsid w:val="00FB4360"/>
    <w:rsid w:val="00FB4EB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EC266"/>
  <w15:chartTrackingRefBased/>
  <w15:docId w15:val="{03A43096-7A4E-4A00-ACFB-C9C6E6C8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0AE0"/>
    <w:rPr>
      <w:b/>
      <w:kern w:val="28"/>
      <w:sz w:val="28"/>
      <w:lang w:val="fr-FR" w:eastAsia="fr-FR"/>
    </w:rPr>
  </w:style>
  <w:style w:type="character" w:customStyle="1" w:styleId="Heading2Char">
    <w:name w:val="Heading 2 Char"/>
    <w:basedOn w:val="DefaultParagraphFont"/>
    <w:link w:val="Heading2"/>
    <w:semiHidden/>
    <w:rsid w:val="00900AE0"/>
    <w:rPr>
      <w:sz w:val="24"/>
      <w:lang w:val="fr-FR" w:eastAsia="fr-FR"/>
    </w:rPr>
  </w:style>
  <w:style w:type="character" w:customStyle="1" w:styleId="Heading3Char">
    <w:name w:val="Heading 3 Char"/>
    <w:basedOn w:val="DefaultParagraphFont"/>
    <w:link w:val="Heading3"/>
    <w:semiHidden/>
    <w:rsid w:val="00900AE0"/>
    <w:rPr>
      <w:rFonts w:ascii="Arial" w:hAnsi="Arial"/>
      <w:sz w:val="24"/>
      <w:lang w:val="fr-FR" w:eastAsia="fr-FR"/>
    </w:rPr>
  </w:style>
  <w:style w:type="character" w:customStyle="1" w:styleId="Heading4Char">
    <w:name w:val="Heading 4 Char"/>
    <w:basedOn w:val="DefaultParagraphFont"/>
    <w:link w:val="Heading4"/>
    <w:semiHidden/>
    <w:rsid w:val="00900AE0"/>
    <w:rPr>
      <w:sz w:val="24"/>
      <w:lang w:val="en-US" w:eastAsia="fr-FR"/>
    </w:rPr>
  </w:style>
  <w:style w:type="character" w:customStyle="1" w:styleId="Heading5Char">
    <w:name w:val="Heading 5 Char"/>
    <w:basedOn w:val="DefaultParagraphFont"/>
    <w:link w:val="Heading5"/>
    <w:semiHidden/>
    <w:rsid w:val="00900AE0"/>
    <w:rPr>
      <w:sz w:val="24"/>
      <w:lang w:val="en-US" w:eastAsia="fr-FR"/>
    </w:rPr>
  </w:style>
  <w:style w:type="character" w:customStyle="1" w:styleId="Heading6Char">
    <w:name w:val="Heading 6 Char"/>
    <w:basedOn w:val="DefaultParagraphFont"/>
    <w:link w:val="Heading6"/>
    <w:semiHidden/>
    <w:rsid w:val="00900AE0"/>
    <w:rPr>
      <w:i/>
      <w:sz w:val="22"/>
      <w:lang w:val="cs-CZ"/>
    </w:rPr>
  </w:style>
  <w:style w:type="character" w:customStyle="1" w:styleId="Heading7Char">
    <w:name w:val="Heading 7 Char"/>
    <w:basedOn w:val="DefaultParagraphFont"/>
    <w:link w:val="Heading7"/>
    <w:semiHidden/>
    <w:rsid w:val="00900AE0"/>
    <w:rPr>
      <w:rFonts w:ascii="Arial" w:hAnsi="Arial"/>
      <w:sz w:val="24"/>
      <w:lang w:val="cs-CZ"/>
    </w:rPr>
  </w:style>
  <w:style w:type="character" w:customStyle="1" w:styleId="Heading8Char">
    <w:name w:val="Heading 8 Char"/>
    <w:basedOn w:val="DefaultParagraphFont"/>
    <w:link w:val="Heading8"/>
    <w:semiHidden/>
    <w:rsid w:val="00900AE0"/>
    <w:rPr>
      <w:rFonts w:ascii="Arial" w:hAnsi="Arial"/>
      <w:i/>
      <w:sz w:val="24"/>
      <w:lang w:val="cs-CZ"/>
    </w:rPr>
  </w:style>
  <w:style w:type="character" w:customStyle="1" w:styleId="Heading9Char">
    <w:name w:val="Heading 9 Char"/>
    <w:basedOn w:val="DefaultParagraphFont"/>
    <w:link w:val="Heading9"/>
    <w:semiHidden/>
    <w:rsid w:val="00900AE0"/>
    <w:rPr>
      <w:rFonts w:ascii="Arial" w:hAnsi="Arial"/>
      <w:b/>
      <w:i/>
      <w:sz w:val="18"/>
      <w:lang w:val="cs-CZ"/>
    </w:rPr>
  </w:style>
  <w:style w:type="paragraph" w:styleId="TOCHeading">
    <w:name w:val="TOC Heading"/>
    <w:basedOn w:val="Normal"/>
    <w:next w:val="Normal"/>
    <w:unhideWhenUsed/>
    <w:qFormat/>
    <w:rsid w:val="00900AE0"/>
    <w:pPr>
      <w:widowControl/>
      <w:spacing w:after="240"/>
    </w:pPr>
    <w:rPr>
      <w:lang w:val="en-GB"/>
    </w:rPr>
  </w:style>
  <w:style w:type="paragraph" w:customStyle="1" w:styleId="EPFooter2">
    <w:name w:val="EPFooter2"/>
    <w:basedOn w:val="Normal"/>
    <w:next w:val="Normal"/>
    <w:rsid w:val="00900A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0AE0"/>
    <w:pPr>
      <w:spacing w:before="480" w:after="240"/>
    </w:pPr>
  </w:style>
  <w:style w:type="paragraph" w:customStyle="1" w:styleId="TOCPage">
    <w:name w:val="TOC Page"/>
    <w:basedOn w:val="Normal"/>
    <w:next w:val="TOC1"/>
    <w:rsid w:val="00900AE0"/>
    <w:pPr>
      <w:keepNext/>
      <w:spacing w:after="240"/>
      <w:jc w:val="right"/>
    </w:pPr>
    <w:rPr>
      <w:rFonts w:ascii="Arial" w:hAnsi="Arial"/>
      <w:b/>
    </w:rPr>
  </w:style>
  <w:style w:type="paragraph" w:customStyle="1" w:styleId="PageHeading">
    <w:name w:val="PageHeading"/>
    <w:basedOn w:val="Normal"/>
    <w:rsid w:val="00900AE0"/>
    <w:pPr>
      <w:keepNext/>
      <w:spacing w:after="480"/>
      <w:jc w:val="center"/>
    </w:pPr>
    <w:rPr>
      <w:rFonts w:ascii="Arial" w:hAnsi="Arial" w:cs="Arial"/>
      <w:b/>
    </w:rPr>
  </w:style>
  <w:style w:type="paragraph" w:customStyle="1" w:styleId="NormalBold">
    <w:name w:val="NormalBold"/>
    <w:basedOn w:val="Normal"/>
    <w:rsid w:val="00900AE0"/>
    <w:rPr>
      <w:b/>
    </w:rPr>
  </w:style>
  <w:style w:type="paragraph" w:customStyle="1" w:styleId="NormalHanging12a">
    <w:name w:val="NormalHanging12a"/>
    <w:basedOn w:val="Normal"/>
    <w:link w:val="NormalHanging12aChar"/>
    <w:rsid w:val="00900AE0"/>
    <w:pPr>
      <w:spacing w:after="240"/>
      <w:ind w:left="567" w:hanging="567"/>
    </w:pPr>
  </w:style>
  <w:style w:type="paragraph" w:customStyle="1" w:styleId="CoverNormal24a">
    <w:name w:val="CoverNormal24a"/>
    <w:basedOn w:val="Normal"/>
    <w:rsid w:val="00900AE0"/>
    <w:pPr>
      <w:spacing w:after="480"/>
      <w:ind w:left="1417"/>
    </w:pPr>
  </w:style>
  <w:style w:type="paragraph" w:customStyle="1" w:styleId="CoverNormal">
    <w:name w:val="CoverNormal"/>
    <w:basedOn w:val="Normal"/>
    <w:rsid w:val="00900AE0"/>
    <w:pPr>
      <w:ind w:left="1418"/>
    </w:pPr>
  </w:style>
  <w:style w:type="paragraph" w:customStyle="1" w:styleId="CoverReference">
    <w:name w:val="CoverReference"/>
    <w:basedOn w:val="Normal"/>
    <w:rsid w:val="00900AE0"/>
    <w:pPr>
      <w:spacing w:before="1080"/>
      <w:jc w:val="right"/>
    </w:pPr>
    <w:rPr>
      <w:rFonts w:ascii="Arial" w:hAnsi="Arial" w:cs="Arial"/>
      <w:b/>
    </w:rPr>
  </w:style>
  <w:style w:type="paragraph" w:customStyle="1" w:styleId="CoverDocType24a">
    <w:name w:val="CoverDocType24a"/>
    <w:basedOn w:val="Normal"/>
    <w:rsid w:val="00900AE0"/>
    <w:pPr>
      <w:spacing w:after="480"/>
      <w:ind w:left="1418"/>
    </w:pPr>
    <w:rPr>
      <w:rFonts w:ascii="Arial" w:hAnsi="Arial"/>
      <w:b/>
      <w:sz w:val="48"/>
    </w:rPr>
  </w:style>
  <w:style w:type="paragraph" w:customStyle="1" w:styleId="CoverDate">
    <w:name w:val="CoverDate"/>
    <w:basedOn w:val="Normal"/>
    <w:rsid w:val="00900AE0"/>
    <w:pPr>
      <w:spacing w:before="240" w:after="1200"/>
    </w:pPr>
  </w:style>
  <w:style w:type="paragraph" w:customStyle="1" w:styleId="EPBody">
    <w:name w:val="EPBody"/>
    <w:basedOn w:val="Normal"/>
    <w:rsid w:val="00900AE0"/>
    <w:pPr>
      <w:jc w:val="center"/>
    </w:pPr>
    <w:rPr>
      <w:rFonts w:ascii="Arial" w:hAnsi="Arial" w:cs="Arial"/>
      <w:i/>
      <w:sz w:val="22"/>
      <w:szCs w:val="22"/>
    </w:rPr>
  </w:style>
  <w:style w:type="paragraph" w:customStyle="1" w:styleId="EPFooter">
    <w:name w:val="EPFooter"/>
    <w:basedOn w:val="Normal"/>
    <w:rsid w:val="00900AE0"/>
    <w:pPr>
      <w:tabs>
        <w:tab w:val="center" w:pos="4535"/>
        <w:tab w:val="right" w:pos="9071"/>
      </w:tabs>
      <w:spacing w:before="240" w:after="240"/>
    </w:pPr>
    <w:rPr>
      <w:color w:val="010000"/>
      <w:sz w:val="22"/>
    </w:rPr>
  </w:style>
  <w:style w:type="paragraph" w:styleId="Header">
    <w:name w:val="header"/>
    <w:basedOn w:val="Normal"/>
    <w:link w:val="HeaderChar"/>
    <w:rsid w:val="00900AE0"/>
    <w:pPr>
      <w:tabs>
        <w:tab w:val="center" w:pos="4513"/>
        <w:tab w:val="right" w:pos="9026"/>
      </w:tabs>
    </w:pPr>
  </w:style>
  <w:style w:type="character" w:customStyle="1" w:styleId="HeaderChar">
    <w:name w:val="Header Char"/>
    <w:basedOn w:val="DefaultParagraphFont"/>
    <w:link w:val="Header"/>
    <w:rsid w:val="00900AE0"/>
    <w:rPr>
      <w:sz w:val="24"/>
      <w:lang w:val="cs-CZ"/>
    </w:rPr>
  </w:style>
  <w:style w:type="character" w:customStyle="1" w:styleId="NormalHanging12aChar">
    <w:name w:val="NormalHanging12a Char"/>
    <w:basedOn w:val="DefaultParagraphFont"/>
    <w:link w:val="NormalHanging12a"/>
    <w:locked/>
    <w:rsid w:val="00900AE0"/>
    <w:rPr>
      <w:sz w:val="24"/>
      <w:lang w:val="cs-CZ"/>
    </w:rPr>
  </w:style>
  <w:style w:type="character" w:styleId="CommentReference">
    <w:name w:val="annotation reference"/>
    <w:basedOn w:val="DefaultParagraphFont"/>
    <w:uiPriority w:val="99"/>
    <w:rsid w:val="00900AE0"/>
    <w:rPr>
      <w:sz w:val="16"/>
      <w:szCs w:val="16"/>
    </w:rPr>
  </w:style>
  <w:style w:type="paragraph" w:styleId="CommentText">
    <w:name w:val="annotation text"/>
    <w:basedOn w:val="Normal"/>
    <w:link w:val="CommentTextChar"/>
    <w:uiPriority w:val="99"/>
    <w:rsid w:val="00900AE0"/>
    <w:rPr>
      <w:sz w:val="20"/>
    </w:rPr>
  </w:style>
  <w:style w:type="character" w:customStyle="1" w:styleId="CommentTextChar">
    <w:name w:val="Comment Text Char"/>
    <w:basedOn w:val="DefaultParagraphFont"/>
    <w:link w:val="CommentText"/>
    <w:uiPriority w:val="99"/>
    <w:rsid w:val="00900AE0"/>
    <w:rPr>
      <w:lang w:val="cs-CZ"/>
    </w:rPr>
  </w:style>
  <w:style w:type="paragraph" w:styleId="CommentSubject">
    <w:name w:val="annotation subject"/>
    <w:basedOn w:val="CommentText"/>
    <w:next w:val="CommentText"/>
    <w:link w:val="CommentSubjectChar"/>
    <w:unhideWhenUsed/>
    <w:rsid w:val="00900AE0"/>
    <w:rPr>
      <w:b/>
      <w:bCs/>
    </w:rPr>
  </w:style>
  <w:style w:type="character" w:customStyle="1" w:styleId="CommentSubjectChar">
    <w:name w:val="Comment Subject Char"/>
    <w:basedOn w:val="CommentTextChar"/>
    <w:link w:val="CommentSubject"/>
    <w:rsid w:val="00900AE0"/>
    <w:rPr>
      <w:b/>
      <w:bCs/>
      <w:lang w:val="cs-CZ"/>
    </w:rPr>
  </w:style>
  <w:style w:type="paragraph" w:styleId="BalloonText">
    <w:name w:val="Balloon Text"/>
    <w:basedOn w:val="Normal"/>
    <w:link w:val="BalloonTextChar"/>
    <w:unhideWhenUsed/>
    <w:rsid w:val="00900AE0"/>
    <w:rPr>
      <w:rFonts w:ascii="Segoe UI" w:hAnsi="Segoe UI" w:cs="Segoe UI"/>
      <w:sz w:val="18"/>
      <w:szCs w:val="18"/>
    </w:rPr>
  </w:style>
  <w:style w:type="character" w:customStyle="1" w:styleId="BalloonTextChar">
    <w:name w:val="Balloon Text Char"/>
    <w:basedOn w:val="DefaultParagraphFont"/>
    <w:link w:val="BalloonText"/>
    <w:rsid w:val="00900AE0"/>
    <w:rPr>
      <w:rFonts w:ascii="Segoe UI" w:hAnsi="Segoe UI" w:cs="Segoe UI"/>
      <w:sz w:val="18"/>
      <w:szCs w:val="18"/>
      <w:lang w:val="cs-CZ"/>
    </w:rPr>
  </w:style>
  <w:style w:type="paragraph" w:customStyle="1" w:styleId="Body">
    <w:name w:val="Body"/>
    <w:rsid w:val="00900AE0"/>
    <w:pPr>
      <w:widowControl w:val="0"/>
    </w:pPr>
    <w:rPr>
      <w:color w:val="000000"/>
      <w:sz w:val="24"/>
      <w:szCs w:val="24"/>
      <w:u w:color="000000"/>
      <w:lang w:val="cs-CZ"/>
      <w14:textOutline w14:w="0" w14:cap="flat" w14:cmpd="sng" w14:algn="ctr">
        <w14:noFill/>
        <w14:prstDash w14:val="solid"/>
        <w14:bevel/>
      </w14:textOutline>
    </w:rPr>
  </w:style>
  <w:style w:type="paragraph" w:styleId="ListParagraph">
    <w:name w:val="List Paragraph"/>
    <w:qFormat/>
    <w:rsid w:val="00900AE0"/>
    <w:pPr>
      <w:widowControl w:val="0"/>
      <w:ind w:left="720"/>
    </w:pPr>
    <w:rPr>
      <w:rFonts w:eastAsia="Arial Unicode MS" w:cs="Arial Unicode MS"/>
      <w:color w:val="000000"/>
      <w:sz w:val="24"/>
      <w:szCs w:val="24"/>
      <w:u w:color="000000"/>
      <w:lang w:val="cs-CZ"/>
    </w:rPr>
  </w:style>
  <w:style w:type="paragraph" w:customStyle="1" w:styleId="Normal12Hanging">
    <w:name w:val="Normal12Hanging"/>
    <w:basedOn w:val="Normal"/>
    <w:rsid w:val="00900AE0"/>
    <w:pPr>
      <w:spacing w:after="240"/>
      <w:ind w:left="567" w:hanging="567"/>
    </w:pPr>
  </w:style>
  <w:style w:type="character" w:styleId="Hyperlink">
    <w:name w:val="Hyperlink"/>
    <w:basedOn w:val="DefaultParagraphFont"/>
    <w:rsid w:val="00900AE0"/>
    <w:rPr>
      <w:color w:val="0563C1" w:themeColor="hyperlink"/>
      <w:u w:val="single"/>
    </w:rPr>
  </w:style>
  <w:style w:type="character" w:customStyle="1" w:styleId="HRtextbodyChar">
    <w:name w:val="HR_text body_ Char"/>
    <w:basedOn w:val="DefaultParagraphFont"/>
    <w:link w:val="HRtextbody"/>
    <w:locked/>
    <w:rsid w:val="00900AE0"/>
    <w:rPr>
      <w:rFonts w:ascii="Arial" w:hAnsi="Arial" w:cs="Arial"/>
      <w:color w:val="595959"/>
    </w:rPr>
  </w:style>
  <w:style w:type="paragraph" w:customStyle="1" w:styleId="HRtextbody">
    <w:name w:val="HR_text body_"/>
    <w:basedOn w:val="Normal"/>
    <w:link w:val="HRtextbodyChar"/>
    <w:rsid w:val="00900AE0"/>
    <w:pPr>
      <w:widowControl/>
      <w:jc w:val="both"/>
    </w:pPr>
    <w:rPr>
      <w:rFonts w:ascii="Arial" w:hAnsi="Arial" w:cs="Arial"/>
      <w:color w:val="595959"/>
      <w:sz w:val="20"/>
      <w:lang w:val="en-GB"/>
    </w:rPr>
  </w:style>
  <w:style w:type="character" w:styleId="Strong">
    <w:name w:val="Strong"/>
    <w:basedOn w:val="DefaultParagraphFont"/>
    <w:uiPriority w:val="22"/>
    <w:qFormat/>
    <w:rsid w:val="00900AE0"/>
    <w:rPr>
      <w:b/>
      <w:bCs/>
    </w:rPr>
  </w:style>
  <w:style w:type="paragraph" w:styleId="Revision">
    <w:name w:val="Revision"/>
    <w:hidden/>
    <w:uiPriority w:val="99"/>
    <w:semiHidden/>
    <w:rsid w:val="00900AE0"/>
    <w:rPr>
      <w:sz w:val="24"/>
      <w:lang w:val="cs-CZ"/>
    </w:rPr>
  </w:style>
  <w:style w:type="character" w:customStyle="1" w:styleId="ui-provider">
    <w:name w:val="ui-provider"/>
    <w:basedOn w:val="DefaultParagraphFont"/>
    <w:rsid w:val="00900AE0"/>
  </w:style>
  <w:style w:type="paragraph" w:styleId="Footer">
    <w:name w:val="footer"/>
    <w:basedOn w:val="Normal"/>
    <w:link w:val="FooterChar"/>
    <w:rsid w:val="00900AE0"/>
    <w:pPr>
      <w:tabs>
        <w:tab w:val="center" w:pos="4513"/>
        <w:tab w:val="right" w:pos="9026"/>
      </w:tabs>
    </w:pPr>
  </w:style>
  <w:style w:type="character" w:customStyle="1" w:styleId="FooterChar">
    <w:name w:val="Footer Char"/>
    <w:basedOn w:val="DefaultParagraphFont"/>
    <w:link w:val="Footer"/>
    <w:rsid w:val="00900AE0"/>
    <w:rPr>
      <w:sz w:val="24"/>
      <w:lang w:val="cs-CZ"/>
    </w:rPr>
  </w:style>
  <w:style w:type="paragraph" w:customStyle="1" w:styleId="title-article-norm">
    <w:name w:val="title-article-norm"/>
    <w:basedOn w:val="Normal"/>
    <w:rsid w:val="00900AE0"/>
    <w:pPr>
      <w:widowControl/>
      <w:spacing w:before="100" w:beforeAutospacing="1" w:after="100" w:afterAutospacing="1"/>
    </w:pPr>
    <w:rPr>
      <w:szCs w:val="24"/>
    </w:rPr>
  </w:style>
  <w:style w:type="paragraph" w:customStyle="1" w:styleId="Normal24a">
    <w:name w:val="Normal24a"/>
    <w:basedOn w:val="Normal"/>
    <w:rsid w:val="00900AE0"/>
    <w:pPr>
      <w:spacing w:after="480"/>
    </w:pPr>
    <w:rPr>
      <w:lang w:val="en-GB"/>
    </w:rPr>
  </w:style>
  <w:style w:type="paragraph" w:customStyle="1" w:styleId="NormalBoldCenter">
    <w:name w:val="NormalBoldCenter"/>
    <w:basedOn w:val="Normal"/>
    <w:rsid w:val="00900AE0"/>
    <w:pPr>
      <w:jc w:val="center"/>
    </w:pPr>
    <w:rPr>
      <w:b/>
      <w:lang w:val="en-GB"/>
    </w:rPr>
  </w:style>
  <w:style w:type="paragraph" w:customStyle="1" w:styleId="Normal12a">
    <w:name w:val="Normal12a"/>
    <w:basedOn w:val="Normal"/>
    <w:rsid w:val="00900AE0"/>
    <w:pPr>
      <w:spacing w:after="240"/>
    </w:pPr>
    <w:rPr>
      <w:lang w:val="en-GB"/>
    </w:rPr>
  </w:style>
  <w:style w:type="paragraph" w:customStyle="1" w:styleId="PageHeadingNotTOC">
    <w:name w:val="PageHeadingNotTOC"/>
    <w:basedOn w:val="Normal"/>
    <w:rsid w:val="00900AE0"/>
    <w:pPr>
      <w:keepNext/>
      <w:spacing w:after="480"/>
      <w:jc w:val="center"/>
    </w:pPr>
    <w:rPr>
      <w:rFonts w:ascii="Arial" w:hAnsi="Arial" w:cs="Arial"/>
      <w:b/>
      <w:lang w:val="en-GB"/>
    </w:rPr>
  </w:style>
  <w:style w:type="paragraph" w:customStyle="1" w:styleId="NumPar1">
    <w:name w:val="NumPar 1"/>
    <w:basedOn w:val="Normal"/>
    <w:rsid w:val="00900AE0"/>
    <w:pPr>
      <w:numPr>
        <w:numId w:val="50"/>
      </w:numPr>
    </w:pPr>
    <w:rPr>
      <w:lang w:val="en-GB"/>
    </w:rPr>
  </w:style>
  <w:style w:type="paragraph" w:customStyle="1" w:styleId="NumPar2">
    <w:name w:val="NumPar 2"/>
    <w:basedOn w:val="Normal"/>
    <w:rsid w:val="00900AE0"/>
    <w:pPr>
      <w:numPr>
        <w:ilvl w:val="1"/>
        <w:numId w:val="50"/>
      </w:numPr>
    </w:pPr>
    <w:rPr>
      <w:lang w:val="en-GB"/>
    </w:rPr>
  </w:style>
  <w:style w:type="paragraph" w:customStyle="1" w:styleId="NumPar3">
    <w:name w:val="NumPar 3"/>
    <w:basedOn w:val="Normal"/>
    <w:rsid w:val="00900AE0"/>
    <w:pPr>
      <w:numPr>
        <w:ilvl w:val="2"/>
        <w:numId w:val="50"/>
      </w:numPr>
    </w:pPr>
    <w:rPr>
      <w:lang w:val="en-GB"/>
    </w:rPr>
  </w:style>
  <w:style w:type="paragraph" w:customStyle="1" w:styleId="NumPar4">
    <w:name w:val="NumPar 4"/>
    <w:basedOn w:val="Normal"/>
    <w:rsid w:val="00900AE0"/>
    <w:pPr>
      <w:numPr>
        <w:ilvl w:val="3"/>
        <w:numId w:val="50"/>
      </w:numPr>
    </w:pPr>
    <w:rPr>
      <w:lang w:val="en-GB"/>
    </w:rPr>
  </w:style>
  <w:style w:type="paragraph" w:customStyle="1" w:styleId="NumPar5">
    <w:name w:val="NumPar 5"/>
    <w:basedOn w:val="Normal"/>
    <w:rsid w:val="00900AE0"/>
    <w:pPr>
      <w:numPr>
        <w:ilvl w:val="4"/>
        <w:numId w:val="50"/>
      </w:numPr>
    </w:pPr>
    <w:rPr>
      <w:lang w:val="en-GB"/>
    </w:rPr>
  </w:style>
  <w:style w:type="paragraph" w:customStyle="1" w:styleId="NumPar6">
    <w:name w:val="NumPar 6"/>
    <w:basedOn w:val="Normal"/>
    <w:rsid w:val="00900AE0"/>
    <w:pPr>
      <w:numPr>
        <w:ilvl w:val="5"/>
        <w:numId w:val="50"/>
      </w:numPr>
    </w:pPr>
    <w:rPr>
      <w:lang w:val="en-GB"/>
    </w:rPr>
  </w:style>
  <w:style w:type="paragraph" w:customStyle="1" w:styleId="NumPar7">
    <w:name w:val="NumPar 7"/>
    <w:basedOn w:val="Normal"/>
    <w:rsid w:val="00900AE0"/>
    <w:pPr>
      <w:numPr>
        <w:ilvl w:val="6"/>
        <w:numId w:val="50"/>
      </w:numPr>
    </w:pPr>
    <w:rPr>
      <w:lang w:val="en-GB"/>
    </w:rPr>
  </w:style>
  <w:style w:type="paragraph" w:customStyle="1" w:styleId="RollCallSymbols14pt">
    <w:name w:val="RollCallSymbols14pt"/>
    <w:basedOn w:val="Normal"/>
    <w:rsid w:val="00900AE0"/>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00AE0"/>
    <w:pPr>
      <w:tabs>
        <w:tab w:val="center" w:pos="284"/>
        <w:tab w:val="left" w:pos="426"/>
      </w:tabs>
    </w:pPr>
    <w:rPr>
      <w:snapToGrid w:val="0"/>
      <w:lang w:val="en-GB" w:eastAsia="en-US"/>
    </w:rPr>
  </w:style>
  <w:style w:type="paragraph" w:customStyle="1" w:styleId="RollCallVotes">
    <w:name w:val="RollCallVotes"/>
    <w:basedOn w:val="Normal"/>
    <w:rsid w:val="00900AE0"/>
    <w:pPr>
      <w:spacing w:before="120" w:after="120"/>
      <w:jc w:val="center"/>
    </w:pPr>
    <w:rPr>
      <w:b/>
      <w:bCs/>
      <w:snapToGrid w:val="0"/>
      <w:sz w:val="16"/>
      <w:lang w:val="en-GB" w:eastAsia="en-US"/>
    </w:rPr>
  </w:style>
  <w:style w:type="paragraph" w:customStyle="1" w:styleId="RollCallTable">
    <w:name w:val="RollCallTable"/>
    <w:basedOn w:val="Normal"/>
    <w:rsid w:val="00900AE0"/>
    <w:pPr>
      <w:spacing w:before="120" w:after="120"/>
    </w:pPr>
    <w:rPr>
      <w:snapToGrid w:val="0"/>
      <w:sz w:val="16"/>
      <w:lang w:val="en-GB" w:eastAsia="en-US"/>
    </w:rPr>
  </w:style>
  <w:style w:type="character" w:styleId="FollowedHyperlink">
    <w:name w:val="FollowedHyperlink"/>
    <w:basedOn w:val="DefaultParagraphFont"/>
    <w:rsid w:val="00900A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063FB-763B-43DA-9AB5-7138121D8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15790</Words>
  <Characters>90007</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Karina Pesa</cp:lastModifiedBy>
  <cp:revision>3</cp:revision>
  <cp:lastPrinted>2004-11-19T15:42:00Z</cp:lastPrinted>
  <dcterms:created xsi:type="dcterms:W3CDTF">2024-05-15T09:38:00Z</dcterms:created>
  <dcterms:modified xsi:type="dcterms:W3CDTF">2024-10-31T10:42:00Z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P9_TA(2024)0229_</vt:lpwstr>
  </property>
  <property fmtid="{D5CDD505-2E9C-101B-9397-08002B2CF9AE}" pid="4" name="&lt;Type&gt;">
    <vt:lpwstr>RR</vt:lpwstr>
  </property>
</Properties>
</file>