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241C" w:rsidTr="0010095E">
        <w:trPr>
          <w:trHeight w:hRule="exact" w:val="1418"/>
        </w:trPr>
        <w:tc>
          <w:tcPr>
            <w:tcW w:w="6804" w:type="dxa"/>
            <w:shd w:val="clear" w:color="auto" w:fill="auto"/>
            <w:vAlign w:val="center"/>
          </w:tcPr>
          <w:p w:rsidR="00751A4A" w:rsidRPr="000F241C" w:rsidRDefault="00414873" w:rsidP="0063610D">
            <w:pPr>
              <w:pStyle w:val="EPName"/>
              <w:widowControl/>
            </w:pPr>
            <w:r w:rsidRPr="000F241C">
              <w:t>Euroopan parlamentti</w:t>
            </w:r>
          </w:p>
          <w:p w:rsidR="00751A4A" w:rsidRPr="000F241C" w:rsidRDefault="00817416" w:rsidP="0063610D">
            <w:pPr>
              <w:pStyle w:val="EPTerm"/>
              <w:widowControl/>
              <w:rPr>
                <w:rStyle w:val="HideTWBExt"/>
                <w:noProof w:val="0"/>
                <w:vanish w:val="0"/>
                <w:color w:val="auto"/>
              </w:rPr>
            </w:pPr>
            <w:r w:rsidRPr="000F241C">
              <w:t>2019-2024</w:t>
            </w:r>
          </w:p>
        </w:tc>
        <w:tc>
          <w:tcPr>
            <w:tcW w:w="2268" w:type="dxa"/>
            <w:shd w:val="clear" w:color="auto" w:fill="auto"/>
          </w:tcPr>
          <w:p w:rsidR="00751A4A" w:rsidRPr="000F241C" w:rsidRDefault="00187494" w:rsidP="0063610D">
            <w:pPr>
              <w:pStyle w:val="EPLogo"/>
              <w:widowControl/>
            </w:pPr>
            <w:r w:rsidRPr="000F24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241C" w:rsidRDefault="00D058B8" w:rsidP="0063610D">
      <w:pPr>
        <w:pStyle w:val="LineTop"/>
        <w:widowControl/>
      </w:pPr>
    </w:p>
    <w:p w:rsidR="00680577" w:rsidRPr="000F241C" w:rsidRDefault="00414873" w:rsidP="0063610D">
      <w:pPr>
        <w:pStyle w:val="EPBodyTA1"/>
        <w:widowControl/>
      </w:pPr>
      <w:r w:rsidRPr="000F241C">
        <w:t>HYVÄKSYTYT TEKSTIT</w:t>
      </w:r>
    </w:p>
    <w:p w:rsidR="00D058B8" w:rsidRPr="000F241C" w:rsidRDefault="00D058B8" w:rsidP="0063610D">
      <w:pPr>
        <w:pStyle w:val="LineBottom"/>
        <w:widowControl/>
      </w:pPr>
    </w:p>
    <w:p w:rsidR="00414873" w:rsidRPr="000F241C" w:rsidRDefault="00414873" w:rsidP="0063610D">
      <w:pPr>
        <w:pStyle w:val="ATHeading1"/>
      </w:pPr>
      <w:bookmarkStart w:id="0" w:name="TANumber"/>
      <w:r w:rsidRPr="000F241C">
        <w:t>P9_</w:t>
      </w:r>
      <w:proofErr w:type="gramStart"/>
      <w:r w:rsidRPr="000F241C">
        <w:t>TA(</w:t>
      </w:r>
      <w:proofErr w:type="gramEnd"/>
      <w:r w:rsidRPr="000F241C">
        <w:t>2024)0</w:t>
      </w:r>
      <w:r w:rsidR="00DB72D0" w:rsidRPr="000F241C">
        <w:t>229</w:t>
      </w:r>
      <w:bookmarkEnd w:id="0"/>
    </w:p>
    <w:p w:rsidR="00414873" w:rsidRPr="000F241C" w:rsidRDefault="00414873" w:rsidP="0063610D">
      <w:pPr>
        <w:pStyle w:val="ATHeading2"/>
      </w:pPr>
      <w:bookmarkStart w:id="1" w:name="title"/>
      <w:r w:rsidRPr="000F241C">
        <w:t>Vastuuvapaus 2022</w:t>
      </w:r>
      <w:r w:rsidR="0063610D" w:rsidRPr="000F241C">
        <w:t>: Euroopan unionin ylein</w:t>
      </w:r>
      <w:r w:rsidRPr="000F241C">
        <w:t>en talousarvio - Euroopan parlamentti</w:t>
      </w:r>
      <w:bookmarkEnd w:id="1"/>
    </w:p>
    <w:p w:rsidR="00414873" w:rsidRPr="000F241C" w:rsidRDefault="00414873" w:rsidP="0063610D">
      <w:pPr>
        <w:widowControl/>
        <w:rPr>
          <w:i/>
          <w:vanish/>
        </w:rPr>
      </w:pPr>
      <w:r w:rsidRPr="000F241C">
        <w:rPr>
          <w:i/>
        </w:rPr>
        <w:fldChar w:fldCharType="begin"/>
      </w:r>
      <w:r w:rsidRPr="000F241C">
        <w:rPr>
          <w:i/>
        </w:rPr>
        <w:instrText xml:space="preserve"> TC"(</w:instrText>
      </w:r>
      <w:bookmarkStart w:id="2" w:name="DocNumber"/>
      <w:r w:rsidRPr="000F241C">
        <w:rPr>
          <w:i/>
        </w:rPr>
        <w:instrText>A9-0067/2024</w:instrText>
      </w:r>
      <w:bookmarkEnd w:id="2"/>
      <w:r w:rsidRPr="000F241C">
        <w:rPr>
          <w:i/>
        </w:rPr>
        <w:instrText xml:space="preserve"> - Esittelijä: Andrey Novakov)"\l3 \n&gt; \* MERGEFORMAT </w:instrText>
      </w:r>
      <w:r w:rsidRPr="000F241C">
        <w:rPr>
          <w:i/>
        </w:rPr>
        <w:fldChar w:fldCharType="end"/>
      </w:r>
    </w:p>
    <w:p w:rsidR="00414873" w:rsidRPr="000F241C" w:rsidRDefault="00414873" w:rsidP="0063610D">
      <w:pPr>
        <w:widowControl/>
        <w:rPr>
          <w:vanish/>
        </w:rPr>
      </w:pPr>
      <w:bookmarkStart w:id="3" w:name="Commission"/>
      <w:r w:rsidRPr="000F241C">
        <w:rPr>
          <w:vanish/>
        </w:rPr>
        <w:t>Talousarvion valvontavaliokunta</w:t>
      </w:r>
      <w:bookmarkEnd w:id="3"/>
    </w:p>
    <w:p w:rsidR="00414873" w:rsidRPr="000F241C" w:rsidRDefault="00414873" w:rsidP="0063610D">
      <w:pPr>
        <w:widowControl/>
        <w:rPr>
          <w:vanish/>
        </w:rPr>
      </w:pPr>
      <w:bookmarkStart w:id="4" w:name="PE"/>
      <w:r w:rsidRPr="000F241C">
        <w:rPr>
          <w:vanish/>
        </w:rPr>
        <w:t>PE753.634</w:t>
      </w:r>
      <w:bookmarkEnd w:id="4"/>
    </w:p>
    <w:p w:rsidR="00414873" w:rsidRPr="000F241C" w:rsidRDefault="0063610D" w:rsidP="0063610D">
      <w:pPr>
        <w:pStyle w:val="ATHeading3"/>
      </w:pPr>
      <w:bookmarkStart w:id="5" w:name="Sujet"/>
      <w:r w:rsidRPr="000F241C">
        <w:t>1. E</w:t>
      </w:r>
      <w:r w:rsidR="00414873" w:rsidRPr="000F241C">
        <w:t>uroopan parlamentin päätös</w:t>
      </w:r>
      <w:r w:rsidRPr="000F241C">
        <w:t xml:space="preserve"> 11</w:t>
      </w:r>
      <w:r w:rsidR="00414873" w:rsidRPr="000F241C">
        <w:t>. huhtikuuta 2024 vastuuvapauden myöntämisestä Euroopan unionin yleisen talousarvion toteuttamisesta varainhoitovuonna 2022, pääluokka I – Euroopan parlamentti</w:t>
      </w:r>
      <w:bookmarkEnd w:id="5"/>
      <w:r w:rsidR="00414873" w:rsidRPr="000F241C">
        <w:t xml:space="preserve"> </w:t>
      </w:r>
      <w:bookmarkStart w:id="6" w:name="References"/>
      <w:r w:rsidR="00414873" w:rsidRPr="000F241C">
        <w:t>(2023/2130(DEC))</w:t>
      </w:r>
      <w:bookmarkEnd w:id="6"/>
    </w:p>
    <w:p w:rsidR="003B6D3B" w:rsidRPr="000F241C" w:rsidRDefault="003B6D3B" w:rsidP="0063610D">
      <w:pPr>
        <w:pStyle w:val="EPComma"/>
        <w:widowControl/>
        <w:rPr>
          <w:noProof/>
        </w:rPr>
      </w:pPr>
      <w:bookmarkStart w:id="7" w:name="TextBodyBegin"/>
      <w:bookmarkEnd w:id="7"/>
      <w:r w:rsidRPr="000F241C">
        <w:rPr>
          <w:i/>
          <w:iCs/>
        </w:rPr>
        <w:t>Euroopan parlamentti</w:t>
      </w:r>
      <w:r w:rsidRPr="000F241C">
        <w:t>, joka</w:t>
      </w:r>
    </w:p>
    <w:p w:rsidR="003B6D3B" w:rsidRPr="000F241C" w:rsidRDefault="003B6D3B" w:rsidP="0063610D">
      <w:pPr>
        <w:pStyle w:val="NormalHanging12a"/>
        <w:widowControl/>
        <w:rPr>
          <w:noProof/>
        </w:rPr>
      </w:pPr>
      <w:r w:rsidRPr="000F241C">
        <w:t>–</w:t>
      </w:r>
      <w:r w:rsidRPr="000F241C">
        <w:tab/>
        <w:t>ottaa huomioon Euroopan unionin yleisen talousarvion varainhoitovuodeksi 2022</w:t>
      </w:r>
      <w:r w:rsidRPr="000F241C">
        <w:rPr>
          <w:rStyle w:val="FootnoteReference"/>
          <w:noProof/>
        </w:rPr>
        <w:footnoteReference w:id="1"/>
      </w:r>
      <w:r w:rsidRPr="000F241C">
        <w:t>,</w:t>
      </w:r>
    </w:p>
    <w:p w:rsidR="003B6D3B" w:rsidRPr="000F241C" w:rsidRDefault="003B6D3B" w:rsidP="0063610D">
      <w:pPr>
        <w:pStyle w:val="NormalHanging12a"/>
        <w:widowControl/>
        <w:rPr>
          <w:noProof/>
        </w:rPr>
      </w:pPr>
      <w:r w:rsidRPr="000F241C">
        <w:t>–</w:t>
      </w:r>
      <w:r w:rsidRPr="000F241C">
        <w:tab/>
        <w:t xml:space="preserve">ottaa huomioon Euroopan unionin </w:t>
      </w:r>
      <w:proofErr w:type="spellStart"/>
      <w:r w:rsidRPr="000F241C">
        <w:t>konsolidoidun</w:t>
      </w:r>
      <w:proofErr w:type="spellEnd"/>
      <w:r w:rsidRPr="000F241C">
        <w:t xml:space="preserve"> tilinpäätöksen varainhoitovuodelta 2022 (COM(2023)0391 – C9-0248/2023)</w:t>
      </w:r>
      <w:r w:rsidRPr="000F241C">
        <w:rPr>
          <w:rStyle w:val="FootnoteReference"/>
          <w:noProof/>
        </w:rPr>
        <w:footnoteReference w:id="2"/>
      </w:r>
      <w:r w:rsidRPr="000F241C">
        <w:t>,</w:t>
      </w:r>
    </w:p>
    <w:p w:rsidR="003B6D3B" w:rsidRPr="000F241C" w:rsidRDefault="003B6D3B" w:rsidP="0063610D">
      <w:pPr>
        <w:pStyle w:val="NormalHanging12a"/>
        <w:widowControl/>
        <w:rPr>
          <w:noProof/>
        </w:rPr>
      </w:pPr>
      <w:r w:rsidRPr="000F241C">
        <w:t>–</w:t>
      </w:r>
      <w:r w:rsidRPr="000F241C">
        <w:tab/>
        <w:t>ottaa huomioon selvityksen talousarvio- ja varainhallinnosta varainhoitovuonna 2022, pääluokka I – Euroopan parlamentti</w:t>
      </w:r>
      <w:r w:rsidRPr="000F241C">
        <w:rPr>
          <w:rStyle w:val="FootnoteReference"/>
          <w:noProof/>
        </w:rPr>
        <w:footnoteReference w:id="3"/>
      </w:r>
      <w:r w:rsidRPr="000F241C">
        <w:t>,</w:t>
      </w:r>
    </w:p>
    <w:p w:rsidR="003B6D3B" w:rsidRPr="000F241C" w:rsidRDefault="003B6D3B" w:rsidP="0063610D">
      <w:pPr>
        <w:pStyle w:val="NormalHanging12a"/>
        <w:widowControl/>
        <w:rPr>
          <w:noProof/>
        </w:rPr>
      </w:pPr>
      <w:r w:rsidRPr="000F241C">
        <w:t>–</w:t>
      </w:r>
      <w:r w:rsidRPr="000F241C">
        <w:tab/>
        <w:t>ottaa huomioon sisäisen tarkastajan vuosikertomuksen varainhoitovuodelta 2022,</w:t>
      </w:r>
    </w:p>
    <w:p w:rsidR="003B6D3B" w:rsidRPr="000F241C" w:rsidRDefault="003B6D3B" w:rsidP="0063610D">
      <w:pPr>
        <w:pStyle w:val="NormalHanging12a"/>
        <w:widowControl/>
        <w:rPr>
          <w:noProof/>
        </w:rPr>
      </w:pPr>
      <w:r w:rsidRPr="000F241C">
        <w:t>–</w:t>
      </w:r>
      <w:r w:rsidRPr="000F241C">
        <w:tab/>
        <w:t>ottaa huomioon tilintarkastustuomioistuimen vuosikertomuksen talousarvion toteuttamisesta varainhoitovuonna 2022 sekä toimielinten vastaukset</w:t>
      </w:r>
      <w:r w:rsidRPr="000F241C">
        <w:rPr>
          <w:rStyle w:val="FootnoteReference"/>
          <w:noProof/>
        </w:rPr>
        <w:footnoteReference w:id="4"/>
      </w:r>
      <w:r w:rsidRPr="000F241C">
        <w:t>,</w:t>
      </w:r>
    </w:p>
    <w:p w:rsidR="003B6D3B" w:rsidRPr="000F241C" w:rsidRDefault="003B6D3B" w:rsidP="0063610D">
      <w:pPr>
        <w:pStyle w:val="NormalHanging12a"/>
        <w:widowControl/>
        <w:rPr>
          <w:noProof/>
        </w:rPr>
      </w:pPr>
      <w:r w:rsidRPr="000F241C">
        <w:t>–</w:t>
      </w:r>
      <w:r w:rsidRPr="000F241C">
        <w:tab/>
        <w:t>ottaa huomioon tilintarkastustuomioistuimen Euroopan unionin toiminnasta tehdyn sopimuksen 287 artiklan mukaisesti antaman varainhoitovuotta 2022 koskevan lausuman</w:t>
      </w:r>
      <w:r w:rsidRPr="000F241C">
        <w:rPr>
          <w:rStyle w:val="FootnoteReference"/>
          <w:noProof/>
        </w:rPr>
        <w:footnoteReference w:id="5"/>
      </w:r>
      <w:r w:rsidRPr="000F241C">
        <w:t xml:space="preserve"> tilien luotettavuudesta sekä tilien perustana olevien toimien laillisuudesta ja asianmukaisuudesta (sääntöjenmukaisuudesta),</w:t>
      </w:r>
    </w:p>
    <w:p w:rsidR="003B6D3B" w:rsidRPr="000F241C" w:rsidRDefault="003B6D3B" w:rsidP="0063610D">
      <w:pPr>
        <w:pStyle w:val="NormalHanging12a"/>
        <w:widowControl/>
        <w:rPr>
          <w:noProof/>
        </w:rPr>
      </w:pPr>
      <w:r w:rsidRPr="000F241C">
        <w:t>–</w:t>
      </w:r>
      <w:r w:rsidRPr="000F241C">
        <w:tab/>
        <w:t>ottaa huomioon Euroopan unionin toiminnasta tehdyn sopimuksen 314 artiklan 10 kohdan ja 318 artiklan,</w:t>
      </w:r>
    </w:p>
    <w:p w:rsidR="003B6D3B" w:rsidRPr="000F241C" w:rsidRDefault="003B6D3B" w:rsidP="0063610D">
      <w:pPr>
        <w:pStyle w:val="NormalHanging12a"/>
        <w:widowControl/>
        <w:rPr>
          <w:noProof/>
        </w:rPr>
      </w:pPr>
      <w:r w:rsidRPr="000F241C">
        <w:t>–</w:t>
      </w:r>
      <w:r w:rsidRPr="000F241C">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0F241C">
        <w:lastRenderedPageBreak/>
        <w:t>parlamentin ja neuvoston asetuksen (EU, Euratom) 2018/1046</w:t>
      </w:r>
      <w:r w:rsidRPr="000F241C">
        <w:rPr>
          <w:rStyle w:val="FootnoteReference"/>
          <w:noProof/>
        </w:rPr>
        <w:footnoteReference w:id="6"/>
      </w:r>
      <w:r w:rsidRPr="000F241C">
        <w:t xml:space="preserve"> ja erityisesti sen 260, 261 ja 262 artiklan,</w:t>
      </w:r>
    </w:p>
    <w:p w:rsidR="003B6D3B" w:rsidRPr="000F241C" w:rsidRDefault="003B6D3B" w:rsidP="0063610D">
      <w:pPr>
        <w:pStyle w:val="NormalHanging12a"/>
        <w:widowControl/>
        <w:rPr>
          <w:noProof/>
        </w:rPr>
      </w:pPr>
      <w:r w:rsidRPr="000F241C">
        <w:t>–</w:t>
      </w:r>
      <w:r w:rsidRPr="000F241C">
        <w:tab/>
        <w:t>ottaa huomioon Euroopan parlamentin talousarvion toteuttamista koskevista sisäisistä säännöistä 10. joulukuuta 2018 tehdyn puhemiehistön päätöksen ja erityisesti sen 34 artiklan,</w:t>
      </w:r>
    </w:p>
    <w:p w:rsidR="003B6D3B" w:rsidRPr="000F241C" w:rsidRDefault="003B6D3B" w:rsidP="0063610D">
      <w:pPr>
        <w:pStyle w:val="NormalHanging12a"/>
        <w:widowControl/>
        <w:rPr>
          <w:noProof/>
        </w:rPr>
      </w:pPr>
      <w:r w:rsidRPr="000F241C">
        <w:t>–</w:t>
      </w:r>
      <w:r w:rsidRPr="000F241C">
        <w:tab/>
        <w:t>ottaa huomioon työjärjestyksen 100 artiklan, 104 artiklan 3 kohdan ja liitteen V,</w:t>
      </w:r>
    </w:p>
    <w:p w:rsidR="003B6D3B" w:rsidRPr="000F241C" w:rsidRDefault="003B6D3B" w:rsidP="0063610D">
      <w:pPr>
        <w:pStyle w:val="NormalHanging12a"/>
        <w:widowControl/>
        <w:rPr>
          <w:noProof/>
        </w:rPr>
      </w:pPr>
      <w:r w:rsidRPr="000F241C">
        <w:t>–</w:t>
      </w:r>
      <w:r w:rsidRPr="000F241C">
        <w:tab/>
        <w:t>ottaa huomioon oikeudellisten asioiden valiokunnan lausunnon,</w:t>
      </w:r>
    </w:p>
    <w:p w:rsidR="003B6D3B" w:rsidRPr="000F241C" w:rsidRDefault="003B6D3B" w:rsidP="0063610D">
      <w:pPr>
        <w:pStyle w:val="NormalHanging12a"/>
        <w:widowControl/>
      </w:pPr>
      <w:r w:rsidRPr="000F241C">
        <w:t>–</w:t>
      </w:r>
      <w:r w:rsidRPr="000F241C">
        <w:tab/>
        <w:t>ottaa huomioon talousarvion valvontavaliokunnan mietinnön (A9-0067/2024),</w:t>
      </w:r>
    </w:p>
    <w:p w:rsidR="003B6D3B" w:rsidRPr="000F241C" w:rsidRDefault="003B6D3B" w:rsidP="0063610D">
      <w:pPr>
        <w:pStyle w:val="NormalHanging12a"/>
        <w:widowControl/>
      </w:pPr>
      <w:r w:rsidRPr="000F241C">
        <w:t>A.</w:t>
      </w:r>
      <w:r w:rsidRPr="000F241C">
        <w:tab/>
        <w:t>ottaa huomioon, että puhemies hyväksyi 22. kesäkuuta 2023 parlamentin tilinpäätöksen varainhoitovuodelta 2022;</w:t>
      </w:r>
    </w:p>
    <w:p w:rsidR="003B6D3B" w:rsidRPr="000F241C" w:rsidRDefault="003B6D3B" w:rsidP="0063610D">
      <w:pPr>
        <w:pStyle w:val="NormalHanging12a"/>
        <w:widowControl/>
      </w:pPr>
      <w:r w:rsidRPr="000F241C">
        <w:t>B.</w:t>
      </w:r>
      <w:r w:rsidRPr="000F241C">
        <w:tab/>
        <w:t>ottaa huomioon, että pääsihteeri johtavana valtuutettuna tulojen ja menojen hyväksyjänä vakuutti 26. kesäkuuta 2023 saaneensa kohtuullisen varmuuden siitä, että parlamentin talousarvioon osoitetut varat oli käytetty aiottuun tarkoitukseensa moitteettoman varainhoidon periaatteiden mukaisesti ja että käytössä olevat valvontamenettelyt antoivat riittävät takeet siitä, että tilien perustana olevat toimet olivat lailliset ja sääntöjenmukaiset;</w:t>
      </w:r>
    </w:p>
    <w:p w:rsidR="003B6D3B" w:rsidRPr="000F241C" w:rsidRDefault="003B6D3B" w:rsidP="0063610D">
      <w:pPr>
        <w:pStyle w:val="NormalHanging12a"/>
        <w:widowControl/>
      </w:pPr>
      <w:r w:rsidRPr="000F241C">
        <w:t>C.</w:t>
      </w:r>
      <w:r w:rsidRPr="000F241C">
        <w:tab/>
        <w:t>ottaa huomioon, että tilintarkastustuomioistuin totesi tarkastuksessaan, ettei se ollut havainnut varainhoitovuoden 2022 hallinto- ja muita menoja koskevassa erillisessä arvioinnissaan vakavia puutteita tarkastelemissaan asetuksessa (EU, Euratom) 2018/1046 edellytetyissä toimielinten ja elinten vuotuisissa toimintakertomuksissa;</w:t>
      </w:r>
    </w:p>
    <w:p w:rsidR="003B6D3B" w:rsidRPr="000F241C" w:rsidRDefault="003B6D3B" w:rsidP="0063610D">
      <w:pPr>
        <w:pStyle w:val="NormalHanging12a"/>
        <w:widowControl/>
      </w:pPr>
      <w:r w:rsidRPr="000F241C">
        <w:t>D.</w:t>
      </w:r>
      <w:r w:rsidRPr="000F241C">
        <w:tab/>
        <w:t>ottaa huomioon, että asetuksen (EU, Euratom) 2018/1046 262 artiklan 1 kohdan mukaan kaikkien unionin toimielinten on pyrittävä kaikin tavoin toimimaan vastuuvapauden myöntämistä koskevaan Euroopan parlamentin päätökseen liitettyjen huomautusten mukaisesti;</w:t>
      </w:r>
    </w:p>
    <w:p w:rsidR="003B6D3B" w:rsidRPr="000F241C" w:rsidRDefault="003B6D3B" w:rsidP="0063610D">
      <w:pPr>
        <w:pStyle w:val="NormalHanging12a"/>
        <w:widowControl/>
        <w:rPr>
          <w:noProof/>
        </w:rPr>
      </w:pPr>
      <w:r w:rsidRPr="000F241C">
        <w:t>1.</w:t>
      </w:r>
      <w:r w:rsidRPr="000F241C">
        <w:tab/>
        <w:t>myöntää puhemiehelle vastuuvapauden Euroopan parlamentin talousarvion toteuttamisesta varainhoitovuonna 2022;</w:t>
      </w:r>
    </w:p>
    <w:p w:rsidR="003B6D3B" w:rsidRPr="000F241C" w:rsidRDefault="003B6D3B" w:rsidP="0063610D">
      <w:pPr>
        <w:pStyle w:val="NormalHanging12a"/>
        <w:widowControl/>
        <w:rPr>
          <w:noProof/>
        </w:rPr>
      </w:pPr>
      <w:r w:rsidRPr="000F241C">
        <w:t>2.</w:t>
      </w:r>
      <w:r w:rsidRPr="000F241C">
        <w:tab/>
        <w:t>esittää huomautuksensa oheisessa päätöslauselmassa;</w:t>
      </w:r>
    </w:p>
    <w:p w:rsidR="003B6D3B" w:rsidRPr="000F241C" w:rsidRDefault="003B6D3B" w:rsidP="0063610D">
      <w:pPr>
        <w:pStyle w:val="NormalHanging12a"/>
        <w:widowControl/>
        <w:rPr>
          <w:noProof/>
        </w:rPr>
      </w:pPr>
      <w:r w:rsidRPr="000F241C">
        <w:t>3.</w:t>
      </w:r>
      <w:r w:rsidRPr="000F241C">
        <w:tab/>
        <w:t xml:space="preserve">kehottaa puhemiestä välittämään tämän päätöksen ja siihen erottamattomasti kuuluvan päätöslauselman neuvostolle, komissiolle ja tilintarkastustuomioistuimelle sekä huolehtimaan niiden julkaisemisesta </w:t>
      </w:r>
      <w:r w:rsidRPr="000F241C">
        <w:rPr>
          <w:i/>
          <w:iCs/>
        </w:rPr>
        <w:t>Euroopan unionin virallisessa lehdessä</w:t>
      </w:r>
      <w:r w:rsidRPr="000F241C">
        <w:t xml:space="preserve"> (L-sarja).</w:t>
      </w:r>
    </w:p>
    <w:p w:rsidR="003B6D3B" w:rsidRPr="000F241C" w:rsidRDefault="003B6D3B" w:rsidP="0063610D">
      <w:pPr>
        <w:widowControl/>
      </w:pPr>
    </w:p>
    <w:p w:rsidR="003B6D3B" w:rsidRPr="000F241C" w:rsidRDefault="003B6D3B" w:rsidP="0063610D">
      <w:pPr>
        <w:pStyle w:val="PageHeading"/>
        <w:widowControl/>
        <w:sectPr w:rsidR="003B6D3B" w:rsidRPr="000F241C" w:rsidSect="00D9309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B6D3B" w:rsidRPr="000F241C" w:rsidRDefault="003B6D3B" w:rsidP="007B325B">
      <w:pPr>
        <w:pStyle w:val="ATHeading3"/>
        <w:rPr>
          <w:noProof/>
        </w:rPr>
      </w:pPr>
      <w:bookmarkStart w:id="8" w:name="_Toc161846791"/>
      <w:r w:rsidRPr="000F241C">
        <w:lastRenderedPageBreak/>
        <w:t xml:space="preserve">2. </w:t>
      </w:r>
      <w:bookmarkEnd w:id="8"/>
      <w:r w:rsidR="0063610D" w:rsidRPr="000F241C">
        <w:t xml:space="preserve">Euroopan parlamentin päätöslauselma 11. huhtikuuta 2024, </w:t>
      </w:r>
      <w:r w:rsidRPr="000F241C">
        <w:t>joka sisältää huomautukset, jotka ovat erottamaton osa päätöstä vastuuvapauden myöntämisestä Euroopan unionin yleisen talousarvion toteuttamisesta varainhoitovuonna 2022, pääluokka I – Euroopan parlamentti</w:t>
      </w:r>
      <w:r w:rsidR="007B325B" w:rsidRPr="000F241C">
        <w:t xml:space="preserve"> </w:t>
      </w:r>
      <w:r w:rsidRPr="000F241C">
        <w:t>(2023/2130(DEC))</w:t>
      </w:r>
    </w:p>
    <w:p w:rsidR="003B6D3B" w:rsidRPr="000F241C" w:rsidRDefault="003B6D3B" w:rsidP="0063610D">
      <w:pPr>
        <w:pStyle w:val="EPComma"/>
        <w:widowControl/>
        <w:rPr>
          <w:noProof/>
        </w:rPr>
      </w:pPr>
      <w:r w:rsidRPr="000F241C">
        <w:rPr>
          <w:i/>
          <w:iCs/>
        </w:rPr>
        <w:t>Euroopan parlamentti</w:t>
      </w:r>
      <w:r w:rsidRPr="000F241C">
        <w:t>, joka</w:t>
      </w:r>
    </w:p>
    <w:p w:rsidR="003B6D3B" w:rsidRPr="000F241C" w:rsidRDefault="003B6D3B" w:rsidP="0063610D">
      <w:pPr>
        <w:pStyle w:val="NormalHanging12a"/>
        <w:widowControl/>
        <w:rPr>
          <w:noProof/>
        </w:rPr>
      </w:pPr>
      <w:r w:rsidRPr="000F241C">
        <w:t>–</w:t>
      </w:r>
      <w:r w:rsidRPr="000F241C">
        <w:tab/>
        <w:t>ottaa huomioon päätöksensä vastuuvapauden myöntämisestä Euroopan unionin yleisen talousarvion toteuttamisesta varainhoitovuonna 2022, pääluokka I – Euroopan parlamentti,</w:t>
      </w:r>
    </w:p>
    <w:p w:rsidR="003B6D3B" w:rsidRPr="000F241C" w:rsidRDefault="003B6D3B" w:rsidP="0063610D">
      <w:pPr>
        <w:pStyle w:val="NormalHanging12a"/>
        <w:widowControl/>
        <w:rPr>
          <w:noProof/>
        </w:rPr>
      </w:pPr>
      <w:r w:rsidRPr="000F241C">
        <w:t>–</w:t>
      </w:r>
      <w:r w:rsidRPr="000F241C">
        <w:tab/>
        <w:t>ottaa huomioon työjärjestyksen 100 artiklan, 104 artiklan 3 kohdan ja liitteen V,</w:t>
      </w:r>
    </w:p>
    <w:p w:rsidR="003B6D3B" w:rsidRPr="000F241C" w:rsidRDefault="003B6D3B" w:rsidP="0063610D">
      <w:pPr>
        <w:pStyle w:val="NormalHanging12a"/>
        <w:widowControl/>
        <w:rPr>
          <w:noProof/>
        </w:rPr>
      </w:pPr>
      <w:r w:rsidRPr="000F241C">
        <w:t>–</w:t>
      </w:r>
      <w:r w:rsidRPr="000F241C">
        <w:tab/>
        <w:t>ottaa huomioon oikeudellisten asioiden valiokunnan lausunnon,</w:t>
      </w:r>
    </w:p>
    <w:p w:rsidR="003B6D3B" w:rsidRPr="000F241C" w:rsidRDefault="003B6D3B" w:rsidP="0063610D">
      <w:pPr>
        <w:pStyle w:val="NormalHanging12a"/>
        <w:widowControl/>
      </w:pPr>
      <w:r w:rsidRPr="000F241C">
        <w:t>–</w:t>
      </w:r>
      <w:r w:rsidRPr="000F241C">
        <w:tab/>
        <w:t>ottaa huomioon talousarvion valvontavaliokunnan mietinnön (A9-0067/2024),</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A.</w:t>
      </w:r>
      <w:r w:rsidRPr="000F241C">
        <w:rPr>
          <w14:textOutline w14:w="0" w14:cap="flat" w14:cmpd="sng" w14:algn="ctr">
            <w14:noFill/>
            <w14:prstDash w14:val="solid"/>
            <w14:bevel/>
          </w14:textOutline>
        </w:rPr>
        <w:tab/>
        <w:t>panee merkille, että Euroopan parlamentin, jäljempänä ’parlamentti’, tilinpitäjä vakuutti lopullista tilinpäätöstä varmentaessaan saaneensa kohtuullisen varmuuden siitä, että tilinpäätös antaa kaikilta olennaisilta osiltaan oikeat ja riittävät tiedot parlamentin taloudellisesta asemasta, toimien tuloksista ja rahavirroista;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B.</w:t>
      </w:r>
      <w:r w:rsidRPr="000F241C">
        <w:rPr>
          <w14:textOutline w14:w="0" w14:cap="flat" w14:cmpd="sng" w14:algn="ctr">
            <w14:noFill/>
            <w14:prstDash w14:val="solid"/>
            <w14:bevel/>
          </w14:textOutline>
        </w:rPr>
        <w:tab/>
        <w:t>ottaa huomioon, että parlamentin hallinnolle lähetettiin tavanomaista menettelyä noudattaen 60 kysymystä ja saaduista kirjallisista vastauksista keskusteltiin talousarvion valvontavaliokunnan avoimessa kokouksessa 4. joulukuuta 2023 pääsihteerin, Euroopan tason poliittisista puolueista ja Euroopan tason poliittisista säätiöistä vastaavan viranomaisen (jäljempänä ’vastuuviranomainen’) johtajan ja sisäisen tarkastajan läsnä ollessa;</w:t>
      </w:r>
    </w:p>
    <w:p w:rsidR="003B6D3B" w:rsidRPr="000F241C" w:rsidRDefault="003B6D3B" w:rsidP="0063610D">
      <w:pPr>
        <w:pStyle w:val="NormalHanging12a"/>
        <w:widowControl/>
      </w:pPr>
      <w:r w:rsidRPr="000F241C">
        <w:t>C.</w:t>
      </w:r>
      <w:r w:rsidRPr="000F241C">
        <w:tab/>
        <w:t>katsoo, että julkisen varainhoidon laatua, tehokkuutta ja vaikuttavuutta sekä avoimuutta on aina varaa parantaa; toteaa, että perusteellinen valvonta on täysin välttämätöntä sen varmistamiseksi, että poliittinen johto ja parlamentin hallinto ovat vastuuvelvollisia unionin kansalaisille; ottaa huomioon, että parlamentin lahjomattomuus on ensiarvoisen tärkeää eurooppalaisen demokratian toiminnan kannalta ja että se lisää kansalaisten luottamusta unionin toimielimiin;</w:t>
      </w:r>
    </w:p>
    <w:p w:rsidR="00B11C01" w:rsidRPr="000F241C" w:rsidRDefault="00B11C01" w:rsidP="0063610D">
      <w:pPr>
        <w:pStyle w:val="NormalHanging12a"/>
        <w:widowControl/>
      </w:pPr>
      <w:r w:rsidRPr="000F241C">
        <w:t>D.</w:t>
      </w:r>
      <w:r w:rsidRPr="000F241C">
        <w:tab/>
        <w:t xml:space="preserve">ottaa huomioon, että ulkomainen sekaantuminen, tiedon manipulointi ja </w:t>
      </w:r>
      <w:proofErr w:type="spellStart"/>
      <w:r w:rsidRPr="000F241C">
        <w:t>disinformaatio</w:t>
      </w:r>
      <w:proofErr w:type="spellEnd"/>
      <w:r w:rsidRPr="000F241C">
        <w:t xml:space="preserve"> loukkaavat vakavasti unionin perustana olevia arvoja; ottaa huomioon, että ulkomaista sekaantumista kaikkiin unionin demokraattisiin prosesseihin ja siihen sisältyvää </w:t>
      </w:r>
      <w:proofErr w:type="spellStart"/>
      <w:r w:rsidRPr="000F241C">
        <w:t>disinformaatiota</w:t>
      </w:r>
      <w:proofErr w:type="spellEnd"/>
      <w:r w:rsidRPr="000F241C">
        <w:t xml:space="preserve"> käsittelevä parlamentin erityisvaliokunta (INGE), joka perustettiin kesäkuussa 2022, on paljastanut yksityiskohtaisesti kolmansien maiden toimia ja operaatioita eurooppalaisiin demokratioihin ja unionin toimielimiin soluttautumiseksi, niihin vaikuttamiseksi ja niiden häiritsemiseksi;</w:t>
      </w:r>
    </w:p>
    <w:p w:rsidR="00B11C01" w:rsidRPr="000F241C" w:rsidRDefault="00B11C01" w:rsidP="0063610D">
      <w:pPr>
        <w:pStyle w:val="NormalHanging12a"/>
        <w:widowControl/>
      </w:pPr>
      <w:r w:rsidRPr="000F241C">
        <w:t>E.</w:t>
      </w:r>
      <w:r w:rsidRPr="000F241C">
        <w:tab/>
        <w:t>ottaa huomioon, että väitetysti jäsenille oli maksettu Venäjän propagandan edistämisestä;</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Parlamentin talousarvio- ja varainhallinto</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Pr="000F241C">
        <w:rPr>
          <w14:textOutline w14:w="0" w14:cap="flat" w14:cmpd="sng" w14:algn="ctr">
            <w14:noFill/>
            <w14:prstDash w14:val="solid"/>
            <w14:bevel/>
          </w14:textOutline>
        </w:rPr>
        <w:tab/>
        <w:t xml:space="preserve">panee merkille, että parlamentin lopullinen talousarvio vuonna 2022 oli yhteensä 2 161 miljoonaa euroa eli 19,55 prosenttia monivuotisen rahoituskehyksen </w:t>
      </w:r>
      <w:r w:rsidRPr="000F241C">
        <w:rPr>
          <w14:textOutline w14:w="0" w14:cap="flat" w14:cmpd="sng" w14:algn="ctr">
            <w14:noFill/>
            <w14:prstDash w14:val="solid"/>
            <w14:bevel/>
          </w14:textOutline>
        </w:rPr>
        <w:lastRenderedPageBreak/>
        <w:t>otsakkeesta 7</w:t>
      </w:r>
      <w:r w:rsidRPr="000F241C">
        <w:rPr>
          <w:rStyle w:val="FootnoteReference"/>
          <w:szCs w:val="24"/>
        </w:rPr>
        <w:footnoteReference w:id="7"/>
      </w:r>
      <w:r w:rsidRPr="000F241C">
        <w:rPr>
          <w14:textOutline w14:w="0" w14:cap="flat" w14:cmpd="sng" w14:algn="ctr">
            <w14:noFill/>
            <w14:prstDash w14:val="solid"/>
            <w14:bevel/>
          </w14:textOutline>
        </w:rPr>
        <w:t>, johon sisältyvät kaikki unionin toimielinten hallintomenot vuonna 2022, ja toteaa, että kasvua vuoden 2021 talousarvioon verrattuna (2 064 miljoonaa euroa) oli 4,76 prosenttia;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w:t>
      </w:r>
      <w:r w:rsidRPr="000F241C">
        <w:rPr>
          <w14:textOutline w14:w="0" w14:cap="flat" w14:cmpd="sng" w14:algn="ctr">
            <w14:noFill/>
            <w14:prstDash w14:val="solid"/>
            <w14:bevel/>
          </w14:textOutline>
        </w:rPr>
        <w:tab/>
        <w:t>ottaa huomioon, että tileihin kirjattuja tuloja oli 31. joulukuuta 2022 yhteensä 250 473 772 euroa (215 332 108 euroa vuonna 2021); ottaa huomioon, että vuonna 2022 käyttötarkoitukseensa sidottuja tuloja oli 61 267 620 euroa (37 150 962 euroa vuonna 2021);</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3.</w:t>
      </w:r>
      <w:r w:rsidRPr="000F241C">
        <w:rPr>
          <w14:textOutline w14:w="0" w14:cap="flat" w14:cmpd="sng" w14:algn="ctr">
            <w14:noFill/>
            <w14:prstDash w14:val="solid"/>
            <w14:bevel/>
          </w14:textOutline>
        </w:rPr>
        <w:tab/>
        <w:t>korostaa, että viisi lukua kattoi 76,5 prosenttia kaikista maksusitoumuksista: luku 10 – Toimielimen jäsenet, luku 12 – Virkamiehet ja väliaikaiset toimihenkilöt, luku 14 — Muu henkilöstö ja ulkoiset palvelut, luku 20 – Kiinteistöt ja niiden liitännäiskulut ja luku 42 – Parlamentin jäsenten avustajiin liittyvät menot;</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4.</w:t>
      </w:r>
      <w:r w:rsidRPr="000F241C">
        <w:rPr>
          <w14:textOutline w14:w="0" w14:cap="flat" w14:cmpd="sng" w14:algn="ctr">
            <w14:noFill/>
            <w14:prstDash w14:val="solid"/>
            <w14:bevel/>
          </w14:textOutline>
        </w:rPr>
        <w:tab/>
        <w:t>panee merkille, että parlamentin tilinpäätös varainhoitovuodelta 2022 perustui seuraaviin määriin:</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3B6D3B" w:rsidRPr="000F241C" w:rsidTr="0063610D">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rsidR="003B6D3B" w:rsidRPr="000F241C" w:rsidRDefault="003B6D3B" w:rsidP="0063610D">
            <w:pPr>
              <w:widowControl/>
              <w:autoSpaceDE w:val="0"/>
              <w:autoSpaceDN w:val="0"/>
              <w:adjustRightInd w:val="0"/>
            </w:pPr>
            <w:r w:rsidRPr="000F241C">
              <w:rPr>
                <w:b/>
              </w:rPr>
              <w:t>a) Käytettävissä olleet määrärahat (euroa)</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määrärahat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2 161 651 286,00</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erikseen esitetyt siirrot varainhoitovuodelta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22 007 230,00</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automaattiset siirrot varainhoitovuodelta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380 099 194,75</w:t>
            </w:r>
          </w:p>
        </w:tc>
      </w:tr>
      <w:tr w:rsidR="003B6D3B" w:rsidRPr="000F241C" w:rsidTr="0063610D">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käyttötarkoitukseensa sidottuja tuloja vastaavat määrärahat vuodeksi 2022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61 267 620,37</w:t>
            </w:r>
          </w:p>
        </w:tc>
      </w:tr>
      <w:tr w:rsidR="003B6D3B" w:rsidRPr="000F241C" w:rsidTr="0063610D">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käyttötarkoitukseensa sidottuja tuloja vastaavien määrärahojen siirrot vuodelta 2021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39 603 266,73</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rsidR="003B6D3B" w:rsidRPr="000F241C" w:rsidRDefault="003B6D3B" w:rsidP="0063610D">
            <w:pPr>
              <w:widowControl/>
              <w:autoSpaceDE w:val="0"/>
              <w:autoSpaceDN w:val="0"/>
              <w:adjustRightInd w:val="0"/>
            </w:pPr>
            <w:r w:rsidRPr="000F241C">
              <w:t xml:space="preserve">Yhteensä: </w:t>
            </w:r>
          </w:p>
        </w:tc>
        <w:tc>
          <w:tcPr>
            <w:tcW w:w="2702" w:type="dxa"/>
            <w:tcBorders>
              <w:top w:val="single" w:sz="4" w:space="0" w:color="auto"/>
              <w:left w:val="single" w:sz="4" w:space="0" w:color="auto"/>
              <w:bottom w:val="single" w:sz="4" w:space="0" w:color="auto"/>
              <w:right w:val="single" w:sz="4" w:space="0" w:color="auto"/>
            </w:tcBorders>
            <w:vAlign w:val="bottom"/>
            <w:hideMark/>
          </w:tcPr>
          <w:p w:rsidR="003B6D3B" w:rsidRPr="000F241C" w:rsidRDefault="003B6D3B" w:rsidP="0063610D">
            <w:pPr>
              <w:widowControl/>
              <w:autoSpaceDE w:val="0"/>
              <w:autoSpaceDN w:val="0"/>
              <w:adjustRightInd w:val="0"/>
              <w:jc w:val="right"/>
            </w:pPr>
            <w:r w:rsidRPr="000F241C">
              <w:t>2 664 628 597,85</w:t>
            </w:r>
          </w:p>
        </w:tc>
      </w:tr>
      <w:tr w:rsidR="003B6D3B" w:rsidRPr="000F241C" w:rsidTr="0063610D">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rPr>
                <w:b/>
              </w:rPr>
            </w:pPr>
            <w:r w:rsidRPr="000F241C">
              <w:rPr>
                <w:b/>
              </w:rPr>
              <w:t>b) Määrärahojen käyttö varainhoitovuonna 2022 (euroa)</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sitoumukset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2 607 456 700,15</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suoritetut maksut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2 186 635 235,75</w:t>
            </w:r>
          </w:p>
        </w:tc>
      </w:tr>
      <w:tr w:rsidR="003B6D3B" w:rsidRPr="000F241C" w:rsidTr="0063610D">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seuraavalle vuodelle automaattisesti siirretyt määrärahat, mukaan lukien käyttötarkoitukseensa sidottuihin tuloihin perustuvat määrärahat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p>
          <w:p w:rsidR="003B6D3B" w:rsidRPr="000F241C" w:rsidRDefault="003B6D3B" w:rsidP="0063610D">
            <w:pPr>
              <w:widowControl/>
              <w:autoSpaceDE w:val="0"/>
              <w:autoSpaceDN w:val="0"/>
              <w:adjustRightInd w:val="0"/>
              <w:jc w:val="right"/>
            </w:pPr>
            <w:r w:rsidRPr="000F241C">
              <w:t>428 826 276,81</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seuraavalle vuodelle erikseen siirretyt määrärahat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0</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peruuntuneet määrärahat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49 167 085,50</w:t>
            </w:r>
          </w:p>
        </w:tc>
      </w:tr>
      <w:tr w:rsidR="003B6D3B" w:rsidRPr="000F241C" w:rsidTr="0063610D">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rPr>
                <w:b/>
              </w:rPr>
            </w:pPr>
            <w:r w:rsidRPr="000F241C">
              <w:rPr>
                <w:b/>
              </w:rPr>
              <w:t>c) Talousarviosta saatu rahoitus (euroa)</w:t>
            </w:r>
          </w:p>
        </w:tc>
      </w:tr>
      <w:tr w:rsidR="003B6D3B" w:rsidRPr="000F241C" w:rsidTr="0063610D">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pPr>
            <w:r w:rsidRPr="000F241C">
              <w:t xml:space="preserve">vuonna 2022 saadut määrärahat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250 473 772,00</w:t>
            </w:r>
          </w:p>
        </w:tc>
      </w:tr>
      <w:tr w:rsidR="003B6D3B" w:rsidRPr="000F241C" w:rsidTr="0063610D">
        <w:trPr>
          <w:trHeight w:val="32"/>
        </w:trPr>
        <w:tc>
          <w:tcPr>
            <w:tcW w:w="6189" w:type="dxa"/>
            <w:tcBorders>
              <w:top w:val="single" w:sz="8" w:space="0" w:color="000000"/>
              <w:left w:val="single" w:sz="8" w:space="0" w:color="000000"/>
              <w:bottom w:val="single" w:sz="8" w:space="0" w:color="000000"/>
              <w:right w:val="single" w:sz="8" w:space="0" w:color="000000"/>
            </w:tcBorders>
            <w:hideMark/>
          </w:tcPr>
          <w:p w:rsidR="003B6D3B" w:rsidRPr="000F241C" w:rsidRDefault="003B6D3B" w:rsidP="0063610D">
            <w:pPr>
              <w:widowControl/>
              <w:autoSpaceDE w:val="0"/>
              <w:autoSpaceDN w:val="0"/>
              <w:adjustRightInd w:val="0"/>
            </w:pPr>
            <w:r w:rsidRPr="000F241C">
              <w:rPr>
                <w:b/>
              </w:rPr>
              <w:t>d) Kokonaistase 31. joulukuuta 2022 (euroa)</w:t>
            </w:r>
          </w:p>
        </w:tc>
        <w:tc>
          <w:tcPr>
            <w:tcW w:w="2702" w:type="dxa"/>
            <w:tcBorders>
              <w:top w:val="single" w:sz="8" w:space="0" w:color="000000"/>
              <w:left w:val="single" w:sz="8" w:space="0" w:color="000000"/>
              <w:bottom w:val="single" w:sz="8" w:space="0" w:color="000000"/>
              <w:right w:val="single" w:sz="8" w:space="0" w:color="000000"/>
            </w:tcBorders>
            <w:vAlign w:val="center"/>
            <w:hideMark/>
          </w:tcPr>
          <w:p w:rsidR="003B6D3B" w:rsidRPr="000F241C" w:rsidRDefault="003B6D3B" w:rsidP="0063610D">
            <w:pPr>
              <w:widowControl/>
              <w:autoSpaceDE w:val="0"/>
              <w:autoSpaceDN w:val="0"/>
              <w:adjustRightInd w:val="0"/>
              <w:jc w:val="right"/>
            </w:pPr>
            <w:r w:rsidRPr="000F241C">
              <w:t>1 735 834 446,00</w:t>
            </w:r>
          </w:p>
        </w:tc>
      </w:tr>
    </w:tbl>
    <w:p w:rsidR="003B6D3B" w:rsidRPr="000F241C" w:rsidRDefault="003B6D3B" w:rsidP="0063610D">
      <w:pPr>
        <w:pStyle w:val="NormalHanging12a"/>
        <w:widowControl/>
        <w:spacing w:before="240"/>
      </w:pPr>
      <w:r w:rsidRPr="000F241C">
        <w:t>5.</w:t>
      </w:r>
      <w:r w:rsidRPr="000F241C">
        <w:tab/>
        <w:t>toteaa, että varainhoitovuonna 2022 parlamentin budjettivaliokunta hyväksyi 21 varainhoitoasetuksen 31 ja 49 artiklan mukaista siirtoa (ns. C-siirrot), joiden kokonaismäärä oli 88 449 115 euroa eli 4,09 prosenttia lopullisista määrärahoista; panee merkille, että puhemies hyväksyi 11 siirtoa (ns. P-siirrot), joiden kokonaismäärä oli 34 246 879 euroa eli 1,6 prosenttia vuoden 2022 talousarviosta; kysyy, minkä budjettikohtien välillä nämä P-siirrot tehtiin; kehottaa parlamentin johtoa tiedottamaan talousarvion valvontavaliokunnalle ennakoivasti kyseessä olevista määristä ja budjettikohdista;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lastRenderedPageBreak/>
        <w:t>6.</w:t>
      </w:r>
      <w:r w:rsidRPr="000F241C">
        <w:rPr>
          <w14:textOutline w14:w="0" w14:cap="flat" w14:cmpd="sng" w14:algn="ctr">
            <w14:noFill/>
            <w14:prstDash w14:val="solid"/>
            <w14:bevel/>
          </w14:textOutline>
        </w:rPr>
        <w:tab/>
        <w:t xml:space="preserve">toteaa, että covid-19-pandemiasta aiheutui kohtalainen noin 16 417 325 euron ylijäämä, joka siirrettiin budjettikohdista, jotka koskivat muun muassa matkakuluja, vierailijaryhmiin liittyviä järjestelyjä ja vierailijaryhmien vastaanottoa, parlamentin vierailukeskusten toimintaa, lähikoulutuksena järjestettävää ulkoista koulutusta, dokumentaatiota/julkaisuja sekä jäsenten paikallisia avustajia ja harjoittelijoita; huomauttaa, että samaan aikaan muita budjettikohtia oli covid-19-pandemian vuoksi vahvistettava yhteensä 7 549 000 eurolla; painottaa näiden budjettikohtien koskeneen pääasiassa taloudellista tukea kotona työskentelevälle henkilöstölle, terveydenhuoltoa ja ennaltaehkäisyä sekä ylimääräisiä tulkkausmenoja etätyöskentelyn ja monikielisten </w:t>
      </w:r>
      <w:proofErr w:type="spellStart"/>
      <w:r w:rsidRPr="000F241C">
        <w:rPr>
          <w14:textOutline w14:w="0" w14:cap="flat" w14:cmpd="sng" w14:algn="ctr">
            <w14:noFill/>
            <w14:prstDash w14:val="solid"/>
            <w14:bevel/>
          </w14:textOutline>
        </w:rPr>
        <w:t>etä</w:t>
      </w:r>
      <w:proofErr w:type="spellEnd"/>
      <w:r w:rsidRPr="000F241C">
        <w:rPr>
          <w14:textOutline w14:w="0" w14:cap="flat" w14:cmpd="sng" w14:algn="ctr">
            <w14:noFill/>
            <w14:prstDash w14:val="solid"/>
            <w14:bevel/>
          </w14:textOutline>
        </w:rPr>
        <w:t>- ja hybridikokousten tukemiseksi;</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7.</w:t>
      </w:r>
      <w:r w:rsidRPr="000F241C">
        <w:rPr>
          <w14:textOutline w14:w="0" w14:cap="flat" w14:cmpd="sng" w14:algn="ctr">
            <w14:noFill/>
            <w14:prstDash w14:val="solid"/>
            <w14:bevel/>
          </w14:textOutline>
        </w:rPr>
        <w:tab/>
        <w:t xml:space="preserve">panee merkille, että vuosi 2022 oli unionin toimielimille, myös parlamentille, siirtymävuosi; panee merkille, että covid-19-pandemian seurauksena käyttöön otetut toimenpiteet lakkautettiin kesäkuuhun 2022 mennessä; panee tyytyväisenä merkille, että kaikki pääosastot ja pääsihteeri ovat toteuttaneet toimia tarjotakseen käyttöön tarvittavat välineet, jotta parlamentin toiminta voisi jatkua samalla tavalla kuin ennen covid-19-pandemiaa; on tyytyväinen, että täysistuntojen järjestäminen jälleen paikan päällä maaliskuusta 2022 alkaen on onnistunut; huomauttaa, että tätä seuranneen kahden vuoden aikana oli järjestettävä yli 12 000 etä-äänestystä peräti 175 äänestyksessä 30 istuntojakson aikana; </w:t>
      </w:r>
    </w:p>
    <w:p w:rsidR="003B6D3B" w:rsidRPr="000F241C" w:rsidRDefault="003B6D3B" w:rsidP="0063610D">
      <w:pPr>
        <w:pStyle w:val="NormalHanging12a"/>
        <w:widowControl/>
      </w:pPr>
      <w:r w:rsidRPr="000F241C">
        <w:t>8.</w:t>
      </w:r>
      <w:r w:rsidRPr="000F241C">
        <w:tab/>
        <w:t>panee merkille, että Venäjän hyökkäyssota Ukrainaa vastaan ja poikkeuksellisen korkea inflaatio, joka oli vuoden 2022 lopussa unionissa edelleen 10,4 prosentin vuositasolla, vaikuttivat merkittävästi varainhoitovuoteen 2022; toteaa, että parlamentin hallinto on panostanut huomattavasti talousarvion toteuttamiseen, jotta voidaan vastata kriisitilanteesta johtuviin kiireellisiin tarpeisiin; panee tyytyväisenä merkille, että parlamentti on lahjoittanut teknistä kalustoa tukeakseen Ukrainaa vaikeina sota-aikoina;</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Tilintarkastustuomioistuimen lausunnot vuoden 2022 tilien luotettavuudesta sekä tilien perustana olevien toimien laillisuudesta ja asianmukaisuudesta (sääntöjenmukaisuudesta)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9.</w:t>
      </w:r>
      <w:r w:rsidRPr="000F241C">
        <w:rPr>
          <w14:textOutline w14:w="0" w14:cap="flat" w14:cmpd="sng" w14:algn="ctr">
            <w14:noFill/>
            <w14:prstDash w14:val="solid"/>
            <w14:bevel/>
          </w14:textOutline>
        </w:rPr>
        <w:tab/>
        <w:t>palauttaa mieliin, että tilintarkastustuomioistuin arvioi kaikkien unionin toimielinten hallintomenot ja muut menot erikseen yhtenä toimintalohkoryhmänä; korostaa, että hallintomenoihin kuuluvat henkilöstömenot, eläkemenot mukaan luettuina, joiden osuus hallintomenojen kokonaismäärästä oli vuonna 2022 noin 70 prosenttia, sekä kiinteistöihin, laitteisiin, energiaan, viestintään ja tietotekniikkaan liittyvät menot; panee merkille, että tilintarkastustuomioistuimen useiden vuosien aikana tekemä työ osoittaa, että näiden menojen riski on yleisesti ottaen alhainen;</w:t>
      </w:r>
    </w:p>
    <w:p w:rsidR="003B6D3B" w:rsidRPr="000F241C" w:rsidRDefault="003B6D3B" w:rsidP="0063610D">
      <w:pPr>
        <w:pStyle w:val="NormalHanging12a"/>
        <w:widowControl/>
      </w:pPr>
      <w:r w:rsidRPr="000F241C">
        <w:t>10.</w:t>
      </w:r>
      <w:r w:rsidRPr="000F241C">
        <w:tab/>
        <w:t xml:space="preserve">panee merkille, että monivuotisen rahoituskehyksen otsakkeen 7 ”Euroopan yleinen hallinto” osuus unionin talousarviosta vuonna 2022 oli 11,6 miljardia euroa eli 5,9 prosenttia, josta parlamentin osuus oli 2,2 miljardia euroa eli 18,9 prosenttia; panee tyytyväisenä merkille, että tilintarkastustuomioistuimen havainnon mukaan EU:n yleisen hallinnon virhetaso ei ollut olennainen; kehottaa parlamenttia tarkastamaan ja määrittämään, </w:t>
      </w:r>
      <w:proofErr w:type="spellStart"/>
      <w:r w:rsidRPr="000F241C">
        <w:t>minkätyyppisissä</w:t>
      </w:r>
      <w:proofErr w:type="spellEnd"/>
      <w:r w:rsidRPr="000F241C">
        <w:t xml:space="preserve"> tapahtumissa virheiden osuus oli suuri, vaikkakin olennaisuusrajan alapuolella, ja tarkastelemaan menettelyihin tehtäviä muutoksia, joita tarvitaan vastaavien virheiden välttämiseksi ja havaitsemiseksi tulevaisuudessa;</w:t>
      </w:r>
    </w:p>
    <w:p w:rsidR="003B6D3B" w:rsidRPr="000F241C" w:rsidRDefault="003B6D3B" w:rsidP="0063610D">
      <w:pPr>
        <w:pStyle w:val="NormalHanging12a"/>
        <w:widowControl/>
      </w:pPr>
      <w:r w:rsidRPr="000F241C">
        <w:t>11.</w:t>
      </w:r>
      <w:r w:rsidRPr="000F241C">
        <w:tab/>
        <w:t xml:space="preserve">panee merkille, että tilintarkastustuomioistuimen vuosikertomuksessa talousarvion toteuttamisesta varainhoitovuonna 2022 esitetään parlamenttia koskevia erityisiä havaintoja: panee merkille tilintarkastustuomioistuimen suosituksen, jonka mukaan parlamentin hallinnon olisi annettava tarkemmat ohjeet siitä, miten poliittiset ryhmät </w:t>
      </w:r>
      <w:r w:rsidRPr="000F241C">
        <w:lastRenderedPageBreak/>
        <w:t>käyttävät talousarviomäärärahojaan, ja sen olisi parannettava edelleen sisäisiä sääntöjä ja varmistettava, että hankintasääntöjä ja -menettelyjä noudatetaan;</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w:t>
      </w:r>
      <w:r w:rsidRPr="000F241C">
        <w:rPr>
          <w14:textOutline w14:w="0" w14:cap="flat" w14:cmpd="sng" w14:algn="ctr">
            <w14:noFill/>
            <w14:prstDash w14:val="solid"/>
            <w14:bevel/>
          </w14:textOutline>
        </w:rPr>
        <w:tab/>
        <w:t xml:space="preserve">panee merkille, että tilintarkastustuomioistuin valitsi parlamenttia koskevan 13 tapahtuman otoksen ja havaitsi niistä kolmessa kvantitatiivisesti ilmaistavissa olevia virheitä; toteaa, että yksi tilintarkastustuomioistuimen esille ottamista kysymyksistä koski hankintoja, ja korostaa, että </w:t>
      </w:r>
      <w:proofErr w:type="spellStart"/>
      <w:r w:rsidRPr="000F241C">
        <w:rPr>
          <w14:textOutline w14:w="0" w14:cap="flat" w14:cmpd="sng" w14:algn="ctr">
            <w14:noFill/>
            <w14:prstDash w14:val="solid"/>
            <w14:bevel/>
          </w14:textOutline>
        </w:rPr>
        <w:t>tämäntyyppisiä</w:t>
      </w:r>
      <w:proofErr w:type="spellEnd"/>
      <w:r w:rsidRPr="000F241C">
        <w:rPr>
          <w14:textOutline w14:w="0" w14:cap="flat" w14:cmpd="sng" w14:algn="ctr">
            <w14:noFill/>
            <w14:prstDash w14:val="solid"/>
            <w14:bevel/>
          </w14:textOutline>
        </w:rPr>
        <w:t xml:space="preserve"> havaintoja on tuotu esiin aiemminkin;</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w:t>
      </w:r>
      <w:r w:rsidRPr="000F241C">
        <w:rPr>
          <w14:textOutline w14:w="0" w14:cap="flat" w14:cmpd="sng" w14:algn="ctr">
            <w14:noFill/>
            <w14:prstDash w14:val="solid"/>
            <w14:bevel/>
          </w14:textOutline>
        </w:rPr>
        <w:tab/>
        <w:t>panee merkille tilintarkastustuomioistuimen huomautukset parlamentin sisäisistä säännöistä; muistuttaa, että poliittiset ryhmät hallinnoivat niille osoitettuja varoja noudattaen välillisen varainhoidon periaatteita soveltaen vastaavasti varainhoitoasetuksen 62 artiklan 1 kohdan c alakohtaa; toteaa, että näillä säännöillä korvataan (varainhoitoasetuksen 155 artiklan 6 kohdassa tarkoitetut) rahoitusosuussopimukset;</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w:t>
      </w:r>
      <w:r w:rsidRPr="000F241C">
        <w:rPr>
          <w14:textOutline w14:w="0" w14:cap="flat" w14:cmpd="sng" w14:algn="ctr">
            <w14:noFill/>
            <w14:prstDash w14:val="solid"/>
            <w14:bevel/>
          </w14:textOutline>
        </w:rPr>
        <w:tab/>
        <w:t>muistuttaa, että parlamentin sisäisten sääntöjen mukaan poliittiset ryhmät ovat vastuussa parlamentille määrärahojen käytöstä sen toimivallan rajoissa, jonka puhemiehistö on niille antanut; toteaa, että määrärahoja on hallinnoitava näiden sääntöjen mukaisesti ja että olisi ryhdyttävä asianmukaisiin toimiin sääntöjen noudattamatta jättämisen ehkäisemiseksi;</w:t>
      </w:r>
    </w:p>
    <w:p w:rsidR="003B6D3B" w:rsidRPr="000F241C" w:rsidRDefault="003B6D3B" w:rsidP="0063610D">
      <w:pPr>
        <w:pStyle w:val="NormalHanging12a"/>
        <w:widowControl/>
      </w:pPr>
      <w:r w:rsidRPr="000F241C">
        <w:t>15.</w:t>
      </w:r>
      <w:r w:rsidRPr="000F241C">
        <w:tab/>
        <w:t>ottaa huomioon, että poliittiset ryhmät saavat pyynnöstä apua ja neuvoja parlamentilta; panee merkille, että vuonna 2022 poliittisten ryhmien talousosastot tehostivat allekirjoituksiaan kansallisten valtuuskuntien kanssa varmistaakseen, että budjettikohdan 400 määrärahoja hallinnoidaan moitteettomasti;</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16.</w:t>
      </w:r>
      <w:r w:rsidRPr="000F241C">
        <w:rPr>
          <w14:textOutline w14:w="0" w14:cap="flat" w14:cmpd="sng" w14:algn="ctr">
            <w14:noFill/>
            <w14:prstDash w14:val="solid"/>
            <w14:bevel/>
          </w14:textOutline>
        </w:rPr>
        <w:tab/>
        <w:t>pitää myönteisenä, että hallinto on sitoutunut lisäämään poliittisille ryhmille tarkoitettua ohjeistusta parlamentin sisäisten sääntöjen asianmukaisesta täytäntöönpanosta ja auttamaan niitä niiden sisäisen varainhallinnon parantamisessa; pitää myönteisenä, että se aikoo selkiyttää edelleen poliittisten ryhmien hankintoja koskevia ohjeita;</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Sisäisen tarkastajan vuosikertomus</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17.</w:t>
      </w:r>
      <w:r w:rsidRPr="000F241C">
        <w:rPr>
          <w14:textOutline w14:w="0" w14:cap="flat" w14:cmpd="sng" w14:algn="ctr">
            <w14:noFill/>
            <w14:prstDash w14:val="solid"/>
            <w14:bevel/>
          </w14:textOutline>
        </w:rPr>
        <w:tab/>
        <w:t xml:space="preserve">toteaa, että sisäinen tarkastaja esitteli vuosikertomuksensa asiasta vastaavan valiokunnan ja sisäisen tarkastajan kokouksessa 4. joulukuuta 2023, kuvasi suorittamiaan varmennustarkastuksia ja tarjoamiaan konsultointipalveluja ja raportoi tämänhetkistä tilannetta koskevista tuloksista keskittyen vuonna 2022 seuraaviin aiheisiin: sisäisiin tarkastuskertomuksiin sisältyvien keskeneräisten toimien monialainen seuranta, henkilöstön virkamatkojen tarkastus, toimielimen riskinhallintakehyksen tarkastelu, hankintamenettelyä koskeva tarkastus infrastruktuurin ja logistiikan pääosastossa, turvallisuusasioiden pääosaston turvalaitteiden ja -palvelujen hankinnan ja käytön tarkastus, Euroopan tason poliittisten puolueiden ja Euroopan tason poliittisten säätiöiden rahoitusta koskeva tarkastus – toinen toimeksianto ja ADENAUER 2 </w:t>
      </w:r>
      <w:r w:rsidRPr="000F241C">
        <w:rPr>
          <w14:textOutline w14:w="0" w14:cap="flat" w14:cmpd="sng" w14:algn="ctr">
            <w14:noFill/>
            <w14:prstDash w14:val="solid"/>
            <w14:bevel/>
          </w14:textOutline>
        </w:rPr>
        <w:noBreakHyphen/>
        <w:t>rakennushankkeen määräaikaisarviointi – vaihe 3 (itäsiiven valmistuminen);</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18.</w:t>
      </w:r>
      <w:r w:rsidRPr="000F241C">
        <w:rPr>
          <w14:textOutline w14:w="0" w14:cap="flat" w14:cmpd="sng" w14:algn="ctr">
            <w14:noFill/>
            <w14:prstDash w14:val="solid"/>
            <w14:bevel/>
          </w14:textOutline>
        </w:rPr>
        <w:tab/>
        <w:t>pitää myönteisinä ja tukee toimia, joista sisäinen tarkastaja on sopinut asiasta vastaavien pääosastojen kanssa varmennustoimeksiantojen perusteella ja jotka liittyvät henkilöstön virkamatkojen tarkastukseen, toimielimen riskinhallintakehyksen tarkasteluun ja hankintamenettelyä koskevaan tarkastukseen infrastruktuurin ja logistiikan pääosastossa;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lastRenderedPageBreak/>
        <w:t>19.</w:t>
      </w:r>
      <w:r w:rsidRPr="000F241C">
        <w:rPr>
          <w14:textOutline w14:w="0" w14:cap="flat" w14:cmpd="sng" w14:algn="ctr">
            <w14:noFill/>
            <w14:prstDash w14:val="solid"/>
            <w14:bevel/>
          </w14:textOutline>
        </w:rPr>
        <w:tab/>
        <w:t>panee merkille varmennustoimeksiannot, joita koskevat alustavat päätelmät ovat valmisteilla ja joita koskeva kenttätyö on vielä meneillään ja joissa noudatetaan tällä hetkellä sisäisen tarkastajan toimenkuvauksessa vahvistettua menettelyä;</w:t>
      </w:r>
    </w:p>
    <w:p w:rsidR="003B6D3B" w:rsidRPr="000F241C" w:rsidRDefault="003B6D3B" w:rsidP="0063610D">
      <w:pPr>
        <w:pStyle w:val="NormalHanging12a"/>
        <w:widowControl/>
      </w:pPr>
      <w:r w:rsidRPr="000F241C">
        <w:t>20.</w:t>
      </w:r>
      <w:r w:rsidRPr="000F241C">
        <w:tab/>
        <w:t>panee merkille, että vuoden 2022 seurantaprosessissa saatettiin päätökseen 38 toimea 92 keskeneräisestä toimesta, joiden täytäntöönpanolle sovitut määräajat olivat umpeutunee</w:t>
      </w:r>
      <w:r w:rsidR="00D905A9">
        <w:t>t; on huolissaan siitä, että 31</w:t>
      </w:r>
      <w:bookmarkStart w:id="9" w:name="_GoBack"/>
      <w:bookmarkEnd w:id="9"/>
      <w:r w:rsidRPr="000F241C">
        <w:t> päiv</w:t>
      </w:r>
      <w:r w:rsidR="00BC0D13">
        <w:t>ään joulukuuta 2022 mennessä 29 </w:t>
      </w:r>
      <w:r w:rsidRPr="000F241C">
        <w:t>keskeneräistä toimea oli myöhässä yli 12 kuukautta; odottaa eri pääosastojen varmistavan, että jäljellä olevat toimet saatetaan viipymättä päätökseen ja että sovitut toimet toteutetaan sisäisen tarkastajan vuosikertomuksessa asetettujen määräaikojen mukaisesti;</w:t>
      </w:r>
    </w:p>
    <w:p w:rsidR="003B6D3B" w:rsidRPr="000F241C" w:rsidRDefault="003B6D3B" w:rsidP="0063610D">
      <w:pPr>
        <w:pStyle w:val="NormalHanging12a"/>
        <w:widowControl/>
      </w:pPr>
      <w:r w:rsidRPr="000F241C">
        <w:t>21.</w:t>
      </w:r>
      <w:r w:rsidRPr="000F241C">
        <w:tab/>
        <w:t>toteaa, että varainhoitoasetuksen 118 artiklan 9 kohdan mukaan sisäisen tarkastajan kertomukset ja havainnot sekä asianomaisen unionin toimielimen kertomus asetetaan yleisön saataville heti, kun sisäinen tarkastaja on vahvistanut niiden johdosta toteutetut toimet; toteaa, että käytännössä kertomukset ja havainnot julkaistaan vasta, kun kaikki suositukset on pantu täytäntöön</w:t>
      </w:r>
      <w:r w:rsidR="00DB72D0" w:rsidRPr="000F241C">
        <w:t xml:space="preserve">, mistä syystä julkaiseminen tapahtuu tosiasiassa vuosien viiveellä; kehottaa puhemiehistöä asettamaan kunkin sisäisen tarkastuskertomuksen yleisön saataville vuoden kuluttua sen valmistumisesta, kun sisäinen tarkastaja on vahvistanut edellisen vuoden suosituksen </w:t>
      </w:r>
      <w:proofErr w:type="spellStart"/>
      <w:r w:rsidR="00DB72D0" w:rsidRPr="000F241C">
        <w:t>täytäntöönpanemiseksi</w:t>
      </w:r>
      <w:proofErr w:type="spellEnd"/>
      <w:r w:rsidR="00DB72D0" w:rsidRPr="000F241C">
        <w:t xml:space="preserve"> toteutetut toimet</w:t>
      </w:r>
      <w:r w:rsidRPr="000F241C">
        <w:t>; muistuttaa, että jäsenet voivat tutustua luottamuksellisiin asiakirjoihin vain tiedonsaantitarpeen perusteella puhemiehistön sääntöjen mukaisesti; muistuttaa, että kaikilla talousarvion valvontavaliokunnan jäsenillä on oikeus pyytää mahdollisuutta tutustua luottamuksellisesti vastuuvapausmenettelyä koskevaan sisäisen tarkastuksen kertomukseen; pitää myönteisenä, että sisäinen tarkastaja raportoi säännöllisesti talousarvion valvontavaliokunnalle vuotuisista tarkastustoimista;</w:t>
      </w:r>
    </w:p>
    <w:p w:rsidR="003B6D3B" w:rsidRPr="000F241C" w:rsidRDefault="003B6D3B" w:rsidP="0063610D">
      <w:pPr>
        <w:pStyle w:val="NormalHanging12a"/>
        <w:widowControl/>
      </w:pPr>
      <w:r w:rsidRPr="000F241C">
        <w:t>22.</w:t>
      </w:r>
      <w:r w:rsidRPr="000F241C">
        <w:tab/>
        <w:t>panee merkille, että tietojärjestelmiin erikoistuneen tarkastajan virka oli täyttämättä koko vuoden, minkä vuoksi yksi suunniteltu tietotekniikka-alan tarkastus (henkilöstön kybertietoisuudesta) jäi vuonna 2022 tekemättä; toteaa, että tiettyihin tarkastustehtäviin, mm. tietotekniikan alalla, on vaikea löytää sopivaa henkilöstöä tarkastusten suorittamiseksi suunnitellusti niiden vaatimusten mukaisesti; kehottaa sisäistä tarkastusta puuttumaan tähän asiaan, jotta voidaan varmistaa, että jäljellä oleva tarkastus saadaan päätökseen hyvissä ajoin ennen seuraavaa vastuuvapauskierrosta;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23.</w:t>
      </w:r>
      <w:r w:rsidRPr="000F241C">
        <w:rPr>
          <w14:textOutline w14:w="0" w14:cap="flat" w14:cmpd="sng" w14:algn="ctr">
            <w14:noFill/>
            <w14:prstDash w14:val="solid"/>
            <w14:bevel/>
          </w14:textOutline>
        </w:rPr>
        <w:tab/>
        <w:t>panee tyytyväisenä merkille, että sisäinen tarkastus on pyrkinyt tehostamaan toimintaansa edelleen vuoden 2022 laadunvarmistus- ja laadunparannusohjelmansa avulla voidakseen tarjota päätöksenteosta ja valvonnasta vastaaville viranomaisille, tulojen ja menojen hyväksyjille ja johdolle objektiivisen varmuuden; panee merkille, että sisäinen tarkastaja totesi, ettei hän saanut mistään lähteestä sellaisia ohjeita tai neuvoja, jotka vaarantaisivat hänen riippumattomuutensa;</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Vuoden 2021 vastuuvapauspäätöslauselman seuranta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24.</w:t>
      </w:r>
      <w:r w:rsidRPr="000F241C">
        <w:rPr>
          <w14:textOutline w14:w="0" w14:cap="flat" w14:cmpd="sng" w14:algn="ctr">
            <w14:noFill/>
            <w14:prstDash w14:val="solid"/>
            <w14:bevel/>
          </w14:textOutline>
        </w:rPr>
        <w:tab/>
        <w:t>panee merkille talousarvion valvontavaliokunnalle vuotta 2021 koskevaan vastuuvapauspäätöslauselmaan 13. syyskuuta 2023 annetut kirjalliset vastaukset, pääsihteerin esityksen, jossa hän käsitteli vuotta 2021 koskevaan parlamentin vastuuvapauspäätöslauselmaan sisältyneitä kysymyksiä, sekä niiden johdosta käydyn keskustelun jäsenten kanssa;</w:t>
      </w:r>
    </w:p>
    <w:p w:rsidR="003B6D3B" w:rsidRPr="000F241C" w:rsidRDefault="003B6D3B" w:rsidP="0063610D">
      <w:pPr>
        <w:pStyle w:val="NormalHanging12a"/>
        <w:widowControl/>
      </w:pPr>
      <w:r w:rsidRPr="000F241C">
        <w:t>25.</w:t>
      </w:r>
      <w:r w:rsidRPr="000F241C">
        <w:tab/>
        <w:t xml:space="preserve">muistuttaa, että kun täysistunto pyytää parlamenttia soveltamaan erilaisia sääntöjä tai toimenpiteitä, puhemiehistö keskustelee ja äänestää tällaisista sääntöjä tai toimenpiteitä </w:t>
      </w:r>
      <w:r w:rsidRPr="000F241C">
        <w:lastRenderedPageBreak/>
        <w:t>koskevista ehdotuksista; muistuttaa työjärjestyksen 25 artiklan mukaisesti, että puhemiehistön vastuulla on ratkaista jäseniä koskevat taloudelliset, organisatoriset ja hallinnolliset kysymykset; muistuttaa, että puhemiehistö koostuu Euroopan parlamentin puhemiehestä, 14 varapuhemiehestä ja viidestä parlamentin demokraattisesti valitsemasta kvestorista (jotka ovat äänioikeudettomia jäseniä); panee merkille, että puhemiehistön jäsenet käsittelevät parlamentin ennakkoarvioesitystä; muistuttaa, että vastuuvapaus on demokraattisen valvonnan toteuttamista ja että täysistunnon vastuuvapauspäätöslauselmissa hyväksymät konkreettiset vaatimukset on otettava huomioon puhemiehistön keskusteluissa;</w:t>
      </w:r>
    </w:p>
    <w:p w:rsidR="003B6D3B" w:rsidRPr="000F241C" w:rsidRDefault="003B6D3B" w:rsidP="0063610D">
      <w:pPr>
        <w:pStyle w:val="NormalHanging12a"/>
        <w:widowControl/>
      </w:pPr>
      <w:r w:rsidRPr="000F241C">
        <w:t>26.</w:t>
      </w:r>
      <w:r w:rsidRPr="000F241C">
        <w:tab/>
        <w:t>on tietoinen siitä, että aina maaliskuussa 2020 tapahtuneesta covid-19-pandemian puhkeamisesta vuoden 2022 alussa käynnistyneeseen terveyteen liittyvistä rajoituksista asteittaiseen luopumiseen saakka puhemiehistössä käsiteltiin etupäässä päätöksiä, joiden tarkoituksena oli suojella jäsenten ja henkilöstön koskemattomuutta ja varmistaa samalla toiminnan jatkuvuus sekä toteuttaa käytännön solidaarisuustoimenpiteitä parlamentin kolmessa isäntävaltiossa;</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Johdon pääosasto</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27.</w:t>
      </w:r>
      <w:r w:rsidRPr="000F241C">
        <w:rPr>
          <w14:textOutline w14:w="0" w14:cap="flat" w14:cmpd="sng" w14:algn="ctr">
            <w14:noFill/>
            <w14:prstDash w14:val="solid"/>
            <w14:bevel/>
          </w14:textOutline>
        </w:rPr>
        <w:tab/>
        <w:t>muistuttaa, että johdon pääosasto (DG PRES) tarjoaa asiantuntemusta ja helpottaa puhemiehen, täysistunnon sekä parlamentin hallintoelinten ja jäsenten lainsäädäntö- ja parlamentaarista työtä parlamentaarisen prosessin ja lainsäädäntöprosessin kaikissa vaiheissa; muistuttaa, että se vastaa myös toimielinten välisistä suhteista, puhemiehen tukemien virallisten vierailujen ja tapahtumien protokollatuesta, unionin turvallisuusluokiteltujen tietojen hallinnoinnista sekä virallisen ja kirjatun postin hallinnoinnista ja että se vastasi parlamenttien välisistä suhteista marraskuuhun 2022 saakka; panee merkille, että 31. joulukuuta 2022 pääosastossa oli 364 henkilöstön jäsentä, joista 307 oli virkamiehiä, 19 väliaikaista toimihenkilöä, 37 sopimussuhteista toimihenkilöä ja yksi vuokratyöntekijä;</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28.</w:t>
      </w:r>
      <w:r w:rsidRPr="000F241C">
        <w:rPr>
          <w14:textOutline w14:w="0" w14:cap="flat" w14:cmpd="sng" w14:algn="ctr">
            <w14:noFill/>
            <w14:prstDash w14:val="solid"/>
            <w14:bevel/>
          </w14:textOutline>
        </w:rPr>
        <w:tab/>
        <w:t>panee merkille, että johdon pääosaston lopulliset määrärahat olivat 1 275 565 euroa vuonna 2022, mikä on 0,1 prosenttia parlamentin talousarviosta; korostaa, että tästä määrästä sidottiin yhteensä 1 169 055,78 euroa; pitää myönteisenä määrärahojen korkeaa käyttöastetta;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29.</w:t>
      </w:r>
      <w:r w:rsidRPr="000F241C">
        <w:rPr>
          <w14:textOutline w14:w="0" w14:cap="flat" w14:cmpd="sng" w14:algn="ctr">
            <w14:noFill/>
            <w14:prstDash w14:val="solid"/>
            <w14:bevel/>
          </w14:textOutline>
        </w:rPr>
        <w:tab/>
        <w:t xml:space="preserve">pitää myönteisenä, että XML-tekniikkaa käyttävän </w:t>
      </w:r>
      <w:proofErr w:type="spellStart"/>
      <w:r w:rsidRPr="000F241C">
        <w:rPr>
          <w14:textOutline w14:w="0" w14:cap="flat" w14:cmpd="sng" w14:algn="ctr">
            <w14:noFill/>
            <w14:prstDash w14:val="solid"/>
            <w14:bevel/>
          </w14:textOutline>
        </w:rPr>
        <w:t>eLegislate</w:t>
      </w:r>
      <w:proofErr w:type="spellEnd"/>
      <w:r w:rsidRPr="000F241C">
        <w:rPr>
          <w14:textOutline w14:w="0" w14:cap="flat" w14:cmpd="sng" w14:algn="ctr">
            <w14:noFill/>
            <w14:prstDash w14:val="solid"/>
            <w14:bevel/>
          </w14:textOutline>
        </w:rPr>
        <w:t xml:space="preserve">-ohjelman eri osien täytäntöönpano on edistynyt, mikä nopeuttaa ja helpottaa sekä lainsäädäntöehdotuksiin tehtävien tarkistusten että toimielinten välisten lainsäädäntöneuvottelujen valmisteluasiakirjojen laatimista; kehottaa asiasta vastaavia eri yksiköitä tehostamaan toimiaan edelleen ja varmistamaan, että </w:t>
      </w:r>
      <w:proofErr w:type="spellStart"/>
      <w:r w:rsidRPr="000F241C">
        <w:rPr>
          <w14:textOutline w14:w="0" w14:cap="flat" w14:cmpd="sng" w14:algn="ctr">
            <w14:noFill/>
            <w14:prstDash w14:val="solid"/>
            <w14:bevel/>
          </w14:textOutline>
        </w:rPr>
        <w:t>eLegislate</w:t>
      </w:r>
      <w:proofErr w:type="spellEnd"/>
      <w:r w:rsidRPr="000F241C">
        <w:rPr>
          <w14:textOutline w14:w="0" w14:cap="flat" w14:cmpd="sng" w14:algn="ctr">
            <w14:noFill/>
            <w14:prstDash w14:val="solid"/>
            <w14:bevel/>
          </w14:textOutline>
        </w:rPr>
        <w:t>-välineillä tuetaan kaikkia parlamentin lainsäädäntöprosessin vaiheita kymmenennen vaalikauden lainsäädäntöprosessin alusta alkaen;</w:t>
      </w:r>
    </w:p>
    <w:p w:rsidR="003B6D3B" w:rsidRPr="000F241C" w:rsidRDefault="003B6D3B" w:rsidP="00441F30">
      <w:pPr>
        <w:pStyle w:val="NormalHanging12a"/>
        <w:widowControl/>
        <w:rPr>
          <w:iCs/>
        </w:rPr>
      </w:pPr>
      <w:r w:rsidRPr="000F241C">
        <w:t>30.</w:t>
      </w:r>
      <w:r w:rsidRPr="000F241C">
        <w:tab/>
        <w:t xml:space="preserve">korostaa, että avoimuus, vastuuvelvollisuus ja lahjomattomuus ovat keskeisiä eettisiä periaatteita unionin toimielimissä ja erityisesti parlamentissa eurooppalaisen demokratian tyyssijana; pitää myönteisinä parlamentin nopeita toimia, jotka liittyivät joulukuussa 2022 esiin tulleisiin jäseniä ja työntekijöitä koskeviin väitteisiin korruptiotapauksista; on tyytyväinen johdon pääosaston panokseen puhemiehen ehdottamaan 14-kohtaiseen toimintasuunnitelmaan ja sen toimiin nuhteettomuutta ja avoimuutta koskevien uusien sääntöjen </w:t>
      </w:r>
      <w:proofErr w:type="spellStart"/>
      <w:r w:rsidRPr="000F241C">
        <w:t>täytäntöönpanemiseksi</w:t>
      </w:r>
      <w:proofErr w:type="spellEnd"/>
      <w:r w:rsidRPr="000F241C">
        <w:t xml:space="preserve">; on niin ikään tyytyväinen parlamentin poliittisten viranomaisten pyrkimyksiin lisätä parlamentissa avoimuutta, nuhteettomuutta ja vastuuvelvollisuutta; kehottaa hallintoa tarkastelemaan </w:t>
      </w:r>
      <w:r w:rsidRPr="000F241C">
        <w:lastRenderedPageBreak/>
        <w:t>näiden toimenpiteiden talousarvio- ja rahoitusvaikutuksia; toteaa parlamentin vahvistavan uudelleen luottamusta unionin päätöksentekoprosessiin parantamalla toimillaan unionin edustuksellisimman toimielimen avoimuutta, eettisyyttä ja hyviä toimintatapoja;</w:t>
      </w:r>
      <w:r w:rsidR="00441F30" w:rsidRPr="000F241C">
        <w:t xml:space="preserve"> </w:t>
      </w:r>
      <w:r w:rsidRPr="000F241C">
        <w:t xml:space="preserve">palauttaa mieliin, että nämä tapahtumat tunnetaan yleisesti nimellä </w:t>
      </w:r>
      <w:proofErr w:type="spellStart"/>
      <w:r w:rsidRPr="000F241C">
        <w:t>Qatargate</w:t>
      </w:r>
      <w:proofErr w:type="spellEnd"/>
      <w:r w:rsidRPr="000F241C">
        <w:t>;</w:t>
      </w:r>
    </w:p>
    <w:p w:rsidR="003B6D3B" w:rsidRPr="000F241C" w:rsidRDefault="000B34D4" w:rsidP="0063610D">
      <w:pPr>
        <w:pStyle w:val="NormalHanging12a"/>
        <w:widowControl/>
      </w:pPr>
      <w:r w:rsidRPr="000F241C">
        <w:t>31</w:t>
      </w:r>
      <w:r w:rsidR="003B6D3B" w:rsidRPr="000F241C">
        <w:t>.</w:t>
      </w:r>
      <w:r w:rsidR="003B6D3B" w:rsidRPr="000F241C">
        <w:tab/>
        <w:t>panee merkille, että vuosi 2022 oli ensimmäinen vuosi, jolloin parlamentin, komission ja neuvoston heinäkuussa 2021 hyväksymän tarkistetun toimielinten välisen sopimuksen</w:t>
      </w:r>
      <w:r w:rsidR="003B6D3B" w:rsidRPr="000F241C">
        <w:rPr>
          <w:rStyle w:val="FootnoteReference"/>
        </w:rPr>
        <w:footnoteReference w:id="8"/>
      </w:r>
      <w:r w:rsidR="003B6D3B" w:rsidRPr="000F241C">
        <w:t xml:space="preserve"> mukainen pakollinen avoimuusrekisteri pantiin kokonaisuudessaan täytäntöön; panee merkille, että vaikka toimielinten välisessä sopimuksessa esitellään joitakin periaatteita yhteisen avoimuuskulttuurin edistämiseksi, kolmelle sopimuspuolelle jätetään mahdollisuus panna ehdollisuus ja siitä seuraavat täydentävät toimenpiteet täytäntöön parhaaksi katsomallaan tavalla; toteaa parlamentin edistyneen ehdollisuuden lisäämisen suhteen, mutta neuvoston panos on edelleen vähäinen;</w:t>
      </w:r>
    </w:p>
    <w:p w:rsidR="003B6D3B" w:rsidRPr="000F241C" w:rsidRDefault="000B34D4" w:rsidP="0063610D">
      <w:pPr>
        <w:pStyle w:val="NormalHanging12a"/>
        <w:widowControl/>
      </w:pPr>
      <w:r w:rsidRPr="000F241C">
        <w:t>32</w:t>
      </w:r>
      <w:r w:rsidR="003B6D3B" w:rsidRPr="000F241C">
        <w:t>.</w:t>
      </w:r>
      <w:r w:rsidR="003B6D3B" w:rsidRPr="000F241C">
        <w:tab/>
        <w:t>muistuttaa, että tämä rekisteri on keskeinen väline, jolla lujitetaan avointa ja eettistä edunvalvontaa unionin tasolla ja vahvistetaan pakollinen rekisteröityminen ennakkoedellytyksenä sille, että edunvalvojat voivat ryhtyä tiettyihin toimiin unionin toimielinten, myös parlamentin, kanssa; kehottaa tarjoamaan kaikki tarvittavat resurssit sen varmistamiseksi, että avoimuusrekisteriin liittyvät sisäiset säännöt pannaan tehokkaasti täytäntöön asettaen tarvittaessa myös asianmukaisia seuraamuksia;</w:t>
      </w:r>
    </w:p>
    <w:p w:rsidR="003B6D3B" w:rsidRPr="000F241C" w:rsidRDefault="000B34D4" w:rsidP="0063610D">
      <w:pPr>
        <w:pStyle w:val="NormalHanging12a"/>
        <w:widowControl/>
      </w:pPr>
      <w:r w:rsidRPr="000F241C">
        <w:t>33</w:t>
      </w:r>
      <w:r w:rsidR="003B6D3B" w:rsidRPr="000F241C">
        <w:t>.</w:t>
      </w:r>
      <w:r w:rsidR="003B6D3B" w:rsidRPr="000F241C">
        <w:tab/>
        <w:t>pitää myönteisenä, että avoimuusrekisteriä käytetään unionin tason edunvalvontatoimissa yhä enemmän tiedonsaantiin ja konsultointiin, mikä käy ilmi rekisteröintihakemusten ja verkkosivukäyntien määrän vuosittaisesta lisääntymisestä; panee tyytyväisenä merkille, että sihteeristö toteuttaa säännöllisiä viestintä-, neuvonta- ja tiedotustoimia sidosryhmien keskuudessa sekä toimielimissä että niiden ulkopuolella ja että avoimuusrekisterin parantamiseksi kehitetään tietotekniikkaratkaisuja; muistuttaa, että uusien hakijoiden tietojen laaduntarkastuksia on edelleen tehostettava; panee merkille, että avoimuusrekisterin tietojen laatu on parantunut viime vuosina kohdennetun laadunvalvonnan lisääntymisen ansiosta ja kanteluihin perustuvien tutkimusten tai sihteeristön oma-aloitteisten tutkimusten seurauksena, ja pitää myönteisenä, että yhteinen sihteeristö on rajallisista resursseista huolimatta edistänyt toimillaan tätä parantamista; panee merkille, että sihteeristön kohdennetuissa laatutarkastuksissa tarkastettiin vuoden 2022 aikana 4 238 tietuetta ja havaittiin, että 44 prosenttia tiedoista oli alun alkaen laadultaan tyydyttäviä (samalla tavoin kuin vuonna 2021, +4 prosenttia) ja että lisäksi 35,2 prosenttia edunvalvojista paransi tietoja kohdennettujen tarkastusten jälkeen ja 13,6 prosenttia poistettiin rekisteristä tarkastusten seurauksena, koska ne eivät olleet tukikelpoisia tai tietoja ei ollut päivitetty; korostaa tarvetta osoittaa sihteeristölle lisäresursseja, jotta avoimuusrekisteriä voidaan valvoa tietojen laadun varmistamiseksi; kehottaa laajentamaan avoimuusrekisterin soveltamisalaa, jotta se kattaisi unionin ulkopuolisten maiden edustajat; suosittelee, että avoimuusrekisteri sisällytetään tietotekniikkaratkaisuja hyödyntäen kaikkeen parlamentin toimintaan, jossa on mukana ulkopuolisia tahoja, jotta näiden osallistuminen voidaan kirjata ja sitä voidaan seurata asiaankuuluvien tietokantojen kautta;</w:t>
      </w:r>
    </w:p>
    <w:p w:rsidR="0093448C" w:rsidRPr="000F241C" w:rsidRDefault="0093448C" w:rsidP="0063610D">
      <w:pPr>
        <w:pStyle w:val="NormalHanging12a"/>
        <w:widowControl/>
      </w:pPr>
      <w:r w:rsidRPr="000F241C">
        <w:lastRenderedPageBreak/>
        <w:t>34.</w:t>
      </w:r>
      <w:r w:rsidRPr="000F241C">
        <w:tab/>
        <w:t xml:space="preserve">toistaa huolensa laajamittaisesta ulkomaisesta sekaantumisesta ja </w:t>
      </w:r>
      <w:proofErr w:type="spellStart"/>
      <w:r w:rsidRPr="000F241C">
        <w:t>disinformaatiokampanjoista</w:t>
      </w:r>
      <w:proofErr w:type="spellEnd"/>
      <w:r w:rsidRPr="000F241C">
        <w:t>, joita erityisesti Venäjä kohdistaa unioniin; korostaa tarvetta vahvistaa parlamentin turvallisuuskulttuuria; kehottaa järjestämään jäsenille ja henkilöstölle pakollista ja säännöllistä turvallisuus- ja lahjomattomuuskoulutusta ja toteuttamaan asianmukaiset turvallisuusselvitykset ja henkilöstön tehostetun seulonnan erityisesti suljetuin ovin pidettäviin kokouksiin osallistuvien henkilöstön jäsenten osalta; kehottaa valvomaan tiukemmin tapahtumien järjestämistä, ulkopuolisten vieraiden kutsumista parlamenttiin ja pääsyä parlamentin viestintäalustoille; kehottaa tutkimaan pikaisesti väitteet Venäjän vaikuttamisesta parlamentissa;</w:t>
      </w:r>
    </w:p>
    <w:p w:rsidR="003B6D3B" w:rsidRPr="000F241C" w:rsidRDefault="003B6D3B" w:rsidP="0063610D">
      <w:pPr>
        <w:pStyle w:val="NormalHanging12a"/>
        <w:widowControl/>
      </w:pPr>
      <w:r w:rsidRPr="000F241C">
        <w:t>35.</w:t>
      </w:r>
      <w:r w:rsidRPr="000F241C">
        <w:tab/>
        <w:t>kehottaa Euroopan parlamentissa vuoden 2022 lopussa tapahtuneeseen väitettyyn korruptiotapaukseen liittyvien tapahtumien seurauksena laatimaan avoimuutta ja unionin toimielimiin pääsyä koskevat tiukat säännöt, joita sovelletaan kaikkiin avoimuusrekisteriin rekisteröityihin yhteisöihin; muistuttaa, että kansalaisjärjestöjä väitetysti väärinkäytettiin parlamentin päätöksentekoprosesseihin kohdistuneen ulkomaisen sekaantumisen välikäsinä; toteaa tässä yhteydessä jälleen, että ennen yhteisöjen rekisteröimistä avoimuusrekisteriin niistä kaikista on tehtävä kattava taloudellinen ennakkotarkastus, jossa ilmoitetaan kaikki rahoituslähteet; muistuttaa velvoitteesta rekisteröityä avoimuusrekisteriin ennen osallistumista tapahtumien ja konferenssien järjestämiseen parlamentin tiloissa;</w:t>
      </w:r>
    </w:p>
    <w:p w:rsidR="003B6D3B" w:rsidRPr="000F241C" w:rsidRDefault="003B6D3B" w:rsidP="0063610D">
      <w:pPr>
        <w:pStyle w:val="NormalHanging12a"/>
        <w:widowControl/>
      </w:pPr>
      <w:r w:rsidRPr="000F241C">
        <w:t>36.</w:t>
      </w:r>
      <w:r w:rsidRPr="000F241C">
        <w:tab/>
        <w:t>kehottaa komissiota varmistamaan, että kaikki unionin varat ovat tosiasiallisesti jäljitettävissä aina suorasta vastaanottajasta lopulliseen edunsaajaan, kun varoja siirretään ketjussa eteenpäin, ottaen huomioon varainhoitoasetuksen uudelleenlaatimista koskevan ehdotuksen ja kuten 17. tammikuuta 2024 hyväksytyssä valiokunta-aloitteisessa mietinnössä ”EU:n talousarviosta rahoitettavien valtiosta riippumattomien järjestöjen avoimuus ja vastuuvelvollisuus”</w:t>
      </w:r>
      <w:r w:rsidRPr="000F241C">
        <w:rPr>
          <w:rStyle w:val="FootnoteReference"/>
        </w:rPr>
        <w:footnoteReference w:id="9"/>
      </w:r>
      <w:r w:rsidRPr="000F241C">
        <w:t xml:space="preserve"> pyydettiin; kehottaa tarkistamaan avoimuusrekisteriin rekisteröintiä koskevat suuntaviivat, jotta voidaan julkistaa kaikki saapuvat ja poistuvat varat, mukaan lukien varojen siirtäminen yhteisösidosryhmältä toiselle; korostaa, että kaikkien rekisteröityjen tai yhteisöjen, jotka saavat rahoitusta kolmansilta osapuolilta mutta joita ei vaadita rekisteröitymään avoimuusrekisteriin, on ilmoitettava rahoituslähteensä;</w:t>
      </w:r>
    </w:p>
    <w:p w:rsidR="003B6D3B" w:rsidRPr="000F241C" w:rsidRDefault="003B6D3B" w:rsidP="0063610D">
      <w:pPr>
        <w:pStyle w:val="NormalHanging12a"/>
        <w:widowControl/>
      </w:pPr>
      <w:r w:rsidRPr="000F241C">
        <w:t>37.</w:t>
      </w:r>
      <w:r w:rsidRPr="000F241C">
        <w:tab/>
        <w:t>muistuttaa, että työjärjestyksen 11 artiklassa jäsenet velvoitetaan julkistamaan tapaamisensa edunvalvojien kanssa; panee erittäin huolestuneena merkille, että 26. tammikuuta 2023 mennessä 261 nykyistä jäsentä ei ollut julkaissut parlamentin verkkosivustolla yhtäkään edunvalvojien kanssa suunniteltua tapaamista; muistuttaa, että kaikille jäsenille olisi lähetettävä tapaamisten julkistamisvelvoitteesta säännöllisesti tietoa ja muistutusilmoituksia;</w:t>
      </w:r>
    </w:p>
    <w:p w:rsidR="0093448C" w:rsidRPr="000F241C" w:rsidRDefault="0093448C" w:rsidP="0063610D">
      <w:pPr>
        <w:pStyle w:val="NormalHanging12a"/>
        <w:widowControl/>
      </w:pPr>
      <w:r w:rsidRPr="000F241C">
        <w:t>3</w:t>
      </w:r>
      <w:r w:rsidR="00441F30" w:rsidRPr="000F241C">
        <w:t>8</w:t>
      </w:r>
      <w:r w:rsidRPr="000F241C">
        <w:t>.</w:t>
      </w:r>
      <w:r w:rsidRPr="000F241C">
        <w:tab/>
        <w:t>panee merkille jäsenten tarkistetut menettelysäännöt ja suuremman huomion kohdistamisen nuhteettomuuteen ja avoimuuteen jäsenten taloudellisia sidonnaisuuksia koskevien ilmoitusten, mahdollisten eturistiriitojen, edustajien tapaamisten ja saaduista tiedoista tehtyjen ilmoitusten osalta; korostaa, että uudet säännöt ovat tervetulleita mutta niiden tulkinta on herättänyt monia kysymyksiä ja edellyttää parlamentin hallinnon ja jäsenten toimintaa käsittelevän komitean toimia; korostaa, että tarvitaan selkeää ja luotettavaa tulkintaa, jotta jäsenet voivat noudattaa uusia sääntöjä ja jotta taataan mahdollisimman suuri oikeusvarmuus; kehottaa toimittamaan jäsenille säännöllisesti tietoja näkyvyyden ja saavutettavuuden parantamiseksi;</w:t>
      </w:r>
    </w:p>
    <w:p w:rsidR="003B6D3B" w:rsidRPr="000F241C" w:rsidRDefault="000B34D4" w:rsidP="0063610D">
      <w:pPr>
        <w:pStyle w:val="NormalHanging12a"/>
        <w:widowControl/>
      </w:pPr>
      <w:r w:rsidRPr="000F241C">
        <w:lastRenderedPageBreak/>
        <w:t>39</w:t>
      </w:r>
      <w:r w:rsidR="003B6D3B" w:rsidRPr="000F241C">
        <w:t>.</w:t>
      </w:r>
      <w:r w:rsidR="003B6D3B" w:rsidRPr="000F241C">
        <w:tab/>
        <w:t>pitää nimenhuutoäänestystä keskeisenä välineenä, joka lisää avoimuutta ja vastuuvelvollisuutta unionin kansalaisia kohtaan; kehottaa ottamaan automaattisen nimenhuutoäänestyksen käyttöön kaikissa lopullisissa äänestyksissä salaisia äänestyksiä lukuun ottamatta ja kehottaa lisäämään niiden nimenhuutoäänestysten määrää, joita poliittinen ryhmä voi pyytää istuntojaksoa kohden työjärjestyksen 190 artiklan 2 kohdan mukaisesti, tai vapauttamaan lainsäädäntöasiakirjat tästä rajoituksesta;</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40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tyytyväisenä merkille, että vaalikauden puolessavälissä vuonna 2022 järjestetyt puhemiehen, varapuhemiesten ja kvestorien vaalit järjestettiin onnistuneesti etänä puheenjohtajakokouksen päätöksen mukaisesti; korostaa täysistunnon etä-äänestysjärjestelmän merkitystä näin sensitiivisen ja mutkikkaan salaisen äänestyksen onnistumiselle;</w:t>
      </w:r>
    </w:p>
    <w:p w:rsidR="003B6D3B" w:rsidRPr="000F241C" w:rsidRDefault="000B34D4" w:rsidP="0063610D">
      <w:pPr>
        <w:pStyle w:val="NormalHanging12a"/>
        <w:widowControl/>
      </w:pPr>
      <w:r w:rsidRPr="000F241C">
        <w:t>41</w:t>
      </w:r>
      <w:r w:rsidR="003B6D3B" w:rsidRPr="000F241C">
        <w:t>.</w:t>
      </w:r>
      <w:r w:rsidR="003B6D3B" w:rsidRPr="000F241C">
        <w:tab/>
        <w:t>muistuttaa parlamentin työjärjestykseen 20. joulukuuta 2020 tehdyistä muutoksista, jotka mahdollistivat etä-äänestyksen, ja siitä, että etä-äänestys valiokunnassa ei tällä hetkellä ole sallittua, ellei puhemies vahvista, että kyse on poikkeuksellisista olosuhteista; toistaa puhemiehistölle esittämänsä ja täysistunnossa useaan kertaan hyväksytyn pyynnön etä-äänestysoikeuden antamisesta jäsenille äitiys- tai isyysvapaan aikana, pitkäaikaisen sairauden aikana tai ylivoimaisen esteen vuoksi, hyödyntäen näin parlamentin mittavia hallinnollisia ponnisteluja ja taloudellista investointia teknisiin ratkaisuihin etä-äänestysten mahdollistamiseksi;</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42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toteaa, että johdon pääosasto onnistui vastaamaan tarpeisiin, jotka syntyivät vuoden 2022 ennakkoarvion laatimisen jälkeen, huolimatta epävakaasta terveystilanteesta ja sen vaikutuksesta parlamentin toiminnan tasoon; panee merkille, että talousarvioon syntyi myös ylijäämää, joka voitiin hyödyntää rahoitettaessa vuoden 2022 korkeasta inflaatiosta johtuvia muiden pääosastojen tarpeita;</w:t>
      </w:r>
    </w:p>
    <w:p w:rsidR="003B6D3B" w:rsidRPr="000F241C" w:rsidRDefault="000B34D4" w:rsidP="0063610D">
      <w:pPr>
        <w:pStyle w:val="NormalHanging12a"/>
        <w:widowControl/>
      </w:pPr>
      <w:r w:rsidRPr="000F241C">
        <w:t>43</w:t>
      </w:r>
      <w:r w:rsidR="003B6D3B" w:rsidRPr="000F241C">
        <w:t>.</w:t>
      </w:r>
      <w:r w:rsidR="003B6D3B" w:rsidRPr="000F241C">
        <w:tab/>
        <w:t>muistuttaa, että Euroopan unionista tehdyn sopimuksen ja erityisesti perussopimuksiin liitetyn pöytäkirjan N:o 6 mukaan parlamentin kotipaikka on Strasbourg, jossa pidetään kaksitoista kuukausittaista täysistuntoa, mukaan lukien talousarviota käsittelevä istunto; korostaa, että Strasbourgin istuntojen keskeyttäminen ja etäosallistuminen liittyvät covid-19-pandemian aiheuttamiin poikkeuksellisiin olosuhteisiin; muistuttaa, että perussopimusten muutokset edellyttävät aina jäsenvaltioiden yksimielisyyttä; muistuttaa, että parlamentin suuri enemmistö on ilmaissut tukevansa yhden toimipaikan ratkaisua, jotta varmistetaan unionin veronmaksajien varojen tehokas käyttö ja jotta parlamentti kantaisi institutionaalisen vastuunsa hiilijalanjälkensä pienentämiseksi; toteaa, että pysyvät muutokset edellyttäisivät perussopimuksen muuttamista;</w:t>
      </w:r>
    </w:p>
    <w:p w:rsidR="003B6D3B" w:rsidRPr="000F241C" w:rsidRDefault="000B34D4" w:rsidP="0063610D">
      <w:pPr>
        <w:pStyle w:val="NormalHanging12a"/>
        <w:widowControl/>
      </w:pPr>
      <w:r w:rsidRPr="000F241C">
        <w:t>44</w:t>
      </w:r>
      <w:r w:rsidR="003B6D3B" w:rsidRPr="000F241C">
        <w:t>.</w:t>
      </w:r>
      <w:r w:rsidR="003B6D3B" w:rsidRPr="000F241C">
        <w:tab/>
        <w:t>panee merkille, että Strasbourgin täysistuntojen keskeyttäminen covid-19-pandemian aikana tuotti parlamentin pääsihteeristön mukaan yhteensä 26 260 608 euron säästöt ja pienensi samalla merkittävästi parlamentin hiilijalanjälkeä; korostaa, että tilintarkastustuomioistuimen arvion mukaan siirtämällä kaikki toiminta Strasbourgista Brysseliin voitaisiin saavuttaa 114 miljoonan euron vuotuiset säästöt ja lisäksi Strasbourgissa sijaitsevien rakennusten tuottavasta myynnistä voitaisiin saada kertaluonteinen 616 miljoonan euron säästö tai, jos rakennuksia ei myytäisi, niistä voisi aiheutua 40 miljoonan euron kertaluonteinen kulu</w:t>
      </w:r>
      <w:r w:rsidR="003B6D3B" w:rsidRPr="000F241C">
        <w:rPr>
          <w:rStyle w:val="FootnoteReference"/>
        </w:rPr>
        <w:footnoteReference w:id="10"/>
      </w:r>
      <w:r w:rsidR="003B6D3B" w:rsidRPr="000F241C">
        <w:t>; katsoo, että nykyisen ilmastokriisin huomioon ottaen Strasbourgin säilyttäminen toimipaikkana on vastuutonta; kehottaa neuvostoa ottamaan parlamentin kannan huomioon ja ryhtymään kiireellisiin toimiin;</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lastRenderedPageBreak/>
        <w:t>Viestinnän pääosasto</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45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muistuttaa, että viestinnän pääosasto (DG COMM) on monitoimipaikkainen pääosasto, jolla on henkilöstöä Brysselissä, Strasbourgissa ja yhteystoimistoissa kaikissa 27 jäsenvaltiossa sekä Lontoossa, Washington D.C.:</w:t>
      </w:r>
      <w:proofErr w:type="spellStart"/>
      <w:r w:rsidR="003B6D3B" w:rsidRPr="000F241C">
        <w:rPr>
          <w14:textOutline w14:w="0" w14:cap="flat" w14:cmpd="sng" w14:algn="ctr">
            <w14:noFill/>
            <w14:prstDash w14:val="solid"/>
            <w14:bevel/>
          </w14:textOutline>
        </w:rPr>
        <w:t>ssä</w:t>
      </w:r>
      <w:proofErr w:type="spellEnd"/>
      <w:r w:rsidR="003B6D3B" w:rsidRPr="000F241C">
        <w:rPr>
          <w14:textOutline w14:w="0" w14:cap="flat" w14:cmpd="sng" w14:algn="ctr">
            <w14:noFill/>
            <w14:prstDash w14:val="solid"/>
            <w14:bevel/>
          </w14:textOutline>
        </w:rPr>
        <w:t xml:space="preserve"> (1. marraskuuta 2022 saakka, jolloin nämä kaksi yhteystoimistoa siirrettiin uuteen parlamentaaristen demokratiakumppanuuksien pääosastoon) ja Jean </w:t>
      </w:r>
      <w:proofErr w:type="spellStart"/>
      <w:r w:rsidR="003B6D3B" w:rsidRPr="000F241C">
        <w:rPr>
          <w14:textOutline w14:w="0" w14:cap="flat" w14:cmpd="sng" w14:algn="ctr">
            <w14:noFill/>
            <w14:prstDash w14:val="solid"/>
            <w14:bevel/>
          </w14:textOutline>
        </w:rPr>
        <w:t>Monnet</w:t>
      </w:r>
      <w:proofErr w:type="spellEnd"/>
      <w:r w:rsidR="003B6D3B" w:rsidRPr="000F241C">
        <w:rPr>
          <w14:textOutline w14:w="0" w14:cap="flat" w14:cmpd="sng" w14:algn="ctr">
            <w14:noFill/>
            <w14:prstDash w14:val="solid"/>
            <w14:bevel/>
          </w14:textOutline>
        </w:rPr>
        <w:t xml:space="preserve"> -talossa </w:t>
      </w:r>
      <w:proofErr w:type="spellStart"/>
      <w:r w:rsidR="003B6D3B" w:rsidRPr="000F241C">
        <w:rPr>
          <w14:textOutline w14:w="0" w14:cap="flat" w14:cmpd="sng" w14:algn="ctr">
            <w14:noFill/>
            <w14:prstDash w14:val="solid"/>
            <w14:bevel/>
          </w14:textOutline>
        </w:rPr>
        <w:t>Bazochesissa</w:t>
      </w:r>
      <w:proofErr w:type="spellEnd"/>
      <w:r w:rsidR="003B6D3B" w:rsidRPr="000F241C">
        <w:rPr>
          <w14:textOutline w14:w="0" w14:cap="flat" w14:cmpd="sng" w14:algn="ctr">
            <w14:noFill/>
            <w14:prstDash w14:val="solid"/>
            <w14:bevel/>
          </w14:textOutline>
        </w:rPr>
        <w:t xml:space="preserve"> (Ranskassa);</w:t>
      </w:r>
    </w:p>
    <w:p w:rsidR="003B6D3B" w:rsidRPr="000F241C" w:rsidRDefault="000B34D4" w:rsidP="0063610D">
      <w:pPr>
        <w:pStyle w:val="NormalHanging12a"/>
        <w:widowControl/>
      </w:pPr>
      <w:r w:rsidRPr="000F241C">
        <w:t>46</w:t>
      </w:r>
      <w:r w:rsidR="003B6D3B" w:rsidRPr="000F241C">
        <w:t>.</w:t>
      </w:r>
      <w:r w:rsidR="003B6D3B" w:rsidRPr="000F241C">
        <w:tab/>
        <w:t xml:space="preserve">panee merkille, että viestinnän pääosaston keskeisiin tehtäviin kuuluu tehdä yhteistyötä tiedotusvälineiden kanssa, tiedottaa parlamentin työstä ja selittää sitä ja lisätä sen näkyvyyttä, lisätä kansalaisten, sidosryhmien ja mielipidevaikuttajien tietoisuutta parlamentista jäsenvaltioissa sijaitsevien Euroopan parlamentin yhteystoimistojen kautta, edistää vuorovaikutusta kansalaisten kanssa kehittämällä vierailijahankkeita, tapahtumia ja tiedotuskampanjoita ja lisäämällä parlamentin läsnäoloa sosiaalisessa mediassa sekä tarjota jäsenille ja poliittisille ryhmille asiantuntemusta, kuten mediaseurantaa ja yleisen mielipiteen seurantaa, ja torjua </w:t>
      </w:r>
      <w:proofErr w:type="spellStart"/>
      <w:r w:rsidR="003B6D3B" w:rsidRPr="000F241C">
        <w:t>disinformaatiota</w:t>
      </w:r>
      <w:proofErr w:type="spellEnd"/>
      <w:r w:rsidR="003B6D3B" w:rsidRPr="000F241C">
        <w:t xml:space="preserve"> kaikin keinoin, erityisesti ennen vaaleja;</w:t>
      </w:r>
    </w:p>
    <w:p w:rsidR="0093448C" w:rsidRPr="000F241C" w:rsidRDefault="0093448C" w:rsidP="0063610D">
      <w:pPr>
        <w:pStyle w:val="NormalHanging12a"/>
        <w:widowControl/>
      </w:pPr>
      <w:r w:rsidRPr="000F241C">
        <w:t>4</w:t>
      </w:r>
      <w:r w:rsidR="00441F30" w:rsidRPr="000F241C">
        <w:t>7</w:t>
      </w:r>
      <w:r w:rsidRPr="000F241C">
        <w:t>.</w:t>
      </w:r>
      <w:r w:rsidRPr="000F241C">
        <w:tab/>
        <w:t>korostaa, että parlamentilla ja muilla unionin toimielimillä on oltava riittävät resurssit, jotta ne voivat suojata informaatioympäristöään tiedonmanipulointikampanjoilta kunnioittaen samalla täysimääräisesti unionin arvoja;</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48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viestinnän pääosaston lopulliset määrärahat olivat 121 235 650 euroa vuonna 2022, mikä on 5,6 prosenttia parlamentin talousarviosta; korostaa, että tästä määrästä sidottiin yhteensä 121 146 177 euroa; pitää myönteisenä määrärahojen korkeaa käyttöastetta;</w:t>
      </w:r>
    </w:p>
    <w:p w:rsidR="003B6D3B" w:rsidRPr="000F241C" w:rsidRDefault="000B34D4" w:rsidP="0063610D">
      <w:pPr>
        <w:pStyle w:val="NormalHanging12a"/>
        <w:widowControl/>
      </w:pPr>
      <w:r w:rsidRPr="000F241C">
        <w:t>49</w:t>
      </w:r>
      <w:r w:rsidR="003B6D3B" w:rsidRPr="000F241C">
        <w:t>.</w:t>
      </w:r>
      <w:r w:rsidR="003B6D3B" w:rsidRPr="000F241C">
        <w:tab/>
        <w:t>toteaa viestinnän pääosaston toiminnan monitahoisuuden; panee merkille tarpeen lisätä parlamentin työn näkyvyyttä ja kansalaisten luottamusta parlamentin toimielimiin, mikä edellyttäisi viestinnän pääosaston määrärahojen lisäämistä;</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50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korostaa, että vuoden 2022 neljän ensimmäisen kuukauden aikana covid-19-pandemia vaikutti edelleen viestinnän pääosaston talousarvion toteuttamiseen erityisesti vierailijaryhmien ja vierailijapalvelujen osalta; huomauttaa, että suuri osa toiminnan keskeyttämisestä aiheutuneista ylijäämistä kohdennettiin uudelleen parlamentin muille yksiköille muiden painopisteiden rahoittamiseen ja henkilöstömenoihin kohdistuvien inflaatiovaikutusten lieventämiseen; toteaa huomattavien hinnankorotusten vaikuttaneen suuresti myös useisiin viestinnän pääosaston toimintoihin, kuten audiovisuaalisiin palveluihin;</w:t>
      </w:r>
    </w:p>
    <w:p w:rsidR="003B6D3B" w:rsidRPr="000F241C" w:rsidRDefault="000B34D4" w:rsidP="0063610D">
      <w:pPr>
        <w:pStyle w:val="NormalHanging12a"/>
        <w:widowControl/>
      </w:pPr>
      <w:r w:rsidRPr="000F241C">
        <w:t>51</w:t>
      </w:r>
      <w:r w:rsidR="003B6D3B" w:rsidRPr="000F241C">
        <w:t>.</w:t>
      </w:r>
      <w:r w:rsidR="003B6D3B" w:rsidRPr="000F241C">
        <w:tab/>
        <w:t>panee merkille, että puhemies antoi 10. maaliskuuta 2022 tarkistetun päätöksen turvatoimenpiteistä covid-19:n leviämisen rajoittamiseksi ja että tämän seurauksena useissa toiminnoissa, mukaan lukien vierailijaryhmien uudelleen hyväksyminen, palattiin fyysiseen läsnäoloon; panee tyytyväisenä merkille päätöksen korottaa virallisesti kutsuttujen vierailijaryhmien matka-, majoitus- ja ateriakuluja sekä sekalaisia paikallisia kuluja varten maksettuja korvauksia 10 prosentilla vuonna 2022; kehottaa puhemiehistöä peruuttamaan päätöksensä pienentää virallisesti kutsuttujen vierailijoiden vuotuista kiintiötä jäsentä kohti 110:stä 100:aan ja vaalivuosina 55:stä 50:een; korostaa, että päätös siirtää vuonna 2020 käyttämättä jääneet kiintiöt vuosille 2022, 2023</w:t>
      </w:r>
      <w:r w:rsidR="00BC0D13">
        <w:t xml:space="preserve"> ja 2024 pysyi muuttumattomana; </w:t>
      </w:r>
      <w:r w:rsidR="003B6D3B" w:rsidRPr="000F241C">
        <w:t xml:space="preserve">vaatii puhemiehistöä poistamaan valtuutetut avustajat hyväksyttyjen ryhmän johtajien luettelosta, jolloin ryhmän johtajana voisi toimia </w:t>
      </w:r>
      <w:r w:rsidR="003B6D3B" w:rsidRPr="000F241C">
        <w:lastRenderedPageBreak/>
        <w:t>ainoastaan virallisesti kutsutun ryhmän jäsen tai ammattilainen, kuten maksun välittäjä tai matkatoimisto, ja toteaa, että näin valtuutetut avustajat eivät joutuisi kantamaan taloudellista vastuuta, jossa voi olla kyse huomattavista määristä;</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52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unionin energiakriisin seurauksena matkojen ja aterioiden hinnat ovat nousseet huomattavasti; panee merkille, että virallisesti kutsuttuja vierailijaryhmiä koskevien avustusmaksujen sääntöjen tarkistaminen on suunnitteilla;</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53</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yhteystoimistot pystyivät käynnistämään toimintansa normaalisti uudelleen, kun covid-19-pandemiaa koskevat jäsenvaltioiden rajoitukset asteittain poistettiin, ja ne lisäsivät toimintaansa systemaattisesti hybridielementtejä; korostaa, että yhteystoimistoissa järjestettiin sarja Euroopan nuorison teemavuoteen liittyviä toimia; toteaa, että jäseniä kutsutaan johdonmukaisesti jäsenvaltioissa järjestettäviin tilaisuuksiin ja toimiin, joihin osallistuu myös tiedotusvälineiden, sidosryhmien, kansalaisjärjestöjen ja nuorten edustajia; panee merkille, että yhteystoimistot edistävät myös jäsenten osallistumista kolmansien osapuolten järjestämiin tilaisuuksiin ja toimiin;</w:t>
      </w:r>
    </w:p>
    <w:p w:rsidR="003B6D3B" w:rsidRPr="000F241C" w:rsidRDefault="000B34D4" w:rsidP="0063610D">
      <w:pPr>
        <w:pStyle w:val="NormalHanging12a"/>
        <w:widowControl/>
      </w:pPr>
      <w:r w:rsidRPr="000F241C">
        <w:t>54</w:t>
      </w:r>
      <w:r w:rsidR="003B6D3B" w:rsidRPr="000F241C">
        <w:t>.</w:t>
      </w:r>
      <w:r w:rsidR="003B6D3B" w:rsidRPr="000F241C">
        <w:tab/>
        <w:t>panee merkille, että pandemiasta johtuneiden poikkeustoimenpiteiden mukaisesti jäsenillä oli mahdollisuus osallistua täysistuntokeskusteluihin parlamentin yhteystoimistoista niissä jäsenvaltioissa, joista heidät on valittu, ja että viestinnän pääosasto helpotti toimillaan tätä osallistumista; on tyytyväinen viestinnän pääosaston lisääntyneisiin pyrkimyksiin hyödyntää uusia tekniikoita jäsenten työn helpottamiseksi covid-19-pandemian aikana; toteaa, että jäsenvaltioiden tiedotusvälineiden mahdollisuus osallistua etänä parlamentin tiedotustoimiin on avannut vuorovaikutusta unionin kansalaisten kanssa;</w:t>
      </w:r>
    </w:p>
    <w:p w:rsidR="003B6D3B" w:rsidRPr="000F241C" w:rsidRDefault="000B34D4" w:rsidP="0063610D">
      <w:pPr>
        <w:widowControl/>
        <w:spacing w:after="240"/>
        <w:ind w:left="567" w:hanging="567"/>
        <w:rPr>
          <w14:textOutline w14:w="0" w14:cap="flat" w14:cmpd="sng" w14:algn="ctr">
            <w14:noFill/>
            <w14:prstDash w14:val="solid"/>
            <w14:bevel/>
          </w14:textOutline>
        </w:rPr>
      </w:pPr>
      <w:r w:rsidRPr="000F241C">
        <w:rPr>
          <w14:textOutline w14:w="0" w14:cap="flat" w14:cmpd="sng" w14:algn="ctr">
            <w14:noFill/>
            <w14:prstDash w14:val="solid"/>
            <w14:bevel/>
          </w14:textOutline>
        </w:rPr>
        <w:t>55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viestinnän pääosasto sai vuonna 2022 päätökseen suurimman osan vuoden 2024 EU-vaaleja edeltävästä valmistelutyöstään; panee merkille, että parlamentin puhemiehistö hyväksyi vuonna 2022 vuoden 2024 vaaleja koskevan viestintästrategian; panee merkille, että vuoden 2022 puolivälissä käynnistettiin yleiseurooppalainen ehdotuspyyntö, jonka tuloksena myönnettiin 19 avustusta valmiuksien kehittämistä koskevien toimien ja/tai kansalaisosallistumistoimien rahoittamiseksi Euroopan parlamentin vaalien tukemiseksi;</w:t>
      </w:r>
    </w:p>
    <w:p w:rsidR="00903F40" w:rsidRPr="000F241C" w:rsidRDefault="00903F40" w:rsidP="0063610D">
      <w:pPr>
        <w:widowControl/>
        <w:spacing w:after="240"/>
        <w:ind w:left="567" w:hanging="567"/>
        <w:rPr>
          <w:szCs w:val="24"/>
          <w14:textOutline w14:w="0" w14:cap="flat" w14:cmpd="sng" w14:algn="ctr">
            <w14:noFill/>
            <w14:prstDash w14:val="solid"/>
            <w14:bevel/>
          </w14:textOutline>
        </w:rPr>
      </w:pPr>
      <w:r w:rsidRPr="000F241C">
        <w:rPr>
          <w:szCs w:val="24"/>
          <w14:textOutline w14:w="0" w14:cap="flat" w14:cmpd="sng" w14:algn="ctr">
            <w14:noFill/>
            <w14:prstDash w14:val="solid"/>
            <w14:bevel/>
          </w14:textOutline>
        </w:rPr>
        <w:t>5</w:t>
      </w:r>
      <w:r w:rsidR="00441F30" w:rsidRPr="000F241C">
        <w:rPr>
          <w:szCs w:val="24"/>
          <w14:textOutline w14:w="0" w14:cap="flat" w14:cmpd="sng" w14:algn="ctr">
            <w14:noFill/>
            <w14:prstDash w14:val="solid"/>
            <w14:bevel/>
          </w14:textOutline>
        </w:rPr>
        <w:t>6</w:t>
      </w:r>
      <w:r w:rsidRPr="000F241C">
        <w:rPr>
          <w:szCs w:val="24"/>
          <w14:textOutline w14:w="0" w14:cap="flat" w14:cmpd="sng" w14:algn="ctr">
            <w14:noFill/>
            <w14:prstDash w14:val="solid"/>
            <w14:bevel/>
          </w14:textOutline>
        </w:rPr>
        <w:t>.</w:t>
      </w:r>
      <w:r w:rsidRPr="000F241C">
        <w:rPr>
          <w:szCs w:val="24"/>
          <w14:textOutline w14:w="0" w14:cap="flat" w14:cmpd="sng" w14:algn="ctr">
            <w14:noFill/>
            <w14:prstDash w14:val="solid"/>
            <w14:bevel/>
          </w14:textOutline>
        </w:rPr>
        <w:tab/>
        <w:t>suhtautuu myönteisesti</w:t>
      </w:r>
      <w:r w:rsidR="00441F30" w:rsidRPr="000F241C">
        <w:rPr>
          <w:szCs w:val="24"/>
          <w14:textOutline w14:w="0" w14:cap="flat" w14:cmpd="sng" w14:algn="ctr">
            <w14:noFill/>
            <w14:prstDash w14:val="solid"/>
            <w14:bevel/>
          </w14:textOutline>
        </w:rPr>
        <w:t xml:space="preserve"> </w:t>
      </w:r>
      <w:r w:rsidRPr="000F241C">
        <w:rPr>
          <w:szCs w:val="24"/>
          <w14:textOutline w14:w="0" w14:cap="flat" w14:cmpd="sng" w14:algn="ctr">
            <w14:noFill/>
            <w14:prstDash w14:val="solid"/>
            <w14:bevel/>
          </w14:textOutline>
        </w:rPr>
        <w:t>eurooppalaise</w:t>
      </w:r>
      <w:r w:rsidR="00441F30" w:rsidRPr="000F241C">
        <w:rPr>
          <w:szCs w:val="24"/>
          <w14:textOutline w14:w="0" w14:cap="flat" w14:cmpd="sng" w14:algn="ctr">
            <w14:noFill/>
            <w14:prstDash w14:val="solid"/>
            <w14:bevel/>
          </w14:textOutline>
        </w:rPr>
        <w:t>en</w:t>
      </w:r>
      <w:r w:rsidRPr="000F241C">
        <w:rPr>
          <w:szCs w:val="24"/>
          <w14:textOutline w14:w="0" w14:cap="flat" w14:cmpd="sng" w14:algn="ctr">
            <w14:noFill/>
            <w14:prstDash w14:val="solid"/>
            <w14:bevel/>
          </w14:textOutline>
        </w:rPr>
        <w:t xml:space="preserve"> medianvapaussäädökse</w:t>
      </w:r>
      <w:r w:rsidR="00441F30" w:rsidRPr="000F241C">
        <w:rPr>
          <w:szCs w:val="24"/>
          <w14:textOutline w14:w="0" w14:cap="flat" w14:cmpd="sng" w14:algn="ctr">
            <w14:noFill/>
            <w14:prstDash w14:val="solid"/>
            <w14:bevel/>
          </w14:textOutline>
        </w:rPr>
        <w:t>en</w:t>
      </w:r>
      <w:r w:rsidRPr="000F241C">
        <w:rPr>
          <w:szCs w:val="24"/>
          <w14:textOutline w14:w="0" w14:cap="flat" w14:cmpd="sng" w14:algn="ctr">
            <w14:noFill/>
            <w14:prstDash w14:val="solid"/>
            <w14:bevel/>
          </w14:textOutline>
        </w:rPr>
        <w:t>, jolla ot</w:t>
      </w:r>
      <w:r w:rsidR="00441F30" w:rsidRPr="000F241C">
        <w:rPr>
          <w:szCs w:val="24"/>
          <w14:textOutline w14:w="0" w14:cap="flat" w14:cmpd="sng" w14:algn="ctr">
            <w14:noFill/>
            <w14:prstDash w14:val="solid"/>
            <w14:bevel/>
          </w14:textOutline>
        </w:rPr>
        <w:t>etaan</w:t>
      </w:r>
      <w:r w:rsidRPr="000F241C">
        <w:rPr>
          <w:szCs w:val="24"/>
          <w14:textOutline w14:w="0" w14:cap="flat" w14:cmpd="sng" w14:algn="ctr">
            <w14:noFill/>
            <w14:prstDash w14:val="solid"/>
            <w14:bevel/>
          </w14:textOutline>
        </w:rPr>
        <w:t xml:space="preserve"> käyttöön uudet säännöt tiedotusvälineiden moniarvoisuuden ja riippumattomuuden edistämiseksi kaikkialla unionissa; katsoo sen olevan lisäväline unionin toteuttaessa jatkuvasti toimia torjuakseen ulkomaisen tiedonmanipuloinnin ja häirinnän järjestelmällisiä kampanjoita unionin vakauden horjuttamiseksi;</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57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toteaa, että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-keskukset ovat myönteisiä toimia, joilla tuodaan esiin unionin toimintaa ja selitetään unionin politiikkoja kansalaisille; panee tyytyväisenä merkille, että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-keskuksiin tehtyjen vierailujen määrä on lisääntynyt kahden viime vuoden aikana; panee merkille, että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-keskuksissa vierailee kuukausittain tuhansia vierailijoita joka vuosi; panee merkille, että inflaatiokriisin jatkumisesta huolimatta vuonna 2022 avattiin kaksi uutta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-keskusta (Pariisiin ja Roomaan), minkä ansiosta yhteistoimistot saivat erilaisia tiedotusmahdollisuuksia ja pystyivät laajentamaan verkostojaan; panee merkille, että vuoden 2022 lopussa yli 80 prosenttia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-keskuksen käyttöönottoa koskevista tavoitteista oli saavutettu;</w:t>
      </w:r>
    </w:p>
    <w:p w:rsidR="003B6D3B" w:rsidRPr="000F241C" w:rsidRDefault="000B34D4" w:rsidP="0063610D">
      <w:pPr>
        <w:pStyle w:val="NormalHanging12a"/>
        <w:widowControl/>
      </w:pPr>
      <w:r w:rsidRPr="000F241C">
        <w:lastRenderedPageBreak/>
        <w:t>58</w:t>
      </w:r>
      <w:r w:rsidR="003B6D3B" w:rsidRPr="000F241C">
        <w:t>.</w:t>
      </w:r>
      <w:r w:rsidR="003B6D3B" w:rsidRPr="000F241C">
        <w:tab/>
        <w:t xml:space="preserve">muistuttaa, että unioni kamppailee jatkuvasti turvatakseen eurooppalaiset arvot ja säilyttääkseen demokraattisten prosessiemme eheyden; pitää myönteisinä parlamentin toimia näiden tavoitteiden saavuttamiseksi ja </w:t>
      </w:r>
      <w:proofErr w:type="spellStart"/>
      <w:r w:rsidR="003B6D3B" w:rsidRPr="000F241C">
        <w:t>disinformaation</w:t>
      </w:r>
      <w:proofErr w:type="spellEnd"/>
      <w:r w:rsidR="003B6D3B" w:rsidRPr="000F241C">
        <w:t xml:space="preserve"> ja tiedon manipuloinnin torjumiseksi; kehottaa vahvistamaan näitä toimia tulevia Euroopan parlamentin vaaleja silmällä pitäen ja kehottaa erityisesti viestinnän pääosastoa jatkamaan tehokkaiden strategioiden kehittämistä ja täytäntöönpanoa </w:t>
      </w:r>
      <w:proofErr w:type="spellStart"/>
      <w:r w:rsidR="003B6D3B" w:rsidRPr="000F241C">
        <w:t>disinformaation</w:t>
      </w:r>
      <w:proofErr w:type="spellEnd"/>
      <w:r w:rsidR="003B6D3B" w:rsidRPr="000F241C">
        <w:t xml:space="preserve"> ja tiedon manipuloinnin torjumiseksi erityisesti vaalien yhteydessä; korostaa, että yksi tehokkaimmista aseista </w:t>
      </w:r>
      <w:proofErr w:type="spellStart"/>
      <w:r w:rsidR="003B6D3B" w:rsidRPr="000F241C">
        <w:t>disinformaation</w:t>
      </w:r>
      <w:proofErr w:type="spellEnd"/>
      <w:r w:rsidR="003B6D3B" w:rsidRPr="000F241C">
        <w:t xml:space="preserve"> torjumiseksi on myönteinen, tosiasioihin perustuva viestintä parlamentin toiminnasta;</w:t>
      </w:r>
    </w:p>
    <w:p w:rsidR="005A153F" w:rsidRPr="000F241C" w:rsidRDefault="005A153F" w:rsidP="0063610D">
      <w:pPr>
        <w:pStyle w:val="NormalHanging12a"/>
        <w:widowControl/>
      </w:pPr>
      <w:r w:rsidRPr="000F241C">
        <w:t>5</w:t>
      </w:r>
      <w:r w:rsidR="00441F30" w:rsidRPr="000F241C">
        <w:t>9</w:t>
      </w:r>
      <w:r w:rsidRPr="000F241C">
        <w:t>.</w:t>
      </w:r>
      <w:r w:rsidRPr="000F241C">
        <w:tab/>
        <w:t>katsoo, että käyttöoikeuden myöntämistä parlamentin resursseihin, kuten videokuvausstudioihin tai muille viestintäalustoille, ei saa käyttää unionin arvojen rapauttamiseen tai autoritaaristen hallintojen vihamielisten viestien levittämiseen;</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Henkilöstöasioiden pääosasto</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60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muistuttaa, että henkilöstöasioiden pääosasto (DG PERS) vastaa parlamentin henkilöresurssien asianmukaisesta ja tehokkaasta hallinnoinnista ja varmistaa, että jäsenten tukena on erittäin ammattitaitoista työvoimaa, jotta he voivat hoitaa tehtävänsä asianmukaisesti;</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61</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henkilöstöasioiden pääosaston lopulliset määrärahat olivat 1 090 141 584 euroa vuonna 2022, mikä on 50,4 prosenttia parlamentin talousarviosta; korostaa, että tästä määrästä sidottiin yhteensä 1 087 939 413 euroa; pitää myönteisenä määrärahojen korkeaa käyttöastetta;</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62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vuonna 2022 parlamentti otti palvelukseensa vähemmän virkamiehiä Euroopan unionin henkilöstövalintatoimiston (EPSO) järjestämistä kilpailuista (48 virkamiestä) kuin parlamentin järjestämistä sisäisistä, avoimista kilpailuista (139 virkamiestä); pitää valitettavana </w:t>
      </w:r>
      <w:proofErr w:type="spellStart"/>
      <w:r w:rsidR="003B6D3B" w:rsidRPr="000F241C">
        <w:rPr>
          <w14:textOutline w14:w="0" w14:cap="flat" w14:cmpd="sng" w14:algn="ctr">
            <w14:noFill/>
            <w14:prstDash w14:val="solid"/>
            <w14:bevel/>
          </w14:textOutline>
        </w:rPr>
        <w:t>EPSOn</w:t>
      </w:r>
      <w:proofErr w:type="spellEnd"/>
      <w:r w:rsidR="003B6D3B" w:rsidRPr="000F241C">
        <w:rPr>
          <w14:textOutline w14:w="0" w14:cap="flat" w14:cmpd="sng" w14:algn="ctr">
            <w14:noFill/>
            <w14:prstDash w14:val="solid"/>
            <w14:bevel/>
          </w14:textOutline>
        </w:rPr>
        <w:t xml:space="preserve"> monenlaisia ongelmia verkkotestien valvonnassa ja kilpailujen kielijärjestelyissä; panee merkille, että henkilöstöasioiden pääosastolla ja muilla pääosastoilla on ollut yleisiä vaikeuksia houkutella osaajia ja saada heidät pysymään palveluksessa, ja toteaa tämän vaikuttavan parlamentin henkilöstön suorituskykyyn; vaatii tehokkaampia, paremmin kohdennettuja ja lyhyempiä valintamenettelyjä, jotka lisäisivät parlamentin houkuttelevuutta työnantajana ja antaisivat pääosastoille mahdollisuuden rekrytoida nopeasti työnsä tueksi tarvittavat asiantuntijaprofiilit;</w:t>
      </w:r>
    </w:p>
    <w:p w:rsidR="003B6D3B" w:rsidRPr="000F241C" w:rsidRDefault="000B34D4" w:rsidP="0063610D">
      <w:pPr>
        <w:pStyle w:val="NormalHanging12a"/>
        <w:widowControl/>
      </w:pPr>
      <w:r w:rsidRPr="000F241C">
        <w:t>63</w:t>
      </w:r>
      <w:r w:rsidR="003B6D3B" w:rsidRPr="000F241C">
        <w:t>.</w:t>
      </w:r>
      <w:r w:rsidR="003B6D3B" w:rsidRPr="000F241C">
        <w:tab/>
        <w:t>korostaa, että oikeudenmukaisen maantieteellisen tasapainon varmistaminen on tärkeä osa aidosti eurooppalaisen julkisen palvelun luomista, ja huomauttaa, että parlamentti on vuosien mittaan toteuttanut useita tähän liittyviä toimenpiteitä; toteaa, että tässä asiassa on silti parantamisen varaa; panee merkille, että puhemiehistö on luonut oikeudelliset puitteet kansalaisuuden perusteella kohdistettujen kilpailujen järjestämiselle ja päättänyt järjestää ensimmäisen tällaisista kilpailuista; korostaa, että kilpailujen olisi aina perustuttava henkilön ammatilliseen koulutukseen iästä, sukupuolesta ja vakaumuksesta riippumatta;</w:t>
      </w:r>
    </w:p>
    <w:p w:rsidR="003B6D3B" w:rsidRPr="000F241C" w:rsidRDefault="000B34D4" w:rsidP="0063610D">
      <w:pPr>
        <w:pStyle w:val="NormalHanging12a"/>
        <w:widowControl/>
      </w:pPr>
      <w:r w:rsidRPr="000F241C">
        <w:t>64</w:t>
      </w:r>
      <w:r w:rsidR="003B6D3B" w:rsidRPr="000F241C">
        <w:t>.</w:t>
      </w:r>
      <w:r w:rsidR="003B6D3B" w:rsidRPr="000F241C">
        <w:tab/>
        <w:t xml:space="preserve">palauttaa mieliin, että puhemiehistö hyväksyi 13. tammikuuta 2020 uudet ja kunnianhimoisemmat sukupuolten tasapuolista edustusta parlamentin hallinnon ylemmän ja keskijohdon viroissa koskevat tavoitteet, jotka on määrä saavuttaa vuoteen 2024 mennessä, jolloin yksikönpäälliköistä 50 prosentin, johtajista 50 prosentin ja pääjohtajista 40 prosentin olisi oltava naisia; palauttaa mieliin, että puhemiehistö laati ja </w:t>
      </w:r>
      <w:r w:rsidR="003B6D3B" w:rsidRPr="000F241C">
        <w:lastRenderedPageBreak/>
        <w:t xml:space="preserve">hyväksyi 6. heinäkuuta 2020 sukupuolten tasa-arvoa koskevan toimintasuunnitelman vuosiksi 2021–2022, jonka tarkoituksena on helpottaa näiden tavoitteiden täytäntöönpanoa ja </w:t>
      </w:r>
      <w:proofErr w:type="spellStart"/>
      <w:r w:rsidR="003B6D3B" w:rsidRPr="000F241C">
        <w:t>valtavirtaistaa</w:t>
      </w:r>
      <w:proofErr w:type="spellEnd"/>
      <w:r w:rsidR="003B6D3B" w:rsidRPr="000F241C">
        <w:t xml:space="preserve"> sukupuolten tasa-arvo kattavasti kaikkeen parlamentin toimintaan; panee merkille, että vuonna 2022 pääjohtajista 28,6 prosenttia oli naisia, ja pitää myönteisenä, että johtajista 50,8 prosenttia ja yksikönpäälliköistä 43,5 prosenttia oli naisia;</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65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toteaa, että useat pääosastot ovat ilmaisseet huolensa parlamentin ydintoimintojen hoitamisen kannalta olennaisten osaajien ja erityisprofiilien houkuttelemisesta; huomauttaa, että sisäisinä tehtävinä hoidettaviksi siirtämistä voidaan harkita ainoastaan keskeisten palvelujen kohdalla; korostaa, että joidenkin palvelujen suorittamisesta vastaavat ulkoiset palveluntarjoajat, koska erityisluonteensa vuoksi ne eivät täytä sisäisinä tehtävinä hoidettavaksi siirtämisen edellytyksiä; katsoo näin ollen, että jos palvelut eivät täytä kyseisiä edellytyksiä, hallintoelinten ei pitäisi harkita niiden siirtämistä sisäisiksi tehtäviksi;</w:t>
      </w:r>
    </w:p>
    <w:p w:rsidR="003B6D3B" w:rsidRPr="000F241C" w:rsidRDefault="000B34D4"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66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on tyytyväinen valtuutettuihin avustajiin liittyviin henkilöstöasioiden pääosaston toimiin; korostaa, että henkilöstöasioiden pääosaston tiedotuspiste järjesti 85 tiedotustilaisuutta virkamiehille, väliaikaisille toimihenkilöille, sopimussuhteisille toimihenkilöille ja valtuutetuille avustajille sekä kuusi eläkkeelle siirtymistä käsittelevää verkkoseminaaria ja 14 tiedotustilaisuutta jäsenten uusille harjoittelijoille; panee tyytyväisenä merkille valtuutettujen avustajien </w:t>
      </w:r>
      <w:proofErr w:type="spellStart"/>
      <w:r w:rsidR="003B6D3B" w:rsidRPr="000F241C">
        <w:rPr>
          <w14:textOutline w14:w="0" w14:cap="flat" w14:cmpd="sng" w14:algn="ctr">
            <w14:noFill/>
            <w14:prstDash w14:val="solid"/>
            <w14:bevel/>
          </w14:textOutline>
        </w:rPr>
        <w:t>front</w:t>
      </w:r>
      <w:proofErr w:type="spellEnd"/>
      <w:r w:rsidR="003B6D3B" w:rsidRPr="000F241C">
        <w:rPr>
          <w14:textOutline w14:w="0" w14:cap="flat" w14:cmpd="sng" w14:algn="ctr">
            <w14:noFill/>
            <w14:prstDash w14:val="solid"/>
            <w14:bevel/>
          </w14:textOutline>
        </w:rPr>
        <w:t xml:space="preserve"> </w:t>
      </w:r>
      <w:proofErr w:type="spellStart"/>
      <w:r w:rsidR="003B6D3B" w:rsidRPr="000F241C">
        <w:rPr>
          <w14:textOutline w14:w="0" w14:cap="flat" w14:cmpd="sng" w14:algn="ctr">
            <w14:noFill/>
            <w14:prstDash w14:val="solid"/>
            <w14:bevel/>
          </w14:textOutline>
        </w:rPr>
        <w:t>office</w:t>
      </w:r>
      <w:proofErr w:type="spellEnd"/>
      <w:r w:rsidR="003B6D3B" w:rsidRPr="000F241C">
        <w:rPr>
          <w14:textOutline w14:w="0" w14:cap="flat" w14:cmpd="sng" w14:algn="ctr">
            <w14:noFill/>
            <w14:prstDash w14:val="solid"/>
            <w14:bevel/>
          </w14:textOutline>
        </w:rPr>
        <w:t xml:space="preserve"> -yksikön toimet valtuutettujen avustajien </w:t>
      </w:r>
      <w:proofErr w:type="spellStart"/>
      <w:r w:rsidR="003B6D3B" w:rsidRPr="000F241C">
        <w:rPr>
          <w14:textOutline w14:w="0" w14:cap="flat" w14:cmpd="sng" w14:algn="ctr">
            <w14:noFill/>
            <w14:prstDash w14:val="solid"/>
            <w14:bevel/>
          </w14:textOutline>
        </w:rPr>
        <w:t>palvelukseenotossa</w:t>
      </w:r>
      <w:proofErr w:type="spellEnd"/>
      <w:r w:rsidR="003B6D3B" w:rsidRPr="000F241C">
        <w:rPr>
          <w14:textOutline w14:w="0" w14:cap="flat" w14:cmpd="sng" w14:algn="ctr">
            <w14:noFill/>
            <w14:prstDash w14:val="solid"/>
            <w14:bevel/>
          </w14:textOutline>
        </w:rPr>
        <w:t xml:space="preserve"> ja heidän sopimustensa hallinnoinnissa ja toteaa, että yksikkö toimii yhteyspisteenä kaikissa asiaan liittyvissä kysymyksissä ja menettelyissä; panee merkille, että yksikkö vastasi 12 405 tietopyyntöön, jotka koskivat muun muassa </w:t>
      </w:r>
      <w:proofErr w:type="spellStart"/>
      <w:r w:rsidR="003B6D3B" w:rsidRPr="000F241C">
        <w:rPr>
          <w14:textOutline w14:w="0" w14:cap="flat" w14:cmpd="sng" w14:algn="ctr">
            <w14:noFill/>
            <w14:prstDash w14:val="solid"/>
            <w14:bevel/>
          </w14:textOutline>
        </w:rPr>
        <w:t>palvelukseenottoa</w:t>
      </w:r>
      <w:proofErr w:type="spellEnd"/>
      <w:r w:rsidR="003B6D3B" w:rsidRPr="000F241C">
        <w:rPr>
          <w14:textOutline w14:w="0" w14:cap="flat" w14:cmpd="sng" w14:algn="ctr">
            <w14:noFill/>
            <w14:prstDash w14:val="solid"/>
            <w14:bevel/>
          </w14:textOutline>
        </w:rPr>
        <w:t xml:space="preserve"> ja sopimusten muuttamista, uusimista, irtisanomista ja päättämistä; panee tyytyväisenä merkille, että 100 prosenttia valtuutettujen avustajien sopimuksista tehtiin kymmenen työpäivän kuluessa;</w:t>
      </w:r>
    </w:p>
    <w:p w:rsidR="003B6D3B" w:rsidRPr="000F241C" w:rsidRDefault="000B34D4" w:rsidP="0063610D">
      <w:pPr>
        <w:pStyle w:val="NormalHanging12a"/>
        <w:widowControl/>
      </w:pPr>
      <w:r w:rsidRPr="000F241C">
        <w:t>67</w:t>
      </w:r>
      <w:r w:rsidR="003B6D3B" w:rsidRPr="000F241C">
        <w:t>.</w:t>
      </w:r>
      <w:r w:rsidR="003B6D3B" w:rsidRPr="000F241C">
        <w:tab/>
        <w:t>panee tyytyväisenä merkille, että kuten vuoden 2021 vastuuvapauspäätöslauselmassa pyydettiin, puhemiehistö pyysi 10. heinäkuuta 2023 pitämässään kokouksessa ottamaan käyttöön mahdollisuuden irtisanoa jäsenen ja tämän valtuutetun avustajan välinen sopimus neuvotteluteitse tapauksissa, joissa valtuutetun avustajan työsopimus on irtisanottava muista syistä kuin luottamuksen menettämisen vuoksi;</w:t>
      </w:r>
    </w:p>
    <w:p w:rsidR="003B6D3B" w:rsidRPr="000F241C" w:rsidRDefault="003B6D3B" w:rsidP="0063610D">
      <w:pPr>
        <w:pStyle w:val="NormalHanging12a"/>
        <w:widowControl/>
      </w:pPr>
      <w:r w:rsidRPr="000F241C">
        <w:t>6</w:t>
      </w:r>
      <w:r w:rsidR="00441F30" w:rsidRPr="000F241C">
        <w:t>8</w:t>
      </w:r>
      <w:r w:rsidRPr="000F241C">
        <w:t>.</w:t>
      </w:r>
      <w:r w:rsidRPr="000F241C">
        <w:tab/>
        <w:t xml:space="preserve">toteaa, että valtuutettujen avustajien työ on olennainen osa jäsenten työtä ja että heillä on tärkeä rooli unionin lainsäädäntömenettelyissä; panee merkille, että sen jälkeen, kun valtuutettujen avustajien asemaa koskevat säännöt hyväksyttiin vuonna 2009, heidän </w:t>
      </w:r>
      <w:r w:rsidR="00A73635" w:rsidRPr="000F241C">
        <w:t xml:space="preserve">työnsä </w:t>
      </w:r>
      <w:r w:rsidRPr="000F241C">
        <w:t xml:space="preserve">on vaiheittain tunnustettu vuosien mittaan; panee merkille parlamentin pyrkimykset luoda puitteet tuen antamiseksi valtuutetuille avustajille; </w:t>
      </w:r>
      <w:r w:rsidR="00A73635" w:rsidRPr="000F241C">
        <w:t xml:space="preserve">kehottaa puhemiehistöä ja parlamentin hallintoa kuulemaan säännöllisesti ja virallisesti valtuutettujen avustajien komiteaa tarkistuksista ja uudistuksista, joilla on välitön vaikutus valtuutettujen avustajien oikeuksiin; </w:t>
      </w:r>
      <w:r w:rsidRPr="000F241C">
        <w:t>kehottaa noudattamaan asianmukaisesti voimassa olevia sääntöjä; kehottaa parlamentin hallintoa tutkimaan mahdollisuutta ottaa valtuutettujen avustajien sopimuksissa käyttöön irtisanomisaika, jos jäsen odottamatta jättää tehtävänsä joko tahtoen tai tahtomattaan;</w:t>
      </w:r>
    </w:p>
    <w:p w:rsidR="003B6D3B" w:rsidRPr="000F241C" w:rsidRDefault="000B34D4" w:rsidP="0063610D">
      <w:pPr>
        <w:pStyle w:val="NormalHanging12a"/>
        <w:widowControl/>
      </w:pPr>
      <w:r w:rsidRPr="000F241C">
        <w:t>69</w:t>
      </w:r>
      <w:r w:rsidR="003B6D3B" w:rsidRPr="000F241C">
        <w:t>.</w:t>
      </w:r>
      <w:r w:rsidR="003B6D3B" w:rsidRPr="000F241C">
        <w:tab/>
        <w:t xml:space="preserve">toteaa, että valtuutetut avustajat osallistuvat virallisiin virkamatkoihin parlamentin kolmelle toimipaikkakunnalle; panee merkille, että puhemiehistö hyväksyi 11. joulukuuta 2023 muutoksia Euroopan unionin muuhun henkilöstöön sovellettavien palvelussuhteen ehtojen VII osaston soveltamisohjeisiin, joita sovelletaan parlamentin jäsenten valtuutettujen avustajien palvelussuhteeseen; panee merkille, että tämän </w:t>
      </w:r>
      <w:r w:rsidR="003B6D3B" w:rsidRPr="000F241C">
        <w:lastRenderedPageBreak/>
        <w:t xml:space="preserve">päätöksen mukaan valtuutettuihin avustajiin sovelletaan soveltuvin osin parlamentin virkamiesten ja muun henkilöstön virkamatkoja koskevia sääntöjä; toteaa, että kun valtuutetuilla avustajilla on vahvistettu matkamääräys Strasbourgiin Euroopan parlamentin täysistuntojen aikana, he voivat matkustaa sinne tilausjunanalla; panee merkille, että jos </w:t>
      </w:r>
      <w:proofErr w:type="spellStart"/>
      <w:r w:rsidR="003B6D3B" w:rsidRPr="000F241C">
        <w:t>Eurostar</w:t>
      </w:r>
      <w:proofErr w:type="spellEnd"/>
      <w:r w:rsidR="003B6D3B" w:rsidRPr="000F241C">
        <w:t>-tilausjunat ovat täynnä, valtuutetuille avustajille tarjotaan huomattavasti huonompia ja epäluotettavampia matkustusvaihtoehtoja kuin muille parlamentin henkilöstön jäsenille; kehottaa parlamenttia tutkimaan lisäjunan tarvetta; toistaa, että jäsenten mukana Strasbourgin istuntojaksoille osallistuvat valtuutetut avustajat tarvitsevat matkamääräyksen ja heille on maksettava korvaus sovellettavien sääntöjen mukaisesti;</w:t>
      </w:r>
    </w:p>
    <w:p w:rsidR="003B6D3B" w:rsidRPr="000F241C" w:rsidRDefault="000B34D4" w:rsidP="0063610D">
      <w:pPr>
        <w:pStyle w:val="NormalHanging12a"/>
        <w:widowControl/>
      </w:pPr>
      <w:r w:rsidRPr="000F241C">
        <w:t>70</w:t>
      </w:r>
      <w:r w:rsidR="003B6D3B" w:rsidRPr="000F241C">
        <w:t>.</w:t>
      </w:r>
      <w:r w:rsidR="003B6D3B" w:rsidRPr="000F241C">
        <w:tab/>
        <w:t>huomauttaa, että valiokuntien virkamatkoja Euroopan parlamentin kolmen toimipaikan ulkopuolelle koskevassa puhemiehistön päätöksessä, jota muutettiin marraskuussa 2011 puheenjohtajakokouksessa huhtikuussa 2011 ja puhemiehistössä marraskuussa 2011 käytyjen keskustelujen jälkeen, tätä nykyä kielletään valtuutettujen avustajien matkustaminen jäsenten mukana parlamentin virallisilla valtuuskunta- tai valiokuntamatkoilla; toteaa, että parlamentille aiheutuu vakava maineriski ja valtuutettujen avustajien vakuutusturvaan kohdistuu erityisiä haasteita, jos valtuutetuille avustajille annetaan mahdollisuus osallistua parlamentin virkamatkoille epävirallisesti; muistuttaa, että poliittisten ryhmien jäsenet ovat jo nyt Euroopan parlamentin jäsenten mukana näillä virkamatkoilla</w:t>
      </w:r>
      <w:r w:rsidR="00BF6B0F" w:rsidRPr="000F241C">
        <w:t>, mutta huomauttaa, että valtuutettujen avustajien virkamatkojen aikana antama tekninen tuki on olennaisen tärkeää osallistuville jäsenille; toistaa pitkäaikaisen pyyntönsä, jonka mukaan valtuutetut avustajat voisivat tietyin, myöhemmin määritettävin edellytyksin osallistua parlamentin virallisiin valtuuskuntiin ja virkamatkoihin kolmen toimipaikan ulkopuolelle, kuten täysistunto on pyytänyt useissa vastuuvapauspäätöslauselmissa; kehottaa puhemiehistöä ja puheenjohtajakokousta vastaamaan myönteisesti tähän pyyntöön</w:t>
      </w:r>
      <w:r w:rsidR="003B6D3B" w:rsidRPr="000F241C">
        <w:t>;</w:t>
      </w:r>
    </w:p>
    <w:p w:rsidR="003B6D3B" w:rsidRPr="000F241C" w:rsidRDefault="000B34D4">
      <w:pPr>
        <w:pStyle w:val="NormalHanging12a"/>
        <w:widowControl/>
      </w:pPr>
      <w:r w:rsidRPr="000F241C">
        <w:t>71</w:t>
      </w:r>
      <w:r w:rsidR="003B6D3B" w:rsidRPr="000F241C">
        <w:t>.</w:t>
      </w:r>
      <w:r w:rsidR="003B6D3B" w:rsidRPr="000F241C">
        <w:tab/>
        <w:t>muistuttaa, että valtuutetut avustajat on kokemuksestaan ja pätevyydestään riippumatta suljettu pois Euroopan parlamentin sisäisistä kilpailuista; kehottaa puhemiehistöä tutkimaan, voitaisiinko valtuutetuille avustajille tarjota samat mahdollisuudet oikeudenmukaisuuden vuoksi ja asiaankuuluvien pääosastojen vahvistamien kriteerien mukaisesti, jotta he voivat tietyin myöhemmin määritettävin edellytyksin osallistua sisäisiin kilpailuihin tasavertaisesti Euroopan parlamentin henkilöstön kanssa; panee merkille, että valtuutetut avustajat saavat vuosien kokemuksensa ansiosta perusteellisen käsityksen parlamentin jäsenten edustajantoimen hoitamiseen liittyvistä poliittisista ja teknisistä vivahteista sekä unionin erilaisista oikeudellisista menettelyistä; korostaa, että valtuutettujen avustajien vahvempi osallistuminen parlamentin sisäisiin rakenteisiin voisi auttaa lisäämään henkilöstön osallistamista, monimuotoisuutta ja maantieteellistä tasapainoa; korostaa sisäisiin työskentelymenetelmiin liittyvän tietämyksen säilyttämisen ja siirron merkitystä Euroopan parlamentissa;</w:t>
      </w:r>
    </w:p>
    <w:p w:rsidR="003B6D3B" w:rsidRPr="000F241C" w:rsidRDefault="000B34D4" w:rsidP="0063610D">
      <w:pPr>
        <w:pStyle w:val="NormalHanging12a"/>
        <w:widowControl/>
      </w:pPr>
      <w:r w:rsidRPr="000F241C">
        <w:t>72</w:t>
      </w:r>
      <w:r w:rsidR="003B6D3B" w:rsidRPr="000F241C">
        <w:t>.</w:t>
      </w:r>
      <w:r w:rsidR="003B6D3B" w:rsidRPr="000F241C">
        <w:tab/>
        <w:t>panee merkille, että valtuutettuihin avustajiin sovellettava karenssiaika on vähintään kaksi kertaa niin pitkä kuin parlamentin jäseniin sovellettava karenssiaika; kehottaa keskustelemaan Euroopan parlamentin työntekijöiden karenssiajan yhdenmukaistamisesta;</w:t>
      </w:r>
    </w:p>
    <w:p w:rsidR="003B6D3B" w:rsidRPr="000F241C" w:rsidRDefault="000B34D4" w:rsidP="0063610D">
      <w:pPr>
        <w:pStyle w:val="NormalHanging12a"/>
        <w:widowControl/>
      </w:pPr>
      <w:r w:rsidRPr="000F241C">
        <w:t>73</w:t>
      </w:r>
      <w:r w:rsidR="003B6D3B" w:rsidRPr="000F241C">
        <w:t>.</w:t>
      </w:r>
      <w:r w:rsidR="003B6D3B" w:rsidRPr="000F241C">
        <w:tab/>
        <w:t xml:space="preserve">pitää myönteisenä edistymistä parlamentin jäsenten valtuutettujen avustajien palvelussuhdetta koskevien sääntöjen tarkistamisessa; on tyytyväinen päätöksestä henkilöstölle koituvaan myönteiseen yhdenmukaistamiseen; pitää myönteisenä valtuutettujen avustajien ja Euroopan parlamentin jäsenten välillä tehtyä sopimusta sopimuksen yhteisestä päättämisestä; pitää myönteisenä virkamatkapäivärahoja </w:t>
      </w:r>
      <w:r w:rsidR="003B6D3B" w:rsidRPr="000F241C">
        <w:lastRenderedPageBreak/>
        <w:t>koskevien sääntöjen yhdenmukaistamista valtuutettujen avustajien ja henkilöstön välillä; pitää myönteisenä tarkistusta, joka koskee valtuutettujen avustajien pakollista koulutusta tehtävien aloittamisen yhteydessä; pitää myönteisenä äitiysvapaasääntöjen tarkistamista valtuutettujen avustajien osalta, jotta parlamentin jäsenten resurssien käyttöä voidaan tehostaa; kiittää Euroopan parlamentin puhemiehistöä siitä, että se on vastannut Euroopan parlamentin täysistunnon pyyntöihin ja valtuutettujen avustajien komitean viime vuosina esittämään palautteeseen; kannustaa Euroopan parlamentin puhemiehistöä jatkamaan tätä rakentavaa työtä valtuutettujen avustajien komitean kanssa muissa vireillä olevissa kysymyksissä;</w:t>
      </w:r>
    </w:p>
    <w:p w:rsidR="007B325B" w:rsidRPr="000F241C" w:rsidRDefault="000B34D4" w:rsidP="0063610D">
      <w:pPr>
        <w:pStyle w:val="NormalHanging12a"/>
        <w:widowControl/>
      </w:pPr>
      <w:r w:rsidRPr="000F241C">
        <w:t>74</w:t>
      </w:r>
      <w:r w:rsidR="003B6D3B" w:rsidRPr="000F241C">
        <w:t>.</w:t>
      </w:r>
      <w:r w:rsidR="003B6D3B" w:rsidRPr="000F241C">
        <w:tab/>
        <w:t xml:space="preserve">toteaa, että Euroopan parlamentin toiminnan avoimuuden ja vastuuvelvollisuuden lisäämiseksi ja resurssien oikeudenmukaisen jakautumisen edistämiseksi ehdotetaan seuraavia tarkistuksia, jotka koskevat parlamentin jäsenten avustajia, yleisiä enimmäismääriä ja talousarviota: </w:t>
      </w:r>
    </w:p>
    <w:p w:rsidR="007B325B" w:rsidRPr="000F241C" w:rsidRDefault="003B6D3B" w:rsidP="00DB72D0">
      <w:pPr>
        <w:pStyle w:val="NormalHanging12a"/>
        <w:widowControl/>
        <w:ind w:left="1134"/>
      </w:pPr>
      <w:r w:rsidRPr="000F241C">
        <w:t>1.</w:t>
      </w:r>
      <w:r w:rsidR="007B325B" w:rsidRPr="000F241C">
        <w:tab/>
      </w:r>
      <w:r w:rsidRPr="000F241C">
        <w:t xml:space="preserve">Valtuutettujen avustajien avustajakorvausten osuuden määrärahasta on oltava vähintään 35 prosenttia. </w:t>
      </w:r>
    </w:p>
    <w:p w:rsidR="007B325B" w:rsidRPr="000F241C" w:rsidRDefault="003B6D3B" w:rsidP="00DB72D0">
      <w:pPr>
        <w:pStyle w:val="NormalHanging12a"/>
        <w:widowControl/>
        <w:ind w:left="1134"/>
      </w:pPr>
      <w:r w:rsidRPr="000F241C">
        <w:t>2.</w:t>
      </w:r>
      <w:r w:rsidR="007B325B" w:rsidRPr="000F241C">
        <w:tab/>
      </w:r>
      <w:r w:rsidRPr="000F241C">
        <w:t>Muiden saajien osuuden on oltava enintään 65 prosenttia, joka jaetaan seuraavasti:</w:t>
      </w:r>
    </w:p>
    <w:p w:rsidR="007B325B" w:rsidRPr="000F241C" w:rsidRDefault="003B6D3B" w:rsidP="00DB72D0">
      <w:pPr>
        <w:pStyle w:val="NormalHanging12a"/>
        <w:widowControl/>
        <w:ind w:left="1701"/>
      </w:pPr>
      <w:r w:rsidRPr="000F241C">
        <w:t>a.</w:t>
      </w:r>
      <w:r w:rsidR="007B325B" w:rsidRPr="000F241C">
        <w:tab/>
      </w:r>
      <w:r w:rsidRPr="000F241C">
        <w:t xml:space="preserve">Palveluntarjoajien osuus on enintään 25 prosenttia määrärahasta. </w:t>
      </w:r>
    </w:p>
    <w:p w:rsidR="007B325B" w:rsidRPr="000F241C" w:rsidRDefault="003B6D3B" w:rsidP="00DB72D0">
      <w:pPr>
        <w:pStyle w:val="NormalHanging12a"/>
        <w:widowControl/>
        <w:ind w:left="1701"/>
      </w:pPr>
      <w:r w:rsidRPr="000F241C">
        <w:t>b.</w:t>
      </w:r>
      <w:r w:rsidR="007B325B" w:rsidRPr="000F241C">
        <w:tab/>
      </w:r>
      <w:r w:rsidRPr="000F241C">
        <w:t>Paikallisten avustajien osuus on enintään 25 prosenttia määrärahasta.</w:t>
      </w:r>
    </w:p>
    <w:p w:rsidR="003B6D3B" w:rsidRPr="000F241C" w:rsidRDefault="003B6D3B" w:rsidP="00DB72D0">
      <w:pPr>
        <w:pStyle w:val="NormalHanging12a"/>
        <w:widowControl/>
        <w:ind w:left="1701"/>
      </w:pPr>
      <w:r w:rsidRPr="000F241C">
        <w:t>c.</w:t>
      </w:r>
      <w:r w:rsidR="007B325B" w:rsidRPr="000F241C">
        <w:tab/>
      </w:r>
      <w:r w:rsidRPr="000F241C">
        <w:t>Harjoittelijoiden osuus on enintään 15 prosenttia määrärahasta;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75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vuonna 2022 saatettiin päätöksen </w:t>
      </w:r>
      <w:proofErr w:type="spellStart"/>
      <w:r w:rsidR="003B6D3B" w:rsidRPr="000F241C">
        <w:rPr>
          <w14:textOutline w14:w="0" w14:cap="flat" w14:cmpd="sng" w14:algn="ctr">
            <w14:noFill/>
            <w14:prstDash w14:val="solid"/>
            <w14:bevel/>
          </w14:textOutline>
        </w:rPr>
        <w:t>Schuman</w:t>
      </w:r>
      <w:proofErr w:type="spellEnd"/>
      <w:r w:rsidR="003B6D3B" w:rsidRPr="000F241C">
        <w:rPr>
          <w14:textOutline w14:w="0" w14:cap="flat" w14:cmpd="sng" w14:algn="ctr">
            <w14:noFill/>
            <w14:prstDash w14:val="solid"/>
            <w14:bevel/>
          </w14:textOutline>
        </w:rPr>
        <w:t>-harjoittelijoiden rekrytointi- ja kehitysohjelman kaksi harjoittelujaksoa, minkä jälkeen niihin osallistuneista, varallaololuetteloon otetuista hakijoista otettiin palvelukseen 16 prosenttia vuonna 2022; painottaa, että tämän toimen tuloksena palvelukseen otettiin 50 kilpailun läpäissyttä hakijaa 16:sta eri jäsenvaltiosta; huomauttaa, että näistä jäsenvaltioista yhdeksän jäsenvaltiota, joista lähtöisin olevien henkilöstön jäsenten edustus oli vähäistä tai erittäin vähäistä, lisäsi edustustaan ja kilpailun läpäisseistä hakijoista 70 prosenttia tuli näistä jäsenvaltioista; korostaa, että pääsihteeri hyväksyi vuoden 2022 lopussa parlamentin entisten harjoittelijoiden verkoston perustamisen;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76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tyytyväisenä merkille, että henkilöstöasioiden pääosasto pani täytäntöön vammaisia hakijoita koskevan positiivisen syrjinnän toimintasuunnitelman, minkä seurauksena hakemuksia tehtiin huomattavasti enemmän kuin aiempina vuosina;</w:t>
      </w:r>
    </w:p>
    <w:p w:rsidR="003B6D3B" w:rsidRPr="000F241C" w:rsidRDefault="000F241C" w:rsidP="0063610D">
      <w:pPr>
        <w:pStyle w:val="NormalHanging12a"/>
        <w:widowControl/>
      </w:pPr>
      <w:r w:rsidRPr="000F241C">
        <w:t>77</w:t>
      </w:r>
      <w:r w:rsidR="003B6D3B" w:rsidRPr="000F241C">
        <w:t>.</w:t>
      </w:r>
      <w:r w:rsidR="003B6D3B" w:rsidRPr="000F241C">
        <w:tab/>
        <w:t>palauttaa mieliin pääsihteerin marraskuussa 2022 tekemän päätöksen parlamentin pääsihteeristöön sovellettavista parlamentin uusista etätyösäännöistä; muistuttaa, että myös jäsenet ja poliittiset ryhmät voivat päättää soveltaa tässä päätöksessä vahvistettuja etätyösääntöjä; huomauttaa, että hybridityöympäristön tasapainoinen käyttö on hyödyllistä ja tuottavaa, ja pitää siksi myönteisenä päätöstä säilyttää etätyöskentelymahdollisuudet; muistuttaa, että fyysinen läsnäolo on aina ratkaisevan tärkeää kaikissa parlamentaarisissa prosesseissa kaikkien toimijoiden tehokkaan ja vaikuttavan vuorovaikutuksen kannalta;</w:t>
      </w:r>
    </w:p>
    <w:p w:rsidR="003B6D3B" w:rsidRPr="000F241C" w:rsidRDefault="000F241C" w:rsidP="0063610D">
      <w:pPr>
        <w:pStyle w:val="NormalHanging12a"/>
        <w:widowControl/>
      </w:pPr>
      <w:r w:rsidRPr="000F241C">
        <w:t>78</w:t>
      </w:r>
      <w:r w:rsidR="003B6D3B" w:rsidRPr="000F241C">
        <w:t>.</w:t>
      </w:r>
      <w:r w:rsidR="003B6D3B" w:rsidRPr="000F241C">
        <w:tab/>
        <w:t xml:space="preserve">ehdottaa, että uusien työskentelytapojen analysointia jatketaan parlamentin hallinnon tarpeiden yhteensovittamiseksi (mukaan lukien tiimien yhteenkuuluvuus, sisäinen viestintä ja uusien tulokkaiden perehdyttäminen), sillä näin parannettaisiin parlamentin tuloksia sekä houkuttelevuutta työnantajana; panee merkille, että henkilöstölle on </w:t>
      </w:r>
      <w:r w:rsidR="003B6D3B" w:rsidRPr="000F241C">
        <w:lastRenderedPageBreak/>
        <w:t>annettu mahdollisuus tehdä etätyötä ulkomailta viisi päivää vuodessa; panee merkille, että joillakin covid-19-pandemiaan liittyvillä toimenpiteillä on muutettu tiettyjen yksiköiden työskentelyoloja; kehottaa seuraamaan ja arvioimaan ennakoivasti uusia työskentelytapoja, jottei niistä aiheudu kielteisiä vaikutuksia henkilöstön hyvinvoinnille ja tyytyväisyydelle;</w:t>
      </w:r>
    </w:p>
    <w:p w:rsidR="003B6D3B" w:rsidRPr="000F241C" w:rsidRDefault="000F241C" w:rsidP="0063610D">
      <w:pPr>
        <w:pStyle w:val="NormalHanging12a"/>
        <w:widowControl/>
      </w:pPr>
      <w:r w:rsidRPr="000F241C">
        <w:t>79</w:t>
      </w:r>
      <w:r w:rsidR="003B6D3B" w:rsidRPr="000F241C">
        <w:t>.</w:t>
      </w:r>
      <w:r w:rsidR="003B6D3B" w:rsidRPr="000F241C">
        <w:tab/>
        <w:t>panee merkille, että kahdeksannen vaalikauden 459 jäsenestä, joita ei valittu uudelleen vuonna 2019, vain yhdeltä parlamentti sai ilmoituksen toimikauden jälkeisestä työllistymisestä (menettelysääntöjen 6 artiklan mukaisesti); panee tyytyväisenä merkille, että entiset jäsenet eivät saa harjoittaa lobbaustoimintaa kuuden kuukauden aikana toimikautensa päättymisestä, ja menettelyn, jota sovelletaan, jos sääntöjä ei noudateta; on tyytyväinen siihen, että entiselle jäsenelle ei ole enää mahdollista myöntää edunvalvontakorttia kuuden kuukauden aikana hänen toimikautensa päättymisestä ja että entisen jäsenen kulkulupa poistetaan käytöstä, jos hänelle myönnetään edunvalvontakortti tämän ajanjakson jälkeen; panee merkille, että vuonna 2022 palveluksesta poistuneista 199 virkamiehestä 65 pyysi lupaa toiminnan harjoittamiselle palvelussuhteen päättymisen jälkeen (henkilöstösääntöjen 16 artikla); kehottaa parlamenttia tiukentamaan sääntöjä jäsenten ja henkilöstön pyöröovi-ilmiön sääntelemiseksi;</w:t>
      </w:r>
    </w:p>
    <w:p w:rsidR="003E518C" w:rsidRPr="000F241C" w:rsidRDefault="00441F30" w:rsidP="0063610D">
      <w:pPr>
        <w:pStyle w:val="NormalHanging12a"/>
        <w:widowControl/>
      </w:pPr>
      <w:r w:rsidRPr="000F241C">
        <w:t>80</w:t>
      </w:r>
      <w:r w:rsidR="003E518C" w:rsidRPr="000F241C">
        <w:t>.</w:t>
      </w:r>
      <w:r w:rsidR="003E518C" w:rsidRPr="000F241C">
        <w:tab/>
        <w:t>on vakaasti sitä mieltä, että tilaisuuksien ja matkojen tukemista ei saisi koskaan käyttää unionin arvojen vaarantamiseen tai autoritaaristen hallintojen vihamielisten viestien levittämiseen; kehottaa jälleen tiukentamaan sääntöjä, joita sovelletaan ulkomaiden ja ulkomaisten yhteisöjen kustantamiin parlamentin jäsenten matkoihin; katsoo, että valtuutettujen avustajien tai poliittisten ryhmien henkilöstön tekemiä matkoja varten olisi laadittava vastaavat säännöt;</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Infrastruktuurin ja logistiikan pääosasto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81</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palauttaa mieliin, että infrastruktuurin ja logistiikan pääosasto (DG INLO) hallinnoi 1,3 miljoonan neliömetrin tiloja Brysselissä, Luxemburgissa ja Strasbourgissa sekä yhteystoimistojen ja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-keskusten tiloja jäsenvaltioissa; toteaa, että lisäksi infrastruktuurin ja logistiikan pääosasto hoitaa ateriapalvelu- ja kuljetustoimintaa sekä hallinnoi ja varustaa parlamentin toimisto- ja kokoustiloja; panee merkille, että 31. joulukuuta 2022 pääosastossa oli 652 henkilöstön jäsentä, joista 267 oli virkamiehiä, 47 väliaikaista toimihenkilöä ja 338 sopimussuhteista toimihenkilöä;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82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infrastruktuurin ja logistiikan pääosaston lopulliset määrärahat olivat 271 191 093 euroa vuonna 2022, mikä on 12,5 prosenttia parlamentin talousarviosta; korostaa, että tästä määrästä sidottiin yhteensä 269 189 287 euroa; pitää myönteisenä määrärahojen korkeaa käyttöastetta; panee merkille, että budjettikohdat, joissa käyttöaste oli alle 95 prosenttia, koskivat liikkuvuutta, ajoneuvojen hankintaa koskevaa epäonnistunutta tarjouskilpailua ja covid-19-pandemian vuoksi odotettua vähäisempää toimintaa, joka vähensi sisäisiä kokousmenoja;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83</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parlamentin vuoden 2019 jälkeistä aikaa koskeva kiinteistöstrategia tarjoaa johdonmukaiset puitteet tuleville päätöksille ja edistää parlamentin kiinteistökannan lujittamista sekä mukauttaa samalla tiloja kokoustapojen kehitykseen, tuo toiminnan paikallistasolle ja lähemmäs kansalaisia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-keskusten kautta, parantaa parlamentin rakennusten turvallisuutta ja liittää keskeiset rakennukset yhteen; panee merkille, että suurin osa nykyisessä kiinteistöstrategiassa mainituista toimintalinjoista ja toimista on joko saatettu päätökseen tai ne ovat hyvin käynnissä;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lastRenderedPageBreak/>
        <w:t>84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tähdentää, että parlamentin rakennuksia on hallinnoitava tehokkaasti ja tulossuuntautuneesti; on tyytyväinen vuonna 2022 tehdyn kiinteistöarvioinnin tuloksiin, joista ilmoitettiin puhemiehistölle kesäkuussa 2022 rakennuspassien muodossa, joissa energiatehokkuutta, sisäympäristön laatua ja jälkiasennusta kuvaava indeksi (EPIQR) oli ainoastaan 0,1; toteaa, että tämä indeksi osoittaa, että rakennukset ovat yleisesti erinomaisessa kunnossa ja että parlamentin asiasta vastaavat yksiköt ovat toteuttaneet tehokasta ennaltaehkäisevää ja korjaavaa ylläpitoa ja kunnossapitoa koskevaa suunnittelua ottaen huomioon puhemiehistön 8. maaliskuuta 2021 hyväksymän tilojen integroitua hallintaa koskevan strategian, jossa keskitytään parlamentin kiinteistökannan elinkaarihallintaan;</w:t>
      </w:r>
    </w:p>
    <w:p w:rsidR="003B6D3B" w:rsidRPr="000F241C" w:rsidRDefault="000F241C" w:rsidP="0063610D">
      <w:pPr>
        <w:pStyle w:val="NormalHanging12a"/>
        <w:widowControl/>
      </w:pPr>
      <w:r w:rsidRPr="000F241C">
        <w:t>85</w:t>
      </w:r>
      <w:r w:rsidR="003B6D3B" w:rsidRPr="000F241C">
        <w:t>.</w:t>
      </w:r>
      <w:r w:rsidR="003B6D3B" w:rsidRPr="000F241C">
        <w:tab/>
        <w:t>suhtautuu myönteisesti infrastruktuurin ja logistiikan pääosaston sitoumukseen ottaa käyttöön ympäristön kannalta kestäviä ratkaisuja; panee merkille, että vuonna 2022 parlamentti tuotti energiastaan yli 19 prosenttia uusiutuvista lähteistä; panee tyytyväisenä merkille, että Strasbourgissa tehtiin vuonna 2022 paikan päällä tapahtuvaa sähköntuotantoa koskeva tutkimus, jonka perusteella PFLIMLIN-, DE MADARIAGA - ja CHURCHILL-rakennuksissa otettiin käyttöön 1 400 neliömetrin suuruisella alalla aurinkosähköpaneeleja ja tätä jatketaan edelleen; korostaa, että parlamentti voisi jakaa tämän energian Strasbourgin kaupungin kanssa, koska parlamentin tilat ovat enimmäkseen tyhjillään; kehottaa puhemiehistöä myös harkitsemaan kattopintojen vuokraamista ulkopuolisille käyttäjille aurinkopaneelien asentamista varten ja käyttämään sitä siten lisätulonlähteenä parlamentille;</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86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ADENAUER-rakennuksen itäsiipi otettiin virallisesti käyttöön Luxemburgissa 10. toukokuuta 2022 ja että länsisiipi otetaan käyttöön, kun sen rakentaminen on saatu päätökseen vuonna 2024, ja näin parlamentin kaikki Luxemburgissa toimivat yksiköt voidaan sijoittaa yhteen kiinteistöön;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87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ZWEIG-rakennukseen on avattu viisitoista vierailijoiden seminaarihuonetta, monitoimitila ja Saharov-tila, jotka parantavat kävijäkokemusta Euroopan parlamentissa Brysselissä; panee merkille ZWEIG-rakennuksen ja alueiden komitean ja Euroopan talous- ja sosiaalikomitean rakennusten välisen yhdyskäytävän valmistumisen;</w:t>
      </w:r>
    </w:p>
    <w:p w:rsidR="003B6D3B" w:rsidRPr="000F241C" w:rsidRDefault="000F241C" w:rsidP="0063610D">
      <w:pPr>
        <w:pStyle w:val="NormalHanging12a"/>
        <w:widowControl/>
      </w:pPr>
      <w:r w:rsidRPr="000F241C">
        <w:t>88</w:t>
      </w:r>
      <w:r w:rsidR="003B6D3B" w:rsidRPr="000F241C">
        <w:t>.</w:t>
      </w:r>
      <w:r w:rsidR="003B6D3B" w:rsidRPr="000F241C">
        <w:tab/>
        <w:t>panee tyytyväisenä merkille parlamentin toimet, joilla se kannustaa henkilöstöä käyttämään kestäviä liikennemuotoja työmatkaliikenteessä antaen henkilöstön käyttöön maksutta lisää polkupyöriä ja sähköpolkupyöriä ja korvaten osan julkisen liikenteen lippujen hinnasta vastineena pysäköintitilojen käytön vähentämisestä; on tyytyväinen uuteen järjestelmään, jossa tarjotaan 90 prosentin alennus Brysselin julkisen liikenteen kausilipuista ja jonka ansiosta parlamentin osarahoittamaa kausilippua käyttävän henkilöstön määrä on lisääntynyt 26,57 prosentilla;</w:t>
      </w:r>
    </w:p>
    <w:p w:rsidR="003B6D3B" w:rsidRPr="000F241C" w:rsidRDefault="000F241C" w:rsidP="0063610D">
      <w:pPr>
        <w:pStyle w:val="NormalHanging12a"/>
        <w:widowControl/>
      </w:pPr>
      <w:r w:rsidRPr="000F241C">
        <w:t>89</w:t>
      </w:r>
      <w:r w:rsidR="003B6D3B" w:rsidRPr="000F241C">
        <w:t>.</w:t>
      </w:r>
      <w:r w:rsidR="003B6D3B" w:rsidRPr="000F241C">
        <w:tab/>
        <w:t>on tyytyväinen, että henkilöstö voi vuokrata ja käyttää tavallisia polkupyöriä ja sähköpolkupyöriä istuntojaksojen aikana Strasbourgissa; pitää myönteisenä polkupyöräkannan lisäämistä; pitää valitettavana, että käytännössä kaikki pyörät on varattu päiviä etukäteen; kehottaa parlamenttia tutkimaan mahdollisuutta lisätä vuokrapyörätarjontaa Strasbourgissa ja laajentaa niiden noutamisen määräaikoja, jotta voidaan vastata jäsenten ja henkilöstön kysyntään ja edistää kestävää liikkumista;</w:t>
      </w:r>
    </w:p>
    <w:p w:rsidR="003B6D3B" w:rsidRPr="000F241C" w:rsidRDefault="000F241C" w:rsidP="0063610D">
      <w:pPr>
        <w:pStyle w:val="NormalHanging12a"/>
        <w:widowControl/>
      </w:pPr>
      <w:r w:rsidRPr="000F241C">
        <w:t>90</w:t>
      </w:r>
      <w:r w:rsidR="003B6D3B" w:rsidRPr="000F241C">
        <w:t>.</w:t>
      </w:r>
      <w:r w:rsidR="003B6D3B" w:rsidRPr="000F241C">
        <w:tab/>
        <w:t>panee tyytyväisenä merkille, että päästöttömien tai ladattavien hybridiautojen osuus henkilökuljetusten virka-autokannasta on noussut 97 prosenttiin vuonna 2022, kun se oli 81 prosenttia vuonna 2021;</w:t>
      </w:r>
    </w:p>
    <w:p w:rsidR="001367D2" w:rsidRPr="000F241C" w:rsidRDefault="00441F30" w:rsidP="0063610D">
      <w:pPr>
        <w:pStyle w:val="NormalHanging12a"/>
        <w:widowControl/>
      </w:pPr>
      <w:r w:rsidRPr="000F241C">
        <w:lastRenderedPageBreak/>
        <w:t>91</w:t>
      </w:r>
      <w:r w:rsidR="001367D2" w:rsidRPr="000F241C">
        <w:t>.</w:t>
      </w:r>
      <w:r w:rsidR="001367D2" w:rsidRPr="000F241C">
        <w:tab/>
        <w:t>huomauttaa, että suuri osa Brysselin ja Strasbourgin välisillä täysistuntomatkoilla käytettävien kulkuneuvojen paikoista jäi käyttämättä vuonna 2022; kehottaa jälleen parlamentin hallintoa laajentamaan käyttäjäryhmää ja sallimaan parlamentin henkilöstön matkustaa Strasbourgiin ja Strasbourgista virka-autoilla ilman jäsenen läsnäoloa, varmistaen samalla, että jäsenten paikat on turvattu;</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92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tunnustaa parlamentin EMAS-sertifioinnin merkityksen ja lisäarvon kestävää ympäristöä ja kiertotaloutta koskevan institutionaalisen toimintatapansa kannalta; panee merkille hallinnon tässä mielessä toteuttamat vedensäästö- ja jätehuoltotoimenpiteet;</w:t>
      </w:r>
    </w:p>
    <w:p w:rsidR="003B6D3B" w:rsidRPr="000F241C" w:rsidRDefault="000F241C" w:rsidP="0063610D">
      <w:pPr>
        <w:pStyle w:val="NormalHanging12a"/>
        <w:widowControl/>
      </w:pPr>
      <w:r w:rsidRPr="000F241C">
        <w:t>93</w:t>
      </w:r>
      <w:r w:rsidR="003B6D3B" w:rsidRPr="000F241C">
        <w:t>.</w:t>
      </w:r>
      <w:r w:rsidR="003B6D3B" w:rsidRPr="000F241C">
        <w:tab/>
      </w:r>
      <w:r w:rsidR="00F85009" w:rsidRPr="000F241C">
        <w:t>panee merkille</w:t>
      </w:r>
      <w:r w:rsidR="003B6D3B" w:rsidRPr="000F241C">
        <w:t xml:space="preserve"> puhemiehistön 23. lokakuuta 2019 tekemän </w:t>
      </w:r>
      <w:r w:rsidR="00F85009" w:rsidRPr="000F241C">
        <w:t xml:space="preserve">yksimielisen </w:t>
      </w:r>
      <w:r w:rsidR="003B6D3B" w:rsidRPr="000F241C">
        <w:t>päätöksen hyväksyä IDEA </w:t>
      </w:r>
      <w:proofErr w:type="spellStart"/>
      <w:r w:rsidR="003B6D3B" w:rsidRPr="000F241C">
        <w:t>Lab</w:t>
      </w:r>
      <w:proofErr w:type="spellEnd"/>
      <w:r w:rsidR="003B6D3B" w:rsidRPr="000F241C">
        <w:t xml:space="preserve"> -idealaboratorion perustaminen työhuoneiden ja -tilojen hallinnointia koskevien uusien, innovatiivisten ratkaisujen testaamiseksi; </w:t>
      </w:r>
      <w:r w:rsidR="00F85009" w:rsidRPr="000F241C">
        <w:t xml:space="preserve">pitää pysyvän innovointilaboratorion perustamista myönteisenä toimenpiteenä, jonka ansiosta tulevissa peruskorjaushankkeissa voitaisiin saada aikaan säästöjä, ja kehottaa perustamaan erillisen budjettikohdan; </w:t>
      </w:r>
      <w:r w:rsidR="003B6D3B" w:rsidRPr="000F241C">
        <w:t xml:space="preserve">huomauttaa, että IDEA </w:t>
      </w:r>
      <w:proofErr w:type="spellStart"/>
      <w:r w:rsidR="003B6D3B" w:rsidRPr="000F241C">
        <w:t>Lab</w:t>
      </w:r>
      <w:proofErr w:type="spellEnd"/>
      <w:r w:rsidR="003B6D3B" w:rsidRPr="000F241C">
        <w:t xml:space="preserve"> on tarkoitettu jäsenten käyttöön, ja </w:t>
      </w:r>
      <w:r w:rsidR="00F85009" w:rsidRPr="000F241C">
        <w:t>pyytää</w:t>
      </w:r>
      <w:r w:rsidR="003B6D3B" w:rsidRPr="000F241C">
        <w:t xml:space="preserve">, että jäsenille </w:t>
      </w:r>
      <w:r w:rsidR="00F85009" w:rsidRPr="000F241C">
        <w:t xml:space="preserve">tiedotetaan tulevaisuudessa käyttöön otettavista innovaatioista ja testatuista ratkaisuista sekä jo hylätyistä ratkaisuista ja hylkäämisen syistä; katsoo, että yhtenä IDEA </w:t>
      </w:r>
      <w:proofErr w:type="spellStart"/>
      <w:r w:rsidR="00F85009" w:rsidRPr="000F241C">
        <w:t>Labiin</w:t>
      </w:r>
      <w:proofErr w:type="spellEnd"/>
      <w:r w:rsidR="00F85009" w:rsidRPr="000F241C">
        <w:t xml:space="preserve"> liittyvänä ensisijaisena toimena olisi oltava sellaisen innovatiivisen arkkitehtonisen ratkaisun kehittäminen, jonka ansiosta jäsenten työhuoneissa olevia käyttämättömiä suihkutiloja hyödynnettäisiin paremmin</w:t>
      </w:r>
      <w:r w:rsidR="003B6D3B" w:rsidRPr="000F241C">
        <w:t>; kehottaa kiinteistöjä käsittelevää puhemiehistön työryhmää ja parlamentin hallintoa varmistamaan IDEA </w:t>
      </w:r>
      <w:proofErr w:type="spellStart"/>
      <w:r w:rsidR="003B6D3B" w:rsidRPr="000F241C">
        <w:t>Labi</w:t>
      </w:r>
      <w:r w:rsidR="001A19BB" w:rsidRPr="000F241C">
        <w:t>i</w:t>
      </w:r>
      <w:r w:rsidR="003B6D3B" w:rsidRPr="000F241C">
        <w:t>n</w:t>
      </w:r>
      <w:proofErr w:type="spellEnd"/>
      <w:r w:rsidR="003B6D3B" w:rsidRPr="000F241C">
        <w:t xml:space="preserve"> osoitettujen määrärahojen avoimuuden lisäämisen ja esittämään talousarvion valvontavaliokunnalle säännöllisesti luettelon innovatiivisista ratkaisuista, niiden kustannuksista ja saadusta palautteesta sekä mahdolliset säästöt, joita syntyy, jos ne toteutetaan;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94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erilaiset esteettömyyteen liittyvät hankkeet ja toimet, joita on toteutettu kaikissa kolmessa toimipaikassa sekä yhteystoimistoissa ja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-keskuksissa ja joilla pyritään varmistamaan, että sovellettavaa sääntelykehystä noudatetaan täysin ottaen huomioon parlamentin sitoumus olla esteetön, kaikkien käytettävissä oleva toimielin;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95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toteaa, että Venäjän Ukrainaa vastaan käymän hyökkäyssodan ja energiakriisin vuoksi toimitusketjujen häiriöt ja raaka-ainepula pakottivat infrastruktuurin ja logistiikan pääosaston tarkastelemaan hankkeitaan uudelleen ja mukauttamaan talousarviotaan; huomauttaa, että tästä aiheutuvan energiamäärärahojen vajeen vuoksi infrastruktuurin ja logistiikan pääosaston oli jäädytettävä tai keskeytettävä joitakin hankkeita vapauttaakseen suurista hinnankorotuksista selviytymiseksi tarvittavat resurssit; </w:t>
      </w:r>
    </w:p>
    <w:p w:rsidR="003B6D3B" w:rsidRPr="000F241C" w:rsidRDefault="000F241C" w:rsidP="0063610D">
      <w:pPr>
        <w:pStyle w:val="NormalHanging12a"/>
        <w:widowControl/>
      </w:pPr>
      <w:r w:rsidRPr="000F241C">
        <w:t>96</w:t>
      </w:r>
      <w:r w:rsidR="003B6D3B" w:rsidRPr="000F241C">
        <w:t>.</w:t>
      </w:r>
      <w:r w:rsidR="003B6D3B" w:rsidRPr="000F241C">
        <w:tab/>
        <w:t>panee merkille parlamentin energiankulutuksen vähentämiseksi toteutetut toimenpiteet, kuten toimistojen enimmäislämpötilojen alentaminen ja jäähdytyksen vähimmäislämpötilojen nostaminen, lämmitys- ja jäähdytysjärjestelmien kytkeminen pois päältä viikonloppuna ja yleisinä vapaapäivinä, rakennusten julkisivujen valaistuksen vähentäminen ja sisävalaistuksen vähentäminen; toteaa, että toimenpiteitä on arvioitava uudelleen energiakriisin kehittyessä ja niissä olisi aina otettava huomioon henkilöstön hyvinvointi;</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97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hallinto toteutti puhemiehistön touko- ja lokakuussa 2022 tekemien päätösten jälkeen erilaisia toimenpiteitä, joiden ansiosta energiankulutuksessa saatiin aikaan huomattava 10,5 miljoonan euron säästö toukokuusta 2022 lokakuuhun 2023;</w:t>
      </w:r>
    </w:p>
    <w:p w:rsidR="003B6D3B" w:rsidRPr="000F241C" w:rsidRDefault="000F241C" w:rsidP="0063610D">
      <w:pPr>
        <w:pStyle w:val="NormalHanging12a"/>
        <w:widowControl/>
      </w:pPr>
      <w:r w:rsidRPr="000F241C">
        <w:lastRenderedPageBreak/>
        <w:t>98</w:t>
      </w:r>
      <w:r w:rsidR="003B6D3B" w:rsidRPr="000F241C">
        <w:t>.</w:t>
      </w:r>
      <w:r w:rsidR="003B6D3B" w:rsidRPr="000F241C">
        <w:tab/>
        <w:t xml:space="preserve">panee merkille, että infrastruktuurin ja logistiikan pääosasto jatkoi koko vuoden 2022 ajan vuoden 2019 jälkeistä aikaa koskevan parlamentin kiinteistöstrategian täytäntöönpanoa; panee merkille, että tämän strategian täytäntöönpanoon ja parlamentin kiinteistökannan vakiinnuttamiseen liittyi myös </w:t>
      </w:r>
      <w:proofErr w:type="spellStart"/>
      <w:r w:rsidR="003B6D3B" w:rsidRPr="000F241C">
        <w:t>Trèves</w:t>
      </w:r>
      <w:proofErr w:type="spellEnd"/>
      <w:r w:rsidR="003B6D3B" w:rsidRPr="000F241C">
        <w:t xml:space="preserve"> II -rakennuksen hankinta, erityisesti jotta parlamentin keskeiset rakennukset Brysselissä voitaisiin liittää toisiinsa; pyytää aikataulua </w:t>
      </w:r>
      <w:proofErr w:type="spellStart"/>
      <w:r w:rsidR="003B6D3B" w:rsidRPr="000F241C">
        <w:t>Trèves</w:t>
      </w:r>
      <w:proofErr w:type="spellEnd"/>
      <w:r w:rsidR="003B6D3B" w:rsidRPr="000F241C">
        <w:t xml:space="preserve"> I:n ja </w:t>
      </w:r>
      <w:proofErr w:type="spellStart"/>
      <w:r w:rsidR="003B6D3B" w:rsidRPr="000F241C">
        <w:t>Trèves</w:t>
      </w:r>
      <w:proofErr w:type="spellEnd"/>
      <w:r w:rsidR="003B6D3B" w:rsidRPr="000F241C">
        <w:t xml:space="preserve"> II:n liittämiselle tärkeimpiin Brysselin keskeisiin rakennuksiin;</w:t>
      </w:r>
    </w:p>
    <w:p w:rsidR="003B6D3B" w:rsidRPr="000F241C" w:rsidRDefault="000F241C" w:rsidP="0063610D">
      <w:pPr>
        <w:pStyle w:val="NormalHanging12a"/>
        <w:widowControl/>
      </w:pPr>
      <w:r w:rsidRPr="000F241C">
        <w:t>99</w:t>
      </w:r>
      <w:r w:rsidR="003B6D3B" w:rsidRPr="000F241C">
        <w:t>.</w:t>
      </w:r>
      <w:r w:rsidR="003B6D3B" w:rsidRPr="000F241C">
        <w:tab/>
      </w:r>
      <w:r w:rsidR="00750EEC" w:rsidRPr="000F241C">
        <w:t>kiittää parlamenttia Brysselin rakennuksissa vuosina 2017–2022 toteutetuista esteettömyyttä edistävistä töistä, joihin käytettiin yhteensä 3,3 miljoonaa euroa</w:t>
      </w:r>
      <w:r w:rsidR="00750EEC" w:rsidRPr="000F241C">
        <w:rPr>
          <w:rStyle w:val="FootnoteReference"/>
        </w:rPr>
        <w:footnoteReference w:id="11"/>
      </w:r>
      <w:r w:rsidR="00750EEC" w:rsidRPr="000F241C">
        <w:t>; panee tyytyväisenä merkille, että liikuntarajoitteisilla henkilöillä on nyt mahdollisuus päästä SPAAK-rakennuksen istuntosalin vierailualueen yleisölehterille; muistuttaa, että unioni on ollut eturintamassa kaikkien kansalaistensa osallisuuden ja tasa-arvon edistämisessä; muistuttaa, että kaikilla unionin kansalaisilla olisi oltava yhtäläiset mahdollisuudet vierailla unionin toimielimissä; kehottaa parlamenttia analysoimaan edelleen vammaisten vierailijoiden tarpeita ja pyytää</w:t>
      </w:r>
      <w:r w:rsidR="003B6D3B" w:rsidRPr="000F241C">
        <w:t xml:space="preserve"> toteuttamaan asianmukaisia toimenpiteitä;</w:t>
      </w:r>
    </w:p>
    <w:p w:rsidR="003B6D3B" w:rsidRPr="000F241C" w:rsidRDefault="000F241C" w:rsidP="0063610D">
      <w:pPr>
        <w:pStyle w:val="NormalHanging12a"/>
        <w:widowControl/>
      </w:pPr>
      <w:r w:rsidRPr="000F241C">
        <w:t>100</w:t>
      </w:r>
      <w:r w:rsidR="003B6D3B" w:rsidRPr="000F241C">
        <w:t>.</w:t>
      </w:r>
      <w:r w:rsidR="003B6D3B" w:rsidRPr="000F241C">
        <w:tab/>
        <w:t>panee merkille puhemiehistön pöytäkirjan 6. heinäkuuta 2022 pidetystä ylimääräisestä kokouksesta, jossa puhemiehistö pani merkille ja hyväksyi SPAAK-rakennuksen uudistamista koskevan kansainvälisen arkkitehtikilpailun tulokset; panee merkille, että puhemiehistö hyväksyi viisi palkinnonsaajaa; toteaa, että vuonna 2022 aiheesta ei tehty muita päätöksiä, joten tästä ei aiheutunut taloudellisia seurauksia, mutta korostaa, että on uudistustyöt ovat yhä kiireellisempiä ja ne on käynnistettävä mahdollisimman pian; korostaa, että 14. helmikuuta 2024 lopulliset suunnitelmat kunnostustöiden aloittamisesta hyväksyttiin nopeasti valiokuntatasolla, koska rakennuksen kunto on heikkenemässä; korostaa, että nykyisen rakennuksen energiatehokkuusluokitus on hyvin alhainen ja että siitä puuttuu kipeästi kaivattu joustavuus, jotta se sopisi käyttötarkoitukseensa; korostaa, että Euroopan parlamentin olisi oltava rakennuskannassaan edelläkävijä energiatehokkuuden ja kestävyyden osalta, jotta voidaan turvata kansalaisten tuki vihreän kehityksen ohjelman tavoitteille; toteaa, että kunnostamisella saataisiin aikaan merkittävät, useiden miljoonien euron vuotuiset kustannussäästöt ja tuettaisiin lisäksi tulevan Euroopan energiatehokkuusdirektiivin ja rakennusten energiatehokkuusdirektiivin vaatimusten täyttymistä; </w:t>
      </w:r>
    </w:p>
    <w:p w:rsidR="003B6D3B" w:rsidRPr="000F241C" w:rsidRDefault="000F241C" w:rsidP="0063610D">
      <w:pPr>
        <w:pStyle w:val="NormalHanging12a"/>
        <w:widowControl/>
      </w:pPr>
      <w:r w:rsidRPr="000F241C">
        <w:t>101</w:t>
      </w:r>
      <w:r w:rsidR="003B6D3B" w:rsidRPr="000F241C">
        <w:t>.</w:t>
      </w:r>
      <w:r w:rsidR="003B6D3B" w:rsidRPr="000F241C">
        <w:tab/>
        <w:t>panee lisäksi merkille puhemiehistön 6. heinäkuuta 2022 Strasbourgin kiinteistöstrategiasta tekemän päätöksen, jossa keskitytään toimipaikkaan liittyvän ja majoituskapasiteetin parantamiseen, parlamentin tilojen käytön optimointiin, esteettömyyden parantamiseen ja henkilöstön toiminnan vakiinnuttamiseen;</w:t>
      </w:r>
    </w:p>
    <w:p w:rsidR="003B6D3B" w:rsidRPr="000F241C" w:rsidRDefault="000F241C" w:rsidP="0063610D">
      <w:pPr>
        <w:pStyle w:val="NormalHanging12a"/>
        <w:widowControl/>
      </w:pPr>
      <w:r w:rsidRPr="000F241C">
        <w:t>102</w:t>
      </w:r>
      <w:r w:rsidR="003B6D3B" w:rsidRPr="000F241C">
        <w:t>.</w:t>
      </w:r>
      <w:r w:rsidR="003B6D3B" w:rsidRPr="000F241C">
        <w:tab/>
        <w:t xml:space="preserve">panee merkille, että parlamentin </w:t>
      </w:r>
      <w:proofErr w:type="spellStart"/>
      <w:r w:rsidR="003B6D3B" w:rsidRPr="000F241C">
        <w:t>Spinelli</w:t>
      </w:r>
      <w:proofErr w:type="spellEnd"/>
      <w:r w:rsidR="003B6D3B" w:rsidRPr="000F241C">
        <w:t>-rakennuksen -1. kerroksen itsepalveluruokala on usein ruuhka-aikoina täynnä, mikä johtaa pitkiin jonoihin ja odotusaikoihin; kehottaa puhemiehistöä harkitsemaan rajoituksia ulkoisten vierailijoiden ja vierailijaryhmien pääsyyn parlamentin päärakennusten ruokaloihin; on huolissaan epätyydyttävästä hinta-laatusuhteesta ja erityisesti kohtuuhintaisten kasvisateriavaihtoehtojen puutteesta; pyytää hallintoa ehdottamaan ratkaisuja tilanteen korjaamiseksi;</w:t>
      </w:r>
    </w:p>
    <w:p w:rsidR="003B6D3B" w:rsidRPr="000F241C" w:rsidRDefault="000F241C" w:rsidP="0063610D">
      <w:pPr>
        <w:pStyle w:val="NormalHanging12a"/>
        <w:widowControl/>
      </w:pPr>
      <w:r w:rsidRPr="000F241C">
        <w:t>103</w:t>
      </w:r>
      <w:r w:rsidR="003B6D3B" w:rsidRPr="000F241C">
        <w:t>.</w:t>
      </w:r>
      <w:r w:rsidR="003B6D3B" w:rsidRPr="000F241C">
        <w:tab/>
        <w:t xml:space="preserve">panee merkille, että sen jälkeen, kun covid-19-pandemiaan liittyvät kapasiteettirajoitukset poistettiin, vuonna 2022 Brysselistä Strasbourgiin ajavissa virka-autoissa oli tarjolla maanantaisin 250 paikkaa ja että vuonna 2022 istuntojaksoa kohden </w:t>
      </w:r>
      <w:r w:rsidR="003B6D3B" w:rsidRPr="000F241C">
        <w:lastRenderedPageBreak/>
        <w:t>oli käytössä keskimäärin 162 paikkaa eli 65 prosenttia käytettävissä olevista paikoista; kehottaa jälleen parlamentin hallintoa laajentamaan paikkojen käyttöä resurssien tuhlaamisen välttämiseksi varmistaen samalla, että jäsenten paikat turvataan;</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Käännöspääosasto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104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muistuttaa, että käännöspääosasto (DG TRAD) vastaa laadukkaiden monikielisten lainsäädäntö- ja muiden kielipalvelujen tarjoamisesta Euroopan parlamentille, parlamentin yksiköille ja kaikille unionin kansalaisille täysin resurssitehokkaan monikielisyyden periaatteen mukaisesti; panee merkille, että 31. joulukuuta 2022 pääosastossa oli 1 109 henkilöstön jäsentä, joista 945 oli virkamiehiä, 97 väliaikaista toimihenkilöä, 66 sopimussuhteista toimihenkilöä ja yksi vuokratyöntekijä;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105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käännöspääosaston lopulliset määrärahat olivat 17 105 500 euroa vuonna 2022, mikä on 0,8 prosenttia parlamentin talousarviosta; korostaa, että tästä määrästä sidottiin yhteensä 16 834 967 euroa; pitää myönteisenä määrärahojen korkeaa käyttöastetta;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106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tyytyväisenä merkille käännöspääosaston sitoumuksen tarjota korkealaatuisia kielipalveluja oikea-aikaisesti; panee tyytyväisenä merkille, että vuonna 2022 käännettiin yli 2,89 miljoonaa bruttosivua, mikä merkitsee 26 prosentin lisäystä vuoteen 2021 verrattuna; panee tyytyväisenä merkille, että suurin osa töistä toimitettiin määräajassa (normaaliolosuhteissa 98,5 prosenttia töistä ja tapauksissa, joissa pyynnöt eivät olleet sääntöjenmukaisia, 98,6 prosenttia töistä);</w:t>
      </w:r>
    </w:p>
    <w:p w:rsidR="003B6D3B" w:rsidRPr="000F241C" w:rsidRDefault="000F241C" w:rsidP="0063610D">
      <w:pPr>
        <w:widowControl/>
        <w:spacing w:after="240"/>
        <w:ind w:left="567" w:hanging="567"/>
        <w:rPr>
          <w14:textOutline w14:w="0" w14:cap="flat" w14:cmpd="sng" w14:algn="ctr">
            <w14:noFill/>
            <w14:prstDash w14:val="solid"/>
            <w14:bevel/>
          </w14:textOutline>
        </w:rPr>
      </w:pPr>
      <w:r w:rsidRPr="000F241C">
        <w:rPr>
          <w14:textOutline w14:w="0" w14:cap="flat" w14:cmpd="sng" w14:algn="ctr">
            <w14:noFill/>
            <w14:prstDash w14:val="solid"/>
            <w14:bevel/>
          </w14:textOutline>
        </w:rPr>
        <w:t>107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pitää myönteisenä, että käännöspääosasto edistää ja tuottaa sisältöä unionin 24 virallisella, kansalaisille suunnatulla kielellä noudattaen parlamentin omaa selkeää, kansalaisten tarpeisiin mukautettua kieltä koskevaa lähestymistapaa; pitää myönteisenä, että on perustettu ukrainan kielitiimi, joka tarjoaa ukrainaksi kielipalveluja, mukaan lukien käännökset, </w:t>
      </w:r>
      <w:proofErr w:type="spellStart"/>
      <w:r w:rsidR="003B6D3B" w:rsidRPr="000F241C">
        <w:rPr>
          <w14:textOutline w14:w="0" w14:cap="flat" w14:cmpd="sng" w14:algn="ctr">
            <w14:noFill/>
            <w14:prstDash w14:val="solid"/>
            <w14:bevel/>
          </w14:textOutline>
        </w:rPr>
        <w:t>audiotuotteet</w:t>
      </w:r>
      <w:proofErr w:type="spellEnd"/>
      <w:r w:rsidR="003B6D3B" w:rsidRPr="000F241C">
        <w:rPr>
          <w14:textOutline w14:w="0" w14:cap="flat" w14:cmpd="sng" w14:algn="ctr">
            <w14:noFill/>
            <w14:prstDash w14:val="solid"/>
            <w14:bevel/>
          </w14:textOutline>
        </w:rPr>
        <w:t xml:space="preserve"> ja tekstitykset erilliselle verkkosivustolle;</w:t>
      </w:r>
    </w:p>
    <w:p w:rsidR="00370267" w:rsidRPr="000F241C" w:rsidRDefault="00370267" w:rsidP="0063610D">
      <w:pPr>
        <w:widowControl/>
        <w:spacing w:after="240"/>
        <w:ind w:left="567" w:hanging="567"/>
        <w:rPr>
          <w:szCs w:val="24"/>
          <w14:textOutline w14:w="0" w14:cap="flat" w14:cmpd="sng" w14:algn="ctr">
            <w14:noFill/>
            <w14:prstDash w14:val="solid"/>
            <w14:bevel/>
          </w14:textOutline>
        </w:rPr>
      </w:pPr>
      <w:r w:rsidRPr="000F241C">
        <w:rPr>
          <w:szCs w:val="24"/>
          <w14:textOutline w14:w="0" w14:cap="flat" w14:cmpd="sng" w14:algn="ctr">
            <w14:noFill/>
            <w14:prstDash w14:val="solid"/>
            <w14:bevel/>
          </w14:textOutline>
        </w:rPr>
        <w:t>10</w:t>
      </w:r>
      <w:r w:rsidR="00441F30" w:rsidRPr="000F241C">
        <w:rPr>
          <w:szCs w:val="24"/>
          <w14:textOutline w14:w="0" w14:cap="flat" w14:cmpd="sng" w14:algn="ctr">
            <w14:noFill/>
            <w14:prstDash w14:val="solid"/>
            <w14:bevel/>
          </w14:textOutline>
        </w:rPr>
        <w:t>8</w:t>
      </w:r>
      <w:r w:rsidRPr="000F241C">
        <w:rPr>
          <w:szCs w:val="24"/>
          <w14:textOutline w14:w="0" w14:cap="flat" w14:cmpd="sng" w14:algn="ctr">
            <w14:noFill/>
            <w14:prstDash w14:val="solid"/>
            <w14:bevel/>
          </w14:textOutline>
        </w:rPr>
        <w:t>.</w:t>
      </w:r>
      <w:r w:rsidRPr="000F241C">
        <w:rPr>
          <w:szCs w:val="24"/>
          <w14:textOutline w14:w="0" w14:cap="flat" w14:cmpd="sng" w14:algn="ctr">
            <w14:noFill/>
            <w14:prstDash w14:val="solid"/>
            <w14:bevel/>
          </w14:textOutline>
        </w:rPr>
        <w:tab/>
        <w:t xml:space="preserve">muistuttaa kuurojen yhteisöjen pitkäaikaisesta, vuodesta 2016 lähtien esitetystä vaatimuksesta, jonka mukaan parlamentille olisi voitava jättää käsiteltäväksi vetoomuksia EU:n kansallisilla viittomakielillä; korostaa, että toimenpide antaisi kuurojen yhteisölle mahdollisuuden käyttää vetoomusoikeuttaan, joka on yksi kaikkien unionin kansalaisten sekä perussopimuksessa että </w:t>
      </w:r>
      <w:r w:rsidR="00441F30" w:rsidRPr="000F241C">
        <w:rPr>
          <w:szCs w:val="24"/>
          <w14:textOutline w14:w="0" w14:cap="flat" w14:cmpd="sng" w14:algn="ctr">
            <w14:noFill/>
            <w14:prstDash w14:val="solid"/>
            <w14:bevel/>
          </w14:textOutline>
        </w:rPr>
        <w:t xml:space="preserve">Euroopan unionin </w:t>
      </w:r>
      <w:r w:rsidRPr="000F241C">
        <w:rPr>
          <w:szCs w:val="24"/>
          <w14:textOutline w14:w="0" w14:cap="flat" w14:cmpd="sng" w14:algn="ctr">
            <w14:noFill/>
            <w14:prstDash w14:val="solid"/>
            <w14:bevel/>
          </w14:textOutline>
        </w:rPr>
        <w:t>perusoikeuskirjassa vahvistetuista perusoikeuksista; panee merkille LINC- ja ITEC-pääosastojen vetoomusvaliokunnalle toukokuussa 2020 lähettämän analyysin tehokkaimmasta ja edullisimmasta ratkaisusta; kehottaa hallintoa hyväksymään tämän ratkaisun ja helpottamaan EU:n kansallisilla viittomakielillä esitettyjen vetoomusten jättämistä vetoomusportaalin kautta;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109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tyytyväisenä merkille, että käännöspääosaston ja henkilöstöasioiden pääosaston järjestämän kieli- ja kulttuuriasiantuntijoiden avoimen kilpailun ensimmäinen kierros, joka kattoi yksitoista kieltä, on saatettu onnistuneesti päätökseen; korostaa, että käännöspääosasto käynnisti myös kilpailun läpäisseiden hakijoiden rekrytoinnin kaikkien aikojen ensimmäisestä selväkielen asiantuntijoiden avoimesta kilpailusta; pitää myönteisenä, että yhteistyöllä on nopeutettu merkittävästi sellaisten erittäin pätevien virkamiesten palvelukseen ottamista, joiden profiilit ovat ajan tasalla ja tulevaisuuteen suuntautuvia;</w:t>
      </w:r>
    </w:p>
    <w:p w:rsidR="003B6D3B" w:rsidRPr="000F241C" w:rsidRDefault="000F241C" w:rsidP="0063610D">
      <w:pPr>
        <w:pStyle w:val="NormalHanging12a"/>
        <w:widowControl/>
      </w:pPr>
      <w:r w:rsidRPr="000F241C">
        <w:lastRenderedPageBreak/>
        <w:t>110</w:t>
      </w:r>
      <w:r w:rsidR="003B6D3B" w:rsidRPr="000F241C">
        <w:t>.</w:t>
      </w:r>
      <w:r w:rsidR="003B6D3B" w:rsidRPr="000F241C">
        <w:tab/>
        <w:t>muistuttaa, että unionin toimielinten, elinten ja virastojen käyttämät viralliset kielet vahvistetaan asetuksessa N:o 1</w:t>
      </w:r>
      <w:r w:rsidR="003B6D3B" w:rsidRPr="000F241C">
        <w:rPr>
          <w:rStyle w:val="FootnoteReference"/>
        </w:rPr>
        <w:footnoteReference w:id="12"/>
      </w:r>
      <w:r w:rsidR="003B6D3B" w:rsidRPr="000F241C">
        <w:t>; toteaa, että käännöspääosasto varmistaa, että parlamentin menettelyjä koskeva sisältö on saatavilla kaikilla unionin 24 virallisella kielellä; on tyytyväinen tulkkien poikkeukselliseen työhön vuonna 2022 sen varmistamiseksi, että julkiset keskustelut tulkataan mahdollisimman pitkälti kaikilla unionin virallisilla kielillä; korostaa, että parlamentin työjärjestyksen mukaan jäsenillä on oikeus käyttää puheenvuoroja millä tahansa unionin 24 virallisesta kielestä, ja toteaa tämän ilmentävän unionin kulttuurista ja kielellistä monimuotoisuutta ja myös tekevän unionin toimielimistä saavutettavampia ja avoimempia kaikille unionin kansalaisille; panee merkille, että parlamentin työssä käytetään usein erityisesti yhtä työkieltä laajasti; kehottaa varmistamaan tarvittaessa monikielisyyden kunnioittamisen sitoutumalla siihen, että kääntämiseen ja tulkkaukseen osoitetaan riittävästi henkilöstöä;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111</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korostaa, että käännöspääosasto on Euroopan parlamentin kielellinen auktoriteetti, sillä se sekä tukee monikielisen lainsäädännön </w:t>
      </w:r>
      <w:proofErr w:type="gramStart"/>
      <w:r w:rsidR="003B6D3B" w:rsidRPr="000F241C">
        <w:rPr>
          <w14:textOutline w14:w="0" w14:cap="flat" w14:cmpd="sng" w14:algn="ctr">
            <w14:noFill/>
            <w14:prstDash w14:val="solid"/>
            <w14:bevel/>
          </w14:textOutline>
        </w:rPr>
        <w:t>hyväksymistä</w:t>
      </w:r>
      <w:proofErr w:type="gramEnd"/>
      <w:r w:rsidR="003B6D3B" w:rsidRPr="000F241C">
        <w:rPr>
          <w14:textOutline w14:w="0" w14:cap="flat" w14:cmpd="sng" w14:algn="ctr">
            <w14:noFill/>
            <w14:prstDash w14:val="solid"/>
            <w14:bevel/>
          </w14:textOutline>
        </w:rPr>
        <w:t xml:space="preserve"> että edistää monikielistä viestintää selkeällä kielellä jäsenten ja unionin kansalaisten kanssa ottaessaan käyttöön selkeän kielen standardit;</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Konferenssilogistiikan ja -tulkkauksen pääosasto</w:t>
      </w:r>
    </w:p>
    <w:p w:rsidR="003B6D3B" w:rsidRPr="000F241C" w:rsidRDefault="000F241C" w:rsidP="0063610D">
      <w:pPr>
        <w:pStyle w:val="NormalHanging12a"/>
        <w:widowControl/>
      </w:pPr>
      <w:r w:rsidRPr="000F241C">
        <w:t>112</w:t>
      </w:r>
      <w:r w:rsidR="003B6D3B" w:rsidRPr="000F241C">
        <w:t>.</w:t>
      </w:r>
      <w:r w:rsidR="003B6D3B" w:rsidRPr="000F241C">
        <w:tab/>
        <w:t>muistuttaa, että konferenssilogistiikan ja -tulkkauksen pääosasto (DG LINC) vastaa kielellisen, teknisen ja logistisen tuen antamisesta kokouksiin ja konferensseihin; panee merkille, että 31. joulukuuta 2022 pääosastossa oli 554 henkilöstön jäsentä, joista 443 oli virkamiehiä, 29 väliaikaista toimihenkilöä ja 82 sopimussuhteista toimihenkilöä; korostaa, että tulkkauksen laatu vaikuttaa suoraan unionin kansalaisille välitettyyn viestiin;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113</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konferenssilogistiikan ja -tulkkauksen pääosaston lopulliset määrärahat olivat 79 569 347 euroa vuonna 2022, mikä on 3,7 prosenttia parlamentin talousarviosta; korostaa, että tästä määrästä sidottiin yhteensä 79 282 501 euroa; pitää myönteisenä määrärahojen korkeaa käyttöastetta;</w:t>
      </w:r>
    </w:p>
    <w:p w:rsidR="003B6D3B" w:rsidRPr="000F241C" w:rsidRDefault="000F241C" w:rsidP="0063610D">
      <w:pPr>
        <w:pStyle w:val="NormalHanging12a"/>
        <w:widowControl/>
      </w:pPr>
      <w:r w:rsidRPr="000F241C">
        <w:t>114</w:t>
      </w:r>
      <w:r w:rsidR="003B6D3B" w:rsidRPr="000F241C">
        <w:t>.</w:t>
      </w:r>
      <w:r w:rsidR="003B6D3B" w:rsidRPr="000F241C">
        <w:tab/>
        <w:t>korostaa, että konferenssilogistiikan ja -tulkkauksen pääosaston palvelujen kysyntä alkoi kasvaa huomattavasti vuoden 2022 alusta, kun covid-19-rajoitukset olivat vielä voimassa; toteaa, että tämä aiheutti resurssipaineita, koska tarvittiin lisää tulkkeja, teknistä tukea ja monimutkaisia suunnittelutoimia lähikontaktien välttämisen ja muiden rajoitusten vuoksi; panee merkille, että inflaatio vaikutti ulkopuolisten konferenssitulkkien palkkoihin; panee merkille, että Strasbourgin täysistuntojen etätulkkaus Brysselistä lievensi osittain tulkkauksen lisääntyneitä kustannuksia; toteaa, että tavoitteena on parantaa työoloja, ensisijaisesti äänen laatua, ja rajoittaa etäpuhujien tulkkaustuntien määrää ja kestoa;</w:t>
      </w:r>
    </w:p>
    <w:p w:rsidR="003B6D3B" w:rsidRPr="000F241C" w:rsidRDefault="000F241C" w:rsidP="0063610D">
      <w:pPr>
        <w:pStyle w:val="NormalHanging12a"/>
        <w:widowControl/>
      </w:pPr>
      <w:r w:rsidRPr="000F241C">
        <w:t>115</w:t>
      </w:r>
      <w:r w:rsidR="003B6D3B" w:rsidRPr="000F241C">
        <w:t>.</w:t>
      </w:r>
      <w:r w:rsidR="003B6D3B" w:rsidRPr="000F241C">
        <w:tab/>
        <w:t xml:space="preserve">panee merkille, että tulkkien edustajat valittivat tulkkaukseen liittyviä työoloja etäosallistujien osalta, koska pitkäaikainen etätulkkaus vaikutti tulkkien terveyteen ja hyvinvointiin aiheuttaen erityisesti kuulo-ongelmia; muistuttaa, että unionin toimielimillä on huolenpitovelvollisuus työntekijöitään kohtaan; korostaa, että tästä seuranneet työtaistelutoimet kesällä ja syksyllä 2022 johtivat etäpuhujia haitanneisiin tulkkauskatkoksiin; huomauttaa, että sopimus tulkkien väliaikaisista työjärjestelyistä kokouksissa, joihin on mahdollista osallistua etänä, tuli voimaan 17. lokakuuta 2022; </w:t>
      </w:r>
      <w:r w:rsidR="003B6D3B" w:rsidRPr="000F241C">
        <w:lastRenderedPageBreak/>
        <w:t>panee merkille, että se mahdollisti etäosallistujien tulkkauksen palauttamisen ja säilytti samalla tulkkien viikoittaisen lyhyemmän työajan, mikä vähensi palvelujen tarjontaa; panee merkille, että osapuolten vuoropuhelu pysyvän kehyksen luomiseksi ja tulkkauspalvelujen täysimääräiseksi palauttamiseksi oli käynnissä vuoden 2022 lopussa ja se saatiin päätökseen vuonna 2023;</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116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pitää myönteisenä, että konferenssilogistiikan ja -tulkkauksen pääosasto pystyi vuonna 2022 vakiinnuttamaan tulkkauspalvelujensa tarjonnan ja mukautumaan samalla haastavaan sääntely-ympäristöön; panee tyytyväisenä merkille, että konferenssilogistiikan ja -tulkkauksen pääosasto tarjosi tulkkauksen yhteensä 5 278 parlamentin kokoukseen ja keskimäärin 5 266 tulkkaustuntia viikossa, kun se vuonna 2021 tarjosi tulkkauksen 4 172 kokoukseen ja 4 039 tulkkaustuntia viikossa; panee merkille, että tämä on edelleen vähemmän kuin vuosien 2017 ja 2018 keskiarvo ennen covid-19-pandemiaa;</w:t>
      </w:r>
    </w:p>
    <w:p w:rsidR="003B6D3B" w:rsidRPr="000F241C" w:rsidRDefault="000F241C" w:rsidP="0063610D">
      <w:pPr>
        <w:pStyle w:val="NormalHanging12a"/>
        <w:widowControl/>
      </w:pPr>
      <w:r w:rsidRPr="000F241C">
        <w:t>117</w:t>
      </w:r>
      <w:r w:rsidR="003B6D3B" w:rsidRPr="000F241C">
        <w:t>.</w:t>
      </w:r>
      <w:r w:rsidR="003B6D3B" w:rsidRPr="000F241C">
        <w:tab/>
      </w:r>
      <w:r w:rsidR="007B5528" w:rsidRPr="000F241C">
        <w:t xml:space="preserve">palauttaa mieliin Euroopan unionin perusoikeuskirjan 26 artiklan; </w:t>
      </w:r>
      <w:r w:rsidR="003B6D3B" w:rsidRPr="000F241C">
        <w:t xml:space="preserve">toistaa pääsihteerille pitkäaikaisen pyynnön analysoida kansainvälisen viittomakielen tulkkauksen toteutettavuutta kaikissa täysistuntokeskusteluissa ja toteuttaa tämä pyyntö viipymättä; katsoo lisäksi, että täysistuntojen </w:t>
      </w:r>
      <w:proofErr w:type="spellStart"/>
      <w:r w:rsidR="003B6D3B" w:rsidRPr="000F241C">
        <w:t>edelleenlähetys</w:t>
      </w:r>
      <w:proofErr w:type="spellEnd"/>
      <w:r w:rsidR="003B6D3B" w:rsidRPr="000F241C">
        <w:t xml:space="preserve"> kussakin jäsenvaltiossa käytetyillä viittomakielillä lisäisi vammaisten henkilöiden osallistumista EU:n demokraattiseen prosessiin;</w:t>
      </w:r>
      <w:r w:rsidR="007B5528" w:rsidRPr="000F241C">
        <w:t xml:space="preserve"> korostaa digitaalisten välineiden, myös tekoälyä hyödyntävien apulaitteiden, käytön tärkeyttä; korostaa myös, että kaikille vammaisille henkilöille on tarjottava tietoa helposti luettavassa ja kuvallisessa muodossa sekä uutta teknologiaa hyödyntäen;</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Varainhoidon pääosasto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118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muistuttaa, että varainhoidon pääosasto (DG FINS) on parlamentin talousarvio- ja varainhoitoasioista vastaava hallintoelin; panee merkille, että 31. joulukuuta 2022 pääosastossa oli 246 henkilöstön jäsentä, joista 149 oli virkamiehiä, 27 väliaikaista toimihenkilöä, 63 sopimussuhteista toimihenkilöä ja seitsemän vuokratyöntekijää;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119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varainhoidon pääosaston lopulliset määrärahat olivat 396 723 134 euroa vuonna 2022, mikä on 18,4 prosenttia parlamentin talousarviosta; korostaa, että tästä määrästä sidottiin yhteensä 395 647 243 euroa; pitää myönteisenä määrärahojen korkeaa käyttöastetta;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vuonna 2022 monet varainhoidon pääosaston vastuulla olevista tehtävistä palautuivat enemmän tai vähemmän pandemiaa edeltäneelle tasolle; panee merkille, että Ukraina sota vaikutti konkreettisesti varainhoidon pääosaston toimintaan ja edellytti häiriönsieto- ja sopeutumiskykyä tiettyjen parlamentin toimintojen jatkuvuuden varmistamiseksi ottaen käyttöön taloudelliset resurssit ja kohdentaen ne uudelleen inflaatiohäiriöstä selviytymiseksi;</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121</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tyytyväisenä merkille, että vastauksena inflaation ja korkojen merkittävään korotukseen sekä maailmanlaajuiseen energiakriisiin varainhoidon pääosasto valvoi tiukemmin talousarviomäärärahojen käyttöasteita ja joutui toteuttamaan poikkeuksellisia toimenpiteitä parlamentin toiminnan jatkuvuuden varmistamiseksi muun muassa osoittamalla määrärahoja useamman kerran uudelleen ja pyytämällä marraskuussa 2022 lisätalousarviota;</w:t>
      </w:r>
    </w:p>
    <w:p w:rsidR="003B6D3B" w:rsidRPr="000F241C" w:rsidRDefault="000F241C" w:rsidP="0063610D">
      <w:pPr>
        <w:pStyle w:val="NormalHanging12a"/>
        <w:widowControl/>
      </w:pPr>
      <w:r w:rsidRPr="000F241C">
        <w:t>122</w:t>
      </w:r>
      <w:r w:rsidR="003B6D3B" w:rsidRPr="000F241C">
        <w:t>.</w:t>
      </w:r>
      <w:r w:rsidR="003B6D3B" w:rsidRPr="000F241C">
        <w:tab/>
        <w:t xml:space="preserve">panee tyytyväisenä merkille, että varainhoidon pääosasto pystyi hyödyntämään prosessiensa tehokkuutta ja henkilöstönsä sitoutumista ja varmistamaan näin </w:t>
      </w:r>
      <w:r w:rsidR="003B6D3B" w:rsidRPr="000F241C">
        <w:lastRenderedPageBreak/>
        <w:t>vastuullaan olevien yksiköiden jatkuvuuden ja vuotuisessa työohjelmassaan asetettujen tavoitteiden saavuttamisen; panee merkille jäsenten ilmaiseman huolen kohtuuttomista ja usein merkittävistä viivästyksistä korvausten käsittelyssä ja toteaa, että matka- ja oleskelukulujen korvaamiseen kuluu keskimäärin jopa 40 päivää; pitää myönteisenä, että parlamentti nykyaikaistaa jatkuvasti prosessejaan tarjotakseen jäsenille parempia palveluja automatisoinnin, yksinkertaistamisen ja digitalisoinnin avulla; kehottaa varainhoidon pääosastoa nopeuttamaan edelleen työnkulkua menettelyjen nopeuttamiseksi erityisesti antamalla sen henkilöstön käyttöön tarvittavat välineet ja ohjelmisto, jotta voidaan hallita työmäärää tehokkaasti ja lyhentää näin käsittelyaikaa;</w:t>
      </w:r>
    </w:p>
    <w:p w:rsidR="003B6D3B" w:rsidRPr="000F241C" w:rsidRDefault="000F241C" w:rsidP="0063610D">
      <w:pPr>
        <w:pStyle w:val="NormalHanging12a"/>
        <w:widowControl/>
      </w:pPr>
      <w:r w:rsidRPr="000F241C">
        <w:t>123</w:t>
      </w:r>
      <w:r w:rsidR="003B6D3B" w:rsidRPr="000F241C">
        <w:t>.</w:t>
      </w:r>
      <w:r w:rsidR="003B6D3B" w:rsidRPr="000F241C">
        <w:tab/>
        <w:t>toteaa paikallisten avustajien työn olevan olennainen osa jäsenten toimintaa heidän vaalipiireissään ja ensimmäinen kontaktipinta suhteessa kansalaisiin; korostaa, että jo muutaman vuoden ajan paikallisten avustajien palkkaamiseen ja heidän sopimustensa allekirjoittamiseen liittyvä prosessi on tullut jatkuvasti haasteellisemmaksi, sillä tarkastusten päällekkäisyys ja epäselvät vaatimukset ovat johtaneet lukemattomiin hallinnollisiin pyyntöihin; korostaa, että varainhoidon pääosaston olisi tunnustettava, että paikallisiin avustajiin sovelletaan kansallista lainsäädäntöä, ja pyytää siksi maakohtaisia toimistoja hoitamaan rekrytointiprosessia; muistuttaa lisäksi, että paikallisten avustajien vapaaehtoistoiminta ja poliittinen toiminta Euroopan parlamentin vahvistamia sääntöjä noudattaen ovat usein tavanomaista ammattitoimintaa, mikä ei saisi johtaa tarpeettomiin tarkastuksiin;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varainhoidon pääosaston osallistumisen poliittisten rakenteiden rahoitusta koskevan sääntelykehyksen muuttamiseen; panee tyytyväisenä merkille, että se osallistui puhemiehistön heinäkuussa 2022 hyväksymän ehdotuksen laatimiseen poliittisten ryhmien rahoitukseen liittyvien määrärahojen käyttöä koskevien sääntöjen muuttamisesta; panee merkille, että muutoksessa otetaan huomioon covid-19-pandemiasta johtuva tilanne ja säädetään poikkeuksellisesti menetelmästä, jolla käyttämättä jääneiden varojen siirtojen enimmäismäärä vuodelta 2022 vuodelle 2023 säilytetään 75 prosentissa 50 prosentin sijaan; panee tyytyväisenä merkille, että varainhoidon pääosasto osallistui myös Euroopan tason poliittisten puolueiden ja Euroopan tason poliittisten säätiöiden perussäännöstä ja rahoituksesta 22. lokakuuta 2014 annetun Euroopan parlamentin ja neuvoston asetuksen (EU, Euratom) N:o 1141/2014</w:t>
      </w:r>
      <w:r w:rsidR="003B6D3B" w:rsidRPr="000F241C">
        <w:rPr>
          <w:rStyle w:val="FootnoteReference"/>
          <w:szCs w:val="24"/>
        </w:rPr>
        <w:footnoteReference w:id="13"/>
      </w:r>
      <w:r w:rsidR="003B6D3B" w:rsidRPr="000F241C">
        <w:rPr>
          <w14:textOutline w14:w="0" w14:cap="flat" w14:cmpd="sng" w14:algn="ctr">
            <w14:noFill/>
            <w14:prstDash w14:val="solid"/>
            <w14:bevel/>
          </w14:textOutline>
        </w:rPr>
        <w:t xml:space="preserve"> tarkistamiseen;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on tyytyväinen vuonna 2022 toteutettuihin jatkuviin toimiin prosessien digitalisoimiseksi, mukaan lukien uusien toimintojen kehittäminen ja e-</w:t>
      </w:r>
      <w:proofErr w:type="spellStart"/>
      <w:r w:rsidR="003B6D3B" w:rsidRPr="000F241C">
        <w:rPr>
          <w14:textOutline w14:w="0" w14:cap="flat" w14:cmpd="sng" w14:algn="ctr">
            <w14:noFill/>
            <w14:prstDash w14:val="solid"/>
            <w14:bevel/>
          </w14:textOutline>
        </w:rPr>
        <w:t>Portal</w:t>
      </w:r>
      <w:proofErr w:type="spellEnd"/>
      <w:r w:rsidR="003B6D3B" w:rsidRPr="000F241C">
        <w:rPr>
          <w14:textOutline w14:w="0" w14:cap="flat" w14:cmpd="sng" w14:algn="ctr">
            <w14:noFill/>
            <w14:prstDash w14:val="solid"/>
            <w14:bevel/>
          </w14:textOutline>
        </w:rPr>
        <w:t>-sovelluksen uudelleensuunnittelu; panee tyytyväisenä merkille, että tämän seurauksena sovelluksen käyttöaste kohosi;</w:t>
      </w:r>
    </w:p>
    <w:p w:rsidR="003B6D3B" w:rsidRPr="000F241C" w:rsidRDefault="000F241C" w:rsidP="0063610D">
      <w:pPr>
        <w:pStyle w:val="NormalHanging12a"/>
        <w:widowControl/>
      </w:pPr>
      <w:r w:rsidRPr="000F241C">
        <w:t>126</w:t>
      </w:r>
      <w:r w:rsidR="003B6D3B" w:rsidRPr="000F241C">
        <w:t>.</w:t>
      </w:r>
      <w:r w:rsidR="003B6D3B" w:rsidRPr="000F241C">
        <w:tab/>
        <w:t xml:space="preserve">muistuttaa, että pitkittynyt </w:t>
      </w:r>
      <w:proofErr w:type="spellStart"/>
      <w:r w:rsidR="003B6D3B" w:rsidRPr="000F241C">
        <w:t>covid</w:t>
      </w:r>
      <w:proofErr w:type="spellEnd"/>
      <w:r w:rsidR="003B6D3B" w:rsidRPr="000F241C">
        <w:t xml:space="preserve"> edellyttää pitkäaikaista hoitoa ja että sitä tutkitaan edelleen intensiivisesti; panee merkille, että Euroopan parlamentin jäsenten, henkilöstön ja valtuutettujen avustajien keskuudessa on pitkäaikaispotilaita, jotka tarvitsevat jatkuvaa apua; pitää valitettavana, että nykyisissä yhteisen sairausvakuutusjärjestelmän säännöissä ei säädetä riittävistä korvauksista, mistä aiheutuu kyseisille ihmisille valtava taloudellinen rasite; korostaa, että samalla tavalla epäedullisessa asemassa ovat monet, jotka sairastavat autoimmuunisairauksia, joita ei ole asianmukaisesti tunnustettu; kehottaa varainhoidon pääosastoa ja henkilökohtaisten etuuksien hallinto- ja </w:t>
      </w:r>
      <w:r w:rsidR="003B6D3B" w:rsidRPr="000F241C">
        <w:lastRenderedPageBreak/>
        <w:t>maksutoimistoa muuttamaan korvaussääntöjä, jotta ne vastaisivat paremmin näiden ihmisten tarpeita;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pitää myönteisenä työistuntojen järjestämistä tietyistä julkisiin hankintoihin liittyvistä aiheista, kuten sopimushintojen hallinnasta ja petostenhallinnasta; panee merkille vertailevat ja toteutettavuustutkimukset, joissa päädyttiin sähköisiin hankintoihin perustuvaan komission malliin;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128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varainhoidon pääosasto koordinoi jäsenten ja kaikkien parlamentin hallinnollisten yksiköiden tarpeisiin räätälöityjä matkojen järjestämispalveluja, myös matkatoimistoa; pitää myönteisenä, että varainhoidon pääosasto pyrki yhteistyössä matkatoimiston kanssa automatisoimaan jäsenten junamatkakulujen korvaamisen hallinnoinnin; panee merkille, että vuosi 2022 oli toiseksi viimeinen vuosi ennen sopimuksen päättymistä nykyisen matkatoimiston kanssa; toistaa, että valitun uuden matkatoimiston olisi voitava tarjota jäsenille joustavampia ja edullisempia ratkaisuja, jotka vastaavat avoimilla markkinoilla tarjolla olevia tarjouksia;</w:t>
      </w:r>
    </w:p>
    <w:p w:rsidR="003B6D3B" w:rsidRPr="000F241C" w:rsidRDefault="000F241C" w:rsidP="0063610D">
      <w:pPr>
        <w:pStyle w:val="NormalHanging12a"/>
        <w:widowControl/>
      </w:pPr>
      <w:r w:rsidRPr="000F241C">
        <w:t>129</w:t>
      </w:r>
      <w:r w:rsidR="003B6D3B" w:rsidRPr="000F241C">
        <w:t>.</w:t>
      </w:r>
      <w:r w:rsidR="003B6D3B" w:rsidRPr="000F241C">
        <w:tab/>
        <w:t>on huolissaan siitä, että vuonna 2022 havaittiin viisi petosepäilytapausta, joissa jäsenten väitettiin ilmoittaneen tietyistä kulkuneuvoista, vaikka he käyttivät itse asiassa halvempaa kulkuneuvoa; panee merkille, että on odotettavissa, että annetaan kaksi perintämääräystä, joiden arvo on yhteensä 39 807 euroa, ja että tutkittavana on myös muita tapauksia, jotka koskevat useita varainhoitovuosia ja joissa määrä voi olla yhteensä 801 000 euroa;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puhemiehistön kokouksessa 7. maaliskuuta 2022 ilmoitettiin yleistä kulukorvausta käsittelevän puhemiehistön tilapäisen työryhmän perustamisesta, ja toteaa, että tämän työryhmän tehtävänä on arvioida yleisestä kulukorvauksesta katettavien kulujen luettelon vahvistamisesta 2. heinäkuuta 2018 tehdyn puhemiehistön päätöksen täytäntöönpanoa yhdeksännellä vaalikaudella saatujen kokemusten perusteella; panee merkille, että puhemiehistö hyväksyi 17. lokakuuta 2022 pitämässään kokouksessa jäsenten asemaa koskevien sääntöjen soveltamisohjeisiin joukon tarkistuksia, joilla selkeytetään yleiseen kulukorvaukseen oikeutusta ja sen käyttöä koskevia sääntöjä ja toimenpiteitä, joilla pyritään lisäämään avoimuutta sekä lisätään oikeutta korvaukseen koskevaa oikeusvarmuutta; korostaa, että tilapäistä työryhmää pyydettiin ottamaan asianmukaisesti huomioon jäsenten käyttöön annettujen varojen avoimuutta, vastuuvelvollisuutta ja moitteetonta varainhoitoa koskevat näkökohdat pitäen mielessä edustajantoimen vapauden ja riippumattomuuden periaatteen ja tavoitteen välttää tarpeettomien hallinnollisten rasitteiden aiheuttamista jäsenille, heidän toimistoilleen ja parlamentin yksiköille;</w:t>
      </w:r>
    </w:p>
    <w:p w:rsidR="003B6D3B" w:rsidRPr="000F241C" w:rsidRDefault="000F241C" w:rsidP="0063610D">
      <w:pPr>
        <w:pStyle w:val="NormalHanging12a"/>
        <w:widowControl/>
      </w:pPr>
      <w:r w:rsidRPr="000F241C">
        <w:t>131</w:t>
      </w:r>
      <w:r w:rsidR="003B6D3B" w:rsidRPr="000F241C">
        <w:t>.</w:t>
      </w:r>
      <w:r w:rsidR="003B6D3B" w:rsidRPr="000F241C">
        <w:tab/>
        <w:t>huomauttaa, että vuonna 2022 vain 26 jäsentä toimitti 32 vapaaehtoista ilmoitusta yleisen kulukorvauksen käytöstä ja että näistä 29 sisälsi tilintarkastuskertomuksen; on tyytyväinen pääsihteeristön pyrkimyksiin kannustaa parlamentin jäseniä hyödyntämään näitä vaihtoehtoja entistä enemmän;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korostaa, että parlamentin työjärjestyksen 11 artiklan 2 kohdan mukaisesti jäsenet voivat vapaasti dokumentoida sen, kuinka he käyttävät yleisen kulukorvauksen varat, yksityiskohtaisesti tai kustannustyypeittäin, joko itse tai ulkopuolisen tarkastajan tuella ja julkistaa nämä tiedot kokonaan tai osittain omalla verkkosivullaan parlamentin verkkosivustolla; pitää myönteisenä, että jäsenten asemaa koskevien sääntöjen soveltamisohjeisiin on sisällytetty yksinkertaistettu luettelo kustannustyypeistä ja että </w:t>
      </w:r>
      <w:r w:rsidR="003B6D3B" w:rsidRPr="000F241C">
        <w:rPr>
          <w14:textOutline w14:w="0" w14:cap="flat" w14:cmpd="sng" w14:algn="ctr">
            <w14:noFill/>
            <w14:prstDash w14:val="solid"/>
            <w14:bevel/>
          </w14:textOutline>
        </w:rPr>
        <w:lastRenderedPageBreak/>
        <w:t>on myös hyväksytty tarkistus, jolla selvennetään jäsenten mahdollisuutta käyttää yleistä kulukorvausta, jos muut korvaukset on käytetty loppuun;</w:t>
      </w:r>
    </w:p>
    <w:p w:rsidR="003B6D3B" w:rsidRPr="000F241C" w:rsidRDefault="000F241C" w:rsidP="0063610D">
      <w:pPr>
        <w:pStyle w:val="NormalHanging12a"/>
        <w:widowControl/>
      </w:pPr>
      <w:r w:rsidRPr="000F241C">
        <w:t>133</w:t>
      </w:r>
      <w:r w:rsidR="003B6D3B" w:rsidRPr="000F241C">
        <w:t>.</w:t>
      </w:r>
      <w:r w:rsidR="003B6D3B" w:rsidRPr="000F241C">
        <w:tab/>
        <w:t xml:space="preserve">muistuttaa, että </w:t>
      </w:r>
      <w:proofErr w:type="spellStart"/>
      <w:r w:rsidR="003B6D3B" w:rsidRPr="000F241C">
        <w:t>OLAFin</w:t>
      </w:r>
      <w:proofErr w:type="spellEnd"/>
      <w:r w:rsidR="003B6D3B" w:rsidRPr="000F241C">
        <w:t xml:space="preserve"> tehtävänä on tutkia epäilyjä unionin henkilöstön ja unionin toimielinten jäsenten vakavista väärinkäytöksistä, mukaan lukien parlamentin jäsenten menettelysääntöjen mahdollinen rikkominen; panee merkille, että vuonna 2022 OLAF ei pyytänyt pääsyä jäsenten toimistoihin tai sähköpostitileille; toteaa, että menettely </w:t>
      </w:r>
      <w:proofErr w:type="spellStart"/>
      <w:r w:rsidR="003B6D3B" w:rsidRPr="000F241C">
        <w:t>OLAFin</w:t>
      </w:r>
      <w:proofErr w:type="spellEnd"/>
      <w:r w:rsidR="003B6D3B" w:rsidRPr="000F241C">
        <w:t xml:space="preserve"> toimeksiannon vahvistamiseksi parlamentissa tapauksissa, joissa on perusteltua epäillä yksittäistä jäsentä ja kun se on ehdottoman välttämätöntä ja oikeasuhteista tutkimuksen kannalta ja varmistaen samalla täysin luottamuksellisuuden, voitaisiin saattaa päätökseen Euroopan unionin erioikeuksista ja vapauksista tehdyssä pöytäkirjassa N:o 7 vahvistetun koskemattomuuden periaatteen mukaisesti; kehottaa jälleen puhemiehistöä ottamaan tällaisen menettelyn käyttöön viipymättä;</w:t>
      </w:r>
    </w:p>
    <w:p w:rsidR="003B6D3B" w:rsidRPr="000F241C" w:rsidRDefault="000F241C" w:rsidP="0063610D">
      <w:pPr>
        <w:pStyle w:val="NormalHanging12a"/>
        <w:widowControl/>
      </w:pPr>
      <w:r w:rsidRPr="000F241C">
        <w:t>134</w:t>
      </w:r>
      <w:r w:rsidR="003B6D3B" w:rsidRPr="000F241C">
        <w:t>.</w:t>
      </w:r>
      <w:r w:rsidR="003B6D3B" w:rsidRPr="000F241C">
        <w:tab/>
        <w:t xml:space="preserve">panee merkille, että vuonna 2022 OLAF tutki 32:ta tapausta, joissa oli osallisena parlamentti ja jotka liittyivät erityisesti jäsenten taloudellisiin ja sosiaalietuuksiin, poliittisten rakenteiden rahoittamiseen ja henkilöstön ammatillisten velvoitteiden laiminlyöntiin; korostaa, että OLAF antoi 14 kertomusta, joista osa sisälsi useamman kuin yhden suosituksen, viisi sisälsi taloudellisia suosituksia, viisi kurinpitosuosituksia, yksi hallinnollisen suosituksen ja seitsemän ei sisältänyt yhtään suositusta; panee merkille, että vuonna 2022 Euroopan syyttäjänvirasto (EPPO) tutki neljää tapausta, joissa parlamentti oli osallisena ja jotka liittyivät jäsenten taloudellisiin ja sosiaalietuuksiin ja poliittisten rakenteiden rahoitukseen; toteaa, ettei yhtäkään </w:t>
      </w:r>
      <w:proofErr w:type="spellStart"/>
      <w:r w:rsidR="003B6D3B" w:rsidRPr="000F241C">
        <w:t>EPPOn</w:t>
      </w:r>
      <w:proofErr w:type="spellEnd"/>
      <w:r w:rsidR="003B6D3B" w:rsidRPr="000F241C">
        <w:t xml:space="preserve"> vuonna 2022 suorittamista tutkinnoista saatu päätökseen samana vuonna; pyytää hallintoa ilmoittamaan siinä määrin kuin se on oikeudellista mahdollista, onko </w:t>
      </w:r>
      <w:proofErr w:type="spellStart"/>
      <w:r w:rsidR="003B6D3B" w:rsidRPr="000F241C">
        <w:t>OLAFin</w:t>
      </w:r>
      <w:proofErr w:type="spellEnd"/>
      <w:r w:rsidR="003B6D3B" w:rsidRPr="000F241C">
        <w:t xml:space="preserve"> suositukset pantu täysimääräisesti täytäntöön ja riskinalaiset määrät peritty takaisin, sekä toimittamaan tutkimuksen kohteena olevien tapausten luokittelusta yhteenvedon, joka ei sisällä arkaluonteisia tietoja, jotta voidaan tehdä johtopäätöksiä ja parannuksia;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parlamentti on järjestelmällisesti hylännyt </w:t>
      </w:r>
      <w:proofErr w:type="spellStart"/>
      <w:r w:rsidR="003B6D3B" w:rsidRPr="000F241C">
        <w:rPr>
          <w14:textOutline w14:w="0" w14:cap="flat" w14:cmpd="sng" w14:algn="ctr">
            <w14:noFill/>
            <w14:prstDash w14:val="solid"/>
            <w14:bevel/>
          </w14:textOutline>
        </w:rPr>
        <w:t>OLAFin</w:t>
      </w:r>
      <w:proofErr w:type="spellEnd"/>
      <w:r w:rsidR="003B6D3B" w:rsidRPr="000F241C">
        <w:rPr>
          <w14:textOutline w14:w="0" w14:cap="flat" w14:cmpd="sng" w14:algn="ctr">
            <w14:noFill/>
            <w14:prstDash w14:val="solid"/>
            <w14:bevel/>
          </w14:textOutline>
        </w:rPr>
        <w:t xml:space="preserve"> pyynnöt tehdä tarkastuksia parlamentin jäsenten toimistoissa ja saada käyttöönsä heidän sähköiset palvelimensa ja laitteensa;</w:t>
      </w:r>
      <w:r w:rsidR="00AD1B84" w:rsidRPr="000F241C">
        <w:rPr>
          <w14:textOutline w14:w="0" w14:cap="flat" w14:cmpd="sng" w14:algn="ctr">
            <w14:noFill/>
            <w14:prstDash w14:val="solid"/>
            <w14:bevel/>
          </w14:textOutline>
        </w:rPr>
        <w:t xml:space="preserve"> korostaa, että jäseniä suojellaan siten, että heidät vapautetaan vastuusta annettujen äänten ja tehtävien hoidon yhteydessä ilmaistujen mielipiteiden osalta, ja heitä suojellaan syytetoimilta ja heidän henkilökohtaisen vapautensa rajoittamiselta parlamentin istuntojen aikana; muistuttaa, että OLAF voi päästä jäsenten työhuoneisiin vasta sen jälkeen, kun parlamentin puhemies on myöntänyt pääsyn jäsenvaltion toimivaltaisen viranomaisen, useimmissa tapauksissa tuomarin, pyynnöstä; muistuttaa, että </w:t>
      </w:r>
      <w:proofErr w:type="spellStart"/>
      <w:r w:rsidR="00AD1B84" w:rsidRPr="000F241C">
        <w:rPr>
          <w14:textOutline w14:w="0" w14:cap="flat" w14:cmpd="sng" w14:algn="ctr">
            <w14:noFill/>
            <w14:prstDash w14:val="solid"/>
            <w14:bevel/>
          </w14:textOutline>
        </w:rPr>
        <w:t>OLAFin</w:t>
      </w:r>
      <w:proofErr w:type="spellEnd"/>
      <w:r w:rsidR="00AD1B84" w:rsidRPr="000F241C">
        <w:rPr>
          <w14:textOutline w14:w="0" w14:cap="flat" w14:cmpd="sng" w14:algn="ctr">
            <w14:noFill/>
            <w14:prstDash w14:val="solid"/>
            <w14:bevel/>
          </w14:textOutline>
        </w:rPr>
        <w:t xml:space="preserve"> on kunnioitettava näitä rajoituksia hoitaessaan tehtäviään ja tehdessään tutkimuksiaan, ja korostaa, että väitettyä väärinkäytöstä ei voida käyttää verukkeena suoran pääsyn pyytämiseksi;</w:t>
      </w:r>
    </w:p>
    <w:p w:rsidR="003B6D3B" w:rsidRPr="000F241C" w:rsidRDefault="000F241C" w:rsidP="0063610D">
      <w:pPr>
        <w:pStyle w:val="NormalHanging12a"/>
        <w:widowControl/>
      </w:pPr>
      <w:r w:rsidRPr="000F241C">
        <w:t>136</w:t>
      </w:r>
      <w:r w:rsidR="003B6D3B" w:rsidRPr="000F241C">
        <w:t>.</w:t>
      </w:r>
      <w:r w:rsidR="003B6D3B" w:rsidRPr="000F241C">
        <w:tab/>
        <w:t>pitää valitettavana, että parlamentin puhemiehet eivät ole kertaakaan määränneet taloudellista seuraamusta yhdellekään jäsenelle huolimatta siitä, että jäsenet ovat rikkoneet menettelysääntöjä vähintään 25 kertaa kahdentoista viime vuoden aikana; kehottaa puhemiestä harkitsemaan taloudellisten seuraamusten määräämistä, jos on näytetty toteen, että jäsenet ovat rikkoneet menettelysääntöjä, jotta varmistetaan, että seuraamuksilla todella on ehkäisevä vaikutus;</w:t>
      </w:r>
    </w:p>
    <w:p w:rsidR="003B6D3B" w:rsidRPr="000F241C" w:rsidRDefault="000F241C" w:rsidP="0063610D">
      <w:pPr>
        <w:pStyle w:val="NormalHanging12a"/>
        <w:widowControl/>
      </w:pPr>
      <w:r w:rsidRPr="000F241C">
        <w:t>137</w:t>
      </w:r>
      <w:r w:rsidR="003B6D3B" w:rsidRPr="000F241C">
        <w:t>.</w:t>
      </w:r>
      <w:r w:rsidR="003B6D3B" w:rsidRPr="000F241C">
        <w:tab/>
        <w:t xml:space="preserve">panee merkille, että vuonna 2022 Euroopan parlamentti peri yksittäisiltä jäseniltään takaisin 261 891 euroa, joka osoitettiin tulopuolen budjettikohtaan 3300 ”Aiheettomasti maksettujen määrien palauttaminen”; toteaa, että suuri osa tästä määrästä ei liity avustajakorvaukseen; panee merkille, että tulopuolen budjettikohtaan 3300 (yksittäisiltä </w:t>
      </w:r>
      <w:r w:rsidR="003B6D3B" w:rsidRPr="000F241C">
        <w:lastRenderedPageBreak/>
        <w:t>parlamentin jäseniltä mutta myös poliittisilta ryhmiltä/puolueilta/säätiöiltä, kolmansilta osapuolilta, henkilöstöltä, muilta henkilöiltä jne.) palautetut määrät ovat yleensä suurimmaksi osaksi teknisiä takaisinperintöjä, kuten purettuihin tai päättyneisiin sopimuksiin liittyviä menojen tasausmaksuja, ja toteaa, että suurin osa niistä ei liity valtuutettuihin avustajiin; toteaa, että näihin määriin sisältyy myös tapauksia, joissa rajoitettu määrä parlamentin jäseniä suorittaa vapaaehtoisia korvauksia, ja erityisiä oikaisuja joko Euroopan parlamentin laskelmissa olleiden hallinnollisten virheiden vuoksi tai joidenkin jäsenvaltioiden sääntöjen takautuvan muuttamisen ja hyvityksen vuoksi; panee merkille, että myös sopimusmuutokset ja niihin mahdollisesti liittyvät takaisinperinnät sopimusehtojen hyväksyttyjen mukautusten jälkeen kuuluvat tähän luokkaan;</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Innovoinnin ja teknisen tuen pääosasto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muistuttaa, että innovoinnin ja teknisen tuen pääosasto (DG ITEC) tarjoaa parlamentille tieto- ja viestintätekniikkapalveluja ja -laitteita, videoneuvottelu- ja multimediapalveluja sekä julkaisu- ja painatuspalveluja; panee merkille, että 31. joulukuuta 2022 pääosastossa oli 543 henkilöstön jäsentä, joista 349 oli virkamiehiä, 53 väliaikaista toimihenkilöä ja 141 sopimussuhteista toimihenkilöä;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139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innovoinnin ja teknisen tuen pääosaston lopulliset määrärahat olivat 134 808 679 euroa vuonna 2022, mikä on 6,2 prosenttia parlamentin talousarviosta; korostaa, että tästä määrästä sidottiin yhteensä 134 439 573 euroa; pitää myönteisenä määrärahojen korkeaa käyttöastetta;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pitää myönteisenä, että innovoinnin ja teknisen tuen pääosasto toimii yhdessä asiakaspääosastojen kanssa tarjotakseen jäsenille ja henkilöstölle käyttäjäkeskeisen, turvallisen, hybridin ja datavetoisen työympäristön; panee tyytyväisenä merkille, että se edistää tekoälyn ja data-analytiikan kaltaisten innovatiivisten teknologioiden kestävää ja vastuullista käyttöönottoa parlamentin yksiköiden päätöksentekovalmiuksien parantamiseksi;</w:t>
      </w:r>
    </w:p>
    <w:p w:rsidR="003B6D3B" w:rsidRPr="000F241C" w:rsidRDefault="000F241C" w:rsidP="0063610D">
      <w:pPr>
        <w:pStyle w:val="NormalHanging12a"/>
        <w:widowControl/>
      </w:pPr>
      <w:r w:rsidRPr="000F241C">
        <w:t>141</w:t>
      </w:r>
      <w:r w:rsidR="003B6D3B" w:rsidRPr="000F241C">
        <w:t>.</w:t>
      </w:r>
      <w:r w:rsidR="003B6D3B" w:rsidRPr="000F241C">
        <w:tab/>
        <w:t>palauttaa mieliin vapaiden ja avoimen lähdekoodin ohjelmistojen tuoman lisäarvon turvallisuuden parantamisessa, sillä niiden avulla parlamentti voi tunnistaa ja korjata puutteita, valvoa dataa säilyttämällä sitä palvelimillaan ja suunnittelemalla omien erityistarpeidensa mukaisia ratkaisuja ja samalla välttää toimittajariippuvuuden;</w:t>
      </w:r>
      <w:r w:rsidR="00535552" w:rsidRPr="000F241C">
        <w:t xml:space="preserve"> muistuttaa, että käytettävien ohjelmistojen valinnassa olisi noudatettava pelkästään korkeita kyberturvallisuusvaatimuksia;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parlamentin kyberpuolustustoimintoja leimasi vahvasti jatkuvasti kasvava kyberuhka ja riskiympäristö parlamentin ja muiden unionin toimielinten, elinten ja virastojen ympärillä; pitää myönteisenä, että CERT-EU on käyttänyt lisäresursseja opastaakseen parlamenttia pilvipalveluinfrastruktuurisovelluksissa, kyberuhkia koskevan tiedustelutiedon tehostamisessa ja turvallisuusalueen ympärivuorokautisessa seurannassa sekä haavoittuvuuksien tunnistamisessa;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143</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tyytyväisenä merkille, että vuonna 2022 perustettiin kyberturvallisuusosasto, joka vastaa tietoturvasta ja koostuu kolmesta yksiköstä, jotka käsittelevät turvallisuusoperaatioita, turvallisuuspolitiikkaa ja turvallisuusriskejä; kehottaa parlamenttia jatkamaan toimiaan ja lisäämään investointejaan kyberturvallisuuteen; panee tyytyväisenä merkille, että innovoinnin ja teknisen tuen pääosasto tarjosi mahdollisuuden tarkastaa tietotekniset laitteet </w:t>
      </w:r>
      <w:proofErr w:type="spellStart"/>
      <w:r w:rsidR="003B6D3B" w:rsidRPr="000F241C">
        <w:rPr>
          <w14:textOutline w14:w="0" w14:cap="flat" w14:cmpd="sng" w14:algn="ctr">
            <w14:noFill/>
            <w14:prstDash w14:val="solid"/>
            <w14:bevel/>
          </w14:textOutline>
        </w:rPr>
        <w:t>Pegasus</w:t>
      </w:r>
      <w:proofErr w:type="spellEnd"/>
      <w:r w:rsidR="003B6D3B" w:rsidRPr="000F241C">
        <w:rPr>
          <w14:textOutline w14:w="0" w14:cap="flat" w14:cmpd="sng" w14:algn="ctr">
            <w14:noFill/>
            <w14:prstDash w14:val="solid"/>
            <w14:bevel/>
          </w14:textOutline>
        </w:rPr>
        <w:t xml:space="preserve">-ohjelman kaltaisten </w:t>
      </w:r>
      <w:r w:rsidR="003B6D3B" w:rsidRPr="000F241C">
        <w:rPr>
          <w14:textOutline w14:w="0" w14:cap="flat" w14:cmpd="sng" w14:algn="ctr">
            <w14:noFill/>
            <w14:prstDash w14:val="solid"/>
            <w14:bevel/>
          </w14:textOutline>
        </w:rPr>
        <w:lastRenderedPageBreak/>
        <w:t>vakoiluohjelmien havaitsemiseksi, ja kehottaa innovoinnin ja teknisen tuen pääosastoa jatkamaan työtä tällä alalla;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sen jälkeen, kun kannettavien laitteiden käyttö lisääntyi vuonna 2022, innovoinnin ja teknisen tuen pääosasto julkaisi yleisen tutkimuksen parlamentin rakennusten </w:t>
      </w:r>
      <w:proofErr w:type="spellStart"/>
      <w:r w:rsidR="003B6D3B" w:rsidRPr="000F241C">
        <w:rPr>
          <w14:textOutline w14:w="0" w14:cap="flat" w14:cmpd="sng" w14:algn="ctr">
            <w14:noFill/>
            <w14:prstDash w14:val="solid"/>
            <w14:bevel/>
          </w14:textOutline>
        </w:rPr>
        <w:t>WiFi</w:t>
      </w:r>
      <w:proofErr w:type="spellEnd"/>
      <w:r w:rsidR="003B6D3B" w:rsidRPr="000F241C">
        <w:rPr>
          <w14:textOutline w14:w="0" w14:cap="flat" w14:cmpd="sng" w14:algn="ctr">
            <w14:noFill/>
            <w14:prstDash w14:val="solid"/>
            <w14:bevel/>
          </w14:textOutline>
        </w:rPr>
        <w:t xml:space="preserve">-verkon parannusten suunnittelemiseksi; panee merkille, että vuonna 2022 Brysselissä sijaitsevaa SPAAK-rakennusta vahvistettiin ottamalla käyttöön 351 lisäantennia; panee merkille toimet, joita on toteutettu parlamentin rakennusten </w:t>
      </w:r>
      <w:proofErr w:type="spellStart"/>
      <w:r w:rsidR="003B6D3B" w:rsidRPr="000F241C">
        <w:rPr>
          <w14:textOutline w14:w="0" w14:cap="flat" w14:cmpd="sng" w14:algn="ctr">
            <w14:noFill/>
            <w14:prstDash w14:val="solid"/>
            <w14:bevel/>
          </w14:textOutline>
        </w:rPr>
        <w:t>WiFi</w:t>
      </w:r>
      <w:proofErr w:type="spellEnd"/>
      <w:r w:rsidR="003B6D3B" w:rsidRPr="000F241C">
        <w:rPr>
          <w14:textOutline w14:w="0" w14:cap="flat" w14:cmpd="sng" w14:algn="ctr">
            <w14:noFill/>
            <w14:prstDash w14:val="solid"/>
            <w14:bevel/>
          </w14:textOutline>
        </w:rPr>
        <w:t>-verkon parantamiseksi; kehottaa parantamaan edelleen matkapuhelinverkkoa parlamentin rakennuksissa Strasbourgissa, jotta voidaan parantaa matkapuhelinyhteyksiä;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korostaa, että maailmanlaajuinen inflaatio yhdessä toimitusketjuun liittyvien ongelmien kanssa lisää sekä laitteisto- että ammattilaispalvelujen kustannuksia; pitää myönteisenä, että innovoinnin ja teknisen tuen pääosasto on priorisoinut käynnissä olevia tietotekniikkainvestointeja uudelleen; on tyytyväinen uuteen ja nopeampaan tietotekniikan hallinnointisykliin, joka on osa innovoinnin ja teknisen tuen pääosaston </w:t>
      </w:r>
      <w:proofErr w:type="spellStart"/>
      <w:r w:rsidR="003B6D3B" w:rsidRPr="000F241C">
        <w:rPr>
          <w14:textOutline w14:w="0" w14:cap="flat" w14:cmpd="sng" w14:algn="ctr">
            <w14:noFill/>
            <w14:prstDash w14:val="solid"/>
            <w14:bevel/>
          </w14:textOutline>
        </w:rPr>
        <w:t>Agile</w:t>
      </w:r>
      <w:proofErr w:type="spellEnd"/>
      <w:r w:rsidR="003B6D3B" w:rsidRPr="000F241C">
        <w:rPr>
          <w14:textOutline w14:w="0" w14:cap="flat" w14:cmpd="sng" w14:algn="ctr">
            <w14:noFill/>
            <w14:prstDash w14:val="solid"/>
            <w14:bevel/>
          </w14:textOutline>
        </w:rPr>
        <w:t xml:space="preserve"> IT -ohjelmaa;</w:t>
      </w:r>
    </w:p>
    <w:p w:rsidR="003B6D3B" w:rsidRPr="000F241C" w:rsidRDefault="000F241C" w:rsidP="0063610D">
      <w:pPr>
        <w:widowControl/>
        <w:spacing w:after="240"/>
        <w:ind w:left="567" w:hanging="567"/>
        <w:rPr>
          <w14:textOutline w14:w="0" w14:cap="flat" w14:cmpd="sng" w14:algn="ctr">
            <w14:noFill/>
            <w14:prstDash w14:val="solid"/>
            <w14:bevel/>
          </w14:textOutline>
        </w:rPr>
      </w:pPr>
      <w:r w:rsidRPr="000F241C">
        <w:rPr>
          <w14:textOutline w14:w="0" w14:cap="flat" w14:cmpd="sng" w14:algn="ctr">
            <w14:noFill/>
            <w14:prstDash w14:val="solid"/>
            <w14:bevel/>
          </w14:textOutline>
        </w:rPr>
        <w:t>146</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panee merkille, että covid-19-pandemia on vauhdittanut nopeasti parlamentin </w:t>
      </w:r>
      <w:proofErr w:type="spellStart"/>
      <w:r w:rsidR="003B6D3B" w:rsidRPr="000F241C">
        <w:rPr>
          <w14:textOutline w14:w="0" w14:cap="flat" w14:cmpd="sng" w14:algn="ctr">
            <w14:noFill/>
            <w14:prstDash w14:val="solid"/>
            <w14:bevel/>
          </w14:textOutline>
        </w:rPr>
        <w:t>digitalisaatiota</w:t>
      </w:r>
      <w:proofErr w:type="spellEnd"/>
      <w:r w:rsidR="003B6D3B" w:rsidRPr="000F241C">
        <w:rPr>
          <w14:textOutline w14:w="0" w14:cap="flat" w14:cmpd="sng" w14:algn="ctr">
            <w14:noFill/>
            <w14:prstDash w14:val="solid"/>
            <w14:bevel/>
          </w14:textOutline>
        </w:rPr>
        <w:t xml:space="preserve"> viime vuosina; korostaa siirtymistä hybridiparlamenttiin, jonka työjärjestelyt ovat joustavat täysin fyysisestä läsnäolosta täysin digitaaliseen työympäristöön; pitää myönteisenä parlamentin osoittamaa kykyä selviytyä covid-19-pandemiasta ja sitä, että sen toimet olivat nopeita ja joustavia ja niissä hyödyttiin aiemmista </w:t>
      </w:r>
      <w:proofErr w:type="spellStart"/>
      <w:r w:rsidR="003B6D3B" w:rsidRPr="000F241C">
        <w:rPr>
          <w14:textOutline w14:w="0" w14:cap="flat" w14:cmpd="sng" w14:algn="ctr">
            <w14:noFill/>
            <w14:prstDash w14:val="solid"/>
            <w14:bevel/>
          </w14:textOutline>
        </w:rPr>
        <w:t>digitalisaatioon</w:t>
      </w:r>
      <w:proofErr w:type="spellEnd"/>
      <w:r w:rsidR="003B6D3B" w:rsidRPr="000F241C">
        <w:rPr>
          <w14:textOutline w14:w="0" w14:cap="flat" w14:cmpd="sng" w14:algn="ctr">
            <w14:noFill/>
            <w14:prstDash w14:val="solid"/>
            <w14:bevel/>
          </w14:textOutline>
        </w:rPr>
        <w:t xml:space="preserve"> tehdyistä investoinneista;</w:t>
      </w:r>
    </w:p>
    <w:p w:rsidR="005A70F5" w:rsidRPr="000F241C" w:rsidRDefault="005A70F5" w:rsidP="0063610D">
      <w:pPr>
        <w:widowControl/>
        <w:spacing w:after="240"/>
        <w:ind w:left="567" w:hanging="567"/>
        <w:rPr>
          <w:szCs w:val="24"/>
          <w14:textOutline w14:w="0" w14:cap="flat" w14:cmpd="sng" w14:algn="ctr">
            <w14:noFill/>
            <w14:prstDash w14:val="solid"/>
            <w14:bevel/>
          </w14:textOutline>
        </w:rPr>
      </w:pPr>
      <w:r w:rsidRPr="000F241C">
        <w:rPr>
          <w:szCs w:val="24"/>
          <w14:textOutline w14:w="0" w14:cap="flat" w14:cmpd="sng" w14:algn="ctr">
            <w14:noFill/>
            <w14:prstDash w14:val="solid"/>
            <w14:bevel/>
          </w14:textOutline>
        </w:rPr>
        <w:t>14</w:t>
      </w:r>
      <w:r w:rsidR="00441F30" w:rsidRPr="000F241C">
        <w:rPr>
          <w:szCs w:val="24"/>
          <w14:textOutline w14:w="0" w14:cap="flat" w14:cmpd="sng" w14:algn="ctr">
            <w14:noFill/>
            <w14:prstDash w14:val="solid"/>
            <w14:bevel/>
          </w14:textOutline>
        </w:rPr>
        <w:t>7</w:t>
      </w:r>
      <w:r w:rsidRPr="000F241C">
        <w:rPr>
          <w:szCs w:val="24"/>
          <w14:textOutline w14:w="0" w14:cap="flat" w14:cmpd="sng" w14:algn="ctr">
            <w14:noFill/>
            <w14:prstDash w14:val="solid"/>
            <w14:bevel/>
          </w14:textOutline>
        </w:rPr>
        <w:t>.</w:t>
      </w:r>
      <w:r w:rsidRPr="000F241C">
        <w:rPr>
          <w:szCs w:val="24"/>
          <w14:textOutline w14:w="0" w14:cap="flat" w14:cmpd="sng" w14:algn="ctr">
            <w14:noFill/>
            <w14:prstDash w14:val="solid"/>
            <w14:bevel/>
          </w14:textOutline>
        </w:rPr>
        <w:tab/>
        <w:t>muistuttaa kuurojen yhteisön pitkäaikaisesta vaatimuksesta pystyä jättämään vetoomuksia unionissa käytetyillä kansallisilla viittomakielillä; panee merkille vetoomusvaliokunnan kokouksessa 29. marraskuuta 2023 ja 19. maaliskuuta 2024 käydyt keskustelut, jotka koskivat erityisesti vetoomusta nro 1056/2016, ja korostaa, että parlamentti on sitoutunut parantamaan esteettömyyttä kaikkien unionin kansalaisten osalta; muistuttaa, että parlamentin työjärjestyksessä edellytetään, että vetoomukset esitetään kirjallisina; kehottaa parlamentin hallintoa tekemään vetoomusportaaliin tarvittavat muutokset, jotta vetoomuksen esittäjät voivat tukea kirjallista vetoomustaan viittomakielisellä videolla; kannustaa hallintoa kutsumaan asiaankuuluvia sidosryhmiä, myös kuurojen yhteisön edustajia, osallistumaan täytäntöönpanoprosessiin ja antamaan sen aikana palautetta, jotta varmistetaan ehdotettujen toimenpiteiden vaikuttavuus ja osallistavuus;</w:t>
      </w:r>
    </w:p>
    <w:p w:rsidR="003B6D3B" w:rsidRPr="000F241C" w:rsidRDefault="000F241C" w:rsidP="0063610D">
      <w:pPr>
        <w:pStyle w:val="NormalHanging12a"/>
        <w:widowControl/>
      </w:pPr>
      <w:r w:rsidRPr="000F241C">
        <w:t>148</w:t>
      </w:r>
      <w:r w:rsidR="003B6D3B" w:rsidRPr="000F241C">
        <w:t>.</w:t>
      </w:r>
      <w:r w:rsidR="003B6D3B" w:rsidRPr="000F241C">
        <w:tab/>
        <w:t>panee tyytyväisenä merkille, että digitaalisen allekirjoituksen portaali (</w:t>
      </w:r>
      <w:proofErr w:type="spellStart"/>
      <w:r w:rsidR="003B6D3B" w:rsidRPr="000F241C">
        <w:t>DiSP</w:t>
      </w:r>
      <w:proofErr w:type="spellEnd"/>
      <w:r w:rsidR="003B6D3B" w:rsidRPr="000F241C">
        <w:t>) antaa jäsenille mahdollisuuden allekirjoittaa asiakirjoja digitaalisesti, mikä parantaa menettelyjen tehokkuutta, jäljitettävyyttä ja avoimuutta, ja toteaa, että täysistuntotarkistusten allekirjoittamisessa noudatetaan edelleen vanhentunutta ja raskasta menettelyä, vaikka allekirjoitetut tarkistukset voidaan lähettää täysistuntoyksikölle sähköpostitse tai parlamentin siirtoportaalin kautta; kehottaa puhemiehistöä ryhtymään tarvittaviin toimiin, jotta jäsenet voivat tulevaisuudessa allekirjoittaa täysistuntotarkistuksia digitaalisesti;</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Turvallisuusasioiden pääosasto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149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muistuttaa, että turvallisuusasioiden pääosasto (DG SAFE) pyrkii ennakoimaan, ehkäisemään ja lieventämään parlamenttiin ja sen jäseniin ja henkilöstöön kohdistuvia </w:t>
      </w:r>
      <w:r w:rsidR="003B6D3B" w:rsidRPr="000F241C">
        <w:rPr>
          <w14:textOutline w14:w="0" w14:cap="flat" w14:cmpd="sng" w14:algn="ctr">
            <w14:noFill/>
            <w14:prstDash w14:val="solid"/>
            <w14:bevel/>
          </w14:textOutline>
        </w:rPr>
        <w:lastRenderedPageBreak/>
        <w:t>turvallisuusriskejä ja -uhkia soveltamalla riskiperusteista lähestymistapaa, jossa otetaan asianmukaisesti huomioon toimielimen demokraattinen luonne ja sen ilmentämät arvot, erityisesti avoimuus ja läpinäkyvyys; panee merkille, että 31. joulukuuta 2022 pääosastossa oli 882 henkilöstön jäsentä, joista 170 oli virkamiehiä, 22 väliaikaista toimihenkilöä ja 690 sopimussuhteista toimihenkilöä;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turvallisuusasioiden pääosaston lopulliset määrärahat olivat 29 507 334 euroa vuonna 2022, mikä on 1,4 prosenttia parlamentin talousarviosta; korostaa, että tästä määrästä sidottiin yhteensä 28 370 796 euroa; pitää myönteisenä määrärahojen korkeaa käyttöastetta;</w:t>
      </w:r>
    </w:p>
    <w:p w:rsidR="003B6D3B" w:rsidRPr="000F241C" w:rsidRDefault="000F241C" w:rsidP="0063610D">
      <w:pPr>
        <w:pStyle w:val="NormalHanging12a"/>
        <w:widowControl/>
      </w:pPr>
      <w:r w:rsidRPr="000F241C">
        <w:t>151</w:t>
      </w:r>
      <w:r w:rsidR="003B6D3B" w:rsidRPr="000F241C">
        <w:t>.</w:t>
      </w:r>
      <w:r w:rsidR="003B6D3B" w:rsidRPr="000F241C">
        <w:tab/>
        <w:t>panee tyytyväisenä merkille, että Luxemburgin yleiset turvallisuuspalvelutehtävät siirrettiin hoidettavaksi sisäisinä tehtävinä 1. tammikuuta 2022 alkaen; toteaa, että turvallisuusalan erikoistunutta henkilöstöä on vaikeaa houkutella ja rekrytoida kaikista jäsenvaltioista tehtäväryhmässä I tarjottujen ehtojen mukaisesti; muistuttaa Luxemburgin erityisestä tilanteesta, jossa tässä tehtäväryhmässä tarjottu palkka on alhaisempi kuin työehtosopimusten mukainen kansallinen vähimmäispalkka, minkä vuoksi parlamentin on maksettava täydentävää korvausta;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152</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huomauttaa, että turvallisuusasioiden pääosastolta pyydetään yhä useammin lisää ylimääräisiä ja poikkeuksellisia turvallisuuspalveluja kaikissa toimipaikoissa järjestettäviin suuriin tilaisuuksiin; toteaa näiden kasvavien tarpeiden täyttämisen olevan haasteellista parlamentin turvallisuuspalveluille, joiden henkilöstömäärä on kiinteä;</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153</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on tyytyväinen, että vierailijamäärä on palannut normaalille tasolle covid-19-pandemiaan liittyvien rajoitusten lieventämisen jälkeen vuonna 2022; on huolissaan siitä, että Brysselissä ei ole tilaa tapahtumien ja konferenssien osanottajien vastaanottoon ja akkreditointiin, mikä saattaa vaarantaa parlamentin turvallisuuden;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154</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pitää tärkeänä suunnitella Euroopan parlamentin yhteystoimistoihin ja Europa </w:t>
      </w:r>
      <w:proofErr w:type="spellStart"/>
      <w:r w:rsidR="003B6D3B" w:rsidRPr="000F241C">
        <w:rPr>
          <w14:textOutline w14:w="0" w14:cap="flat" w14:cmpd="sng" w14:algn="ctr">
            <w14:noFill/>
            <w14:prstDash w14:val="solid"/>
            <w14:bevel/>
          </w14:textOutline>
        </w:rPr>
        <w:t>Experience</w:t>
      </w:r>
      <w:proofErr w:type="spellEnd"/>
      <w:r w:rsidR="003B6D3B" w:rsidRPr="000F241C">
        <w:rPr>
          <w14:textOutline w14:w="0" w14:cap="flat" w14:cmpd="sng" w14:algn="ctr">
            <w14:noFill/>
            <w14:prstDash w14:val="solid"/>
            <w14:bevel/>
          </w14:textOutline>
        </w:rPr>
        <w:t xml:space="preserve"> -keskuksiin liittyvät hankkeet perusteellisesti etukäteen, jotta turvallisuuspalveluihin ja -laitteisiin liittyvät menot voidaan arvioida huolellisesti;</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 xml:space="preserve">Parlamentin talousarvioon varainhoitovuonna 2022 vaikuttavat monialaiset kysymykset </w:t>
      </w:r>
    </w:p>
    <w:p w:rsidR="003B6D3B" w:rsidRPr="000F241C" w:rsidRDefault="003B6D3B" w:rsidP="0063610D">
      <w:pPr>
        <w:keepNext/>
        <w:widowControl/>
        <w:spacing w:after="240"/>
        <w:rPr>
          <w:b/>
          <w:u w:val="single"/>
        </w:rPr>
      </w:pPr>
      <w:r w:rsidRPr="000F241C">
        <w:rPr>
          <w:b/>
          <w:u w:val="single"/>
        </w:rPr>
        <w:t>Häirintä</w:t>
      </w:r>
    </w:p>
    <w:p w:rsidR="003B6D3B" w:rsidRPr="000F241C" w:rsidRDefault="000F241C" w:rsidP="0063610D">
      <w:pPr>
        <w:pStyle w:val="NormalHanging12a"/>
        <w:widowControl/>
      </w:pPr>
      <w:r w:rsidRPr="000F241C">
        <w:t>155</w:t>
      </w:r>
      <w:r w:rsidR="003B6D3B" w:rsidRPr="000F241C">
        <w:t>.</w:t>
      </w:r>
      <w:r w:rsidR="003B6D3B" w:rsidRPr="000F241C">
        <w:tab/>
        <w:t>panee tyytyväisenä merkille parlamentin nollatoleranssilinjan häirinnän suhteen ja toteutetut tiedotuskampanjat; korostaa, että Euroopan parlamentin jäsenten asianmukaista käyttäytymistä koskevilla säännöillä pyritään varmistamaan, että jäsenet käyttäytyvät kaikkia Euroopan parlamentissa työskenteleviä kohtaan arvokkaasti, kohteliaasti ja kunnioittavasti sekä ilman ennakkoluulottoja tai syrjintää; muistuttaa, että vuonna 2022 koulutustilaisuuteen osallistui 56 parlamentin jäsentä; panee merkille, että marraskuussa 2018 tarjotuista ensimmäisistä koulutustilaisuuksista lähtien niihin on osallistunut yhteensä 324 nykyistä parlamentin jäsentä (46 prosenttia) sekä 56 entistä jäsentä, joiden toimikausi on päättynyt; panee merkille, että 106 henkilöstön jäsentä ja valtuutettua avustajaa osallistui vuonna 2022 häirinnän torjuntaa koskevaan koulutukseen; panee huolestuneena merkille, että häirintätapauksia esiintyy edelleen riippumatta toimista, joita on toteutettu työpaikkahäirinnän kitkemiseksi;</w:t>
      </w:r>
    </w:p>
    <w:p w:rsidR="003B6D3B" w:rsidRPr="000F241C" w:rsidRDefault="000F241C" w:rsidP="0063610D">
      <w:pPr>
        <w:pStyle w:val="NormalHanging12a"/>
        <w:widowControl/>
      </w:pPr>
      <w:r w:rsidRPr="000F241C">
        <w:lastRenderedPageBreak/>
        <w:t>156</w:t>
      </w:r>
      <w:r w:rsidR="003B6D3B" w:rsidRPr="000F241C">
        <w:t>.</w:t>
      </w:r>
      <w:r w:rsidR="003B6D3B" w:rsidRPr="000F241C">
        <w:tab/>
        <w:t>palauttaa mieliin, että aiemmissa vastuuvapausmenettelyissä on pyydetty, että kaikille jäsenille ja valtuutetuille avustajille sekä henkilöstölle, myös eri pääosastojen ja poliittisten ryhmien johtotehtävissä oleville henkilöille, annetaan häirinnän torjuntaa koskevaa pakollista koulutusta; toteaa, että auttaakseen luomaan Euroopan parlamenttiin paremman työympäristön ja välttämään mahdollista vallan väärinkäyttöä puhemiehistö hyväksyi lisäksi 10. heinäkuuta 2023 koulutuskonseptin onnistuneesta tiimin johtamisesta ja häirinnän ehkäisemisestä; on tyytyväinen puhemiehistön pyrkimyksiin tehdä häirinnän torjuntaa koskevasta koulutustilaisuudesta pakollinen kaikille jäsenille sekä yksikönpäälliköille, johtajille ja pääjohtajille;</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157</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korostaa, että jäsenille, jäsenten valtuutetuille avustajille ja henkilöstön jäsenille olisi tarjottava pakollista häirinnän vastaista koulutusta</w:t>
      </w:r>
      <w:r w:rsidR="00EE7E14" w:rsidRPr="000F241C">
        <w:rPr>
          <w14:textOutline w14:w="0" w14:cap="flat" w14:cmpd="sng" w14:algn="ctr">
            <w14:noFill/>
            <w14:prstDash w14:val="solid"/>
            <w14:bevel/>
          </w14:textOutline>
        </w:rPr>
        <w:t xml:space="preserve"> ja että kaikille henkilöstön jäsenille, myös häirinnän vastaisissa menettelyissä mukana olevalle terveydenhuoltohenkilöstölle, o</w:t>
      </w:r>
      <w:r w:rsidR="00630EDF" w:rsidRPr="000F241C">
        <w:rPr>
          <w14:textOutline w14:w="0" w14:cap="flat" w14:cmpd="sng" w14:algn="ctr">
            <w14:noFill/>
            <w14:prstDash w14:val="solid"/>
            <w14:bevel/>
          </w14:textOutline>
        </w:rPr>
        <w:t>lisi</w:t>
      </w:r>
      <w:r w:rsidR="00EE7E14" w:rsidRPr="000F241C">
        <w:rPr>
          <w14:textOutline w14:w="0" w14:cap="flat" w14:cmpd="sng" w14:algn="ctr">
            <w14:noFill/>
            <w14:prstDash w14:val="solid"/>
            <w14:bevel/>
          </w14:textOutline>
        </w:rPr>
        <w:t xml:space="preserve"> annettava erityinen koulutus näihin menettelyihin</w:t>
      </w:r>
      <w:r w:rsidR="003B6D3B" w:rsidRPr="000F241C">
        <w:rPr>
          <w14:textOutline w14:w="0" w14:cap="flat" w14:cmpd="sng" w14:algn="ctr">
            <w14:noFill/>
            <w14:prstDash w14:val="solid"/>
            <w14:bevel/>
          </w14:textOutline>
        </w:rPr>
        <w:t>;</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158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 xml:space="preserve">korostaa, että työpaikkakiusaamista ja sen ennaltaehkäisyä työpaikalla käsittelevä neuvoa-antava komitea vastaanotti vuonna 2022 kaksi kahden harjoittelijan tekemää valitusta; panee lisäksi merkille, että yksi henkilöstön jäsen otti komiteaan yhteyttä kuulemista varten; </w:t>
      </w:r>
    </w:p>
    <w:p w:rsidR="003B6D3B" w:rsidRPr="000F241C" w:rsidRDefault="000F241C" w:rsidP="0063610D">
      <w:pPr>
        <w:widowControl/>
        <w:spacing w:after="240"/>
        <w:ind w:left="567" w:hanging="567"/>
        <w:rPr>
          <w14:textOutline w14:w="0" w14:cap="flat" w14:cmpd="sng" w14:algn="ctr">
            <w14:noFill/>
            <w14:prstDash w14:val="solid"/>
            <w14:bevel/>
          </w14:textOutline>
        </w:rPr>
      </w:pPr>
      <w:r w:rsidRPr="000F241C">
        <w:rPr>
          <w14:textOutline w14:w="0" w14:cap="flat" w14:cmpd="sng" w14:algn="ctr">
            <w14:noFill/>
            <w14:prstDash w14:val="solid"/>
            <w14:bevel/>
          </w14:textOutline>
        </w:rPr>
        <w:t>159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korostaa, että jäsenistä tehtyjä työpaikkahäirintää koskevia valituksia käsittelevällä neuvoa-antavalla komitealla on valtuudet tutkia jäseniin kohdistuvia väitteitä, jotka koskevat työpaikkakiusaamista tai seksuaalista häirintää ja joita voivat esittää kaikki henkilöstöryhmät, mukaan lukien valtuutetut avustajat, harjoittelijat, kansalliset asiantuntijat ja poliittisten ryhmien henkilöstö; panee merkille, että puhemiehistö hyväksyi 20. marraskuuta 2023 lisätarkistuksia jäsenistä tehtyjä työpaikkahäirintää koskevia valituksia käsittelevän vastaavan neuvoa-antavan komitean toimintaa koskeviin sääntöihin parlamentin häirinnän vastaisten toimintalinjojen vahvistamiseksi entisestään;</w:t>
      </w:r>
      <w:r w:rsidR="008C54F0" w:rsidRPr="000F241C">
        <w:rPr>
          <w14:textOutline w14:w="0" w14:cap="flat" w14:cmpd="sng" w14:algn="ctr">
            <w14:noFill/>
            <w14:prstDash w14:val="solid"/>
            <w14:bevel/>
          </w14:textOutline>
        </w:rPr>
        <w:t xml:space="preserve"> kehottaa jälleen puhemiehistöä sisällyttämään molempiin neuvoa-antaviin komiteoihin häirintäkysymyksiä käsitteleviä riippumattomia asiantuntijoita, jotka avustavat komiteoita niiden tehtävien suorittamisessa;</w:t>
      </w:r>
    </w:p>
    <w:p w:rsidR="00D00F02" w:rsidRPr="000F241C" w:rsidRDefault="00D00F02" w:rsidP="0063610D">
      <w:pPr>
        <w:widowControl/>
        <w:spacing w:after="240"/>
        <w:ind w:left="567" w:hanging="567"/>
        <w:rPr>
          <w:szCs w:val="24"/>
          <w14:textOutline w14:w="0" w14:cap="flat" w14:cmpd="sng" w14:algn="ctr">
            <w14:noFill/>
            <w14:prstDash w14:val="solid"/>
            <w14:bevel/>
          </w14:textOutline>
        </w:rPr>
      </w:pPr>
      <w:r w:rsidRPr="000F241C">
        <w:rPr>
          <w:szCs w:val="24"/>
          <w14:textOutline w14:w="0" w14:cap="flat" w14:cmpd="sng" w14:algn="ctr">
            <w14:noFill/>
            <w14:prstDash w14:val="solid"/>
            <w14:bevel/>
          </w14:textOutline>
        </w:rPr>
        <w:t>1</w:t>
      </w:r>
      <w:r w:rsidR="00630EDF" w:rsidRPr="000F241C">
        <w:rPr>
          <w:szCs w:val="24"/>
          <w14:textOutline w14:w="0" w14:cap="flat" w14:cmpd="sng" w14:algn="ctr">
            <w14:noFill/>
            <w14:prstDash w14:val="solid"/>
            <w14:bevel/>
          </w14:textOutline>
        </w:rPr>
        <w:t>60</w:t>
      </w:r>
      <w:r w:rsidRPr="000F241C">
        <w:rPr>
          <w:szCs w:val="24"/>
          <w14:textOutline w14:w="0" w14:cap="flat" w14:cmpd="sng" w14:algn="ctr">
            <w14:noFill/>
            <w14:prstDash w14:val="solid"/>
            <w14:bevel/>
          </w14:textOutline>
        </w:rPr>
        <w:t>.</w:t>
      </w:r>
      <w:r w:rsidRPr="000F241C">
        <w:rPr>
          <w:szCs w:val="24"/>
          <w14:textOutline w14:w="0" w14:cap="flat" w14:cmpd="sng" w14:algn="ctr">
            <w14:noFill/>
            <w14:prstDash w14:val="solid"/>
            <w14:bevel/>
          </w14:textOutline>
        </w:rPr>
        <w:tab/>
        <w:t>korostaa, että seksuaalinen ja työpaikkahäirintä ei ole hyväksyttävää missään olosuhteissa; muistuttaa, että parlamentti on onnistuneesti perustanut häirintätapauksia varten useita yhteyspisteitä, kuten jäseniä koskevia työpaikkahäirintää koskevia valituksia käsittelevä neuvoa-antava komitea, työpaikkakiusaamista ja sen ennaltaehkäisyä työpaikalla käsittelevä neuvoa-antava komitea sekä häirintäyhdyshenkilöt; on erittäin huolissaan tiedotusvälineissä esiin tulleista paljastuksista, joiden mukaan eräs jäsen on harjoittanut vuodesta 2022 lähtien seksuaalista häirintää, johon ei ole puututtu; muistuttaa, että kaikkia poliittisia ryhmiä kannustetaan voimakkaasti ilmoittamaan mahdollisista tapauksista näille komiteoille ja että ulkoisten rakenteiden perustaminen samaa tarkoitusta varten johtaa parlamentin häirintäprotokollan kiertämiseen ja luo kaksitasoisen järjestelmän; korostaa tämän aiheuttavan suurta epävarmuutta uhreille ja asettavan eri poliittiset puolueet eri sääntöjen eteen;</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161</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vuonna 2022 toimielimeltä pyysi</w:t>
      </w:r>
      <w:r w:rsidR="00BC0D13">
        <w:rPr>
          <w14:textOutline w14:w="0" w14:cap="flat" w14:cmpd="sng" w14:algn="ctr">
            <w14:noFill/>
            <w14:prstDash w14:val="solid"/>
            <w14:bevel/>
          </w14:textOutline>
        </w:rPr>
        <w:t xml:space="preserve"> apua 13 henkilöstön jäsentä (9 </w:t>
      </w:r>
      <w:r w:rsidR="003B6D3B" w:rsidRPr="000F241C">
        <w:rPr>
          <w14:textOutline w14:w="0" w14:cap="flat" w14:cmpd="sng" w14:algn="ctr">
            <w14:noFill/>
            <w14:prstDash w14:val="solid"/>
            <w14:bevel/>
          </w14:textOutline>
        </w:rPr>
        <w:t>vuonna 2021) henkilöstösääntöjen 24 artiklan nojalla; huomauttaa, että kuusi tapausta (verrattuna viiteen vuonna 2021) liittyi väitettyyn häirintään; korostaa, että yksikään asianomaisista henkilöstön jäsenistä ei ollut virkamiehiä ja että kaikki kuusi olivat valtuutettuja avustajia tai entisiä valtuutettuja avustajia;</w:t>
      </w:r>
    </w:p>
    <w:p w:rsidR="003B6D3B" w:rsidRPr="000F241C" w:rsidRDefault="000F241C" w:rsidP="0063610D">
      <w:pPr>
        <w:pStyle w:val="NormalHanging12a"/>
        <w:widowControl/>
      </w:pPr>
      <w:r w:rsidRPr="000F241C">
        <w:lastRenderedPageBreak/>
        <w:t>162</w:t>
      </w:r>
      <w:r w:rsidR="003B6D3B" w:rsidRPr="000F241C">
        <w:t>.</w:t>
      </w:r>
      <w:r w:rsidR="003B6D3B" w:rsidRPr="000F241C">
        <w:tab/>
        <w:t>toteaa, että olisi myös otettava huomioon tapaukset, joissa häirintää parlamentin jäsenen avustajaa kohtaan harjoittaa toinen parlamentin jäsenen avustaja tai parlamentin virkamies;</w:t>
      </w:r>
    </w:p>
    <w:p w:rsidR="003B6D3B" w:rsidRPr="000F241C" w:rsidRDefault="003B6D3B" w:rsidP="0063610D">
      <w:pPr>
        <w:keepNext/>
        <w:widowControl/>
        <w:spacing w:after="240"/>
        <w:rPr>
          <w:noProof/>
          <w:u w:val="single"/>
        </w:rPr>
      </w:pPr>
      <w:r w:rsidRPr="000F241C">
        <w:rPr>
          <w:b/>
          <w:u w:val="single"/>
        </w:rPr>
        <w:t>Väärinkäytösten paljastajat</w:t>
      </w:r>
    </w:p>
    <w:p w:rsidR="003B6D3B" w:rsidRPr="000F241C" w:rsidRDefault="000F241C" w:rsidP="0063610D">
      <w:pPr>
        <w:pStyle w:val="NormalHanging12a"/>
        <w:widowControl/>
      </w:pPr>
      <w:r w:rsidRPr="000F241C">
        <w:t>163</w:t>
      </w:r>
      <w:r w:rsidR="003B6D3B" w:rsidRPr="000F241C">
        <w:t>.</w:t>
      </w:r>
      <w:r w:rsidR="003B6D3B" w:rsidRPr="000F241C">
        <w:tab/>
        <w:t xml:space="preserve">muistuttaa, että unionin toimielinten henkilöstön jäsenillä on velvollisuus ilmoittaa kaikki tiedot, jotka viittaavat korruptioon, petoksiin ja muihin vakaviin sääntöjenvastaisuuksiin, joita he toimessaan havaitsevat; panee merkille, että parlamentti kirjasi yhden väärinkäytösten paljastamistapauksen vuonna 2022; panee tyytyväisenä merkille vuonna 2022 toteutetut toimet henkilöstösääntöjen 22 c artiklan täytäntöönpanoa koskevien, 4. joulukuuta 2015 annettujen sisäisten sääntöjen päivittämiseksi kattavammilla ja yksityiskohtaisemmilla sisäisillä säännöillä; panee tyytyväisenä merkille, että puhemiehistön päätös väärinkäytösten paljastamista koskevista sisäisistä säännöistä hyväksyttiin 20. marraskuuta 2023 ja sitä sovelletaan 1. joulukuuta 2023 alkaen; toteaa, että siihen sisältyy myös säännöksiä väärinkäytösten paljastajien suojelusta, todisteiden toimittamisesta </w:t>
      </w:r>
      <w:proofErr w:type="spellStart"/>
      <w:r w:rsidR="003B6D3B" w:rsidRPr="000F241C">
        <w:t>OLAFille</w:t>
      </w:r>
      <w:proofErr w:type="spellEnd"/>
      <w:r w:rsidR="003B6D3B" w:rsidRPr="000F241C">
        <w:t xml:space="preserve"> ja tarvittaessa </w:t>
      </w:r>
      <w:proofErr w:type="spellStart"/>
      <w:r w:rsidR="003B6D3B" w:rsidRPr="000F241C">
        <w:t>EPPOlle</w:t>
      </w:r>
      <w:proofErr w:type="spellEnd"/>
      <w:r w:rsidR="003B6D3B" w:rsidRPr="000F241C">
        <w:t xml:space="preserve"> sekä valitusten käsittelyn määräajoista;</w:t>
      </w:r>
    </w:p>
    <w:p w:rsidR="003B6D3B" w:rsidRPr="000F241C" w:rsidRDefault="000F241C" w:rsidP="0063610D">
      <w:pPr>
        <w:pStyle w:val="NormalHanging12a"/>
        <w:widowControl/>
      </w:pPr>
      <w:r w:rsidRPr="000F241C">
        <w:t>164</w:t>
      </w:r>
      <w:r w:rsidR="003B6D3B" w:rsidRPr="000F241C">
        <w:t>.</w:t>
      </w:r>
      <w:r w:rsidR="003B6D3B" w:rsidRPr="000F241C">
        <w:tab/>
        <w:t xml:space="preserve">toteaa, että väärinkäytösten paljastamista koskevista sisäisistä säännöistä annetun puhemiehistön ilmoituksen </w:t>
      </w:r>
      <w:r w:rsidR="00BC0D13">
        <w:t>N:o </w:t>
      </w:r>
      <w:r w:rsidR="003B6D3B" w:rsidRPr="000F241C">
        <w:t>18/2023 mukaisesti ja ottaen huomioon valtuutettujen avustajien ja henkilöstön jäsenten velvollisuuden ilmoittaa mahdollisista rikkomuksista on välttämätöntä, että myös kaikki parlamentin yksiköt velvoitetaan ilmoittamaan kaikista tiedoista, joita niillä on petoksista, varainhoitosääntöjen rikkomisesta tai parlamentin eettisten sääntöjen vastaisesta toiminnasta; toteaa, että tämä velvoite koskee kaikkia tällaisia tietoja niiden luottamuksellisuudesta riippumatta ja että tiedot olisi ilmoitettava asiasta vastaavalle parlamentin yksikölle;</w:t>
      </w:r>
    </w:p>
    <w:p w:rsidR="003B6D3B" w:rsidRPr="000F241C" w:rsidRDefault="003B6D3B" w:rsidP="0063610D">
      <w:pPr>
        <w:keepNext/>
        <w:widowControl/>
        <w:spacing w:after="240"/>
        <w:rPr>
          <w:b/>
          <w:noProof/>
          <w:u w:val="single"/>
        </w:rPr>
      </w:pPr>
      <w:r w:rsidRPr="000F241C">
        <w:rPr>
          <w:b/>
          <w:u w:val="single"/>
        </w:rPr>
        <w:t>Vapaaehtoinen eläkerahasto</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165</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vapaaehtoisen eläkerahaston vakuutusmatemaattinen alijäämä 31. joulukuuta 2021 oli 379 miljoonaa euroa (31. joulukuuta 2020 se oli 371,4 miljoonaa euroa); suhtautuu myönteisesti 1. heinäkuuta 2023 voimaan tulleisiin muutoksiin, jotka parlamentin puhemiehistö teki jäsenten asemaa koskevien sääntöjen soveltamisohjeiden 76 artiklaan (vapaaehtoisen) lisäeläkejärjestelmän osalta ja joilla pyritään vähentämään tulevia eläkevelvoitteita 362,7 miljoonasta eurosta arviolta 139 miljoonaan euroon ja rahaston vakuutusmatemaattista alijäämää 310 miljoonasta eurosta arviolta 86 miljoonaan euroon;</w:t>
      </w:r>
    </w:p>
    <w:p w:rsidR="003B6D3B" w:rsidRPr="000F241C" w:rsidRDefault="000F241C" w:rsidP="0063610D">
      <w:pPr>
        <w:pStyle w:val="NormalHanging12a"/>
        <w:widowControl/>
      </w:pPr>
      <w:r w:rsidRPr="000F241C">
        <w:t>166</w:t>
      </w:r>
      <w:r w:rsidR="003B6D3B" w:rsidRPr="000F241C">
        <w:t>.</w:t>
      </w:r>
      <w:r w:rsidR="003B6D3B" w:rsidRPr="000F241C">
        <w:tab/>
        <w:t>panee tyytyväisenä merkille puhemiehistön tekemät viimeisimmät päätökset; muistuttaa, että ongelmaa on silti vielä käsiteltävä tulevaisuudessa, koska rahaston varojen ennakoidaan ehtyvän viimeistään vuonna 2027; toteaa, että parlamentti ei osallistu vapaaehtoisen eläkerahaston sijoitussalkun hallinnointiin; kehottaa rahastonhoitajaa kuitenkin arvioimaan asianmukaisesti rahaston sijoitusten mahdollista maineriskiä; panee merkille, että myös Euroopan unionin tuomioistuimen viimeisimpien tuomioiden oikeudellinen arviointi ja niiden seuraukset puhemiehistön tulevien päätösten kannalta annettiin puhemiehistön jäsenten saataville, jotta he voivat tehdä tietoon perustuvan päätöksen; panee merkille, että Euroopan unionin tuomioistuimessa on vireillä muutoksenhakuja ja että asiaa on käsiteltävä uudelleen sen jälkeen, kun tuomiot on annettu;</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lastRenderedPageBreak/>
        <w:t>1</w:t>
      </w:r>
      <w:r w:rsidR="00630EDF" w:rsidRPr="000F241C">
        <w:rPr>
          <w14:textOutline w14:w="0" w14:cap="flat" w14:cmpd="sng" w14:algn="ctr">
            <w14:noFill/>
            <w14:prstDash w14:val="solid"/>
            <w14:bevel/>
          </w14:textOutline>
        </w:rPr>
        <w:t>67</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pyytää hallintoa</w:t>
      </w:r>
      <w:r w:rsidR="00630EDF" w:rsidRPr="000F241C">
        <w:rPr>
          <w14:textOutline w14:w="0" w14:cap="flat" w14:cmpd="sng" w14:algn="ctr">
            <w14:noFill/>
            <w14:prstDash w14:val="solid"/>
            <w14:bevel/>
          </w14:textOutline>
        </w:rPr>
        <w:t xml:space="preserve"> ja puhemiehistöä</w:t>
      </w:r>
      <w:r w:rsidRPr="000F241C">
        <w:rPr>
          <w14:textOutline w14:w="0" w14:cap="flat" w14:cmpd="sng" w14:algn="ctr">
            <w14:noFill/>
            <w14:prstDash w14:val="solid"/>
            <w14:bevel/>
          </w14:textOutline>
        </w:rPr>
        <w:t xml:space="preserve"> </w:t>
      </w:r>
      <w:r w:rsidR="0045129B" w:rsidRPr="000F241C">
        <w:rPr>
          <w14:textOutline w14:w="0" w14:cap="flat" w14:cmpd="sng" w14:algn="ctr">
            <w14:noFill/>
            <w14:prstDash w14:val="solid"/>
            <w14:bevel/>
          </w14:textOutline>
        </w:rPr>
        <w:t>käsittelemään asiaa vielä kerran vapaaehtoisen eläkerahaston tulevaisuuden suunnittelemiseksi mutta vasta sen jälkeen, kun tuomioistuin on laatinut oikeudellisen arvionsa</w:t>
      </w:r>
      <w:r w:rsidRPr="000F241C">
        <w:rPr>
          <w14:textOutline w14:w="0" w14:cap="flat" w14:cmpd="sng" w14:algn="ctr">
            <w14:noFill/>
            <w14:prstDash w14:val="solid"/>
            <w14:bevel/>
          </w14:textOutline>
        </w:rPr>
        <w:t>;</w:t>
      </w:r>
    </w:p>
    <w:p w:rsidR="003B6D3B" w:rsidRPr="000F241C" w:rsidRDefault="003B6D3B" w:rsidP="0063610D">
      <w:pPr>
        <w:widowControl/>
        <w:spacing w:after="240"/>
        <w:ind w:left="567" w:hanging="567"/>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Vuosikertomus tehdyistä hankintasopimuksista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168</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palauttaa mieliin, että varainhoitoasetuksessa määritellään tiedot, jotka toimielimen tekemistä sopimuksista on toimitettava budjettivallan käyttäjälle ja kansalaisille; toteaa, että varainhoitoasetuksessa vaaditaan julkistamaan tehdyt sopimukset, joiden arvo on yli 15 000 euroa, ja että kyseessä on raja-arvo, jonka ylittyessä tarjouskilpailumenettely on pakollinen; panee merkille, että vuonna 2022 tehtiin yhteensä 194 hankintasopimusta, joista 63 perustui avoimeen menettelyyn ja niiden arvo oli 359,3 miljoonaa euroa ja yksi perustui rajoitettuun menettelyyn ja sen arvo oli 460 000 euroa; panee merkille, että neuvottelumenettelyissä tehtiin 126 sopimusta, joiden arvo oli 48 miljoonaa euroa;</w:t>
      </w:r>
    </w:p>
    <w:p w:rsidR="003B6D3B" w:rsidRPr="000F241C" w:rsidRDefault="000F241C"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169</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että tehtyjen sopimusten kokonaismäärä väheni vuonna 2022 (194) vuoteen 2021 verrattuna (221); panee merkille huomattavan vähennyksen sopimusten kattamissa määrissä, jotka vuonna 2022 olivat 410 miljoonaa euroa, kun ne vuonna 2021 olivat 1 016 miljoonaa euroa;</w:t>
      </w:r>
    </w:p>
    <w:p w:rsidR="003B6D3B" w:rsidRPr="000F241C" w:rsidRDefault="000F241C" w:rsidP="0063610D">
      <w:pPr>
        <w:widowControl/>
        <w:spacing w:after="240"/>
        <w:ind w:left="567" w:hanging="567"/>
        <w:rPr>
          <w14:textOutline w14:w="0" w14:cap="flat" w14:cmpd="sng" w14:algn="ctr">
            <w14:noFill/>
            <w14:prstDash w14:val="solid"/>
            <w14:bevel/>
          </w14:textOutline>
        </w:rPr>
      </w:pPr>
      <w:r w:rsidRPr="000F241C">
        <w:rPr>
          <w14:textOutline w14:w="0" w14:cap="flat" w14:cmpd="sng" w14:algn="ctr">
            <w14:noFill/>
            <w14:prstDash w14:val="solid"/>
            <w14:bevel/>
          </w14:textOutline>
        </w:rPr>
        <w:t>170</w:t>
      </w:r>
      <w:r w:rsidR="003B6D3B" w:rsidRPr="000F241C">
        <w:rPr>
          <w14:textOutline w14:w="0" w14:cap="flat" w14:cmpd="sng" w14:algn="ctr">
            <w14:noFill/>
            <w14:prstDash w14:val="solid"/>
            <w14:bevel/>
          </w14:textOutline>
        </w:rPr>
        <w:t>.</w:t>
      </w:r>
      <w:r w:rsidR="003B6D3B" w:rsidRPr="000F241C">
        <w:rPr>
          <w14:textOutline w14:w="0" w14:cap="flat" w14:cmpd="sng" w14:algn="ctr">
            <w14:noFill/>
            <w14:prstDash w14:val="solid"/>
            <w14:bevel/>
          </w14:textOutline>
        </w:rPr>
        <w:tab/>
        <w:t>panee merkille seuraavan eritelmän vuosina 2022 ja 2021 tehdyistä sopimustyypeistä, mukaan lukien rakennussopimukset:</w:t>
      </w:r>
    </w:p>
    <w:p w:rsidR="007B325B" w:rsidRPr="000F241C" w:rsidRDefault="007B325B" w:rsidP="0063610D">
      <w:pPr>
        <w:widowControl/>
        <w:spacing w:after="240"/>
        <w:ind w:left="567" w:hanging="567"/>
        <w:rPr>
          <w:szCs w:val="24"/>
          <w14:textOutline w14:w="0" w14:cap="flat" w14:cmpd="sng" w14:algn="ctr">
            <w14:noFill/>
            <w14:prstDash w14:val="solid"/>
            <w14:bevel/>
          </w14:textOutline>
        </w:rPr>
      </w:pPr>
    </w:p>
    <w:tbl>
      <w:tblPr>
        <w:tblStyle w:val="TableGrid"/>
        <w:tblW w:w="5000" w:type="pct"/>
        <w:tblLook w:val="04A0" w:firstRow="1" w:lastRow="0" w:firstColumn="1" w:lastColumn="0" w:noHBand="0" w:noVBand="1"/>
      </w:tblPr>
      <w:tblGrid>
        <w:gridCol w:w="2349"/>
        <w:gridCol w:w="1979"/>
        <w:gridCol w:w="1578"/>
        <w:gridCol w:w="1578"/>
        <w:gridCol w:w="1576"/>
      </w:tblGrid>
      <w:tr w:rsidR="003B6D3B" w:rsidRPr="000F241C" w:rsidTr="0063610D">
        <w:trPr>
          <w:trHeight w:val="300"/>
        </w:trPr>
        <w:tc>
          <w:tcPr>
            <w:tcW w:w="1296" w:type="pct"/>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Sopimustyyppi</w:t>
            </w:r>
          </w:p>
        </w:tc>
        <w:tc>
          <w:tcPr>
            <w:tcW w:w="1963"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2021</w:t>
            </w:r>
          </w:p>
        </w:tc>
        <w:tc>
          <w:tcPr>
            <w:tcW w:w="1741"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2022</w:t>
            </w:r>
          </w:p>
        </w:tc>
      </w:tr>
      <w:tr w:rsidR="003B6D3B" w:rsidRPr="000F241C" w:rsidTr="0063610D">
        <w:trPr>
          <w:trHeight w:val="315"/>
        </w:trPr>
        <w:tc>
          <w:tcPr>
            <w:tcW w:w="1296" w:type="pct"/>
            <w:vMerge/>
            <w:hideMark/>
          </w:tcPr>
          <w:p w:rsidR="003B6D3B" w:rsidRPr="000F241C" w:rsidRDefault="003B6D3B" w:rsidP="0063610D">
            <w:pPr>
              <w:widowControl/>
              <w:rPr>
                <w:b/>
                <w:bCs/>
                <w:color w:val="000000" w:themeColor="text1"/>
                <w:szCs w:val="24"/>
              </w:rPr>
            </w:pPr>
          </w:p>
        </w:tc>
        <w:tc>
          <w:tcPr>
            <w:tcW w:w="1963" w:type="pct"/>
            <w:gridSpan w:val="2"/>
            <w:vMerge/>
            <w:hideMark/>
          </w:tcPr>
          <w:p w:rsidR="003B6D3B" w:rsidRPr="000F241C" w:rsidRDefault="003B6D3B" w:rsidP="0063610D">
            <w:pPr>
              <w:widowControl/>
              <w:rPr>
                <w:b/>
                <w:bCs/>
                <w:color w:val="000000" w:themeColor="text1"/>
                <w:szCs w:val="24"/>
              </w:rPr>
            </w:pPr>
          </w:p>
        </w:tc>
        <w:tc>
          <w:tcPr>
            <w:tcW w:w="1741" w:type="pct"/>
            <w:gridSpan w:val="2"/>
            <w:vMerge/>
            <w:hideMark/>
          </w:tcPr>
          <w:p w:rsidR="003B6D3B" w:rsidRPr="000F241C" w:rsidRDefault="003B6D3B" w:rsidP="0063610D">
            <w:pPr>
              <w:widowControl/>
              <w:rPr>
                <w:b/>
                <w:bCs/>
                <w:color w:val="000000" w:themeColor="text1"/>
                <w:szCs w:val="24"/>
              </w:rPr>
            </w:pPr>
          </w:p>
        </w:tc>
      </w:tr>
      <w:tr w:rsidR="003B6D3B" w:rsidRPr="000F241C" w:rsidTr="0063610D">
        <w:trPr>
          <w:trHeight w:val="315"/>
        </w:trPr>
        <w:tc>
          <w:tcPr>
            <w:tcW w:w="1296" w:type="pct"/>
            <w:vMerge/>
            <w:hideMark/>
          </w:tcPr>
          <w:p w:rsidR="003B6D3B" w:rsidRPr="000F241C" w:rsidRDefault="003B6D3B" w:rsidP="0063610D">
            <w:pPr>
              <w:widowControl/>
              <w:rPr>
                <w:b/>
                <w:bCs/>
                <w:color w:val="000000" w:themeColor="text1"/>
                <w:szCs w:val="24"/>
              </w:rPr>
            </w:pPr>
          </w:p>
        </w:tc>
        <w:tc>
          <w:tcPr>
            <w:tcW w:w="1092" w:type="pct"/>
            <w:hideMark/>
          </w:tcPr>
          <w:p w:rsidR="003B6D3B" w:rsidRPr="000F241C" w:rsidRDefault="003B6D3B" w:rsidP="0063610D">
            <w:pPr>
              <w:widowControl/>
              <w:jc w:val="center"/>
              <w:rPr>
                <w:b/>
                <w:bCs/>
                <w:color w:val="000000" w:themeColor="text1"/>
                <w:szCs w:val="24"/>
              </w:rPr>
            </w:pPr>
            <w:r w:rsidRPr="000F241C">
              <w:rPr>
                <w:b/>
                <w:color w:val="000000" w:themeColor="text1"/>
              </w:rPr>
              <w:t>Lukumäärä</w:t>
            </w:r>
          </w:p>
        </w:tc>
        <w:tc>
          <w:tcPr>
            <w:tcW w:w="871"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c>
          <w:tcPr>
            <w:tcW w:w="871" w:type="pct"/>
            <w:hideMark/>
          </w:tcPr>
          <w:p w:rsidR="003B6D3B" w:rsidRPr="000F241C" w:rsidRDefault="003B6D3B" w:rsidP="0063610D">
            <w:pPr>
              <w:widowControl/>
              <w:jc w:val="center"/>
              <w:rPr>
                <w:b/>
                <w:bCs/>
                <w:color w:val="000000" w:themeColor="text1"/>
                <w:szCs w:val="24"/>
              </w:rPr>
            </w:pPr>
            <w:r w:rsidRPr="000F241C">
              <w:rPr>
                <w:b/>
                <w:color w:val="000000" w:themeColor="text1"/>
              </w:rPr>
              <w:t>Lukumäärä</w:t>
            </w:r>
          </w:p>
        </w:tc>
        <w:tc>
          <w:tcPr>
            <w:tcW w:w="870"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r>
      <w:tr w:rsidR="003B6D3B" w:rsidRPr="000F241C" w:rsidTr="0063610D">
        <w:trPr>
          <w:trHeight w:val="300"/>
        </w:trPr>
        <w:tc>
          <w:tcPr>
            <w:tcW w:w="1296" w:type="pct"/>
            <w:hideMark/>
          </w:tcPr>
          <w:p w:rsidR="003B6D3B" w:rsidRPr="000F241C" w:rsidRDefault="003B6D3B" w:rsidP="0063610D">
            <w:pPr>
              <w:widowControl/>
              <w:rPr>
                <w:color w:val="000000" w:themeColor="text1"/>
                <w:szCs w:val="24"/>
              </w:rPr>
            </w:pPr>
            <w:r w:rsidRPr="000F241C">
              <w:rPr>
                <w:color w:val="000000" w:themeColor="text1"/>
              </w:rPr>
              <w:t> </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 </w:t>
            </w:r>
          </w:p>
        </w:tc>
        <w:tc>
          <w:tcPr>
            <w:tcW w:w="871" w:type="pct"/>
            <w:hideMark/>
          </w:tcPr>
          <w:p w:rsidR="003B6D3B" w:rsidRPr="000F241C" w:rsidRDefault="003B6D3B" w:rsidP="0063610D">
            <w:pPr>
              <w:widowControl/>
              <w:rPr>
                <w:color w:val="000000" w:themeColor="text1"/>
                <w:szCs w:val="24"/>
              </w:rPr>
            </w:pPr>
            <w:r w:rsidRPr="000F241C">
              <w:rPr>
                <w:color w:val="000000" w:themeColor="text1"/>
              </w:rPr>
              <w:t> </w:t>
            </w:r>
          </w:p>
        </w:tc>
        <w:tc>
          <w:tcPr>
            <w:tcW w:w="871" w:type="pct"/>
          </w:tcPr>
          <w:p w:rsidR="003B6D3B" w:rsidRPr="000F241C" w:rsidRDefault="003B6D3B" w:rsidP="0063610D">
            <w:pPr>
              <w:widowControl/>
              <w:rPr>
                <w:color w:val="000000" w:themeColor="text1"/>
                <w:szCs w:val="24"/>
              </w:rPr>
            </w:pPr>
          </w:p>
        </w:tc>
        <w:tc>
          <w:tcPr>
            <w:tcW w:w="870" w:type="pct"/>
          </w:tcPr>
          <w:p w:rsidR="003B6D3B" w:rsidRPr="000F241C" w:rsidRDefault="003B6D3B" w:rsidP="0063610D">
            <w:pPr>
              <w:widowControl/>
              <w:jc w:val="right"/>
              <w:rPr>
                <w:color w:val="000000" w:themeColor="text1"/>
                <w:szCs w:val="24"/>
              </w:rPr>
            </w:pP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Kiinteistöt</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8</w:t>
            </w:r>
          </w:p>
        </w:tc>
        <w:tc>
          <w:tcPr>
            <w:tcW w:w="871" w:type="pct"/>
            <w:hideMark/>
          </w:tcPr>
          <w:p w:rsidR="003B6D3B" w:rsidRPr="000F241C" w:rsidRDefault="003B6D3B" w:rsidP="0063610D">
            <w:pPr>
              <w:widowControl/>
              <w:jc w:val="center"/>
              <w:rPr>
                <w:color w:val="000000" w:themeColor="text1"/>
                <w:szCs w:val="24"/>
              </w:rPr>
            </w:pPr>
            <w:r w:rsidRPr="000F241C">
              <w:rPr>
                <w:color w:val="000000" w:themeColor="text1"/>
              </w:rPr>
              <w:t>3,6 %</w:t>
            </w:r>
          </w:p>
        </w:tc>
        <w:tc>
          <w:tcPr>
            <w:tcW w:w="871" w:type="pct"/>
          </w:tcPr>
          <w:p w:rsidR="003B6D3B" w:rsidRPr="000F241C" w:rsidRDefault="003B6D3B" w:rsidP="0063610D">
            <w:pPr>
              <w:widowControl/>
              <w:jc w:val="center"/>
              <w:rPr>
                <w:color w:val="000000" w:themeColor="text1"/>
                <w:szCs w:val="24"/>
              </w:rPr>
            </w:pPr>
            <w:r w:rsidRPr="000F241C">
              <w:rPr>
                <w:color w:val="000000" w:themeColor="text1"/>
              </w:rPr>
              <w:t>2</w:t>
            </w:r>
          </w:p>
        </w:tc>
        <w:tc>
          <w:tcPr>
            <w:tcW w:w="870" w:type="pct"/>
          </w:tcPr>
          <w:p w:rsidR="003B6D3B" w:rsidRPr="000F241C" w:rsidRDefault="003B6D3B" w:rsidP="0063610D">
            <w:pPr>
              <w:widowControl/>
              <w:jc w:val="center"/>
              <w:rPr>
                <w:color w:val="000000" w:themeColor="text1"/>
                <w:szCs w:val="24"/>
              </w:rPr>
            </w:pPr>
            <w:r w:rsidRPr="000F241C">
              <w:rPr>
                <w:color w:val="000000" w:themeColor="text1"/>
              </w:rPr>
              <w:t>1 %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Palvelut</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176</w:t>
            </w:r>
          </w:p>
        </w:tc>
        <w:tc>
          <w:tcPr>
            <w:tcW w:w="871" w:type="pct"/>
            <w:hideMark/>
          </w:tcPr>
          <w:p w:rsidR="003B6D3B" w:rsidRPr="000F241C" w:rsidRDefault="003B6D3B" w:rsidP="0063610D">
            <w:pPr>
              <w:widowControl/>
              <w:jc w:val="center"/>
              <w:rPr>
                <w:color w:val="000000" w:themeColor="text1"/>
                <w:szCs w:val="24"/>
              </w:rPr>
            </w:pPr>
            <w:r w:rsidRPr="000F241C">
              <w:rPr>
                <w:color w:val="000000" w:themeColor="text1"/>
              </w:rPr>
              <w:t>79,6 %</w:t>
            </w:r>
          </w:p>
        </w:tc>
        <w:tc>
          <w:tcPr>
            <w:tcW w:w="871" w:type="pct"/>
          </w:tcPr>
          <w:p w:rsidR="003B6D3B" w:rsidRPr="000F241C" w:rsidRDefault="003B6D3B" w:rsidP="0063610D">
            <w:pPr>
              <w:widowControl/>
              <w:jc w:val="center"/>
              <w:rPr>
                <w:color w:val="000000" w:themeColor="text1"/>
                <w:szCs w:val="24"/>
              </w:rPr>
            </w:pPr>
            <w:r w:rsidRPr="000F241C">
              <w:rPr>
                <w:color w:val="000000" w:themeColor="text1"/>
              </w:rPr>
              <w:t>169</w:t>
            </w:r>
          </w:p>
        </w:tc>
        <w:tc>
          <w:tcPr>
            <w:tcW w:w="870" w:type="pct"/>
          </w:tcPr>
          <w:p w:rsidR="003B6D3B" w:rsidRPr="000F241C" w:rsidRDefault="003B6D3B" w:rsidP="0063610D">
            <w:pPr>
              <w:widowControl/>
              <w:jc w:val="center"/>
              <w:rPr>
                <w:color w:val="000000" w:themeColor="text1"/>
                <w:szCs w:val="24"/>
              </w:rPr>
            </w:pPr>
            <w:r w:rsidRPr="000F241C">
              <w:rPr>
                <w:color w:val="000000" w:themeColor="text1"/>
              </w:rPr>
              <w:t>87 %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Toimitettavat tavarat</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27</w:t>
            </w:r>
          </w:p>
        </w:tc>
        <w:tc>
          <w:tcPr>
            <w:tcW w:w="871" w:type="pct"/>
            <w:hideMark/>
          </w:tcPr>
          <w:p w:rsidR="003B6D3B" w:rsidRPr="000F241C" w:rsidRDefault="003B6D3B" w:rsidP="0063610D">
            <w:pPr>
              <w:widowControl/>
              <w:jc w:val="center"/>
              <w:rPr>
                <w:color w:val="000000" w:themeColor="text1"/>
                <w:szCs w:val="24"/>
              </w:rPr>
            </w:pPr>
            <w:r w:rsidRPr="000F241C">
              <w:rPr>
                <w:color w:val="000000" w:themeColor="text1"/>
              </w:rPr>
              <w:t>12,2 %</w:t>
            </w:r>
          </w:p>
        </w:tc>
        <w:tc>
          <w:tcPr>
            <w:tcW w:w="871" w:type="pct"/>
          </w:tcPr>
          <w:p w:rsidR="003B6D3B" w:rsidRPr="000F241C" w:rsidRDefault="003B6D3B" w:rsidP="0063610D">
            <w:pPr>
              <w:widowControl/>
              <w:jc w:val="center"/>
              <w:rPr>
                <w:color w:val="000000" w:themeColor="text1"/>
                <w:szCs w:val="24"/>
              </w:rPr>
            </w:pPr>
            <w:r w:rsidRPr="000F241C">
              <w:rPr>
                <w:color w:val="000000" w:themeColor="text1"/>
              </w:rPr>
              <w:t>17</w:t>
            </w:r>
          </w:p>
        </w:tc>
        <w:tc>
          <w:tcPr>
            <w:tcW w:w="870" w:type="pct"/>
          </w:tcPr>
          <w:p w:rsidR="003B6D3B" w:rsidRPr="000F241C" w:rsidRDefault="003B6D3B" w:rsidP="0063610D">
            <w:pPr>
              <w:widowControl/>
              <w:jc w:val="center"/>
              <w:rPr>
                <w:color w:val="000000" w:themeColor="text1"/>
                <w:szCs w:val="24"/>
              </w:rPr>
            </w:pPr>
            <w:r w:rsidRPr="000F241C">
              <w:rPr>
                <w:color w:val="000000" w:themeColor="text1"/>
              </w:rPr>
              <w:t>9 %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Urakat</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10</w:t>
            </w:r>
          </w:p>
        </w:tc>
        <w:tc>
          <w:tcPr>
            <w:tcW w:w="871" w:type="pct"/>
            <w:hideMark/>
          </w:tcPr>
          <w:p w:rsidR="003B6D3B" w:rsidRPr="000F241C" w:rsidRDefault="003B6D3B" w:rsidP="0063610D">
            <w:pPr>
              <w:widowControl/>
              <w:jc w:val="center"/>
              <w:rPr>
                <w:color w:val="000000" w:themeColor="text1"/>
                <w:szCs w:val="24"/>
              </w:rPr>
            </w:pPr>
            <w:r w:rsidRPr="000F241C">
              <w:rPr>
                <w:color w:val="000000" w:themeColor="text1"/>
              </w:rPr>
              <w:t>4,5 %</w:t>
            </w:r>
          </w:p>
        </w:tc>
        <w:tc>
          <w:tcPr>
            <w:tcW w:w="871" w:type="pct"/>
          </w:tcPr>
          <w:p w:rsidR="003B6D3B" w:rsidRPr="000F241C" w:rsidRDefault="003B6D3B" w:rsidP="0063610D">
            <w:pPr>
              <w:widowControl/>
              <w:jc w:val="center"/>
              <w:rPr>
                <w:color w:val="000000" w:themeColor="text1"/>
                <w:szCs w:val="24"/>
              </w:rPr>
            </w:pPr>
            <w:r w:rsidRPr="000F241C">
              <w:rPr>
                <w:color w:val="000000" w:themeColor="text1"/>
              </w:rPr>
              <w:t>6</w:t>
            </w:r>
          </w:p>
        </w:tc>
        <w:tc>
          <w:tcPr>
            <w:tcW w:w="870" w:type="pct"/>
          </w:tcPr>
          <w:p w:rsidR="003B6D3B" w:rsidRPr="000F241C" w:rsidRDefault="003B6D3B" w:rsidP="0063610D">
            <w:pPr>
              <w:widowControl/>
              <w:jc w:val="center"/>
              <w:rPr>
                <w:color w:val="000000" w:themeColor="text1"/>
                <w:szCs w:val="24"/>
              </w:rPr>
            </w:pPr>
            <w:r w:rsidRPr="000F241C">
              <w:rPr>
                <w:color w:val="000000" w:themeColor="text1"/>
              </w:rPr>
              <w:t>3 %</w:t>
            </w:r>
          </w:p>
        </w:tc>
      </w:tr>
      <w:tr w:rsidR="003B6D3B" w:rsidRPr="000F241C" w:rsidTr="0063610D">
        <w:trPr>
          <w:trHeight w:val="315"/>
        </w:trPr>
        <w:tc>
          <w:tcPr>
            <w:tcW w:w="1296" w:type="pct"/>
            <w:hideMark/>
          </w:tcPr>
          <w:p w:rsidR="003B6D3B" w:rsidRPr="000F241C" w:rsidRDefault="003B6D3B" w:rsidP="0063610D">
            <w:pPr>
              <w:widowControl/>
              <w:rPr>
                <w:color w:val="000000" w:themeColor="text1"/>
                <w:szCs w:val="24"/>
              </w:rPr>
            </w:pPr>
            <w:r w:rsidRPr="000F241C">
              <w:rPr>
                <w:color w:val="000000" w:themeColor="text1"/>
              </w:rPr>
              <w:t> </w:t>
            </w:r>
          </w:p>
        </w:tc>
        <w:tc>
          <w:tcPr>
            <w:tcW w:w="1092" w:type="pct"/>
            <w:hideMark/>
          </w:tcPr>
          <w:p w:rsidR="003B6D3B" w:rsidRPr="000F241C" w:rsidRDefault="003B6D3B" w:rsidP="0063610D">
            <w:pPr>
              <w:widowControl/>
              <w:jc w:val="center"/>
              <w:rPr>
                <w:color w:val="000000" w:themeColor="text1"/>
                <w:szCs w:val="24"/>
              </w:rPr>
            </w:pPr>
            <w:r w:rsidRPr="000F241C">
              <w:rPr>
                <w:color w:val="000000" w:themeColor="text1"/>
              </w:rPr>
              <w:t> </w:t>
            </w:r>
          </w:p>
        </w:tc>
        <w:tc>
          <w:tcPr>
            <w:tcW w:w="871" w:type="pct"/>
            <w:hideMark/>
          </w:tcPr>
          <w:p w:rsidR="003B6D3B" w:rsidRPr="000F241C" w:rsidRDefault="003B6D3B" w:rsidP="0063610D">
            <w:pPr>
              <w:widowControl/>
              <w:rPr>
                <w:color w:val="000000" w:themeColor="text1"/>
                <w:szCs w:val="24"/>
              </w:rPr>
            </w:pPr>
            <w:r w:rsidRPr="000F241C">
              <w:rPr>
                <w:color w:val="000000" w:themeColor="text1"/>
              </w:rPr>
              <w:t> </w:t>
            </w:r>
          </w:p>
        </w:tc>
        <w:tc>
          <w:tcPr>
            <w:tcW w:w="871" w:type="pct"/>
          </w:tcPr>
          <w:p w:rsidR="003B6D3B" w:rsidRPr="000F241C" w:rsidRDefault="003B6D3B" w:rsidP="0063610D">
            <w:pPr>
              <w:widowControl/>
              <w:rPr>
                <w:color w:val="000000" w:themeColor="text1"/>
                <w:szCs w:val="24"/>
              </w:rPr>
            </w:pPr>
          </w:p>
        </w:tc>
        <w:tc>
          <w:tcPr>
            <w:tcW w:w="870" w:type="pct"/>
          </w:tcPr>
          <w:p w:rsidR="003B6D3B" w:rsidRPr="000F241C" w:rsidRDefault="003B6D3B" w:rsidP="0063610D">
            <w:pPr>
              <w:widowControl/>
              <w:jc w:val="center"/>
              <w:rPr>
                <w:color w:val="000000" w:themeColor="text1"/>
                <w:szCs w:val="24"/>
              </w:rPr>
            </w:pPr>
          </w:p>
        </w:tc>
      </w:tr>
      <w:tr w:rsidR="003B6D3B" w:rsidRPr="000F241C" w:rsidTr="0063610D">
        <w:trPr>
          <w:trHeight w:val="600"/>
        </w:trPr>
        <w:tc>
          <w:tcPr>
            <w:tcW w:w="1296" w:type="pct"/>
            <w:hideMark/>
          </w:tcPr>
          <w:p w:rsidR="003B6D3B" w:rsidRPr="000F241C" w:rsidRDefault="003B6D3B" w:rsidP="0063610D">
            <w:pPr>
              <w:widowControl/>
              <w:rPr>
                <w:b/>
                <w:bCs/>
                <w:color w:val="000000" w:themeColor="text1"/>
                <w:szCs w:val="24"/>
              </w:rPr>
            </w:pPr>
            <w:r w:rsidRPr="000F241C">
              <w:rPr>
                <w:b/>
                <w:color w:val="000000" w:themeColor="text1"/>
              </w:rPr>
              <w:t>Yhteensä</w:t>
            </w:r>
          </w:p>
        </w:tc>
        <w:tc>
          <w:tcPr>
            <w:tcW w:w="1092" w:type="pct"/>
            <w:hideMark/>
          </w:tcPr>
          <w:p w:rsidR="003B6D3B" w:rsidRPr="000F241C" w:rsidRDefault="003B6D3B" w:rsidP="0063610D">
            <w:pPr>
              <w:widowControl/>
              <w:jc w:val="center"/>
              <w:rPr>
                <w:b/>
                <w:bCs/>
                <w:color w:val="000000" w:themeColor="text1"/>
                <w:szCs w:val="24"/>
              </w:rPr>
            </w:pPr>
            <w:r w:rsidRPr="000F241C">
              <w:rPr>
                <w:b/>
                <w:color w:val="000000" w:themeColor="text1"/>
              </w:rPr>
              <w:t>221</w:t>
            </w:r>
          </w:p>
        </w:tc>
        <w:tc>
          <w:tcPr>
            <w:tcW w:w="871" w:type="pct"/>
            <w:hideMark/>
          </w:tcPr>
          <w:p w:rsidR="003B6D3B" w:rsidRPr="000F241C" w:rsidRDefault="003B6D3B" w:rsidP="0063610D">
            <w:pPr>
              <w:widowControl/>
              <w:jc w:val="center"/>
              <w:rPr>
                <w:b/>
                <w:bCs/>
                <w:color w:val="000000" w:themeColor="text1"/>
                <w:szCs w:val="24"/>
              </w:rPr>
            </w:pPr>
            <w:r w:rsidRPr="000F241C">
              <w:rPr>
                <w:b/>
                <w:color w:val="000000" w:themeColor="text1"/>
              </w:rPr>
              <w:t>100 %</w:t>
            </w:r>
          </w:p>
        </w:tc>
        <w:tc>
          <w:tcPr>
            <w:tcW w:w="871" w:type="pct"/>
          </w:tcPr>
          <w:p w:rsidR="003B6D3B" w:rsidRPr="000F241C" w:rsidRDefault="003B6D3B" w:rsidP="0063610D">
            <w:pPr>
              <w:widowControl/>
              <w:jc w:val="center"/>
              <w:rPr>
                <w:b/>
                <w:bCs/>
                <w:color w:val="000000" w:themeColor="text1"/>
                <w:szCs w:val="24"/>
              </w:rPr>
            </w:pPr>
            <w:r w:rsidRPr="000F241C">
              <w:rPr>
                <w:b/>
                <w:color w:val="000000" w:themeColor="text1"/>
              </w:rPr>
              <w:t>194</w:t>
            </w:r>
          </w:p>
        </w:tc>
        <w:tc>
          <w:tcPr>
            <w:tcW w:w="870" w:type="pct"/>
          </w:tcPr>
          <w:p w:rsidR="003B6D3B" w:rsidRPr="000F241C" w:rsidRDefault="003B6D3B" w:rsidP="0063610D">
            <w:pPr>
              <w:widowControl/>
              <w:jc w:val="center"/>
              <w:rPr>
                <w:b/>
                <w:bCs/>
                <w:color w:val="000000" w:themeColor="text1"/>
                <w:szCs w:val="24"/>
              </w:rPr>
            </w:pPr>
            <w:r w:rsidRPr="000F241C">
              <w:rPr>
                <w:b/>
                <w:color w:val="000000" w:themeColor="text1"/>
              </w:rPr>
              <w:t>100 %</w:t>
            </w:r>
          </w:p>
        </w:tc>
      </w:tr>
    </w:tbl>
    <w:p w:rsidR="003B6D3B" w:rsidRPr="000F241C" w:rsidRDefault="003B6D3B" w:rsidP="0063610D">
      <w:pPr>
        <w:widowControl/>
        <w:spacing w:after="240"/>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3B6D3B" w:rsidRPr="000F241C" w:rsidTr="0063610D">
        <w:trPr>
          <w:trHeight w:val="300"/>
        </w:trPr>
        <w:tc>
          <w:tcPr>
            <w:tcW w:w="1296" w:type="pct"/>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Sopimustyyppi</w:t>
            </w:r>
          </w:p>
        </w:tc>
        <w:tc>
          <w:tcPr>
            <w:tcW w:w="1872"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2021</w:t>
            </w:r>
          </w:p>
        </w:tc>
        <w:tc>
          <w:tcPr>
            <w:tcW w:w="1832"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2022</w:t>
            </w:r>
          </w:p>
        </w:tc>
      </w:tr>
      <w:tr w:rsidR="003B6D3B" w:rsidRPr="000F241C" w:rsidTr="0063610D">
        <w:trPr>
          <w:trHeight w:val="315"/>
        </w:trPr>
        <w:tc>
          <w:tcPr>
            <w:tcW w:w="1296" w:type="pct"/>
            <w:vMerge/>
            <w:hideMark/>
          </w:tcPr>
          <w:p w:rsidR="003B6D3B" w:rsidRPr="000F241C" w:rsidRDefault="003B6D3B" w:rsidP="0063610D">
            <w:pPr>
              <w:widowControl/>
              <w:rPr>
                <w:b/>
                <w:bCs/>
                <w:color w:val="000000" w:themeColor="text1"/>
                <w:szCs w:val="24"/>
              </w:rPr>
            </w:pPr>
          </w:p>
        </w:tc>
        <w:tc>
          <w:tcPr>
            <w:tcW w:w="1872" w:type="pct"/>
            <w:gridSpan w:val="2"/>
            <w:vMerge/>
            <w:hideMark/>
          </w:tcPr>
          <w:p w:rsidR="003B6D3B" w:rsidRPr="000F241C" w:rsidRDefault="003B6D3B" w:rsidP="0063610D">
            <w:pPr>
              <w:widowControl/>
              <w:rPr>
                <w:b/>
                <w:bCs/>
                <w:color w:val="000000" w:themeColor="text1"/>
                <w:szCs w:val="24"/>
              </w:rPr>
            </w:pPr>
          </w:p>
        </w:tc>
        <w:tc>
          <w:tcPr>
            <w:tcW w:w="1832" w:type="pct"/>
            <w:gridSpan w:val="2"/>
            <w:vMerge/>
            <w:hideMark/>
          </w:tcPr>
          <w:p w:rsidR="003B6D3B" w:rsidRPr="000F241C" w:rsidRDefault="003B6D3B" w:rsidP="0063610D">
            <w:pPr>
              <w:widowControl/>
              <w:rPr>
                <w:b/>
                <w:bCs/>
                <w:color w:val="000000" w:themeColor="text1"/>
                <w:szCs w:val="24"/>
              </w:rPr>
            </w:pPr>
          </w:p>
        </w:tc>
      </w:tr>
      <w:tr w:rsidR="003B6D3B" w:rsidRPr="000F241C" w:rsidTr="0063610D">
        <w:trPr>
          <w:trHeight w:val="315"/>
        </w:trPr>
        <w:tc>
          <w:tcPr>
            <w:tcW w:w="1296" w:type="pct"/>
            <w:vMerge/>
            <w:hideMark/>
          </w:tcPr>
          <w:p w:rsidR="003B6D3B" w:rsidRPr="000F241C" w:rsidRDefault="003B6D3B" w:rsidP="0063610D">
            <w:pPr>
              <w:widowControl/>
              <w:rPr>
                <w:b/>
                <w:bCs/>
                <w:color w:val="000000" w:themeColor="text1"/>
                <w:szCs w:val="24"/>
              </w:rPr>
            </w:pPr>
          </w:p>
        </w:tc>
        <w:tc>
          <w:tcPr>
            <w:tcW w:w="1059" w:type="pct"/>
            <w:hideMark/>
          </w:tcPr>
          <w:p w:rsidR="003B6D3B" w:rsidRPr="000F241C" w:rsidRDefault="003B6D3B" w:rsidP="0063610D">
            <w:pPr>
              <w:widowControl/>
              <w:jc w:val="center"/>
              <w:rPr>
                <w:b/>
                <w:bCs/>
                <w:color w:val="000000" w:themeColor="text1"/>
                <w:szCs w:val="24"/>
              </w:rPr>
            </w:pPr>
            <w:r w:rsidRPr="000F241C">
              <w:rPr>
                <w:b/>
                <w:color w:val="000000" w:themeColor="text1"/>
              </w:rPr>
              <w:t>Määrä</w:t>
            </w:r>
          </w:p>
        </w:tc>
        <w:tc>
          <w:tcPr>
            <w:tcW w:w="814"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c>
          <w:tcPr>
            <w:tcW w:w="973" w:type="pct"/>
            <w:hideMark/>
          </w:tcPr>
          <w:p w:rsidR="003B6D3B" w:rsidRPr="000F241C" w:rsidRDefault="003B6D3B" w:rsidP="0063610D">
            <w:pPr>
              <w:widowControl/>
              <w:jc w:val="center"/>
              <w:rPr>
                <w:b/>
                <w:bCs/>
                <w:color w:val="000000" w:themeColor="text1"/>
                <w:szCs w:val="24"/>
              </w:rPr>
            </w:pPr>
            <w:r w:rsidRPr="000F241C">
              <w:rPr>
                <w:b/>
                <w:color w:val="000000" w:themeColor="text1"/>
              </w:rPr>
              <w:t>Määrä</w:t>
            </w:r>
          </w:p>
        </w:tc>
        <w:tc>
          <w:tcPr>
            <w:tcW w:w="859"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r>
      <w:tr w:rsidR="003B6D3B" w:rsidRPr="000F241C" w:rsidTr="0063610D">
        <w:trPr>
          <w:trHeight w:val="300"/>
        </w:trPr>
        <w:tc>
          <w:tcPr>
            <w:tcW w:w="1296" w:type="pct"/>
            <w:hideMark/>
          </w:tcPr>
          <w:p w:rsidR="003B6D3B" w:rsidRPr="000F241C" w:rsidRDefault="003B6D3B" w:rsidP="0063610D">
            <w:pPr>
              <w:widowControl/>
              <w:rPr>
                <w:color w:val="000000" w:themeColor="text1"/>
                <w:szCs w:val="24"/>
              </w:rPr>
            </w:pPr>
            <w:r w:rsidRPr="000F241C">
              <w:rPr>
                <w:color w:val="000000" w:themeColor="text1"/>
              </w:rPr>
              <w:t xml:space="preserve">   </w:t>
            </w:r>
          </w:p>
        </w:tc>
        <w:tc>
          <w:tcPr>
            <w:tcW w:w="1059" w:type="pct"/>
            <w:hideMark/>
          </w:tcPr>
          <w:p w:rsidR="003B6D3B" w:rsidRPr="000F241C" w:rsidRDefault="003B6D3B" w:rsidP="0063610D">
            <w:pPr>
              <w:widowControl/>
              <w:rPr>
                <w:color w:val="000000" w:themeColor="text1"/>
                <w:szCs w:val="24"/>
              </w:rPr>
            </w:pPr>
            <w:r w:rsidRPr="000F241C">
              <w:rPr>
                <w:color w:val="000000" w:themeColor="text1"/>
              </w:rPr>
              <w:t> </w:t>
            </w:r>
          </w:p>
        </w:tc>
        <w:tc>
          <w:tcPr>
            <w:tcW w:w="814" w:type="pct"/>
            <w:hideMark/>
          </w:tcPr>
          <w:p w:rsidR="003B6D3B" w:rsidRPr="000F241C" w:rsidRDefault="003B6D3B" w:rsidP="0063610D">
            <w:pPr>
              <w:widowControl/>
              <w:rPr>
                <w:color w:val="000000" w:themeColor="text1"/>
                <w:szCs w:val="24"/>
              </w:rPr>
            </w:pPr>
            <w:r w:rsidRPr="000F241C">
              <w:rPr>
                <w:color w:val="000000" w:themeColor="text1"/>
              </w:rPr>
              <w:t> </w:t>
            </w:r>
          </w:p>
        </w:tc>
        <w:tc>
          <w:tcPr>
            <w:tcW w:w="973" w:type="pct"/>
            <w:hideMark/>
          </w:tcPr>
          <w:p w:rsidR="003B6D3B" w:rsidRPr="000F241C" w:rsidRDefault="003B6D3B" w:rsidP="0063610D">
            <w:pPr>
              <w:widowControl/>
              <w:rPr>
                <w:color w:val="000000" w:themeColor="text1"/>
                <w:szCs w:val="24"/>
              </w:rPr>
            </w:pPr>
            <w:r w:rsidRPr="000F241C">
              <w:rPr>
                <w:color w:val="000000" w:themeColor="text1"/>
              </w:rPr>
              <w:t> </w:t>
            </w:r>
          </w:p>
        </w:tc>
        <w:tc>
          <w:tcPr>
            <w:tcW w:w="859" w:type="pct"/>
            <w:hideMark/>
          </w:tcPr>
          <w:p w:rsidR="003B6D3B" w:rsidRPr="000F241C" w:rsidRDefault="003B6D3B" w:rsidP="0063610D">
            <w:pPr>
              <w:widowControl/>
              <w:rPr>
                <w:color w:val="000000" w:themeColor="text1"/>
                <w:szCs w:val="24"/>
              </w:rPr>
            </w:pPr>
            <w:r w:rsidRPr="000F241C">
              <w:rPr>
                <w:color w:val="000000" w:themeColor="text1"/>
              </w:rPr>
              <w:t>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Kiinteistöt</w:t>
            </w:r>
          </w:p>
        </w:tc>
        <w:tc>
          <w:tcPr>
            <w:tcW w:w="1059" w:type="pct"/>
            <w:hideMark/>
          </w:tcPr>
          <w:p w:rsidR="003B6D3B" w:rsidRPr="000F241C" w:rsidRDefault="003B6D3B" w:rsidP="0063610D">
            <w:pPr>
              <w:widowControl/>
              <w:jc w:val="center"/>
              <w:rPr>
                <w:color w:val="000000" w:themeColor="text1"/>
                <w:szCs w:val="24"/>
              </w:rPr>
            </w:pPr>
            <w:r w:rsidRPr="000F241C">
              <w:rPr>
                <w:color w:val="000000" w:themeColor="text1"/>
              </w:rPr>
              <w:t>168 302 638</w:t>
            </w:r>
          </w:p>
        </w:tc>
        <w:tc>
          <w:tcPr>
            <w:tcW w:w="814" w:type="pct"/>
            <w:hideMark/>
          </w:tcPr>
          <w:p w:rsidR="003B6D3B" w:rsidRPr="000F241C" w:rsidRDefault="003B6D3B" w:rsidP="0063610D">
            <w:pPr>
              <w:widowControl/>
              <w:jc w:val="center"/>
              <w:rPr>
                <w:color w:val="000000" w:themeColor="text1"/>
                <w:szCs w:val="24"/>
              </w:rPr>
            </w:pPr>
            <w:r w:rsidRPr="000F241C">
              <w:rPr>
                <w:color w:val="000000" w:themeColor="text1"/>
              </w:rPr>
              <w:t>17 %</w:t>
            </w:r>
          </w:p>
        </w:tc>
        <w:tc>
          <w:tcPr>
            <w:tcW w:w="973" w:type="pct"/>
          </w:tcPr>
          <w:p w:rsidR="003B6D3B" w:rsidRPr="000F241C" w:rsidRDefault="003B6D3B" w:rsidP="0063610D">
            <w:pPr>
              <w:widowControl/>
              <w:jc w:val="center"/>
              <w:rPr>
                <w:color w:val="000000" w:themeColor="text1"/>
                <w:szCs w:val="24"/>
              </w:rPr>
            </w:pPr>
            <w:r w:rsidRPr="000F241C">
              <w:rPr>
                <w:color w:val="000000" w:themeColor="text1"/>
              </w:rPr>
              <w:t>27 804 776</w:t>
            </w:r>
          </w:p>
        </w:tc>
        <w:tc>
          <w:tcPr>
            <w:tcW w:w="859" w:type="pct"/>
          </w:tcPr>
          <w:p w:rsidR="003B6D3B" w:rsidRPr="000F241C" w:rsidRDefault="003B6D3B" w:rsidP="0063610D">
            <w:pPr>
              <w:widowControl/>
              <w:jc w:val="center"/>
              <w:rPr>
                <w:color w:val="000000" w:themeColor="text1"/>
                <w:szCs w:val="24"/>
              </w:rPr>
            </w:pPr>
            <w:r w:rsidRPr="000F241C">
              <w:rPr>
                <w:color w:val="000000" w:themeColor="text1"/>
              </w:rPr>
              <w:t>7 %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Palvelut</w:t>
            </w:r>
          </w:p>
        </w:tc>
        <w:tc>
          <w:tcPr>
            <w:tcW w:w="1059" w:type="pct"/>
            <w:hideMark/>
          </w:tcPr>
          <w:p w:rsidR="003B6D3B" w:rsidRPr="000F241C" w:rsidRDefault="003B6D3B" w:rsidP="0063610D">
            <w:pPr>
              <w:widowControl/>
              <w:jc w:val="center"/>
              <w:rPr>
                <w:color w:val="000000" w:themeColor="text1"/>
                <w:szCs w:val="24"/>
              </w:rPr>
            </w:pPr>
            <w:r w:rsidRPr="000F241C">
              <w:rPr>
                <w:color w:val="000000" w:themeColor="text1"/>
              </w:rPr>
              <w:t>634 689 038</w:t>
            </w:r>
          </w:p>
        </w:tc>
        <w:tc>
          <w:tcPr>
            <w:tcW w:w="814" w:type="pct"/>
            <w:hideMark/>
          </w:tcPr>
          <w:p w:rsidR="003B6D3B" w:rsidRPr="000F241C" w:rsidRDefault="003B6D3B" w:rsidP="0063610D">
            <w:pPr>
              <w:widowControl/>
              <w:jc w:val="center"/>
              <w:rPr>
                <w:color w:val="000000" w:themeColor="text1"/>
                <w:szCs w:val="24"/>
              </w:rPr>
            </w:pPr>
            <w:r w:rsidRPr="000F241C">
              <w:rPr>
                <w:color w:val="000000" w:themeColor="text1"/>
              </w:rPr>
              <w:t>62 %</w:t>
            </w:r>
          </w:p>
        </w:tc>
        <w:tc>
          <w:tcPr>
            <w:tcW w:w="973" w:type="pct"/>
          </w:tcPr>
          <w:p w:rsidR="003B6D3B" w:rsidRPr="000F241C" w:rsidRDefault="003B6D3B" w:rsidP="0063610D">
            <w:pPr>
              <w:widowControl/>
              <w:jc w:val="center"/>
              <w:rPr>
                <w:color w:val="000000" w:themeColor="text1"/>
                <w:szCs w:val="24"/>
              </w:rPr>
            </w:pPr>
            <w:r w:rsidRPr="000F241C">
              <w:rPr>
                <w:color w:val="000000" w:themeColor="text1"/>
              </w:rPr>
              <w:t>283 779 269</w:t>
            </w:r>
          </w:p>
        </w:tc>
        <w:tc>
          <w:tcPr>
            <w:tcW w:w="859" w:type="pct"/>
          </w:tcPr>
          <w:p w:rsidR="003B6D3B" w:rsidRPr="000F241C" w:rsidRDefault="003B6D3B" w:rsidP="0063610D">
            <w:pPr>
              <w:widowControl/>
              <w:jc w:val="center"/>
              <w:rPr>
                <w:color w:val="000000" w:themeColor="text1"/>
                <w:szCs w:val="24"/>
              </w:rPr>
            </w:pPr>
            <w:r w:rsidRPr="000F241C">
              <w:rPr>
                <w:color w:val="000000" w:themeColor="text1"/>
              </w:rPr>
              <w:t>69 %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Toimitettavat tavarat</w:t>
            </w:r>
          </w:p>
        </w:tc>
        <w:tc>
          <w:tcPr>
            <w:tcW w:w="1059" w:type="pct"/>
            <w:hideMark/>
          </w:tcPr>
          <w:p w:rsidR="003B6D3B" w:rsidRPr="000F241C" w:rsidRDefault="003B6D3B" w:rsidP="0063610D">
            <w:pPr>
              <w:widowControl/>
              <w:jc w:val="center"/>
              <w:rPr>
                <w:color w:val="000000" w:themeColor="text1"/>
                <w:szCs w:val="24"/>
              </w:rPr>
            </w:pPr>
            <w:r w:rsidRPr="000F241C">
              <w:rPr>
                <w:color w:val="000000" w:themeColor="text1"/>
              </w:rPr>
              <w:t>136 777 513</w:t>
            </w:r>
          </w:p>
        </w:tc>
        <w:tc>
          <w:tcPr>
            <w:tcW w:w="814" w:type="pct"/>
            <w:hideMark/>
          </w:tcPr>
          <w:p w:rsidR="003B6D3B" w:rsidRPr="000F241C" w:rsidRDefault="003B6D3B" w:rsidP="0063610D">
            <w:pPr>
              <w:widowControl/>
              <w:jc w:val="center"/>
              <w:rPr>
                <w:color w:val="000000" w:themeColor="text1"/>
                <w:szCs w:val="24"/>
              </w:rPr>
            </w:pPr>
            <w:r w:rsidRPr="000F241C">
              <w:rPr>
                <w:color w:val="000000" w:themeColor="text1"/>
              </w:rPr>
              <w:t>13 %</w:t>
            </w:r>
          </w:p>
        </w:tc>
        <w:tc>
          <w:tcPr>
            <w:tcW w:w="973" w:type="pct"/>
          </w:tcPr>
          <w:p w:rsidR="003B6D3B" w:rsidRPr="000F241C" w:rsidRDefault="003B6D3B" w:rsidP="0063610D">
            <w:pPr>
              <w:widowControl/>
              <w:jc w:val="center"/>
              <w:rPr>
                <w:color w:val="000000" w:themeColor="text1"/>
                <w:szCs w:val="24"/>
              </w:rPr>
            </w:pPr>
            <w:r w:rsidRPr="000F241C">
              <w:rPr>
                <w:color w:val="000000" w:themeColor="text1"/>
              </w:rPr>
              <w:t>47 817 885</w:t>
            </w:r>
          </w:p>
        </w:tc>
        <w:tc>
          <w:tcPr>
            <w:tcW w:w="859" w:type="pct"/>
          </w:tcPr>
          <w:p w:rsidR="003B6D3B" w:rsidRPr="000F241C" w:rsidRDefault="003B6D3B" w:rsidP="0063610D">
            <w:pPr>
              <w:widowControl/>
              <w:jc w:val="center"/>
              <w:rPr>
                <w:color w:val="000000" w:themeColor="text1"/>
                <w:szCs w:val="24"/>
              </w:rPr>
            </w:pPr>
            <w:r w:rsidRPr="000F241C">
              <w:rPr>
                <w:color w:val="000000" w:themeColor="text1"/>
              </w:rPr>
              <w:t>12 %</w:t>
            </w:r>
          </w:p>
        </w:tc>
      </w:tr>
      <w:tr w:rsidR="003B6D3B" w:rsidRPr="000F241C" w:rsidTr="0063610D">
        <w:trPr>
          <w:trHeight w:val="300"/>
        </w:trPr>
        <w:tc>
          <w:tcPr>
            <w:tcW w:w="1296"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Urakat</w:t>
            </w:r>
          </w:p>
        </w:tc>
        <w:tc>
          <w:tcPr>
            <w:tcW w:w="1059" w:type="pct"/>
            <w:hideMark/>
          </w:tcPr>
          <w:p w:rsidR="003B6D3B" w:rsidRPr="000F241C" w:rsidRDefault="003B6D3B" w:rsidP="0063610D">
            <w:pPr>
              <w:widowControl/>
              <w:jc w:val="center"/>
              <w:rPr>
                <w:color w:val="000000" w:themeColor="text1"/>
                <w:szCs w:val="24"/>
              </w:rPr>
            </w:pPr>
            <w:r w:rsidRPr="000F241C">
              <w:rPr>
                <w:color w:val="000000" w:themeColor="text1"/>
              </w:rPr>
              <w:t>76 247 759</w:t>
            </w:r>
          </w:p>
        </w:tc>
        <w:tc>
          <w:tcPr>
            <w:tcW w:w="814" w:type="pct"/>
            <w:hideMark/>
          </w:tcPr>
          <w:p w:rsidR="003B6D3B" w:rsidRPr="000F241C" w:rsidRDefault="003B6D3B" w:rsidP="0063610D">
            <w:pPr>
              <w:widowControl/>
              <w:jc w:val="center"/>
              <w:rPr>
                <w:color w:val="000000" w:themeColor="text1"/>
                <w:szCs w:val="24"/>
              </w:rPr>
            </w:pPr>
            <w:r w:rsidRPr="000F241C">
              <w:rPr>
                <w:color w:val="000000" w:themeColor="text1"/>
              </w:rPr>
              <w:t>8 %</w:t>
            </w:r>
          </w:p>
        </w:tc>
        <w:tc>
          <w:tcPr>
            <w:tcW w:w="973" w:type="pct"/>
          </w:tcPr>
          <w:p w:rsidR="003B6D3B" w:rsidRPr="000F241C" w:rsidRDefault="003B6D3B" w:rsidP="0063610D">
            <w:pPr>
              <w:widowControl/>
              <w:jc w:val="center"/>
              <w:rPr>
                <w:color w:val="000000" w:themeColor="text1"/>
                <w:szCs w:val="24"/>
              </w:rPr>
            </w:pPr>
            <w:r w:rsidRPr="000F241C">
              <w:rPr>
                <w:color w:val="000000" w:themeColor="text1"/>
              </w:rPr>
              <w:t xml:space="preserve">50 642 975 </w:t>
            </w:r>
          </w:p>
        </w:tc>
        <w:tc>
          <w:tcPr>
            <w:tcW w:w="859" w:type="pct"/>
          </w:tcPr>
          <w:p w:rsidR="003B6D3B" w:rsidRPr="000F241C" w:rsidRDefault="003B6D3B" w:rsidP="0063610D">
            <w:pPr>
              <w:widowControl/>
              <w:jc w:val="center"/>
              <w:rPr>
                <w:color w:val="000000" w:themeColor="text1"/>
                <w:szCs w:val="24"/>
              </w:rPr>
            </w:pPr>
            <w:r w:rsidRPr="000F241C">
              <w:rPr>
                <w:color w:val="000000" w:themeColor="text1"/>
              </w:rPr>
              <w:t>12 %</w:t>
            </w:r>
          </w:p>
        </w:tc>
      </w:tr>
      <w:tr w:rsidR="003B6D3B" w:rsidRPr="000F241C" w:rsidTr="0063610D">
        <w:trPr>
          <w:trHeight w:val="315"/>
        </w:trPr>
        <w:tc>
          <w:tcPr>
            <w:tcW w:w="1296" w:type="pct"/>
            <w:hideMark/>
          </w:tcPr>
          <w:p w:rsidR="003B6D3B" w:rsidRPr="000F241C" w:rsidRDefault="003B6D3B" w:rsidP="0063610D">
            <w:pPr>
              <w:widowControl/>
              <w:rPr>
                <w:color w:val="000000" w:themeColor="text1"/>
                <w:szCs w:val="24"/>
              </w:rPr>
            </w:pPr>
            <w:r w:rsidRPr="000F241C">
              <w:rPr>
                <w:color w:val="000000" w:themeColor="text1"/>
              </w:rPr>
              <w:t> </w:t>
            </w:r>
          </w:p>
        </w:tc>
        <w:tc>
          <w:tcPr>
            <w:tcW w:w="1059" w:type="pct"/>
            <w:hideMark/>
          </w:tcPr>
          <w:p w:rsidR="003B6D3B" w:rsidRPr="000F241C" w:rsidRDefault="003B6D3B" w:rsidP="0063610D">
            <w:pPr>
              <w:widowControl/>
              <w:jc w:val="center"/>
              <w:rPr>
                <w:color w:val="000000" w:themeColor="text1"/>
                <w:szCs w:val="24"/>
              </w:rPr>
            </w:pPr>
            <w:r w:rsidRPr="000F241C">
              <w:rPr>
                <w:color w:val="000000" w:themeColor="text1"/>
              </w:rPr>
              <w:t> </w:t>
            </w:r>
          </w:p>
        </w:tc>
        <w:tc>
          <w:tcPr>
            <w:tcW w:w="814" w:type="pct"/>
            <w:hideMark/>
          </w:tcPr>
          <w:p w:rsidR="003B6D3B" w:rsidRPr="000F241C" w:rsidRDefault="003B6D3B" w:rsidP="0063610D">
            <w:pPr>
              <w:widowControl/>
              <w:jc w:val="right"/>
              <w:rPr>
                <w:color w:val="000000" w:themeColor="text1"/>
                <w:szCs w:val="24"/>
              </w:rPr>
            </w:pPr>
            <w:r w:rsidRPr="000F241C">
              <w:rPr>
                <w:color w:val="000000" w:themeColor="text1"/>
              </w:rPr>
              <w:t> </w:t>
            </w:r>
          </w:p>
        </w:tc>
        <w:tc>
          <w:tcPr>
            <w:tcW w:w="973" w:type="pct"/>
          </w:tcPr>
          <w:p w:rsidR="003B6D3B" w:rsidRPr="000F241C" w:rsidRDefault="003B6D3B" w:rsidP="0063610D">
            <w:pPr>
              <w:widowControl/>
              <w:jc w:val="right"/>
              <w:rPr>
                <w:color w:val="000000" w:themeColor="text1"/>
                <w:szCs w:val="24"/>
              </w:rPr>
            </w:pPr>
          </w:p>
        </w:tc>
        <w:tc>
          <w:tcPr>
            <w:tcW w:w="859" w:type="pct"/>
          </w:tcPr>
          <w:p w:rsidR="003B6D3B" w:rsidRPr="000F241C" w:rsidRDefault="003B6D3B" w:rsidP="0063610D">
            <w:pPr>
              <w:widowControl/>
              <w:jc w:val="right"/>
              <w:rPr>
                <w:color w:val="000000" w:themeColor="text1"/>
                <w:szCs w:val="24"/>
              </w:rPr>
            </w:pPr>
          </w:p>
        </w:tc>
      </w:tr>
      <w:tr w:rsidR="003B6D3B" w:rsidRPr="000F241C" w:rsidTr="0063610D">
        <w:trPr>
          <w:trHeight w:val="600"/>
        </w:trPr>
        <w:tc>
          <w:tcPr>
            <w:tcW w:w="1296" w:type="pct"/>
            <w:hideMark/>
          </w:tcPr>
          <w:p w:rsidR="003B6D3B" w:rsidRPr="000F241C" w:rsidRDefault="003B6D3B" w:rsidP="0063610D">
            <w:pPr>
              <w:widowControl/>
              <w:rPr>
                <w:b/>
                <w:bCs/>
                <w:color w:val="000000" w:themeColor="text1"/>
                <w:szCs w:val="24"/>
              </w:rPr>
            </w:pPr>
            <w:r w:rsidRPr="000F241C">
              <w:rPr>
                <w:b/>
                <w:color w:val="000000" w:themeColor="text1"/>
              </w:rPr>
              <w:lastRenderedPageBreak/>
              <w:t>Yhteensä</w:t>
            </w:r>
          </w:p>
        </w:tc>
        <w:tc>
          <w:tcPr>
            <w:tcW w:w="1059" w:type="pct"/>
            <w:hideMark/>
          </w:tcPr>
          <w:p w:rsidR="003B6D3B" w:rsidRPr="000F241C" w:rsidRDefault="003B6D3B" w:rsidP="0063610D">
            <w:pPr>
              <w:widowControl/>
              <w:jc w:val="center"/>
              <w:rPr>
                <w:b/>
                <w:bCs/>
                <w:color w:val="000000" w:themeColor="text1"/>
                <w:szCs w:val="24"/>
              </w:rPr>
            </w:pPr>
            <w:r w:rsidRPr="000F241C">
              <w:rPr>
                <w:b/>
                <w:color w:val="000000" w:themeColor="text1"/>
              </w:rPr>
              <w:t>1 016 016 948</w:t>
            </w:r>
          </w:p>
        </w:tc>
        <w:tc>
          <w:tcPr>
            <w:tcW w:w="814" w:type="pct"/>
            <w:hideMark/>
          </w:tcPr>
          <w:p w:rsidR="003B6D3B" w:rsidRPr="000F241C" w:rsidRDefault="003B6D3B" w:rsidP="0063610D">
            <w:pPr>
              <w:widowControl/>
              <w:jc w:val="center"/>
              <w:rPr>
                <w:b/>
                <w:bCs/>
                <w:color w:val="000000" w:themeColor="text1"/>
                <w:szCs w:val="24"/>
              </w:rPr>
            </w:pPr>
            <w:r w:rsidRPr="000F241C">
              <w:rPr>
                <w:b/>
                <w:color w:val="000000" w:themeColor="text1"/>
              </w:rPr>
              <w:t>100 %</w:t>
            </w:r>
          </w:p>
        </w:tc>
        <w:tc>
          <w:tcPr>
            <w:tcW w:w="973" w:type="pct"/>
          </w:tcPr>
          <w:p w:rsidR="003B6D3B" w:rsidRPr="000F241C" w:rsidRDefault="003B6D3B" w:rsidP="0063610D">
            <w:pPr>
              <w:widowControl/>
              <w:jc w:val="center"/>
              <w:rPr>
                <w:b/>
                <w:bCs/>
                <w:color w:val="000000" w:themeColor="text1"/>
                <w:szCs w:val="24"/>
              </w:rPr>
            </w:pPr>
            <w:r w:rsidRPr="000F241C">
              <w:rPr>
                <w:b/>
                <w:color w:val="000000" w:themeColor="text1"/>
              </w:rPr>
              <w:t>410 044 905</w:t>
            </w:r>
          </w:p>
        </w:tc>
        <w:tc>
          <w:tcPr>
            <w:tcW w:w="859" w:type="pct"/>
          </w:tcPr>
          <w:p w:rsidR="003B6D3B" w:rsidRPr="000F241C" w:rsidRDefault="003B6D3B" w:rsidP="0063610D">
            <w:pPr>
              <w:widowControl/>
              <w:jc w:val="center"/>
              <w:rPr>
                <w:b/>
                <w:bCs/>
                <w:color w:val="000000" w:themeColor="text1"/>
                <w:szCs w:val="24"/>
              </w:rPr>
            </w:pPr>
            <w:r w:rsidRPr="000F241C">
              <w:rPr>
                <w:b/>
                <w:color w:val="000000" w:themeColor="text1"/>
              </w:rPr>
              <w:t>100 %</w:t>
            </w:r>
          </w:p>
        </w:tc>
      </w:tr>
    </w:tbl>
    <w:p w:rsidR="003B6D3B" w:rsidRPr="000F241C" w:rsidRDefault="003B6D3B" w:rsidP="0063610D">
      <w:pPr>
        <w:widowControl/>
        <w:spacing w:after="240"/>
        <w:ind w:left="567" w:hanging="567"/>
        <w:jc w:val="both"/>
        <w:rPr>
          <w:szCs w:val="24"/>
          <w14:textOutline w14:w="0" w14:cap="flat" w14:cmpd="sng" w14:algn="ctr">
            <w14:noFill/>
            <w14:prstDash w14:val="solid"/>
            <w14:bevel/>
          </w14:textOutline>
        </w:rPr>
      </w:pP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71</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panee merkille seuraavan eritelmän vuosina 2022 ja 2021 tehdyistä hankintasopimuksista menettelytyypeittäin ja lukumäärän ja arvon perusteella:</w:t>
      </w:r>
    </w:p>
    <w:tbl>
      <w:tblPr>
        <w:tblStyle w:val="TableGrid"/>
        <w:tblW w:w="5000" w:type="pct"/>
        <w:tblLook w:val="04A0" w:firstRow="1" w:lastRow="0" w:firstColumn="1" w:lastColumn="0" w:noHBand="0" w:noVBand="1"/>
      </w:tblPr>
      <w:tblGrid>
        <w:gridCol w:w="3456"/>
        <w:gridCol w:w="1443"/>
        <w:gridCol w:w="1360"/>
        <w:gridCol w:w="1443"/>
        <w:gridCol w:w="1358"/>
      </w:tblGrid>
      <w:tr w:rsidR="003B6D3B" w:rsidRPr="000F241C" w:rsidTr="0063610D">
        <w:trPr>
          <w:trHeight w:val="300"/>
        </w:trPr>
        <w:tc>
          <w:tcPr>
            <w:tcW w:w="1541" w:type="pct"/>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 xml:space="preserve">Menettelytyyppi </w:t>
            </w:r>
          </w:p>
        </w:tc>
        <w:tc>
          <w:tcPr>
            <w:tcW w:w="1627"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2021</w:t>
            </w:r>
          </w:p>
        </w:tc>
        <w:tc>
          <w:tcPr>
            <w:tcW w:w="1832" w:type="pct"/>
            <w:gridSpan w:val="2"/>
            <w:vMerge w:val="restart"/>
            <w:hideMark/>
          </w:tcPr>
          <w:p w:rsidR="003B6D3B" w:rsidRPr="000F241C" w:rsidRDefault="003B6D3B" w:rsidP="0063610D">
            <w:pPr>
              <w:widowControl/>
              <w:jc w:val="center"/>
              <w:rPr>
                <w:b/>
                <w:bCs/>
                <w:color w:val="000000" w:themeColor="text1"/>
                <w:szCs w:val="24"/>
              </w:rPr>
            </w:pPr>
            <w:r w:rsidRPr="000F241C">
              <w:rPr>
                <w:b/>
                <w:color w:val="000000" w:themeColor="text1"/>
              </w:rPr>
              <w:t>2022</w:t>
            </w:r>
          </w:p>
        </w:tc>
      </w:tr>
      <w:tr w:rsidR="003B6D3B" w:rsidRPr="000F241C" w:rsidTr="0063610D">
        <w:trPr>
          <w:trHeight w:val="315"/>
        </w:trPr>
        <w:tc>
          <w:tcPr>
            <w:tcW w:w="1541" w:type="pct"/>
            <w:vMerge/>
            <w:hideMark/>
          </w:tcPr>
          <w:p w:rsidR="003B6D3B" w:rsidRPr="000F241C" w:rsidRDefault="003B6D3B" w:rsidP="0063610D">
            <w:pPr>
              <w:widowControl/>
              <w:rPr>
                <w:b/>
                <w:bCs/>
                <w:color w:val="000000" w:themeColor="text1"/>
                <w:szCs w:val="24"/>
              </w:rPr>
            </w:pPr>
          </w:p>
        </w:tc>
        <w:tc>
          <w:tcPr>
            <w:tcW w:w="1627" w:type="pct"/>
            <w:gridSpan w:val="2"/>
            <w:vMerge/>
            <w:hideMark/>
          </w:tcPr>
          <w:p w:rsidR="003B6D3B" w:rsidRPr="000F241C" w:rsidRDefault="003B6D3B" w:rsidP="0063610D">
            <w:pPr>
              <w:widowControl/>
              <w:rPr>
                <w:b/>
                <w:bCs/>
                <w:color w:val="000000" w:themeColor="text1"/>
                <w:szCs w:val="24"/>
              </w:rPr>
            </w:pPr>
          </w:p>
        </w:tc>
        <w:tc>
          <w:tcPr>
            <w:tcW w:w="1832" w:type="pct"/>
            <w:gridSpan w:val="2"/>
            <w:vMerge/>
            <w:hideMark/>
          </w:tcPr>
          <w:p w:rsidR="003B6D3B" w:rsidRPr="000F241C" w:rsidRDefault="003B6D3B" w:rsidP="0063610D">
            <w:pPr>
              <w:widowControl/>
              <w:rPr>
                <w:b/>
                <w:bCs/>
                <w:color w:val="000000" w:themeColor="text1"/>
                <w:szCs w:val="24"/>
              </w:rPr>
            </w:pPr>
          </w:p>
        </w:tc>
      </w:tr>
      <w:tr w:rsidR="003B6D3B" w:rsidRPr="000F241C" w:rsidTr="0063610D">
        <w:trPr>
          <w:trHeight w:val="315"/>
        </w:trPr>
        <w:tc>
          <w:tcPr>
            <w:tcW w:w="1541" w:type="pct"/>
            <w:vMerge/>
            <w:hideMark/>
          </w:tcPr>
          <w:p w:rsidR="003B6D3B" w:rsidRPr="000F241C" w:rsidRDefault="003B6D3B" w:rsidP="0063610D">
            <w:pPr>
              <w:widowControl/>
              <w:rPr>
                <w:b/>
                <w:bCs/>
                <w:color w:val="000000" w:themeColor="text1"/>
                <w:szCs w:val="24"/>
              </w:rPr>
            </w:pPr>
          </w:p>
        </w:tc>
        <w:tc>
          <w:tcPr>
            <w:tcW w:w="733" w:type="pct"/>
            <w:hideMark/>
          </w:tcPr>
          <w:p w:rsidR="003B6D3B" w:rsidRPr="000F241C" w:rsidRDefault="003B6D3B" w:rsidP="0063610D">
            <w:pPr>
              <w:widowControl/>
              <w:jc w:val="center"/>
              <w:rPr>
                <w:b/>
                <w:bCs/>
                <w:color w:val="000000" w:themeColor="text1"/>
                <w:szCs w:val="24"/>
              </w:rPr>
            </w:pPr>
            <w:r w:rsidRPr="000F241C">
              <w:rPr>
                <w:b/>
                <w:color w:val="000000" w:themeColor="text1"/>
              </w:rPr>
              <w:t>Lukumäärä</w:t>
            </w:r>
          </w:p>
        </w:tc>
        <w:tc>
          <w:tcPr>
            <w:tcW w:w="894"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c>
          <w:tcPr>
            <w:tcW w:w="926" w:type="pct"/>
            <w:hideMark/>
          </w:tcPr>
          <w:p w:rsidR="003B6D3B" w:rsidRPr="000F241C" w:rsidRDefault="003B6D3B" w:rsidP="0063610D">
            <w:pPr>
              <w:widowControl/>
              <w:jc w:val="center"/>
              <w:rPr>
                <w:b/>
                <w:bCs/>
                <w:color w:val="000000" w:themeColor="text1"/>
                <w:szCs w:val="24"/>
              </w:rPr>
            </w:pPr>
            <w:r w:rsidRPr="000F241C">
              <w:rPr>
                <w:b/>
                <w:color w:val="000000" w:themeColor="text1"/>
              </w:rPr>
              <w:t>Lukumäärä</w:t>
            </w:r>
          </w:p>
        </w:tc>
        <w:tc>
          <w:tcPr>
            <w:tcW w:w="906" w:type="pct"/>
            <w:hideMark/>
          </w:tcPr>
          <w:p w:rsidR="003B6D3B" w:rsidRPr="000F241C" w:rsidRDefault="003B6D3B" w:rsidP="0063610D">
            <w:pPr>
              <w:widowControl/>
              <w:jc w:val="center"/>
              <w:rPr>
                <w:b/>
                <w:bCs/>
                <w:color w:val="000000" w:themeColor="text1"/>
                <w:szCs w:val="24"/>
              </w:rPr>
            </w:pPr>
            <w:r w:rsidRPr="000F241C">
              <w:rPr>
                <w:b/>
                <w:color w:val="000000" w:themeColor="text1"/>
              </w:rPr>
              <w:t>Osuus</w:t>
            </w:r>
          </w:p>
        </w:tc>
      </w:tr>
      <w:tr w:rsidR="003B6D3B" w:rsidRPr="000F241C" w:rsidTr="0063610D">
        <w:trPr>
          <w:trHeight w:val="300"/>
        </w:trPr>
        <w:tc>
          <w:tcPr>
            <w:tcW w:w="1541" w:type="pct"/>
            <w:hideMark/>
          </w:tcPr>
          <w:p w:rsidR="003B6D3B" w:rsidRPr="000F241C" w:rsidRDefault="003B6D3B" w:rsidP="0063610D">
            <w:pPr>
              <w:widowControl/>
              <w:rPr>
                <w:color w:val="000000" w:themeColor="text1"/>
                <w:szCs w:val="24"/>
              </w:rPr>
            </w:pPr>
            <w:r w:rsidRPr="000F241C">
              <w:rPr>
                <w:color w:val="000000" w:themeColor="text1"/>
              </w:rPr>
              <w:t> </w:t>
            </w:r>
          </w:p>
        </w:tc>
        <w:tc>
          <w:tcPr>
            <w:tcW w:w="733" w:type="pct"/>
            <w:hideMark/>
          </w:tcPr>
          <w:p w:rsidR="003B6D3B" w:rsidRPr="000F241C" w:rsidRDefault="003B6D3B" w:rsidP="0063610D">
            <w:pPr>
              <w:widowControl/>
              <w:rPr>
                <w:color w:val="000000" w:themeColor="text1"/>
                <w:szCs w:val="24"/>
              </w:rPr>
            </w:pPr>
            <w:r w:rsidRPr="000F241C">
              <w:rPr>
                <w:color w:val="000000" w:themeColor="text1"/>
              </w:rPr>
              <w:t> </w:t>
            </w:r>
          </w:p>
        </w:tc>
        <w:tc>
          <w:tcPr>
            <w:tcW w:w="894" w:type="pct"/>
            <w:hideMark/>
          </w:tcPr>
          <w:p w:rsidR="003B6D3B" w:rsidRPr="000F241C" w:rsidRDefault="003B6D3B" w:rsidP="0063610D">
            <w:pPr>
              <w:widowControl/>
              <w:rPr>
                <w:color w:val="000000" w:themeColor="text1"/>
                <w:szCs w:val="24"/>
              </w:rPr>
            </w:pPr>
            <w:r w:rsidRPr="000F241C">
              <w:rPr>
                <w:color w:val="000000" w:themeColor="text1"/>
              </w:rPr>
              <w:t> </w:t>
            </w:r>
          </w:p>
        </w:tc>
        <w:tc>
          <w:tcPr>
            <w:tcW w:w="926" w:type="pct"/>
            <w:hideMark/>
          </w:tcPr>
          <w:p w:rsidR="003B6D3B" w:rsidRPr="000F241C" w:rsidRDefault="003B6D3B" w:rsidP="0063610D">
            <w:pPr>
              <w:widowControl/>
              <w:rPr>
                <w:color w:val="000000" w:themeColor="text1"/>
                <w:szCs w:val="24"/>
              </w:rPr>
            </w:pPr>
            <w:r w:rsidRPr="000F241C">
              <w:rPr>
                <w:color w:val="000000" w:themeColor="text1"/>
              </w:rPr>
              <w:t> </w:t>
            </w:r>
          </w:p>
        </w:tc>
        <w:tc>
          <w:tcPr>
            <w:tcW w:w="906" w:type="pct"/>
            <w:hideMark/>
          </w:tcPr>
          <w:p w:rsidR="003B6D3B" w:rsidRPr="000F241C" w:rsidRDefault="003B6D3B" w:rsidP="0063610D">
            <w:pPr>
              <w:widowControl/>
              <w:rPr>
                <w:color w:val="000000" w:themeColor="text1"/>
                <w:szCs w:val="24"/>
              </w:rPr>
            </w:pPr>
            <w:r w:rsidRPr="000F241C">
              <w:rPr>
                <w:color w:val="000000" w:themeColor="text1"/>
              </w:rPr>
              <w:t>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Avoin menettely</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78</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35 %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63</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32,5 %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Neuvottelumenettely</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135</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61 %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126</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65 %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Rajoitettu menettely</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2</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1 %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0,5 %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Poikkeus</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2</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1 %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0,5 %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Kiinnostuksenilmaisupyyntöön perustuva luettelo</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2</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1 %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0,5 %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Dynaaminen hankintajärjestelmä</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1</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0,5 %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0</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Innovaatiokumppanuus</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0</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0 %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0</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0 %</w:t>
            </w:r>
          </w:p>
        </w:tc>
      </w:tr>
      <w:tr w:rsidR="003B6D3B" w:rsidRPr="000F241C" w:rsidTr="0063610D">
        <w:trPr>
          <w:trHeight w:val="300"/>
        </w:trPr>
        <w:tc>
          <w:tcPr>
            <w:tcW w:w="1541" w:type="pct"/>
            <w:hideMark/>
          </w:tcPr>
          <w:p w:rsidR="003B6D3B" w:rsidRPr="000F241C" w:rsidRDefault="003B6D3B" w:rsidP="0063610D">
            <w:pPr>
              <w:widowControl/>
              <w:ind w:firstLineChars="100" w:firstLine="240"/>
              <w:rPr>
                <w:color w:val="000000" w:themeColor="text1"/>
                <w:szCs w:val="24"/>
              </w:rPr>
            </w:pPr>
            <w:r w:rsidRPr="000F241C">
              <w:rPr>
                <w:color w:val="000000" w:themeColor="text1"/>
              </w:rPr>
              <w:t>Nopeutettu avoin menettely</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1</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0,5 %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0,5 %</w:t>
            </w:r>
          </w:p>
        </w:tc>
      </w:tr>
      <w:tr w:rsidR="003B6D3B" w:rsidRPr="000F241C" w:rsidTr="0063610D">
        <w:trPr>
          <w:trHeight w:val="315"/>
        </w:trPr>
        <w:tc>
          <w:tcPr>
            <w:tcW w:w="1541" w:type="pct"/>
            <w:hideMark/>
          </w:tcPr>
          <w:p w:rsidR="003B6D3B" w:rsidRPr="000F241C" w:rsidRDefault="003B6D3B" w:rsidP="0063610D">
            <w:pPr>
              <w:widowControl/>
              <w:rPr>
                <w:color w:val="000000" w:themeColor="text1"/>
                <w:szCs w:val="24"/>
              </w:rPr>
            </w:pPr>
            <w:r w:rsidRPr="000F241C">
              <w:rPr>
                <w:color w:val="000000" w:themeColor="text1"/>
              </w:rPr>
              <w:t xml:space="preserve">    Suunnittelukilpailut</w:t>
            </w:r>
          </w:p>
        </w:tc>
        <w:tc>
          <w:tcPr>
            <w:tcW w:w="733" w:type="pct"/>
            <w:hideMark/>
          </w:tcPr>
          <w:p w:rsidR="003B6D3B" w:rsidRPr="000F241C" w:rsidRDefault="003B6D3B" w:rsidP="0063610D">
            <w:pPr>
              <w:widowControl/>
              <w:jc w:val="center"/>
              <w:rPr>
                <w:color w:val="000000" w:themeColor="text1"/>
                <w:szCs w:val="24"/>
              </w:rPr>
            </w:pPr>
            <w:r w:rsidRPr="000F241C">
              <w:rPr>
                <w:color w:val="000000" w:themeColor="text1"/>
              </w:rPr>
              <w:t>0</w:t>
            </w:r>
          </w:p>
        </w:tc>
        <w:tc>
          <w:tcPr>
            <w:tcW w:w="894" w:type="pct"/>
            <w:hideMark/>
          </w:tcPr>
          <w:p w:rsidR="003B6D3B" w:rsidRPr="000F241C" w:rsidRDefault="003B6D3B" w:rsidP="0063610D">
            <w:pPr>
              <w:widowControl/>
              <w:jc w:val="center"/>
              <w:rPr>
                <w:color w:val="000000" w:themeColor="text1"/>
                <w:szCs w:val="24"/>
              </w:rPr>
            </w:pPr>
            <w:r w:rsidRPr="000F241C">
              <w:rPr>
                <w:color w:val="000000" w:themeColor="text1"/>
              </w:rPr>
              <w:t>0 %</w:t>
            </w:r>
          </w:p>
        </w:tc>
        <w:tc>
          <w:tcPr>
            <w:tcW w:w="926" w:type="pct"/>
          </w:tcPr>
          <w:p w:rsidR="003B6D3B" w:rsidRPr="000F241C" w:rsidRDefault="003B6D3B" w:rsidP="0063610D">
            <w:pPr>
              <w:widowControl/>
              <w:jc w:val="center"/>
              <w:rPr>
                <w:color w:val="000000" w:themeColor="text1"/>
                <w:szCs w:val="24"/>
              </w:rPr>
            </w:pPr>
            <w:r w:rsidRPr="000F241C">
              <w:rPr>
                <w:color w:val="000000" w:themeColor="text1"/>
              </w:rPr>
              <w:t>1</w:t>
            </w:r>
          </w:p>
        </w:tc>
        <w:tc>
          <w:tcPr>
            <w:tcW w:w="906" w:type="pct"/>
          </w:tcPr>
          <w:p w:rsidR="003B6D3B" w:rsidRPr="000F241C" w:rsidRDefault="003B6D3B" w:rsidP="0063610D">
            <w:pPr>
              <w:widowControl/>
              <w:jc w:val="center"/>
              <w:rPr>
                <w:color w:val="000000" w:themeColor="text1"/>
                <w:szCs w:val="24"/>
              </w:rPr>
            </w:pPr>
            <w:r w:rsidRPr="000F241C">
              <w:rPr>
                <w:color w:val="000000" w:themeColor="text1"/>
              </w:rPr>
              <w:t>0,5 %</w:t>
            </w:r>
          </w:p>
        </w:tc>
      </w:tr>
      <w:tr w:rsidR="003B6D3B" w:rsidRPr="000F241C" w:rsidTr="0063610D">
        <w:trPr>
          <w:trHeight w:val="600"/>
        </w:trPr>
        <w:tc>
          <w:tcPr>
            <w:tcW w:w="1541" w:type="pct"/>
            <w:hideMark/>
          </w:tcPr>
          <w:p w:rsidR="003B6D3B" w:rsidRPr="000F241C" w:rsidRDefault="003B6D3B" w:rsidP="0063610D">
            <w:pPr>
              <w:widowControl/>
              <w:rPr>
                <w:b/>
                <w:bCs/>
                <w:color w:val="000000" w:themeColor="text1"/>
                <w:szCs w:val="24"/>
              </w:rPr>
            </w:pPr>
            <w:r w:rsidRPr="000F241C">
              <w:rPr>
                <w:b/>
                <w:color w:val="000000" w:themeColor="text1"/>
              </w:rPr>
              <w:t xml:space="preserve">   Yhteensä</w:t>
            </w:r>
          </w:p>
        </w:tc>
        <w:tc>
          <w:tcPr>
            <w:tcW w:w="733" w:type="pct"/>
            <w:hideMark/>
          </w:tcPr>
          <w:p w:rsidR="003B6D3B" w:rsidRPr="000F241C" w:rsidRDefault="003B6D3B" w:rsidP="0063610D">
            <w:pPr>
              <w:widowControl/>
              <w:jc w:val="center"/>
              <w:rPr>
                <w:b/>
                <w:bCs/>
                <w:color w:val="000000" w:themeColor="text1"/>
                <w:szCs w:val="24"/>
              </w:rPr>
            </w:pPr>
            <w:r w:rsidRPr="000F241C">
              <w:rPr>
                <w:b/>
                <w:color w:val="000000" w:themeColor="text1"/>
              </w:rPr>
              <w:t>221</w:t>
            </w:r>
          </w:p>
        </w:tc>
        <w:tc>
          <w:tcPr>
            <w:tcW w:w="894" w:type="pct"/>
            <w:hideMark/>
          </w:tcPr>
          <w:p w:rsidR="003B6D3B" w:rsidRPr="000F241C" w:rsidRDefault="003B6D3B" w:rsidP="0063610D">
            <w:pPr>
              <w:widowControl/>
              <w:jc w:val="center"/>
              <w:rPr>
                <w:b/>
                <w:bCs/>
                <w:color w:val="000000" w:themeColor="text1"/>
                <w:szCs w:val="24"/>
              </w:rPr>
            </w:pPr>
            <w:r w:rsidRPr="000F241C">
              <w:rPr>
                <w:b/>
                <w:color w:val="000000" w:themeColor="text1"/>
              </w:rPr>
              <w:t>100 %</w:t>
            </w:r>
          </w:p>
        </w:tc>
        <w:tc>
          <w:tcPr>
            <w:tcW w:w="926" w:type="pct"/>
          </w:tcPr>
          <w:p w:rsidR="003B6D3B" w:rsidRPr="000F241C" w:rsidRDefault="003B6D3B" w:rsidP="0063610D">
            <w:pPr>
              <w:widowControl/>
              <w:jc w:val="center"/>
              <w:rPr>
                <w:b/>
                <w:bCs/>
                <w:color w:val="000000" w:themeColor="text1"/>
                <w:szCs w:val="24"/>
              </w:rPr>
            </w:pPr>
            <w:r w:rsidRPr="000F241C">
              <w:rPr>
                <w:b/>
                <w:color w:val="000000" w:themeColor="text1"/>
              </w:rPr>
              <w:t>194</w:t>
            </w:r>
          </w:p>
        </w:tc>
        <w:tc>
          <w:tcPr>
            <w:tcW w:w="906" w:type="pct"/>
          </w:tcPr>
          <w:p w:rsidR="003B6D3B" w:rsidRPr="000F241C" w:rsidRDefault="003B6D3B" w:rsidP="0063610D">
            <w:pPr>
              <w:widowControl/>
              <w:jc w:val="center"/>
              <w:rPr>
                <w:b/>
                <w:bCs/>
                <w:color w:val="000000" w:themeColor="text1"/>
                <w:szCs w:val="24"/>
              </w:rPr>
            </w:pPr>
            <w:r w:rsidRPr="000F241C">
              <w:rPr>
                <w:b/>
                <w:color w:val="000000" w:themeColor="text1"/>
              </w:rPr>
              <w:t>100 %</w:t>
            </w:r>
          </w:p>
        </w:tc>
      </w:tr>
    </w:tbl>
    <w:p w:rsidR="003B6D3B" w:rsidRPr="000F241C" w:rsidRDefault="003B6D3B" w:rsidP="0063610D">
      <w:pPr>
        <w:widowControl/>
        <w:rPr>
          <w:noProof/>
        </w:rPr>
      </w:pPr>
    </w:p>
    <w:p w:rsidR="003B6D3B" w:rsidRPr="000F241C" w:rsidRDefault="003B6D3B" w:rsidP="0063610D">
      <w:pPr>
        <w:keepNext/>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Poliittiset ryhmät (momentti 400)</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72</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toteaa, että vuonna 2022 momentin 400 määrärahat poliittisille ryhmille ja sitoutumattomille jäsenille käytettiin seuraavasti</w:t>
      </w:r>
      <w:r w:rsidRPr="000F241C">
        <w:rPr>
          <w:rStyle w:val="FootnoteReference"/>
          <w:szCs w:val="24"/>
        </w:rPr>
        <w:footnoteReference w:id="14"/>
      </w:r>
      <w:r w:rsidRPr="000F241C">
        <w:rPr>
          <w14:textOutline w14:w="0" w14:cap="flat" w14:cmpd="sng" w14:algn="ctr">
            <w14:noFill/>
            <w14:prstDash w14:val="solid"/>
            <w14:bevel/>
          </w14:textOutline>
        </w:rPr>
        <w:t>:</w:t>
      </w:r>
    </w:p>
    <w:p w:rsidR="003B6D3B" w:rsidRPr="000F241C" w:rsidRDefault="003B6D3B" w:rsidP="0063610D">
      <w:pPr>
        <w:widowControl/>
        <w:rPr>
          <w:noProof/>
        </w:rPr>
      </w:pPr>
      <w:r w:rsidRPr="000F241C">
        <w:br w:type="page"/>
      </w:r>
    </w:p>
    <w:p w:rsidR="003B6D3B" w:rsidRPr="000F241C" w:rsidRDefault="003B6D3B" w:rsidP="0063610D">
      <w:pPr>
        <w:widowControl/>
        <w:rPr>
          <w:noProof/>
        </w:rPr>
        <w:sectPr w:rsidR="003B6D3B" w:rsidRPr="000F241C" w:rsidSect="00D93092">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0"/>
        <w:gridCol w:w="1171"/>
        <w:gridCol w:w="1171"/>
        <w:gridCol w:w="1171"/>
        <w:gridCol w:w="1196"/>
        <w:gridCol w:w="1173"/>
        <w:gridCol w:w="1171"/>
        <w:gridCol w:w="1171"/>
        <w:gridCol w:w="1172"/>
        <w:gridCol w:w="1196"/>
        <w:gridCol w:w="1174"/>
      </w:tblGrid>
      <w:tr w:rsidR="003B6D3B" w:rsidRPr="000F241C" w:rsidTr="0063610D">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lastRenderedPageBreak/>
              <w:t>Ryhmä</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3B6D3B" w:rsidRPr="000F241C" w:rsidRDefault="003B6D3B" w:rsidP="0063610D">
            <w:pPr>
              <w:widowControl/>
              <w:jc w:val="center"/>
              <w:rPr>
                <w:color w:val="000000"/>
                <w:sz w:val="18"/>
                <w:szCs w:val="18"/>
              </w:rPr>
            </w:pPr>
            <w:r w:rsidRPr="000F241C">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rsidR="003B6D3B" w:rsidRPr="000F241C" w:rsidRDefault="003B6D3B" w:rsidP="0063610D">
            <w:pPr>
              <w:widowControl/>
              <w:jc w:val="center"/>
              <w:rPr>
                <w:color w:val="000000"/>
                <w:sz w:val="18"/>
                <w:szCs w:val="18"/>
              </w:rPr>
            </w:pPr>
            <w:r w:rsidRPr="000F241C">
              <w:rPr>
                <w:color w:val="000000"/>
                <w:sz w:val="18"/>
              </w:rPr>
              <w:t>2021</w:t>
            </w:r>
          </w:p>
        </w:tc>
      </w:tr>
      <w:tr w:rsidR="003B6D3B" w:rsidRPr="000F241C" w:rsidTr="0063610D">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rsidR="003B6D3B" w:rsidRPr="000F241C" w:rsidRDefault="003B6D3B" w:rsidP="0063610D">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Määrärahat vuodessa</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Omat varat ja siirretyt määrärahat</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Maksut</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Vuotuisten määrärahojen käyttöaste</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Seuraavalle kaudelle siirretyt määrärahat</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Määrärahat vuodessa</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Omat varat ja siirretyt määrärahat</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Maksut</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Vuotuisten määrärahojen käyttöaste</w:t>
            </w:r>
          </w:p>
        </w:tc>
        <w:tc>
          <w:tcPr>
            <w:tcW w:w="412" w:type="pct"/>
            <w:tcBorders>
              <w:top w:val="nil"/>
              <w:left w:val="nil"/>
              <w:bottom w:val="single" w:sz="8" w:space="0" w:color="auto"/>
              <w:right w:val="single" w:sz="8" w:space="0" w:color="auto"/>
            </w:tcBorders>
            <w:shd w:val="clear" w:color="auto" w:fill="auto"/>
            <w:vAlign w:val="center"/>
            <w:hideMark/>
          </w:tcPr>
          <w:p w:rsidR="003B6D3B" w:rsidRPr="000F241C" w:rsidRDefault="003B6D3B" w:rsidP="0063610D">
            <w:pPr>
              <w:widowControl/>
              <w:jc w:val="center"/>
              <w:rPr>
                <w:color w:val="000000"/>
                <w:sz w:val="18"/>
                <w:szCs w:val="18"/>
              </w:rPr>
            </w:pPr>
            <w:r w:rsidRPr="000F241C">
              <w:rPr>
                <w:color w:val="000000"/>
                <w:sz w:val="18"/>
              </w:rPr>
              <w:t>Seuraavalle kaudelle siirretyt määrärahat</w:t>
            </w:r>
          </w:p>
        </w:tc>
      </w:tr>
      <w:tr w:rsidR="003B6D3B" w:rsidRPr="000F241C" w:rsidTr="0063610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Euroopan kansanpuolue (PPE)</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12 562</w:t>
            </w:r>
          </w:p>
        </w:tc>
      </w:tr>
      <w:tr w:rsidR="003B6D3B" w:rsidRPr="000F241C" w:rsidTr="0063610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Euroopan parlamentin sosialistit ja demokraatit (S&amp;D)</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10 188</w:t>
            </w:r>
          </w:p>
        </w:tc>
      </w:tr>
      <w:tr w:rsidR="003B6D3B" w:rsidRPr="000F241C" w:rsidTr="0063610D">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proofErr w:type="spellStart"/>
            <w:r w:rsidRPr="000F241C">
              <w:rPr>
                <w:b/>
                <w:color w:val="000000"/>
                <w:sz w:val="18"/>
              </w:rPr>
              <w:t>Renew</w:t>
            </w:r>
            <w:proofErr w:type="spellEnd"/>
            <w:r w:rsidRPr="000F241C">
              <w:rPr>
                <w:b/>
                <w:color w:val="000000"/>
                <w:sz w:val="18"/>
              </w:rPr>
              <w:t xml:space="preserve"> Europe (ent. Euroopan liberaalidemokraattien liitto (ALDE))</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6 894</w:t>
            </w:r>
          </w:p>
        </w:tc>
      </w:tr>
      <w:tr w:rsidR="003B6D3B" w:rsidRPr="000F241C" w:rsidTr="0063610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Vihreät / Euroopan vapaa allianssi (Verts/ALE)</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5 196</w:t>
            </w:r>
          </w:p>
        </w:tc>
      </w:tr>
      <w:tr w:rsidR="003B6D3B" w:rsidRPr="000F241C" w:rsidTr="0063610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 xml:space="preserve">Identiteetti ja demokratia (ID)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5 155</w:t>
            </w:r>
          </w:p>
        </w:tc>
      </w:tr>
      <w:tr w:rsidR="003B6D3B" w:rsidRPr="000F241C" w:rsidTr="0063610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Euroopan konservatiivit ja reformistit (ECR)</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3 718</w:t>
            </w:r>
          </w:p>
        </w:tc>
      </w:tr>
      <w:tr w:rsidR="003B6D3B" w:rsidRPr="000F241C" w:rsidTr="0063610D">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proofErr w:type="spellStart"/>
            <w:r w:rsidRPr="000F241C">
              <w:rPr>
                <w:b/>
                <w:color w:val="000000"/>
                <w:sz w:val="18"/>
              </w:rPr>
              <w:t>The</w:t>
            </w:r>
            <w:proofErr w:type="spellEnd"/>
            <w:r w:rsidRPr="000F241C">
              <w:rPr>
                <w:b/>
                <w:color w:val="000000"/>
                <w:sz w:val="18"/>
              </w:rPr>
              <w:t xml:space="preserve"> </w:t>
            </w:r>
            <w:proofErr w:type="spellStart"/>
            <w:r w:rsidRPr="000F241C">
              <w:rPr>
                <w:b/>
                <w:color w:val="000000"/>
                <w:sz w:val="18"/>
              </w:rPr>
              <w:t>Left</w:t>
            </w:r>
            <w:proofErr w:type="spellEnd"/>
            <w:r w:rsidRPr="000F241C">
              <w:rPr>
                <w:b/>
                <w:color w:val="000000"/>
                <w:sz w:val="18"/>
              </w:rPr>
              <w:t xml:space="preserve"> – Euroopan yhtynyt vasemmisto / Pohjoismaiden vihreä vasemmisto (GUE/NGL)</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2 036</w:t>
            </w:r>
          </w:p>
        </w:tc>
      </w:tr>
      <w:tr w:rsidR="003B6D3B" w:rsidRPr="000F241C" w:rsidTr="0063610D">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rsidR="003B6D3B" w:rsidRPr="000F241C" w:rsidRDefault="003B6D3B" w:rsidP="0063610D">
            <w:pPr>
              <w:widowControl/>
              <w:rPr>
                <w:b/>
                <w:bCs/>
                <w:color w:val="000000"/>
                <w:sz w:val="18"/>
                <w:szCs w:val="18"/>
              </w:rPr>
            </w:pPr>
            <w:r w:rsidRPr="000F241C">
              <w:rPr>
                <w:b/>
                <w:color w:val="000000"/>
                <w:sz w:val="18"/>
              </w:rPr>
              <w:t xml:space="preserve">Sitoutumattomat jäsenet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1,520</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1,862</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rsidR="003B6D3B" w:rsidRPr="000F241C" w:rsidRDefault="003B6D3B" w:rsidP="0063610D">
            <w:pPr>
              <w:widowControl/>
              <w:jc w:val="right"/>
              <w:rPr>
                <w:color w:val="000000"/>
                <w:sz w:val="18"/>
                <w:szCs w:val="18"/>
              </w:rPr>
            </w:pPr>
            <w:r w:rsidRPr="000F241C">
              <w:rPr>
                <w:color w:val="000000"/>
                <w:sz w:val="18"/>
              </w:rPr>
              <w:t>861</w:t>
            </w:r>
          </w:p>
        </w:tc>
      </w:tr>
      <w:tr w:rsidR="003B6D3B" w:rsidRPr="000F241C" w:rsidTr="0063610D">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Yhteensä</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rsidR="003B6D3B" w:rsidRPr="000F241C" w:rsidRDefault="003B6D3B" w:rsidP="0063610D">
            <w:pPr>
              <w:widowControl/>
              <w:jc w:val="right"/>
              <w:rPr>
                <w:b/>
                <w:bCs/>
                <w:color w:val="000000"/>
                <w:sz w:val="18"/>
                <w:szCs w:val="18"/>
              </w:rPr>
            </w:pPr>
            <w:r w:rsidRPr="000F241C">
              <w:rPr>
                <w:b/>
                <w:color w:val="000000"/>
                <w:sz w:val="18"/>
              </w:rPr>
              <w:t>46 611</w:t>
            </w:r>
          </w:p>
        </w:tc>
      </w:tr>
    </w:tbl>
    <w:p w:rsidR="003B6D3B" w:rsidRPr="000F241C" w:rsidRDefault="003B6D3B" w:rsidP="0063610D">
      <w:pPr>
        <w:widowControl/>
        <w:rPr>
          <w:noProof/>
        </w:rPr>
      </w:pPr>
    </w:p>
    <w:p w:rsidR="003B6D3B" w:rsidRPr="000F241C" w:rsidRDefault="003B6D3B" w:rsidP="0063610D">
      <w:pPr>
        <w:widowControl/>
        <w:rPr>
          <w:noProof/>
        </w:rPr>
      </w:pPr>
      <w:r w:rsidRPr="000F241C">
        <w:br w:type="page"/>
      </w:r>
    </w:p>
    <w:p w:rsidR="003B6D3B" w:rsidRPr="000F241C" w:rsidRDefault="003B6D3B" w:rsidP="0063610D">
      <w:pPr>
        <w:widowControl/>
        <w:rPr>
          <w:noProof/>
        </w:rPr>
        <w:sectPr w:rsidR="003B6D3B" w:rsidRPr="000F241C" w:rsidSect="00D93092">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lastRenderedPageBreak/>
        <w:t>1</w:t>
      </w:r>
      <w:r w:rsidR="000F241C" w:rsidRPr="000F241C">
        <w:rPr>
          <w14:textOutline w14:w="0" w14:cap="flat" w14:cmpd="sng" w14:algn="ctr">
            <w14:noFill/>
            <w14:prstDash w14:val="solid"/>
            <w14:bevel/>
          </w14:textOutline>
        </w:rPr>
        <w:t>73</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on tyytyväinen siihen, että poliittisten ryhmien riippumattomat ulkopuoliset tarkastajat antoivat varainhoitovuodelta 2022 vain vakiomuotoisia lausuntoja;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74</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muistuttaa, että nämä määrärahat on tarkoitettu kattamaan unionin poliittiseen toimintaan liittyvä toiminta ja että poliittiset ryhmät ovat vastuussa parlamentille niiden käytöstä;</w:t>
      </w:r>
    </w:p>
    <w:p w:rsidR="003B6D3B" w:rsidRPr="000F241C" w:rsidRDefault="003B6D3B" w:rsidP="0063610D">
      <w:pPr>
        <w:widowControl/>
        <w:spacing w:after="240"/>
        <w:rPr>
          <w:b/>
          <w:bCs/>
          <w:i/>
          <w:iCs/>
          <w:szCs w:val="24"/>
          <w14:textOutline w14:w="0" w14:cap="flat" w14:cmpd="sng" w14:algn="ctr">
            <w14:noFill/>
            <w14:prstDash w14:val="solid"/>
            <w14:bevel/>
          </w14:textOutline>
        </w:rPr>
      </w:pPr>
      <w:r w:rsidRPr="000F241C">
        <w:rPr>
          <w:b/>
          <w:i/>
          <w14:textOutline w14:w="0" w14:cap="flat" w14:cmpd="sng" w14:algn="ctr">
            <w14:noFill/>
            <w14:prstDash w14:val="solid"/>
            <w14:bevel/>
          </w14:textOutline>
        </w:rPr>
        <w:t>Euroopan tason poliittiset puolueet ja Euroopan tason poliittiset säätiöt</w:t>
      </w:r>
    </w:p>
    <w:p w:rsidR="003B6D3B" w:rsidRPr="000F241C" w:rsidRDefault="003B6D3B" w:rsidP="0063610D">
      <w:pPr>
        <w:pStyle w:val="NormalHanging12a"/>
        <w:widowControl/>
      </w:pPr>
      <w:r w:rsidRPr="000F241C">
        <w:t>1</w:t>
      </w:r>
      <w:r w:rsidR="000F241C" w:rsidRPr="000F241C">
        <w:t>75</w:t>
      </w:r>
      <w:r w:rsidRPr="000F241C">
        <w:t>.</w:t>
      </w:r>
      <w:r w:rsidRPr="000F241C">
        <w:tab/>
        <w:t>panee merkille, että vuonna 2022 vastuuviranomainen antoi Euroopan tason poliittisille puolueille ja Euroopan tason poliittisille säätiöille oikeuden tulla kuulluksi sekä mahdollisuuden korjaaviin toimenpiteisiin yhdeksässä tapauksessa; toteaa vielä, että nämä liittyivät raportointivaatimuksiin, tuloja koskeviin sääntöihin ja yhteisiin toimiin; korostaa, että vastuuviranomaisen varhaisessa vaiheessa suorittama valvonta osoittaa, että asianomaiset Euroopan tason poliittiset puolueet ja säätiöt toteuttivat välittömästi asiaankuuluvat korjaavat toimenpiteet kaikissa näissä tapauksissa; panee merkille, että vastuuviranomainen seuraa edelleen, että korjaavilla toimenpiteillä, joilla on pitkäkestoinen vaikutus, varmistetaan sääntöjen jatkuva noudattaminen kyseisillä aloilla; panee tyytyväisenä merkille, että vuonna 2022 ei tarvittu lainkaan seuraamuksia;</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76</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pitää myönteisenä, että valmisteltaessa vuoden 2024 EU-vaaleja vastuuviranomainen tehostaa aktiivisesti yhteistyöverkostoja tutkimalla uusia kumppanuuksia demokraattisen integriteetin puolustamiseksi;</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77</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panee huolestuneena merkille, että vastuuviranomaisen ilmoituksen mukaan sen henkilöresurssit ovat rajalliset; korostaa, että tästä tulee todennäköisesti suurempi ongelma, kun haasteet kasvavat vuoden 2024 EU-vaalien alla, mukaan lukien erityisesti tarve suojella demokraattista integriteettiä ulkomaisen sekaantumisen uudenlaisilta muodoilta sekä vastuuviranomaiselle asetuksen (EU, Euratom) N:o 1141/2014 uudelleenlaatimisesta parhaillaan käytävistä neuvotteluista mahdollisesti osoitettavat uudet, välttämättömät hallinnolliset täytäntöönpanotehtävät;</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17</w:t>
      </w:r>
      <w:r w:rsidR="000F241C" w:rsidRPr="000F241C">
        <w:rPr>
          <w14:textOutline w14:w="0" w14:cap="flat" w14:cmpd="sng" w14:algn="ctr">
            <w14:noFill/>
            <w14:prstDash w14:val="solid"/>
            <w14:bevel/>
          </w14:textOutline>
        </w:rPr>
        <w:t>8</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 xml:space="preserve">muistuttaa vilkkaan ja sopeutumiskykyisen eurooppalaisen demokratian, jota unionin tason poliittisten puolueiden moniarvoisuus tukee, keskeisestä roolista; korostaa siksi, että on varmistettava tasapuoliset toimintaedellytykset ja että noudattamista on valvottava kunnioittaen täysin menettelyllisiä oikeuksia; pitää tässä yhteydessä myönteisenä vastuuviranomaisen keskeistä työtä, kun se valvoo riippumattomasti ja tiiviissä yhteistyössä parlamentin kanssa, toimivatko Euroopan tason poliittiset puolueet ja säätiöt oikeudellisen kehyksen mukaisesti, tarjoaa avoimuutta kansalaisille ja edistää Euroopan parlamentin vaalien rehellisyyttä; </w:t>
      </w: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17</w:t>
      </w:r>
      <w:r w:rsidR="000F241C" w:rsidRPr="000F241C">
        <w:rPr>
          <w14:textOutline w14:w="0" w14:cap="flat" w14:cmpd="sng" w14:algn="ctr">
            <w14:noFill/>
            <w14:prstDash w14:val="solid"/>
            <w14:bevel/>
          </w14:textOutline>
        </w:rPr>
        <w:t>9</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toteaa, että vuonna 2022 momentin 402 määrärahat käytettiin seuraavasti</w:t>
      </w:r>
      <w:r w:rsidRPr="000F241C">
        <w:rPr>
          <w:rStyle w:val="FootnoteReference"/>
          <w:szCs w:val="24"/>
        </w:rPr>
        <w:footnoteReference w:id="15"/>
      </w:r>
      <w:r w:rsidRPr="000F241C">
        <w:rPr>
          <w14:textOutline w14:w="0" w14:cap="flat" w14:cmpd="sng" w14:algn="ctr">
            <w14:noFill/>
            <w14:prstDash w14:val="solid"/>
            <w14:bevel/>
          </w14:textOutline>
        </w:rPr>
        <w:t>:</w:t>
      </w:r>
    </w:p>
    <w:p w:rsidR="003B6D3B" w:rsidRPr="000F241C" w:rsidRDefault="003B6D3B" w:rsidP="0063610D">
      <w:pPr>
        <w:widowControl/>
        <w:rPr>
          <w:noProof/>
        </w:rPr>
      </w:pPr>
      <w:r w:rsidRPr="000F241C">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3B6D3B" w:rsidRPr="000F241C" w:rsidTr="0063610D">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lastRenderedPageBreak/>
              <w:t>Puolue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Lyhenne</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Omat varat</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EP:n lopullinen maksuosuus(</w:t>
            </w:r>
            <w:r w:rsidRPr="000F241C">
              <w:rPr>
                <w:rStyle w:val="FootnoteReference"/>
              </w:rPr>
              <w:footnoteReference w:id="16"/>
            </w:r>
            <w:r w:rsidRPr="000F241C">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Tulot yhteensä</w:t>
            </w:r>
            <w:r w:rsidRPr="000F241C">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EP:n maksu-osuuden osuus tuki-kelpoisista menoista (enintään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Tulojen ylijäämä (siirto varaukseen tai tappio)</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kansanpuolue</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448,128</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sosialidemokraattinen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675 194</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liberaalidemokraattien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560 139</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vihreät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EGP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846 993</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vasemmistopuolue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40 396</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demokraattipuolue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127 134</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vapaa allianssi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 xml:space="preserve">EFA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100 217</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konservatiivien ja reformistien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Euroopan kristillinen poliittinen liike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 </w:t>
            </w:r>
          </w:p>
        </w:tc>
      </w:tr>
      <w:tr w:rsidR="003B6D3B" w:rsidRPr="000F241C" w:rsidTr="0063610D">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14:textOutline w14:w="0" w14:cap="flat" w14:cmpd="sng" w14:algn="ctr">
                  <w14:noFill/>
                  <w14:prstDash w14:val="solid"/>
                  <w14:bevel/>
                </w14:textOutline>
              </w:rPr>
              <w:t>Identiteetti ja demokratia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18"/>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14:textOutline w14:w="0" w14:cap="flat" w14:cmpd="sng" w14:algn="ctr">
                  <w14:noFill/>
                  <w14:prstDash w14:val="solid"/>
                  <w14:bevel/>
                </w14:textOutline>
              </w:rPr>
            </w:pPr>
            <w:r w:rsidRPr="000F241C">
              <w:rPr>
                <w:sz w:val="20"/>
              </w:rPr>
              <w:t xml:space="preserve"> - </w:t>
            </w:r>
          </w:p>
        </w:tc>
      </w:tr>
      <w:tr w:rsidR="003B6D3B" w:rsidRPr="000F241C" w:rsidTr="0063610D">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right"/>
              <w:rPr>
                <w:sz w:val="20"/>
                <w14:textOutline w14:w="0" w14:cap="flat" w14:cmpd="sng" w14:algn="ctr">
                  <w14:noFill/>
                  <w14:prstDash w14:val="solid"/>
                  <w14:bevel/>
                </w14:textOutline>
              </w:rPr>
            </w:pPr>
            <w:r w:rsidRPr="000F241C">
              <w:rPr>
                <w:b/>
                <w:sz w:val="20"/>
                <w14:textOutline w14:w="0" w14:cap="flat" w14:cmpd="sng" w14:algn="ctr">
                  <w14:noFill/>
                  <w14:prstDash w14:val="solid"/>
                  <w14:bevel/>
                </w14:textOutline>
              </w:rPr>
              <w:t>YHTEENSÄ</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bCs/>
                <w:sz w:val="20"/>
              </w:rPr>
            </w:pPr>
            <w:r w:rsidRPr="000F241C">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bCs/>
                <w:sz w:val="20"/>
              </w:rPr>
            </w:pPr>
            <w:r w:rsidRPr="000F241C">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bCs/>
                <w:sz w:val="20"/>
              </w:rPr>
            </w:pPr>
            <w:r w:rsidRPr="000F241C">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sz w:val="20"/>
              </w:rPr>
            </w:pPr>
            <w:r w:rsidRPr="000F241C">
              <w:rPr>
                <w:b/>
                <w:sz w:val="20"/>
              </w:rPr>
              <w:t>2 798 201</w:t>
            </w:r>
          </w:p>
        </w:tc>
      </w:tr>
    </w:tbl>
    <w:p w:rsidR="003B6D3B" w:rsidRPr="000F241C" w:rsidRDefault="003B6D3B" w:rsidP="0063610D">
      <w:pPr>
        <w:widowControl/>
        <w:rPr>
          <w:noProof/>
        </w:rPr>
      </w:pPr>
    </w:p>
    <w:p w:rsidR="003B6D3B" w:rsidRPr="000F241C" w:rsidRDefault="003B6D3B" w:rsidP="0063610D">
      <w:pPr>
        <w:widowControl/>
        <w:spacing w:after="240"/>
        <w:ind w:left="567" w:hanging="567"/>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1</w:t>
      </w:r>
      <w:r w:rsidR="000F241C" w:rsidRPr="000F241C">
        <w:rPr>
          <w14:textOutline w14:w="0" w14:cap="flat" w14:cmpd="sng" w14:algn="ctr">
            <w14:noFill/>
            <w14:prstDash w14:val="solid"/>
            <w14:bevel/>
          </w14:textOutline>
        </w:rPr>
        <w:t>80</w:t>
      </w:r>
      <w:r w:rsidRPr="000F241C">
        <w:rPr>
          <w14:textOutline w14:w="0" w14:cap="flat" w14:cmpd="sng" w14:algn="ctr">
            <w14:noFill/>
            <w14:prstDash w14:val="solid"/>
            <w14:bevel/>
          </w14:textOutline>
        </w:rPr>
        <w:t>.</w:t>
      </w:r>
      <w:r w:rsidRPr="000F241C">
        <w:rPr>
          <w14:textOutline w14:w="0" w14:cap="flat" w14:cmpd="sng" w14:algn="ctr">
            <w14:noFill/>
            <w14:prstDash w14:val="solid"/>
            <w14:bevel/>
          </w14:textOutline>
        </w:rPr>
        <w:tab/>
        <w:t>toteaa, että vuonna 2022 momentin 403 määrärahat käytettiin seuraavasti</w:t>
      </w:r>
      <w:r w:rsidRPr="000F241C">
        <w:rPr>
          <w:rStyle w:val="FootnoteReference"/>
          <w:szCs w:val="24"/>
        </w:rPr>
        <w:footnoteReference w:id="17"/>
      </w:r>
      <w:r w:rsidRPr="000F241C">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3B6D3B" w:rsidRPr="000F241C" w:rsidTr="0063610D">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Säätiö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Lyhenne</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 xml:space="preserve">Liittyy </w:t>
            </w:r>
            <w:proofErr w:type="spellStart"/>
            <w:r w:rsidRPr="000F241C">
              <w:rPr>
                <w:sz w:val="20"/>
                <w14:textOutline w14:w="0" w14:cap="flat" w14:cmpd="sng" w14:algn="ctr">
                  <w14:noFill/>
                  <w14:prstDash w14:val="solid"/>
                  <w14:bevel/>
                </w14:textOutline>
              </w:rPr>
              <w:t>puolu-eeseen</w:t>
            </w:r>
            <w:proofErr w:type="spellEnd"/>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Omat varat</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EP:n lopullinen avustus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Tulot yhteensä</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t>EP:n avustuksen osuus tuki-</w:t>
            </w:r>
            <w:proofErr w:type="spellStart"/>
            <w:r w:rsidRPr="000F241C">
              <w:rPr>
                <w:sz w:val="20"/>
                <w14:textOutline w14:w="0" w14:cap="flat" w14:cmpd="sng" w14:algn="ctr">
                  <w14:noFill/>
                  <w14:prstDash w14:val="solid"/>
                  <w14:bevel/>
                </w14:textOutline>
              </w:rPr>
              <w:t>kelpoi</w:t>
            </w:r>
            <w:proofErr w:type="spellEnd"/>
            <w:r w:rsidRPr="000F241C">
              <w:rPr>
                <w:sz w:val="20"/>
                <w14:textOutline w14:w="0" w14:cap="flat" w14:cmpd="sng" w14:algn="ctr">
                  <w14:noFill/>
                  <w14:prstDash w14:val="solid"/>
                  <w14:bevel/>
                </w14:textOutline>
              </w:rPr>
              <w:t>-</w:t>
            </w:r>
            <w:proofErr w:type="spellStart"/>
            <w:r w:rsidRPr="000F241C">
              <w:rPr>
                <w:sz w:val="20"/>
                <w14:textOutline w14:w="0" w14:cap="flat" w14:cmpd="sng" w14:algn="ctr">
                  <w14:noFill/>
                  <w14:prstDash w14:val="solid"/>
                  <w14:bevel/>
                </w14:textOutline>
              </w:rPr>
              <w:t>sista</w:t>
            </w:r>
            <w:proofErr w:type="spellEnd"/>
            <w:r w:rsidRPr="000F241C">
              <w:rPr>
                <w:sz w:val="20"/>
                <w14:textOutline w14:w="0" w14:cap="flat" w14:cmpd="sng" w14:algn="ctr">
                  <w14:noFill/>
                  <w14:prstDash w14:val="solid"/>
                  <w14:bevel/>
                </w14:textOutline>
              </w:rPr>
              <w:t xml:space="preserve"> </w:t>
            </w:r>
            <w:proofErr w:type="spellStart"/>
            <w:r w:rsidRPr="000F241C">
              <w:rPr>
                <w:sz w:val="20"/>
                <w14:textOutline w14:w="0" w14:cap="flat" w14:cmpd="sng" w14:algn="ctr">
                  <w14:noFill/>
                  <w14:prstDash w14:val="solid"/>
                  <w14:bevel/>
                </w14:textOutline>
              </w:rPr>
              <w:t>kustan-</w:t>
            </w:r>
            <w:r w:rsidRPr="000F241C">
              <w:rPr>
                <w:sz w:val="20"/>
                <w14:textOutline w14:w="0" w14:cap="flat" w14:cmpd="sng" w14:algn="ctr">
                  <w14:noFill/>
                  <w14:prstDash w14:val="solid"/>
                  <w14:bevel/>
                </w14:textOutline>
              </w:rPr>
              <w:lastRenderedPageBreak/>
              <w:t>nuksista</w:t>
            </w:r>
            <w:proofErr w:type="spellEnd"/>
            <w:r w:rsidRPr="000F241C">
              <w:rPr>
                <w:sz w:val="20"/>
                <w14:textOutline w14:w="0" w14:cap="flat" w14:cmpd="sng" w14:algn="ctr">
                  <w14:noFill/>
                  <w14:prstDash w14:val="solid"/>
                  <w14:bevel/>
                </w14:textOutline>
              </w:rPr>
              <w:t xml:space="preserve"> (enintään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center"/>
              <w:rPr>
                <w:szCs w:val="24"/>
                <w14:textOutline w14:w="0" w14:cap="flat" w14:cmpd="sng" w14:algn="ctr">
                  <w14:noFill/>
                  <w14:prstDash w14:val="solid"/>
                  <w14:bevel/>
                </w14:textOutline>
              </w:rPr>
            </w:pPr>
            <w:r w:rsidRPr="000F241C">
              <w:rPr>
                <w:sz w:val="20"/>
                <w14:textOutline w14:w="0" w14:cap="flat" w14:cmpd="sng" w14:algn="ctr">
                  <w14:noFill/>
                  <w14:prstDash w14:val="solid"/>
                  <w14:bevel/>
                </w14:textOutline>
              </w:rPr>
              <w:lastRenderedPageBreak/>
              <w:t xml:space="preserve">Tulojen ylijäämä (siirto </w:t>
            </w:r>
            <w:proofErr w:type="spellStart"/>
            <w:r w:rsidRPr="000F241C">
              <w:rPr>
                <w:sz w:val="20"/>
                <w14:textOutline w14:w="0" w14:cap="flat" w14:cmpd="sng" w14:algn="ctr">
                  <w14:noFill/>
                  <w14:prstDash w14:val="solid"/>
                  <w14:bevel/>
                </w14:textOutline>
              </w:rPr>
              <w:t>varauk-seen</w:t>
            </w:r>
            <w:proofErr w:type="spellEnd"/>
            <w:r w:rsidRPr="000F241C">
              <w:rPr>
                <w:sz w:val="20"/>
                <w14:textOutline w14:w="0" w14:cap="flat" w14:cmpd="sng" w14:algn="ctr">
                  <w14:noFill/>
                  <w14:prstDash w14:val="solid"/>
                  <w14:bevel/>
                </w14:textOutline>
              </w:rPr>
              <w:t xml:space="preserve"> tai tappio)</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rPr>
              <w:t xml:space="preserve">Eurooppa-tutkimuksen </w:t>
            </w:r>
            <w:proofErr w:type="spellStart"/>
            <w:r w:rsidRPr="000F241C">
              <w:rPr>
                <w:sz w:val="20"/>
              </w:rPr>
              <w:t>Wilfried</w:t>
            </w:r>
            <w:proofErr w:type="spellEnd"/>
            <w:r w:rsidRPr="000F241C">
              <w:rPr>
                <w:sz w:val="20"/>
              </w:rPr>
              <w:t xml:space="preserve"> Martens -keskus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235 689</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lang w:val="en-GB"/>
                <w14:textOutline w14:w="0" w14:cap="flat" w14:cmpd="sng" w14:algn="ctr">
                  <w14:noFill/>
                  <w14:prstDash w14:val="solid"/>
                  <w14:bevel/>
                </w14:textOutline>
              </w:rPr>
            </w:pPr>
            <w:r w:rsidRPr="000F241C">
              <w:rPr>
                <w:sz w:val="20"/>
                <w:lang w:val="en-GB"/>
              </w:rPr>
              <w:t>Foundation for European Progressive Studies -</w:t>
            </w:r>
            <w:proofErr w:type="spellStart"/>
            <w:r w:rsidRPr="000F241C">
              <w:rPr>
                <w:sz w:val="20"/>
                <w:lang w:val="en-GB"/>
              </w:rPr>
              <w:t>säätiö</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288 687</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rPr>
              <w:t>Euroopan liberaalifoorumi</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rPr>
              <w:t>Green European Foundation -säätiö</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EGP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proofErr w:type="spellStart"/>
            <w:r w:rsidRPr="000F241C">
              <w:rPr>
                <w:sz w:val="20"/>
              </w:rPr>
              <w:t>Transform</w:t>
            </w:r>
            <w:proofErr w:type="spellEnd"/>
            <w:r w:rsidRPr="000F241C">
              <w:rPr>
                <w:sz w:val="20"/>
              </w:rPr>
              <w:t xml:space="preserve"> Europe</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3 696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r w:rsidRPr="000F241C">
              <w:rPr>
                <w:sz w:val="20"/>
              </w:rPr>
              <w:t xml:space="preserve">Institute of European </w:t>
            </w:r>
            <w:proofErr w:type="spellStart"/>
            <w:r w:rsidRPr="000F241C">
              <w:rPr>
                <w:sz w:val="20"/>
              </w:rPr>
              <w:t>Democrats</w:t>
            </w:r>
            <w:proofErr w:type="spellEnd"/>
            <w:r w:rsidRPr="000F241C">
              <w:rPr>
                <w:sz w:val="20"/>
              </w:rPr>
              <w:t xml:space="preserve"> -säätiö</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proofErr w:type="spellStart"/>
            <w:r w:rsidRPr="000F241C">
              <w:rPr>
                <w:sz w:val="20"/>
              </w:rPr>
              <w:t>Coppieters</w:t>
            </w:r>
            <w:proofErr w:type="spellEnd"/>
            <w:r w:rsidRPr="000F241C">
              <w:rPr>
                <w:sz w:val="20"/>
              </w:rPr>
              <w:t>-säätiö</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proofErr w:type="spellStart"/>
            <w:r w:rsidRPr="000F241C">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EFA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23 981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lang w:val="en-GB"/>
                <w14:textOutline w14:w="0" w14:cap="flat" w14:cmpd="sng" w14:algn="ctr">
                  <w14:noFill/>
                  <w14:prstDash w14:val="solid"/>
                  <w14:bevel/>
                </w14:textOutline>
              </w:rPr>
            </w:pPr>
            <w:r w:rsidRPr="000F241C">
              <w:rPr>
                <w:sz w:val="20"/>
                <w:lang w:val="en-GB"/>
              </w:rPr>
              <w:t>New Direction – Foundation for European Reform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14:textOutline w14:w="0" w14:cap="flat" w14:cmpd="sng" w14:algn="ctr">
                  <w14:noFill/>
                  <w14:prstDash w14:val="solid"/>
                  <w14:bevel/>
                </w14:textOutline>
              </w:rPr>
            </w:pPr>
            <w:proofErr w:type="spellStart"/>
            <w:r w:rsidRPr="000F241C">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 xml:space="preserve"> - </w:t>
            </w:r>
          </w:p>
        </w:tc>
      </w:tr>
      <w:tr w:rsidR="003B6D3B" w:rsidRPr="000F241C" w:rsidTr="0063610D">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lang w:val="fr-FR"/>
                <w14:textOutline w14:w="0" w14:cap="flat" w14:cmpd="sng" w14:algn="ctr">
                  <w14:noFill/>
                  <w14:prstDash w14:val="solid"/>
                  <w14:bevel/>
                </w14:textOutline>
              </w:rPr>
            </w:pPr>
            <w:r w:rsidRPr="000F241C">
              <w:rPr>
                <w:sz w:val="20"/>
                <w:lang w:val="fr-FR"/>
              </w:rPr>
              <w:t>Association pour l'Identité et Démocratie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ID-säätiö</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center"/>
              <w:rPr>
                <w:sz w:val="20"/>
              </w:rPr>
            </w:pPr>
            <w:r w:rsidRPr="000F241C">
              <w:rPr>
                <w:sz w:val="20"/>
              </w:rPr>
              <w:t>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rsidR="003B6D3B" w:rsidRPr="000F241C" w:rsidRDefault="003B6D3B" w:rsidP="0063610D">
            <w:pPr>
              <w:widowControl/>
              <w:jc w:val="right"/>
              <w:rPr>
                <w:sz w:val="20"/>
              </w:rPr>
            </w:pPr>
            <w:r w:rsidRPr="000F241C">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rsidR="003B6D3B" w:rsidRPr="000F241C" w:rsidRDefault="003B6D3B" w:rsidP="0063610D">
            <w:pPr>
              <w:widowControl/>
              <w:jc w:val="right"/>
              <w:rPr>
                <w:sz w:val="20"/>
              </w:rPr>
            </w:pPr>
            <w:r w:rsidRPr="000F241C">
              <w:rPr>
                <w:sz w:val="20"/>
              </w:rPr>
              <w:t xml:space="preserve"> - </w:t>
            </w:r>
          </w:p>
        </w:tc>
      </w:tr>
      <w:tr w:rsidR="003B6D3B" w:rsidRPr="00D93092" w:rsidTr="0063610D">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jc w:val="right"/>
              <w:rPr>
                <w:b/>
                <w:szCs w:val="24"/>
                <w14:textOutline w14:w="0" w14:cap="flat" w14:cmpd="sng" w14:algn="ctr">
                  <w14:noFill/>
                  <w14:prstDash w14:val="solid"/>
                  <w14:bevel/>
                </w14:textOutline>
              </w:rPr>
            </w:pPr>
            <w:r w:rsidRPr="000F241C">
              <w:rPr>
                <w:b/>
                <w:sz w:val="20"/>
                <w14:textOutline w14:w="0" w14:cap="flat" w14:cmpd="sng" w14:algn="ctr">
                  <w14:noFill/>
                  <w14:prstDash w14:val="solid"/>
                  <w14:bevel/>
                </w14:textOutline>
              </w:rPr>
              <w:t>YHTEENSÄ</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rsidR="003B6D3B" w:rsidRPr="000F241C" w:rsidRDefault="003B6D3B" w:rsidP="0063610D">
            <w:pPr>
              <w:widowControl/>
              <w:rPr>
                <w:szCs w:val="24"/>
                <w14:textOutline w14:w="0" w14:cap="flat" w14:cmpd="sng" w14:algn="ctr">
                  <w14:noFill/>
                  <w14:prstDash w14:val="solid"/>
                  <w14:bevel/>
                </w14:textOutline>
              </w:rPr>
            </w:pPr>
            <w:r w:rsidRPr="000F241C">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sz w:val="20"/>
              </w:rPr>
            </w:pPr>
            <w:r w:rsidRPr="000F241C">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sz w:val="20"/>
              </w:rPr>
            </w:pPr>
            <w:r w:rsidRPr="000F241C">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sz w:val="20"/>
              </w:rPr>
            </w:pPr>
            <w:r w:rsidRPr="000F241C">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rsidR="003B6D3B" w:rsidRPr="000F241C" w:rsidRDefault="003B6D3B" w:rsidP="0063610D">
            <w:pPr>
              <w:widowControl/>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rsidR="003B6D3B" w:rsidRPr="00D93092" w:rsidRDefault="003B6D3B" w:rsidP="0063610D">
            <w:pPr>
              <w:widowControl/>
              <w:jc w:val="right"/>
              <w:rPr>
                <w:b/>
                <w:sz w:val="20"/>
              </w:rPr>
            </w:pPr>
            <w:r w:rsidRPr="000F241C">
              <w:rPr>
                <w:b/>
                <w:sz w:val="20"/>
              </w:rPr>
              <w:t>552 053</w:t>
            </w:r>
          </w:p>
        </w:tc>
      </w:tr>
    </w:tbl>
    <w:p w:rsidR="003B6D3B" w:rsidRPr="00D93092" w:rsidRDefault="003B6D3B" w:rsidP="0063610D">
      <w:pPr>
        <w:widowControl/>
        <w:rPr>
          <w:noProof/>
        </w:rPr>
      </w:pPr>
    </w:p>
    <w:p w:rsidR="00E365E1" w:rsidRPr="00D93092" w:rsidRDefault="00E365E1" w:rsidP="0063610D">
      <w:pPr>
        <w:widowControl/>
      </w:pPr>
      <w:bookmarkStart w:id="10" w:name="TextBodyEnd"/>
      <w:bookmarkEnd w:id="10"/>
    </w:p>
    <w:sectPr w:rsidR="00E365E1" w:rsidRPr="00D93092" w:rsidSect="00D9309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F30" w:rsidRPr="00D93092" w:rsidRDefault="00441F30">
      <w:r w:rsidRPr="00D93092">
        <w:separator/>
      </w:r>
    </w:p>
  </w:endnote>
  <w:endnote w:type="continuationSeparator" w:id="0">
    <w:p w:rsidR="00441F30" w:rsidRPr="00D93092" w:rsidRDefault="00441F30">
      <w:r w:rsidRPr="00D93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rsidP="0063610D">
    <w:pPr>
      <w:pStyle w:val="EPFooter"/>
    </w:pPr>
    <w:r w:rsidRPr="00D93092">
      <w:t>PE</w:t>
    </w:r>
    <w:r w:rsidRPr="00D93092">
      <w:rPr>
        <w:rStyle w:val="HideTWBExt"/>
      </w:rPr>
      <w:t>&lt;NoPE&gt;</w:t>
    </w:r>
    <w:r w:rsidRPr="00D93092">
      <w:t>753.634</w:t>
    </w:r>
    <w:r w:rsidRPr="00D93092">
      <w:rPr>
        <w:rStyle w:val="HideTWBExt"/>
      </w:rPr>
      <w:t>&lt;/NoPE&gt;&lt;Version&gt;</w:t>
    </w:r>
    <w:r w:rsidRPr="00D93092">
      <w:t>v02-00</w:t>
    </w:r>
    <w:r w:rsidRPr="00D93092">
      <w:rPr>
        <w:rStyle w:val="HideTWBExt"/>
      </w:rPr>
      <w:t>&lt;/Version&gt;</w:t>
    </w:r>
    <w:r w:rsidRPr="00D93092">
      <w:tab/>
    </w:r>
    <w:r w:rsidRPr="00D93092">
      <w:fldChar w:fldCharType="begin"/>
    </w:r>
    <w:r w:rsidRPr="00D93092">
      <w:instrText xml:space="preserve"> PAGE  \* MERGEFORMAT </w:instrText>
    </w:r>
    <w:r w:rsidRPr="00D93092">
      <w:fldChar w:fldCharType="separate"/>
    </w:r>
    <w:r w:rsidRPr="00D93092">
      <w:rPr>
        <w:noProof/>
      </w:rPr>
      <w:t>2</w:t>
    </w:r>
    <w:r w:rsidRPr="00D93092">
      <w:fldChar w:fldCharType="end"/>
    </w:r>
    <w:r w:rsidRPr="00D93092">
      <w:t>/</w:t>
    </w:r>
    <w:fldSimple w:instr=" NUMPAGES  \* MERGEFORMAT ">
      <w:r w:rsidRPr="00D93092">
        <w:rPr>
          <w:noProof/>
        </w:rPr>
        <w:t>4</w:t>
      </w:r>
    </w:fldSimple>
    <w:r w:rsidRPr="00D93092">
      <w:tab/>
    </w:r>
    <w:r w:rsidRPr="00D93092">
      <w:rPr>
        <w:rStyle w:val="HideTWBExt"/>
      </w:rPr>
      <w:t>&lt;PathFdR&gt;</w:t>
    </w:r>
    <w:r w:rsidRPr="00D93092">
      <w:t>RR\1298085FI.docx</w:t>
    </w:r>
    <w:r w:rsidRPr="00D93092">
      <w:rPr>
        <w:rStyle w:val="HideTWBExt"/>
      </w:rPr>
      <w:t>&lt;/PathFdR&gt;</w:t>
    </w:r>
  </w:p>
  <w:p w:rsidR="00441F30" w:rsidRPr="00D93092" w:rsidRDefault="00441F30" w:rsidP="0063610D">
    <w:pPr>
      <w:pStyle w:val="EPFooter2"/>
    </w:pPr>
    <w:r w:rsidRPr="00D9309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rsidP="0063610D">
    <w:pPr>
      <w:pStyle w:val="EPFooter"/>
    </w:pPr>
    <w:r w:rsidRPr="00D93092">
      <w:rPr>
        <w:rStyle w:val="HideTWBExt"/>
      </w:rPr>
      <w:t>&lt;PathFdR&gt;</w:t>
    </w:r>
    <w:r w:rsidRPr="00D93092">
      <w:t>RR\1298085FI.docx</w:t>
    </w:r>
    <w:r w:rsidRPr="00D93092">
      <w:rPr>
        <w:rStyle w:val="HideTWBExt"/>
      </w:rPr>
      <w:t>&lt;/PathFdR&gt;</w:t>
    </w:r>
    <w:r w:rsidRPr="00D93092">
      <w:tab/>
    </w:r>
    <w:r w:rsidRPr="00D93092">
      <w:tab/>
      <w:t>PE</w:t>
    </w:r>
    <w:r w:rsidRPr="00D93092">
      <w:rPr>
        <w:rStyle w:val="HideTWBExt"/>
      </w:rPr>
      <w:t>&lt;NoPE&gt;</w:t>
    </w:r>
    <w:r w:rsidRPr="00D93092">
      <w:t>753.634</w:t>
    </w:r>
    <w:r w:rsidRPr="00D93092">
      <w:rPr>
        <w:rStyle w:val="HideTWBExt"/>
      </w:rPr>
      <w:t>&lt;/NoPE&gt;&lt;Version&gt;</w:t>
    </w:r>
    <w:r w:rsidRPr="00D93092">
      <w:t>v02-00</w:t>
    </w:r>
    <w:r w:rsidRPr="00D93092">
      <w:rPr>
        <w:rStyle w:val="HideTWBExt"/>
      </w:rPr>
      <w:t>&lt;/Version&gt;</w:t>
    </w:r>
  </w:p>
  <w:p w:rsidR="00441F30" w:rsidRPr="00D93092" w:rsidRDefault="00441F30" w:rsidP="0063610D">
    <w:pPr>
      <w:pStyle w:val="EPFooter2"/>
    </w:pPr>
    <w:r w:rsidRPr="00D93092">
      <w:t>FI</w:t>
    </w:r>
    <w:r w:rsidRPr="00D93092">
      <w:tab/>
    </w:r>
    <w:r w:rsidRPr="00D93092">
      <w:rPr>
        <w:b w:val="0"/>
        <w:i/>
        <w:color w:val="C0C0C0"/>
        <w:sz w:val="22"/>
      </w:rPr>
      <w:t>Moninaisuudessaan yhtenäinen</w:t>
    </w:r>
    <w:r w:rsidRPr="00D9309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F30" w:rsidRPr="00D93092" w:rsidRDefault="00441F30">
      <w:r w:rsidRPr="00D93092">
        <w:separator/>
      </w:r>
    </w:p>
  </w:footnote>
  <w:footnote w:type="continuationSeparator" w:id="0">
    <w:p w:rsidR="00441F30" w:rsidRPr="00D93092" w:rsidRDefault="00441F30">
      <w:r w:rsidRPr="00D93092">
        <w:continuationSeparator/>
      </w:r>
    </w:p>
  </w:footnote>
  <w:footnote w:id="1">
    <w:p w:rsidR="00441F30" w:rsidRPr="00DB72D0" w:rsidRDefault="00441F30" w:rsidP="00D93092">
      <w:pPr>
        <w:pStyle w:val="FootnoteText"/>
        <w:ind w:left="567" w:hanging="567"/>
        <w:rPr>
          <w:sz w:val="24"/>
          <w:lang w:val="pt-PT"/>
        </w:rPr>
      </w:pPr>
      <w:r w:rsidRPr="00D93092">
        <w:rPr>
          <w:rStyle w:val="FootnoteReference"/>
          <w:sz w:val="24"/>
          <w:lang w:val="fi-FI"/>
        </w:rPr>
        <w:footnoteRef/>
      </w:r>
      <w:r w:rsidRPr="00DB72D0">
        <w:rPr>
          <w:sz w:val="24"/>
          <w:lang w:val="pt-PT"/>
        </w:rPr>
        <w:t xml:space="preserve"> </w:t>
      </w:r>
      <w:r w:rsidRPr="00DB72D0">
        <w:rPr>
          <w:sz w:val="24"/>
          <w:lang w:val="pt-PT"/>
        </w:rPr>
        <w:tab/>
        <w:t>EUVL L 45, 24.2.2022, s. 1.</w:t>
      </w:r>
    </w:p>
  </w:footnote>
  <w:footnote w:id="2">
    <w:p w:rsidR="00441F30" w:rsidRPr="00DB72D0" w:rsidRDefault="00441F30" w:rsidP="00D93092">
      <w:pPr>
        <w:pStyle w:val="FootnoteText"/>
        <w:ind w:left="567" w:hanging="567"/>
        <w:rPr>
          <w:sz w:val="24"/>
          <w:lang w:val="pt-PT"/>
        </w:rPr>
      </w:pPr>
      <w:r w:rsidRPr="00D93092">
        <w:rPr>
          <w:rStyle w:val="FootnoteReference"/>
          <w:sz w:val="24"/>
          <w:lang w:val="fi-FI"/>
        </w:rPr>
        <w:footnoteRef/>
      </w:r>
      <w:r w:rsidRPr="00DB72D0">
        <w:rPr>
          <w:sz w:val="24"/>
          <w:lang w:val="pt-PT"/>
        </w:rPr>
        <w:t xml:space="preserve"> </w:t>
      </w:r>
      <w:r w:rsidRPr="00DB72D0">
        <w:rPr>
          <w:sz w:val="24"/>
          <w:lang w:val="pt-PT"/>
        </w:rPr>
        <w:tab/>
        <w:t>EUVL C, C/2023/2, 12.10.2023.</w:t>
      </w:r>
    </w:p>
  </w:footnote>
  <w:footnote w:id="3">
    <w:p w:rsidR="00441F30" w:rsidRPr="00DB72D0" w:rsidRDefault="00441F30" w:rsidP="00D93092">
      <w:pPr>
        <w:pStyle w:val="FootnoteText"/>
        <w:ind w:left="567" w:hanging="567"/>
        <w:rPr>
          <w:sz w:val="24"/>
          <w:lang w:val="pt-PT"/>
        </w:rPr>
      </w:pPr>
      <w:r w:rsidRPr="00D93092">
        <w:rPr>
          <w:rStyle w:val="FootnoteReference"/>
          <w:sz w:val="24"/>
          <w:lang w:val="fi-FI"/>
        </w:rPr>
        <w:footnoteRef/>
      </w:r>
      <w:r w:rsidRPr="00DB72D0">
        <w:rPr>
          <w:sz w:val="24"/>
          <w:lang w:val="pt-PT"/>
        </w:rPr>
        <w:t xml:space="preserve"> </w:t>
      </w:r>
      <w:r w:rsidRPr="00DB72D0">
        <w:rPr>
          <w:sz w:val="24"/>
          <w:lang w:val="pt-PT"/>
        </w:rPr>
        <w:tab/>
        <w:t>EUVL C 210, 15.6.2023, s</w:t>
      </w:r>
      <w:r w:rsidR="00BC0D13">
        <w:rPr>
          <w:sz w:val="24"/>
          <w:lang w:val="pt-PT"/>
        </w:rPr>
        <w:t>.</w:t>
      </w:r>
      <w:r w:rsidRPr="00DB72D0">
        <w:rPr>
          <w:sz w:val="24"/>
          <w:lang w:val="pt-PT"/>
        </w:rPr>
        <w:t xml:space="preserve"> 1.</w:t>
      </w:r>
    </w:p>
  </w:footnote>
  <w:footnote w:id="4">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EUVL C, C/2023/103, 4.10.2023.</w:t>
      </w:r>
    </w:p>
  </w:footnote>
  <w:footnote w:id="5">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EUVL C, C/2023/112, 12.10.2023.</w:t>
      </w:r>
    </w:p>
  </w:footnote>
  <w:footnote w:id="6">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EUVL L 193, 30.7.2018, s. 1.</w:t>
      </w:r>
    </w:p>
  </w:footnote>
  <w:footnote w:id="7">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Neuvoston asetus (EU, Euratom) 2020/2093, annettu 17. joulukuuta 2020, vuosia 2021–2027 koskevan monivuotisen rahoituskehyksen vahvistamisesta (EUVL L 433 I, 22.12.2020, s. 11).</w:t>
      </w:r>
    </w:p>
  </w:footnote>
  <w:footnote w:id="8">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 xml:space="preserve">Euroopan parlamentin, Euroopan unionin neuvoston ja Euroopan komission välinen toimielinten sopimus pakollisesta avoimuusrekisteristä, tehty 20. toukokuuta 2021 </w:t>
      </w:r>
      <w:r>
        <w:rPr>
          <w:sz w:val="24"/>
          <w:lang w:val="fi-FI"/>
        </w:rPr>
        <w:t>(</w:t>
      </w:r>
      <w:r w:rsidRPr="00D93092">
        <w:rPr>
          <w:sz w:val="24"/>
          <w:lang w:val="fi-FI"/>
        </w:rPr>
        <w:t>EUVL L 207, 11.6.2021, s. 1</w:t>
      </w:r>
      <w:r>
        <w:rPr>
          <w:sz w:val="24"/>
          <w:lang w:val="fi-FI"/>
        </w:rPr>
        <w:t>)</w:t>
      </w:r>
      <w:r w:rsidRPr="00D93092">
        <w:rPr>
          <w:sz w:val="24"/>
          <w:lang w:val="fi-FI"/>
        </w:rPr>
        <w:t>.</w:t>
      </w:r>
    </w:p>
  </w:footnote>
  <w:footnote w:id="9">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r>
      <w:r>
        <w:rPr>
          <w:sz w:val="24"/>
          <w:lang w:val="fi-FI"/>
        </w:rPr>
        <w:t xml:space="preserve">Hyväksytyt tekstit </w:t>
      </w:r>
      <w:r w:rsidRPr="00D93092">
        <w:rPr>
          <w:sz w:val="24"/>
          <w:lang w:val="fi-FI"/>
        </w:rPr>
        <w:t>P9_</w:t>
      </w:r>
      <w:proofErr w:type="gramStart"/>
      <w:r w:rsidRPr="00D93092">
        <w:rPr>
          <w:sz w:val="24"/>
          <w:lang w:val="fi-FI"/>
        </w:rPr>
        <w:t>TA(</w:t>
      </w:r>
      <w:proofErr w:type="gramEnd"/>
      <w:r w:rsidRPr="00D93092">
        <w:rPr>
          <w:sz w:val="24"/>
          <w:lang w:val="fi-FI"/>
        </w:rPr>
        <w:t>2024)0036.</w:t>
      </w:r>
    </w:p>
  </w:footnote>
  <w:footnote w:id="10">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https://www.eca.europa.eu/other%20publications/pl1407_letter/pl1407_letter_fi.pdf</w:t>
      </w:r>
    </w:p>
  </w:footnote>
  <w:footnote w:id="11">
    <w:p w:rsidR="00441F30" w:rsidRPr="00497F70" w:rsidRDefault="00441F30" w:rsidP="00497F70">
      <w:pPr>
        <w:pStyle w:val="FootnoteText"/>
        <w:ind w:left="567" w:hanging="567"/>
        <w:rPr>
          <w:sz w:val="24"/>
          <w:szCs w:val="24"/>
          <w:lang w:val="fi-FI"/>
        </w:rPr>
      </w:pPr>
      <w:r w:rsidRPr="00497F70">
        <w:rPr>
          <w:rStyle w:val="FootnoteReference"/>
          <w:sz w:val="24"/>
          <w:szCs w:val="24"/>
        </w:rPr>
        <w:footnoteRef/>
      </w:r>
      <w:r w:rsidRPr="00497F70">
        <w:rPr>
          <w:sz w:val="24"/>
          <w:szCs w:val="24"/>
          <w:lang w:val="fi-FI"/>
        </w:rPr>
        <w:tab/>
        <w:t>Kiinteistöjä, kuljetuksia ja vihreää parlamenttia käsittelevän työryhmän muistio puhemiehistölle (2023)10939, kohta 16).</w:t>
      </w:r>
    </w:p>
  </w:footnote>
  <w:footnote w:id="12">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 xml:space="preserve">Asetus </w:t>
      </w:r>
      <w:proofErr w:type="gramStart"/>
      <w:r w:rsidRPr="00D93092">
        <w:rPr>
          <w:sz w:val="24"/>
          <w:lang w:val="fi-FI"/>
        </w:rPr>
        <w:t>N:o</w:t>
      </w:r>
      <w:proofErr w:type="gramEnd"/>
      <w:r w:rsidRPr="00D93092">
        <w:rPr>
          <w:sz w:val="24"/>
          <w:lang w:val="fi-FI"/>
        </w:rPr>
        <w:t xml:space="preserve"> 1 Euroopan talousyhteisössä käytettäviä kieliä kos</w:t>
      </w:r>
      <w:r w:rsidR="00BC0D13">
        <w:rPr>
          <w:sz w:val="24"/>
          <w:lang w:val="fi-FI"/>
        </w:rPr>
        <w:t xml:space="preserve">kevista järjestelyistä (EYVL P </w:t>
      </w:r>
      <w:r w:rsidRPr="00D93092">
        <w:rPr>
          <w:sz w:val="24"/>
          <w:lang w:val="fi-FI"/>
        </w:rPr>
        <w:t>17, 6.10.195</w:t>
      </w:r>
      <w:r w:rsidR="00BC0D13">
        <w:rPr>
          <w:sz w:val="24"/>
          <w:lang w:val="fi-FI"/>
        </w:rPr>
        <w:t>8</w:t>
      </w:r>
      <w:r w:rsidRPr="00D93092">
        <w:rPr>
          <w:sz w:val="24"/>
          <w:lang w:val="fi-FI"/>
        </w:rPr>
        <w:t>, s. 385).</w:t>
      </w:r>
    </w:p>
  </w:footnote>
  <w:footnote w:id="13">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EUVL L 317, 4.11.2014, s. 1.</w:t>
      </w:r>
    </w:p>
  </w:footnote>
  <w:footnote w:id="14">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Kaikki määrät on ilmaistu tuhansina euroina.</w:t>
      </w:r>
    </w:p>
  </w:footnote>
  <w:footnote w:id="15">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Kaikki määrät on ilmaistu tuhansina euroina.</w:t>
      </w:r>
    </w:p>
  </w:footnote>
  <w:footnote w:id="16">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Koostuu vuoden 2021 lopullisen rahoituksen toisesta osasta ja vuoden 2022 lopullisen rahoituksen ensimmäisestä osasta puhemiehistön 26. helmikuuta 2024 tekemän päätöksen mukaisesti.</w:t>
      </w:r>
    </w:p>
  </w:footnote>
  <w:footnote w:id="17">
    <w:p w:rsidR="00441F30" w:rsidRPr="00D93092" w:rsidRDefault="00441F30" w:rsidP="00D93092">
      <w:pPr>
        <w:pStyle w:val="FootnoteText"/>
        <w:ind w:left="567" w:hanging="567"/>
        <w:rPr>
          <w:sz w:val="24"/>
          <w:lang w:val="fi-FI"/>
        </w:rPr>
      </w:pPr>
      <w:r w:rsidRPr="00D93092">
        <w:rPr>
          <w:rStyle w:val="FootnoteReference"/>
          <w:sz w:val="24"/>
          <w:lang w:val="fi-FI"/>
        </w:rPr>
        <w:footnoteRef/>
      </w:r>
      <w:r w:rsidRPr="00D93092">
        <w:rPr>
          <w:sz w:val="24"/>
          <w:lang w:val="fi-FI"/>
        </w:rPr>
        <w:t xml:space="preserve"> </w:t>
      </w:r>
      <w:r w:rsidRPr="00D93092">
        <w:rPr>
          <w:sz w:val="24"/>
          <w:lang w:val="fi-FI"/>
        </w:rPr>
        <w:tab/>
        <w:t>Kaikki määrät on ilmaistu tuhansina euroina.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F30" w:rsidRPr="00D93092" w:rsidRDefault="00441F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FI"/>
    <w:docVar w:name="dvnumam" w:val="0"/>
    <w:docVar w:name="dvpe" w:val="753.634"/>
    <w:docVar w:name="dvrapporteur" w:val="Esittelijä: "/>
    <w:docVar w:name="dvtitre" w:val="Euroopan parlamentin päätöslauselma 10. huhtikuuta 2024 vastuuvapauden myöntämisestä Euroopan unionin yleisen talousarvion toteuttamisesta varainhoitovuonna 2022, pääluokka I – Euroopan parlamentti(2023/2130(DEC))"/>
  </w:docVars>
  <w:rsids>
    <w:rsidRoot w:val="00414873"/>
    <w:rsid w:val="00002272"/>
    <w:rsid w:val="00064002"/>
    <w:rsid w:val="000677B9"/>
    <w:rsid w:val="000831BA"/>
    <w:rsid w:val="0008783F"/>
    <w:rsid w:val="000A42CC"/>
    <w:rsid w:val="000B34D4"/>
    <w:rsid w:val="000E7DD9"/>
    <w:rsid w:val="000F241C"/>
    <w:rsid w:val="0010095E"/>
    <w:rsid w:val="00125B37"/>
    <w:rsid w:val="001367D2"/>
    <w:rsid w:val="00187494"/>
    <w:rsid w:val="001A19BB"/>
    <w:rsid w:val="001F32AE"/>
    <w:rsid w:val="002767FF"/>
    <w:rsid w:val="002B18FE"/>
    <w:rsid w:val="002B5493"/>
    <w:rsid w:val="00343214"/>
    <w:rsid w:val="00361C00"/>
    <w:rsid w:val="00370267"/>
    <w:rsid w:val="00395FA1"/>
    <w:rsid w:val="003B6D3B"/>
    <w:rsid w:val="003D736E"/>
    <w:rsid w:val="003E15D4"/>
    <w:rsid w:val="003E518C"/>
    <w:rsid w:val="00411CCE"/>
    <w:rsid w:val="00414873"/>
    <w:rsid w:val="0041666E"/>
    <w:rsid w:val="00421060"/>
    <w:rsid w:val="00441F30"/>
    <w:rsid w:val="0045129B"/>
    <w:rsid w:val="00471C19"/>
    <w:rsid w:val="004867E3"/>
    <w:rsid w:val="00494A28"/>
    <w:rsid w:val="00497F70"/>
    <w:rsid w:val="004C0004"/>
    <w:rsid w:val="004C5D52"/>
    <w:rsid w:val="0050519A"/>
    <w:rsid w:val="005072A1"/>
    <w:rsid w:val="00514517"/>
    <w:rsid w:val="00535552"/>
    <w:rsid w:val="00545827"/>
    <w:rsid w:val="00560270"/>
    <w:rsid w:val="005A153F"/>
    <w:rsid w:val="005A70F5"/>
    <w:rsid w:val="005C2568"/>
    <w:rsid w:val="006037C0"/>
    <w:rsid w:val="00630EDF"/>
    <w:rsid w:val="0063610D"/>
    <w:rsid w:val="006631B6"/>
    <w:rsid w:val="00680577"/>
    <w:rsid w:val="006F74FA"/>
    <w:rsid w:val="00731ADD"/>
    <w:rsid w:val="00734777"/>
    <w:rsid w:val="00747932"/>
    <w:rsid w:val="00750EEC"/>
    <w:rsid w:val="00751A4A"/>
    <w:rsid w:val="00756632"/>
    <w:rsid w:val="00762C74"/>
    <w:rsid w:val="00786EC0"/>
    <w:rsid w:val="007B325B"/>
    <w:rsid w:val="007B5528"/>
    <w:rsid w:val="007D1690"/>
    <w:rsid w:val="007E22AD"/>
    <w:rsid w:val="00817416"/>
    <w:rsid w:val="00842779"/>
    <w:rsid w:val="00865F67"/>
    <w:rsid w:val="00881A7B"/>
    <w:rsid w:val="008840E5"/>
    <w:rsid w:val="00887B3E"/>
    <w:rsid w:val="008C2AC6"/>
    <w:rsid w:val="008C54F0"/>
    <w:rsid w:val="00903F40"/>
    <w:rsid w:val="00930C23"/>
    <w:rsid w:val="0093193B"/>
    <w:rsid w:val="0093448C"/>
    <w:rsid w:val="009509D8"/>
    <w:rsid w:val="00950B64"/>
    <w:rsid w:val="00981893"/>
    <w:rsid w:val="00A1687D"/>
    <w:rsid w:val="00A43E52"/>
    <w:rsid w:val="00A4678D"/>
    <w:rsid w:val="00A73635"/>
    <w:rsid w:val="00A778C7"/>
    <w:rsid w:val="00AB441E"/>
    <w:rsid w:val="00AB6293"/>
    <w:rsid w:val="00AD1B84"/>
    <w:rsid w:val="00AE0928"/>
    <w:rsid w:val="00AF3B82"/>
    <w:rsid w:val="00B11C01"/>
    <w:rsid w:val="00B12E95"/>
    <w:rsid w:val="00B22876"/>
    <w:rsid w:val="00B558F0"/>
    <w:rsid w:val="00BC0D13"/>
    <w:rsid w:val="00BD48FE"/>
    <w:rsid w:val="00BD7BD8"/>
    <w:rsid w:val="00BE6ADC"/>
    <w:rsid w:val="00BF6B0F"/>
    <w:rsid w:val="00C05BFE"/>
    <w:rsid w:val="00C23CD4"/>
    <w:rsid w:val="00C61C0C"/>
    <w:rsid w:val="00C941CB"/>
    <w:rsid w:val="00CC2357"/>
    <w:rsid w:val="00CE5CCC"/>
    <w:rsid w:val="00CF071A"/>
    <w:rsid w:val="00D00F02"/>
    <w:rsid w:val="00D058B8"/>
    <w:rsid w:val="00D56C11"/>
    <w:rsid w:val="00D834A0"/>
    <w:rsid w:val="00D872DF"/>
    <w:rsid w:val="00D905A9"/>
    <w:rsid w:val="00D91E21"/>
    <w:rsid w:val="00D93092"/>
    <w:rsid w:val="00DA7FCD"/>
    <w:rsid w:val="00DB72D0"/>
    <w:rsid w:val="00E365E1"/>
    <w:rsid w:val="00E820A4"/>
    <w:rsid w:val="00EB006A"/>
    <w:rsid w:val="00EB4772"/>
    <w:rsid w:val="00ED169E"/>
    <w:rsid w:val="00ED4235"/>
    <w:rsid w:val="00EE7E14"/>
    <w:rsid w:val="00F04346"/>
    <w:rsid w:val="00F075DC"/>
    <w:rsid w:val="00F149E9"/>
    <w:rsid w:val="00F5134D"/>
    <w:rsid w:val="00F74202"/>
    <w:rsid w:val="00F8500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6ACF8"/>
  <w15:chartTrackingRefBased/>
  <w15:docId w15:val="{51A13C93-9570-46D3-961D-C14DBDC4B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10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B6D3B"/>
    <w:rPr>
      <w:b/>
      <w:kern w:val="28"/>
      <w:sz w:val="28"/>
      <w:lang w:val="fr-FR" w:eastAsia="fr-FR"/>
    </w:rPr>
  </w:style>
  <w:style w:type="character" w:customStyle="1" w:styleId="Heading2Char">
    <w:name w:val="Heading 2 Char"/>
    <w:basedOn w:val="DefaultParagraphFont"/>
    <w:link w:val="Heading2"/>
    <w:semiHidden/>
    <w:rsid w:val="003B6D3B"/>
    <w:rPr>
      <w:sz w:val="24"/>
      <w:lang w:val="fr-FR" w:eastAsia="fr-FR"/>
    </w:rPr>
  </w:style>
  <w:style w:type="character" w:customStyle="1" w:styleId="Heading3Char">
    <w:name w:val="Heading 3 Char"/>
    <w:basedOn w:val="DefaultParagraphFont"/>
    <w:link w:val="Heading3"/>
    <w:semiHidden/>
    <w:rsid w:val="003B6D3B"/>
    <w:rPr>
      <w:rFonts w:ascii="Arial" w:hAnsi="Arial"/>
      <w:sz w:val="24"/>
      <w:lang w:val="fr-FR" w:eastAsia="fr-FR"/>
    </w:rPr>
  </w:style>
  <w:style w:type="character" w:customStyle="1" w:styleId="Heading4Char">
    <w:name w:val="Heading 4 Char"/>
    <w:basedOn w:val="DefaultParagraphFont"/>
    <w:link w:val="Heading4"/>
    <w:semiHidden/>
    <w:rsid w:val="003B6D3B"/>
    <w:rPr>
      <w:sz w:val="24"/>
      <w:lang w:val="en-US" w:eastAsia="fr-FR"/>
    </w:rPr>
  </w:style>
  <w:style w:type="character" w:customStyle="1" w:styleId="Heading5Char">
    <w:name w:val="Heading 5 Char"/>
    <w:basedOn w:val="DefaultParagraphFont"/>
    <w:link w:val="Heading5"/>
    <w:semiHidden/>
    <w:rsid w:val="003B6D3B"/>
    <w:rPr>
      <w:sz w:val="24"/>
      <w:lang w:val="en-US" w:eastAsia="fr-FR"/>
    </w:rPr>
  </w:style>
  <w:style w:type="character" w:customStyle="1" w:styleId="Heading6Char">
    <w:name w:val="Heading 6 Char"/>
    <w:basedOn w:val="DefaultParagraphFont"/>
    <w:link w:val="Heading6"/>
    <w:semiHidden/>
    <w:rsid w:val="003B6D3B"/>
    <w:rPr>
      <w:i/>
      <w:sz w:val="22"/>
      <w:lang w:val="fi-FI"/>
    </w:rPr>
  </w:style>
  <w:style w:type="character" w:customStyle="1" w:styleId="Heading7Char">
    <w:name w:val="Heading 7 Char"/>
    <w:basedOn w:val="DefaultParagraphFont"/>
    <w:link w:val="Heading7"/>
    <w:semiHidden/>
    <w:rsid w:val="003B6D3B"/>
    <w:rPr>
      <w:rFonts w:ascii="Arial" w:hAnsi="Arial"/>
      <w:sz w:val="24"/>
      <w:lang w:val="fi-FI"/>
    </w:rPr>
  </w:style>
  <w:style w:type="character" w:customStyle="1" w:styleId="Heading8Char">
    <w:name w:val="Heading 8 Char"/>
    <w:basedOn w:val="DefaultParagraphFont"/>
    <w:link w:val="Heading8"/>
    <w:semiHidden/>
    <w:rsid w:val="003B6D3B"/>
    <w:rPr>
      <w:rFonts w:ascii="Arial" w:hAnsi="Arial"/>
      <w:i/>
      <w:sz w:val="24"/>
      <w:lang w:val="fi-FI"/>
    </w:rPr>
  </w:style>
  <w:style w:type="character" w:customStyle="1" w:styleId="Heading9Char">
    <w:name w:val="Heading 9 Char"/>
    <w:basedOn w:val="DefaultParagraphFont"/>
    <w:link w:val="Heading9"/>
    <w:semiHidden/>
    <w:rsid w:val="003B6D3B"/>
    <w:rPr>
      <w:rFonts w:ascii="Arial" w:hAnsi="Arial"/>
      <w:b/>
      <w:i/>
      <w:sz w:val="18"/>
      <w:lang w:val="fi-FI"/>
    </w:rPr>
  </w:style>
  <w:style w:type="paragraph" w:styleId="TOCHeading">
    <w:name w:val="TOC Heading"/>
    <w:basedOn w:val="Normal"/>
    <w:next w:val="Normal"/>
    <w:unhideWhenUsed/>
    <w:qFormat/>
    <w:rsid w:val="003B6D3B"/>
    <w:pPr>
      <w:widowControl/>
      <w:spacing w:after="240"/>
    </w:pPr>
    <w:rPr>
      <w:lang w:val="en-GB"/>
    </w:rPr>
  </w:style>
  <w:style w:type="paragraph" w:customStyle="1" w:styleId="EPFooter2">
    <w:name w:val="EPFooter2"/>
    <w:basedOn w:val="Normal"/>
    <w:next w:val="Normal"/>
    <w:rsid w:val="003B6D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6D3B"/>
    <w:pPr>
      <w:spacing w:before="480" w:after="240"/>
    </w:pPr>
  </w:style>
  <w:style w:type="paragraph" w:customStyle="1" w:styleId="TOCPage">
    <w:name w:val="TOC Page"/>
    <w:basedOn w:val="Normal"/>
    <w:next w:val="TOC1"/>
    <w:rsid w:val="003B6D3B"/>
    <w:pPr>
      <w:keepNext/>
      <w:spacing w:after="240"/>
      <w:jc w:val="right"/>
    </w:pPr>
    <w:rPr>
      <w:rFonts w:ascii="Arial" w:hAnsi="Arial"/>
      <w:b/>
    </w:rPr>
  </w:style>
  <w:style w:type="paragraph" w:customStyle="1" w:styleId="PageHeading">
    <w:name w:val="PageHeading"/>
    <w:basedOn w:val="Normal"/>
    <w:rsid w:val="003B6D3B"/>
    <w:pPr>
      <w:keepNext/>
      <w:spacing w:after="480"/>
      <w:jc w:val="center"/>
    </w:pPr>
    <w:rPr>
      <w:rFonts w:ascii="Arial" w:hAnsi="Arial" w:cs="Arial"/>
      <w:b/>
    </w:rPr>
  </w:style>
  <w:style w:type="paragraph" w:customStyle="1" w:styleId="NormalBold">
    <w:name w:val="NormalBold"/>
    <w:basedOn w:val="Normal"/>
    <w:rsid w:val="003B6D3B"/>
    <w:rPr>
      <w:b/>
    </w:rPr>
  </w:style>
  <w:style w:type="paragraph" w:customStyle="1" w:styleId="NormalHanging12a">
    <w:name w:val="NormalHanging12a"/>
    <w:basedOn w:val="Normal"/>
    <w:link w:val="NormalHanging12aChar"/>
    <w:rsid w:val="003B6D3B"/>
    <w:pPr>
      <w:spacing w:after="240"/>
      <w:ind w:left="567" w:hanging="567"/>
    </w:pPr>
  </w:style>
  <w:style w:type="paragraph" w:customStyle="1" w:styleId="CoverNormal24a">
    <w:name w:val="CoverNormal24a"/>
    <w:basedOn w:val="Normal"/>
    <w:rsid w:val="003B6D3B"/>
    <w:pPr>
      <w:spacing w:after="480"/>
      <w:ind w:left="1417"/>
    </w:pPr>
  </w:style>
  <w:style w:type="paragraph" w:customStyle="1" w:styleId="CoverNormal">
    <w:name w:val="CoverNormal"/>
    <w:basedOn w:val="Normal"/>
    <w:rsid w:val="003B6D3B"/>
    <w:pPr>
      <w:ind w:left="1418"/>
    </w:pPr>
  </w:style>
  <w:style w:type="paragraph" w:customStyle="1" w:styleId="CoverReference">
    <w:name w:val="CoverReference"/>
    <w:basedOn w:val="Normal"/>
    <w:rsid w:val="003B6D3B"/>
    <w:pPr>
      <w:spacing w:before="1080"/>
      <w:jc w:val="right"/>
    </w:pPr>
    <w:rPr>
      <w:rFonts w:ascii="Arial" w:hAnsi="Arial" w:cs="Arial"/>
      <w:b/>
    </w:rPr>
  </w:style>
  <w:style w:type="paragraph" w:customStyle="1" w:styleId="CoverDocType24a">
    <w:name w:val="CoverDocType24a"/>
    <w:basedOn w:val="Normal"/>
    <w:rsid w:val="003B6D3B"/>
    <w:pPr>
      <w:spacing w:after="480"/>
      <w:ind w:left="1418"/>
    </w:pPr>
    <w:rPr>
      <w:rFonts w:ascii="Arial" w:hAnsi="Arial"/>
      <w:b/>
      <w:sz w:val="48"/>
    </w:rPr>
  </w:style>
  <w:style w:type="paragraph" w:customStyle="1" w:styleId="CoverDate">
    <w:name w:val="CoverDate"/>
    <w:basedOn w:val="Normal"/>
    <w:rsid w:val="003B6D3B"/>
    <w:pPr>
      <w:spacing w:before="240" w:after="1200"/>
    </w:pPr>
  </w:style>
  <w:style w:type="paragraph" w:customStyle="1" w:styleId="EPBody">
    <w:name w:val="EPBody"/>
    <w:basedOn w:val="Normal"/>
    <w:rsid w:val="003B6D3B"/>
    <w:pPr>
      <w:jc w:val="center"/>
    </w:pPr>
    <w:rPr>
      <w:rFonts w:ascii="Arial" w:hAnsi="Arial" w:cs="Arial"/>
      <w:i/>
      <w:sz w:val="22"/>
      <w:szCs w:val="22"/>
    </w:rPr>
  </w:style>
  <w:style w:type="paragraph" w:customStyle="1" w:styleId="EPFooter">
    <w:name w:val="EPFooter"/>
    <w:basedOn w:val="Normal"/>
    <w:rsid w:val="003B6D3B"/>
    <w:pPr>
      <w:tabs>
        <w:tab w:val="center" w:pos="4535"/>
        <w:tab w:val="right" w:pos="9071"/>
      </w:tabs>
      <w:spacing w:before="240" w:after="240"/>
    </w:pPr>
    <w:rPr>
      <w:color w:val="010000"/>
      <w:sz w:val="22"/>
    </w:rPr>
  </w:style>
  <w:style w:type="paragraph" w:styleId="Header">
    <w:name w:val="header"/>
    <w:basedOn w:val="Normal"/>
    <w:link w:val="HeaderChar"/>
    <w:rsid w:val="003B6D3B"/>
    <w:pPr>
      <w:tabs>
        <w:tab w:val="center" w:pos="4513"/>
        <w:tab w:val="right" w:pos="9026"/>
      </w:tabs>
    </w:pPr>
  </w:style>
  <w:style w:type="character" w:customStyle="1" w:styleId="HeaderChar">
    <w:name w:val="Header Char"/>
    <w:basedOn w:val="DefaultParagraphFont"/>
    <w:link w:val="Header"/>
    <w:rsid w:val="003B6D3B"/>
    <w:rPr>
      <w:sz w:val="24"/>
      <w:lang w:val="fi-FI"/>
    </w:rPr>
  </w:style>
  <w:style w:type="character" w:customStyle="1" w:styleId="NormalHanging12aChar">
    <w:name w:val="NormalHanging12a Char"/>
    <w:basedOn w:val="DefaultParagraphFont"/>
    <w:link w:val="NormalHanging12a"/>
    <w:locked/>
    <w:rsid w:val="003B6D3B"/>
    <w:rPr>
      <w:sz w:val="24"/>
      <w:lang w:val="fi-FI"/>
    </w:rPr>
  </w:style>
  <w:style w:type="character" w:styleId="CommentReference">
    <w:name w:val="annotation reference"/>
    <w:basedOn w:val="DefaultParagraphFont"/>
    <w:uiPriority w:val="99"/>
    <w:rsid w:val="003B6D3B"/>
    <w:rPr>
      <w:sz w:val="16"/>
      <w:szCs w:val="16"/>
    </w:rPr>
  </w:style>
  <w:style w:type="paragraph" w:styleId="CommentText">
    <w:name w:val="annotation text"/>
    <w:basedOn w:val="Normal"/>
    <w:link w:val="CommentTextChar"/>
    <w:uiPriority w:val="99"/>
    <w:rsid w:val="003B6D3B"/>
    <w:rPr>
      <w:sz w:val="20"/>
    </w:rPr>
  </w:style>
  <w:style w:type="character" w:customStyle="1" w:styleId="CommentTextChar">
    <w:name w:val="Comment Text Char"/>
    <w:basedOn w:val="DefaultParagraphFont"/>
    <w:link w:val="CommentText"/>
    <w:uiPriority w:val="99"/>
    <w:rsid w:val="003B6D3B"/>
    <w:rPr>
      <w:lang w:val="fi-FI"/>
    </w:rPr>
  </w:style>
  <w:style w:type="paragraph" w:styleId="CommentSubject">
    <w:name w:val="annotation subject"/>
    <w:basedOn w:val="CommentText"/>
    <w:next w:val="CommentText"/>
    <w:link w:val="CommentSubjectChar"/>
    <w:unhideWhenUsed/>
    <w:rsid w:val="003B6D3B"/>
    <w:rPr>
      <w:b/>
      <w:bCs/>
    </w:rPr>
  </w:style>
  <w:style w:type="character" w:customStyle="1" w:styleId="CommentSubjectChar">
    <w:name w:val="Comment Subject Char"/>
    <w:basedOn w:val="CommentTextChar"/>
    <w:link w:val="CommentSubject"/>
    <w:rsid w:val="003B6D3B"/>
    <w:rPr>
      <w:b/>
      <w:bCs/>
      <w:lang w:val="fi-FI"/>
    </w:rPr>
  </w:style>
  <w:style w:type="paragraph" w:styleId="BalloonText">
    <w:name w:val="Balloon Text"/>
    <w:basedOn w:val="Normal"/>
    <w:link w:val="BalloonTextChar"/>
    <w:unhideWhenUsed/>
    <w:rsid w:val="003B6D3B"/>
    <w:rPr>
      <w:rFonts w:ascii="Segoe UI" w:hAnsi="Segoe UI" w:cs="Segoe UI"/>
      <w:sz w:val="18"/>
      <w:szCs w:val="18"/>
    </w:rPr>
  </w:style>
  <w:style w:type="character" w:customStyle="1" w:styleId="BalloonTextChar">
    <w:name w:val="Balloon Text Char"/>
    <w:basedOn w:val="DefaultParagraphFont"/>
    <w:link w:val="BalloonText"/>
    <w:rsid w:val="003B6D3B"/>
    <w:rPr>
      <w:rFonts w:ascii="Segoe UI" w:hAnsi="Segoe UI" w:cs="Segoe UI"/>
      <w:sz w:val="18"/>
      <w:szCs w:val="18"/>
      <w:lang w:val="fi-FI"/>
    </w:rPr>
  </w:style>
  <w:style w:type="paragraph" w:customStyle="1" w:styleId="Body">
    <w:name w:val="Body"/>
    <w:rsid w:val="003B6D3B"/>
    <w:pPr>
      <w:widowControl w:val="0"/>
    </w:pPr>
    <w:rPr>
      <w:color w:val="000000"/>
      <w:sz w:val="24"/>
      <w:szCs w:val="24"/>
      <w:u w:color="000000"/>
      <w:lang w:val="fi-FI"/>
      <w14:textOutline w14:w="0" w14:cap="flat" w14:cmpd="sng" w14:algn="ctr">
        <w14:noFill/>
        <w14:prstDash w14:val="solid"/>
        <w14:bevel/>
      </w14:textOutline>
    </w:rPr>
  </w:style>
  <w:style w:type="paragraph" w:styleId="ListParagraph">
    <w:name w:val="List Paragraph"/>
    <w:qFormat/>
    <w:rsid w:val="003B6D3B"/>
    <w:pPr>
      <w:widowControl w:val="0"/>
      <w:ind w:left="720"/>
    </w:pPr>
    <w:rPr>
      <w:rFonts w:eastAsia="Arial Unicode MS" w:cs="Arial Unicode MS"/>
      <w:color w:val="000000"/>
      <w:sz w:val="24"/>
      <w:szCs w:val="24"/>
      <w:u w:color="000000"/>
      <w:lang w:val="fi-FI"/>
    </w:rPr>
  </w:style>
  <w:style w:type="paragraph" w:customStyle="1" w:styleId="Normal12Hanging">
    <w:name w:val="Normal12Hanging"/>
    <w:basedOn w:val="Normal"/>
    <w:rsid w:val="003B6D3B"/>
    <w:pPr>
      <w:spacing w:after="240"/>
      <w:ind w:left="567" w:hanging="567"/>
    </w:pPr>
  </w:style>
  <w:style w:type="character" w:styleId="Hyperlink">
    <w:name w:val="Hyperlink"/>
    <w:basedOn w:val="DefaultParagraphFont"/>
    <w:rsid w:val="003B6D3B"/>
    <w:rPr>
      <w:color w:val="0563C1" w:themeColor="hyperlink"/>
      <w:u w:val="single"/>
    </w:rPr>
  </w:style>
  <w:style w:type="character" w:customStyle="1" w:styleId="HRtextbodyChar">
    <w:name w:val="HR_text body_ Char"/>
    <w:basedOn w:val="DefaultParagraphFont"/>
    <w:link w:val="HRtextbody"/>
    <w:locked/>
    <w:rsid w:val="003B6D3B"/>
    <w:rPr>
      <w:rFonts w:ascii="Arial" w:hAnsi="Arial" w:cs="Arial"/>
      <w:color w:val="595959"/>
    </w:rPr>
  </w:style>
  <w:style w:type="paragraph" w:customStyle="1" w:styleId="HRtextbody">
    <w:name w:val="HR_text body_"/>
    <w:basedOn w:val="Normal"/>
    <w:link w:val="HRtextbodyChar"/>
    <w:rsid w:val="003B6D3B"/>
    <w:pPr>
      <w:widowControl/>
      <w:jc w:val="both"/>
    </w:pPr>
    <w:rPr>
      <w:rFonts w:ascii="Arial" w:hAnsi="Arial" w:cs="Arial"/>
      <w:color w:val="595959"/>
      <w:sz w:val="20"/>
      <w:lang w:val="en-GB"/>
    </w:rPr>
  </w:style>
  <w:style w:type="character" w:styleId="Strong">
    <w:name w:val="Strong"/>
    <w:basedOn w:val="DefaultParagraphFont"/>
    <w:uiPriority w:val="22"/>
    <w:qFormat/>
    <w:rsid w:val="003B6D3B"/>
    <w:rPr>
      <w:b/>
      <w:bCs/>
    </w:rPr>
  </w:style>
  <w:style w:type="paragraph" w:styleId="Revision">
    <w:name w:val="Revision"/>
    <w:hidden/>
    <w:uiPriority w:val="99"/>
    <w:semiHidden/>
    <w:rsid w:val="003B6D3B"/>
    <w:rPr>
      <w:sz w:val="24"/>
      <w:lang w:val="fi-FI"/>
    </w:rPr>
  </w:style>
  <w:style w:type="character" w:customStyle="1" w:styleId="ui-provider">
    <w:name w:val="ui-provider"/>
    <w:basedOn w:val="DefaultParagraphFont"/>
    <w:rsid w:val="003B6D3B"/>
  </w:style>
  <w:style w:type="paragraph" w:customStyle="1" w:styleId="title-article-norm">
    <w:name w:val="title-article-norm"/>
    <w:basedOn w:val="Normal"/>
    <w:rsid w:val="003B6D3B"/>
    <w:pPr>
      <w:widowControl/>
      <w:spacing w:before="100" w:beforeAutospacing="1" w:after="100" w:afterAutospacing="1"/>
    </w:pPr>
    <w:rPr>
      <w:szCs w:val="24"/>
    </w:rPr>
  </w:style>
  <w:style w:type="paragraph" w:customStyle="1" w:styleId="Normal24a">
    <w:name w:val="Normal24a"/>
    <w:basedOn w:val="Normal"/>
    <w:rsid w:val="003B6D3B"/>
    <w:pPr>
      <w:spacing w:after="480"/>
    </w:pPr>
  </w:style>
  <w:style w:type="paragraph" w:customStyle="1" w:styleId="NormalBoldCenter">
    <w:name w:val="NormalBoldCenter"/>
    <w:basedOn w:val="Normal"/>
    <w:rsid w:val="003B6D3B"/>
    <w:pPr>
      <w:jc w:val="center"/>
    </w:pPr>
    <w:rPr>
      <w:b/>
    </w:rPr>
  </w:style>
  <w:style w:type="paragraph" w:customStyle="1" w:styleId="Normal12a">
    <w:name w:val="Normal12a"/>
    <w:basedOn w:val="Normal"/>
    <w:rsid w:val="003B6D3B"/>
    <w:pPr>
      <w:spacing w:after="240"/>
    </w:pPr>
  </w:style>
  <w:style w:type="paragraph" w:customStyle="1" w:styleId="PageHeadingNotTOC">
    <w:name w:val="PageHeadingNotTOC"/>
    <w:basedOn w:val="Normal"/>
    <w:rsid w:val="003B6D3B"/>
    <w:pPr>
      <w:keepNext/>
      <w:spacing w:after="480"/>
      <w:jc w:val="center"/>
    </w:pPr>
    <w:rPr>
      <w:rFonts w:ascii="Arial" w:hAnsi="Arial" w:cs="Arial"/>
      <w:b/>
    </w:rPr>
  </w:style>
  <w:style w:type="paragraph" w:customStyle="1" w:styleId="NumPar1">
    <w:name w:val="NumPar 1"/>
    <w:basedOn w:val="Normal"/>
    <w:rsid w:val="003B6D3B"/>
    <w:pPr>
      <w:numPr>
        <w:numId w:val="50"/>
      </w:numPr>
    </w:pPr>
  </w:style>
  <w:style w:type="paragraph" w:customStyle="1" w:styleId="NumPar2">
    <w:name w:val="NumPar 2"/>
    <w:basedOn w:val="Normal"/>
    <w:rsid w:val="003B6D3B"/>
    <w:pPr>
      <w:numPr>
        <w:ilvl w:val="1"/>
        <w:numId w:val="50"/>
      </w:numPr>
    </w:pPr>
  </w:style>
  <w:style w:type="paragraph" w:customStyle="1" w:styleId="NumPar3">
    <w:name w:val="NumPar 3"/>
    <w:basedOn w:val="Normal"/>
    <w:rsid w:val="003B6D3B"/>
    <w:pPr>
      <w:numPr>
        <w:ilvl w:val="2"/>
        <w:numId w:val="50"/>
      </w:numPr>
    </w:pPr>
  </w:style>
  <w:style w:type="paragraph" w:customStyle="1" w:styleId="NumPar4">
    <w:name w:val="NumPar 4"/>
    <w:basedOn w:val="Normal"/>
    <w:rsid w:val="003B6D3B"/>
    <w:pPr>
      <w:numPr>
        <w:ilvl w:val="3"/>
        <w:numId w:val="50"/>
      </w:numPr>
    </w:pPr>
  </w:style>
  <w:style w:type="paragraph" w:customStyle="1" w:styleId="NumPar5">
    <w:name w:val="NumPar 5"/>
    <w:basedOn w:val="Normal"/>
    <w:rsid w:val="003B6D3B"/>
    <w:pPr>
      <w:numPr>
        <w:ilvl w:val="4"/>
        <w:numId w:val="50"/>
      </w:numPr>
    </w:pPr>
  </w:style>
  <w:style w:type="paragraph" w:customStyle="1" w:styleId="NumPar6">
    <w:name w:val="NumPar 6"/>
    <w:basedOn w:val="Normal"/>
    <w:rsid w:val="003B6D3B"/>
    <w:pPr>
      <w:numPr>
        <w:ilvl w:val="5"/>
        <w:numId w:val="50"/>
      </w:numPr>
    </w:pPr>
  </w:style>
  <w:style w:type="paragraph" w:customStyle="1" w:styleId="NumPar7">
    <w:name w:val="NumPar 7"/>
    <w:basedOn w:val="Normal"/>
    <w:rsid w:val="003B6D3B"/>
    <w:pPr>
      <w:numPr>
        <w:ilvl w:val="6"/>
        <w:numId w:val="50"/>
      </w:numPr>
    </w:pPr>
  </w:style>
  <w:style w:type="paragraph" w:customStyle="1" w:styleId="RollCallSymbols14pt">
    <w:name w:val="RollCallSymbols14pt"/>
    <w:basedOn w:val="Normal"/>
    <w:rsid w:val="003B6D3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B6D3B"/>
    <w:pPr>
      <w:tabs>
        <w:tab w:val="center" w:pos="284"/>
        <w:tab w:val="left" w:pos="426"/>
      </w:tabs>
    </w:pPr>
    <w:rPr>
      <w:snapToGrid w:val="0"/>
      <w:lang w:eastAsia="en-US"/>
    </w:rPr>
  </w:style>
  <w:style w:type="paragraph" w:customStyle="1" w:styleId="RollCallVotes">
    <w:name w:val="RollCallVotes"/>
    <w:basedOn w:val="Normal"/>
    <w:rsid w:val="003B6D3B"/>
    <w:pPr>
      <w:spacing w:before="120" w:after="120"/>
      <w:jc w:val="center"/>
    </w:pPr>
    <w:rPr>
      <w:b/>
      <w:bCs/>
      <w:snapToGrid w:val="0"/>
      <w:sz w:val="16"/>
      <w:lang w:eastAsia="en-US"/>
    </w:rPr>
  </w:style>
  <w:style w:type="paragraph" w:customStyle="1" w:styleId="RollCallTable">
    <w:name w:val="RollCallTable"/>
    <w:basedOn w:val="Normal"/>
    <w:rsid w:val="003B6D3B"/>
    <w:pPr>
      <w:spacing w:before="120" w:after="120"/>
    </w:pPr>
    <w:rPr>
      <w:snapToGrid w:val="0"/>
      <w:sz w:val="16"/>
      <w:lang w:eastAsia="en-US"/>
    </w:rPr>
  </w:style>
  <w:style w:type="character" w:styleId="FollowedHyperlink">
    <w:name w:val="FollowedHyperlink"/>
    <w:basedOn w:val="DefaultParagraphFont"/>
    <w:rsid w:val="003B6D3B"/>
    <w:rPr>
      <w:color w:val="954F72" w:themeColor="followedHyperlink"/>
      <w:u w:val="single"/>
    </w:rPr>
  </w:style>
  <w:style w:type="paragraph" w:styleId="Footer">
    <w:name w:val="footer"/>
    <w:basedOn w:val="Normal"/>
    <w:link w:val="FooterChar"/>
    <w:rsid w:val="003B6D3B"/>
    <w:pPr>
      <w:tabs>
        <w:tab w:val="center" w:pos="4513"/>
        <w:tab w:val="right" w:pos="9026"/>
      </w:tabs>
    </w:pPr>
  </w:style>
  <w:style w:type="character" w:customStyle="1" w:styleId="FooterChar">
    <w:name w:val="Footer Char"/>
    <w:basedOn w:val="DefaultParagraphFont"/>
    <w:link w:val="Footer"/>
    <w:rsid w:val="003B6D3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D9E7-CBAC-45D1-985F-DC72D4323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12577</Words>
  <Characters>104164</Characters>
  <Application>Microsoft Office Word</Application>
  <DocSecurity>0</DocSecurity>
  <Lines>868</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Karina Pesa</cp:lastModifiedBy>
  <cp:revision>3</cp:revision>
  <cp:lastPrinted>2004-11-19T15:42:00Z</cp:lastPrinted>
  <dcterms:created xsi:type="dcterms:W3CDTF">2024-05-15T11:47:00Z</dcterms:created>
  <dcterms:modified xsi:type="dcterms:W3CDTF">2024-10-31T10:41:00Z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P9_TA(2024)0229_</vt:lpwstr>
  </property>
  <property fmtid="{D5CDD505-2E9C-101B-9397-08002B2CF9AE}" pid="4" name="&lt;Type&gt;">
    <vt:lpwstr>RR</vt:lpwstr>
  </property>
</Properties>
</file>