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60B4" w:rsidTr="0010095E">
        <w:trPr>
          <w:trHeight w:hRule="exact" w:val="1418"/>
        </w:trPr>
        <w:tc>
          <w:tcPr>
            <w:tcW w:w="6804" w:type="dxa"/>
            <w:shd w:val="clear" w:color="auto" w:fill="auto"/>
            <w:vAlign w:val="center"/>
          </w:tcPr>
          <w:p w:rsidR="00751A4A" w:rsidRPr="00D360B4" w:rsidRDefault="000C40E4" w:rsidP="0010095E">
            <w:pPr>
              <w:pStyle w:val="EPName"/>
            </w:pPr>
            <w:r w:rsidRPr="00D360B4">
              <w:t>Europski parlament</w:t>
            </w:r>
          </w:p>
          <w:p w:rsidR="00751A4A" w:rsidRPr="00D360B4" w:rsidRDefault="00817416" w:rsidP="00756632">
            <w:pPr>
              <w:pStyle w:val="EPTerm"/>
              <w:rPr>
                <w:rStyle w:val="HideTWBExt"/>
                <w:noProof w:val="0"/>
                <w:vanish w:val="0"/>
                <w:color w:val="auto"/>
              </w:rPr>
            </w:pPr>
            <w:r w:rsidRPr="00D360B4">
              <w:t>2019-2024</w:t>
            </w:r>
          </w:p>
        </w:tc>
        <w:tc>
          <w:tcPr>
            <w:tcW w:w="2268" w:type="dxa"/>
            <w:shd w:val="clear" w:color="auto" w:fill="auto"/>
          </w:tcPr>
          <w:p w:rsidR="00751A4A" w:rsidRPr="00D360B4" w:rsidRDefault="00187494" w:rsidP="0010095E">
            <w:pPr>
              <w:pStyle w:val="EPLogo"/>
            </w:pPr>
            <w:r w:rsidRPr="00D360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60B4" w:rsidRDefault="00D058B8" w:rsidP="004C5D52">
      <w:pPr>
        <w:pStyle w:val="LineTop"/>
      </w:pPr>
    </w:p>
    <w:p w:rsidR="00680577" w:rsidRPr="00D360B4" w:rsidRDefault="000C40E4" w:rsidP="00680577">
      <w:pPr>
        <w:pStyle w:val="EPBodyTA1"/>
      </w:pPr>
      <w:r w:rsidRPr="00D360B4">
        <w:t>USVOJENI TEKSTOVI</w:t>
      </w:r>
    </w:p>
    <w:p w:rsidR="00D058B8" w:rsidRPr="00D360B4" w:rsidRDefault="00D058B8" w:rsidP="00D058B8">
      <w:pPr>
        <w:pStyle w:val="LineBottom"/>
      </w:pPr>
    </w:p>
    <w:p w:rsidR="000C40E4" w:rsidRPr="00D360B4" w:rsidRDefault="000C40E4" w:rsidP="000C40E4">
      <w:pPr>
        <w:pStyle w:val="ATHeading1"/>
      </w:pPr>
      <w:bookmarkStart w:id="0" w:name="TANumber"/>
      <w:r w:rsidRPr="00D360B4">
        <w:t>P9_TA(2024)0</w:t>
      </w:r>
      <w:bookmarkEnd w:id="0"/>
      <w:r w:rsidR="00D3067A">
        <w:t>229</w:t>
      </w:r>
    </w:p>
    <w:p w:rsidR="000C40E4" w:rsidRPr="00D360B4" w:rsidRDefault="000C40E4" w:rsidP="000C40E4">
      <w:pPr>
        <w:pStyle w:val="ATHeading2"/>
      </w:pPr>
      <w:bookmarkStart w:id="1" w:name="title"/>
      <w:r w:rsidRPr="00D360B4">
        <w:t>Razrješnica za 2022.: Opći proračun EU-a – Europski parlament</w:t>
      </w:r>
      <w:bookmarkEnd w:id="1"/>
    </w:p>
    <w:p w:rsidR="000C40E4" w:rsidRPr="00614184" w:rsidRDefault="000C40E4" w:rsidP="000C40E4">
      <w:pPr>
        <w:rPr>
          <w:i/>
          <w:vanish/>
        </w:rPr>
      </w:pPr>
      <w:r w:rsidRPr="00614184">
        <w:rPr>
          <w:i/>
        </w:rPr>
        <w:fldChar w:fldCharType="begin"/>
      </w:r>
      <w:r w:rsidRPr="00614184">
        <w:rPr>
          <w:i/>
        </w:rPr>
        <w:instrText xml:space="preserve"> TC"(</w:instrText>
      </w:r>
      <w:bookmarkStart w:id="2" w:name="DocNumber"/>
      <w:r w:rsidRPr="00614184">
        <w:rPr>
          <w:i/>
        </w:rPr>
        <w:instrText>A9-0067/2024</w:instrText>
      </w:r>
      <w:bookmarkEnd w:id="2"/>
      <w:r w:rsidRPr="00614184">
        <w:rPr>
          <w:i/>
        </w:rPr>
        <w:instrText xml:space="preserve"> - Izvjestitelj: Andrey Novakov)"\l3 \n&gt; \* MERGEFORMAT </w:instrText>
      </w:r>
      <w:r w:rsidRPr="00614184">
        <w:rPr>
          <w:i/>
        </w:rPr>
        <w:fldChar w:fldCharType="end"/>
      </w:r>
    </w:p>
    <w:p w:rsidR="000C40E4" w:rsidRPr="00B16816" w:rsidRDefault="000C40E4" w:rsidP="000C40E4">
      <w:pPr>
        <w:rPr>
          <w:b/>
          <w:vanish/>
        </w:rPr>
      </w:pPr>
      <w:bookmarkStart w:id="3" w:name="Commission"/>
      <w:r w:rsidRPr="00614184">
        <w:rPr>
          <w:vanish/>
        </w:rPr>
        <w:t>Odbor za proračunski nadzor</w:t>
      </w:r>
      <w:bookmarkEnd w:id="3"/>
    </w:p>
    <w:p w:rsidR="000C40E4" w:rsidRPr="00614184" w:rsidRDefault="000C40E4" w:rsidP="000C40E4">
      <w:pPr>
        <w:rPr>
          <w:vanish/>
        </w:rPr>
      </w:pPr>
      <w:bookmarkStart w:id="4" w:name="PE"/>
      <w:r w:rsidRPr="00614184">
        <w:rPr>
          <w:vanish/>
        </w:rPr>
        <w:t>PE753.634</w:t>
      </w:r>
      <w:bookmarkEnd w:id="4"/>
    </w:p>
    <w:p w:rsidR="000C40E4" w:rsidRPr="00B16816" w:rsidRDefault="00BD0FC8" w:rsidP="000C40E4">
      <w:pPr>
        <w:pStyle w:val="ATHeading3"/>
      </w:pPr>
      <w:bookmarkStart w:id="5" w:name="Sujet"/>
      <w:r>
        <w:t xml:space="preserve">1. </w:t>
      </w:r>
      <w:r w:rsidR="000C40E4" w:rsidRPr="00B16816">
        <w:t>Odl</w:t>
      </w:r>
      <w:r w:rsidR="00B16816" w:rsidRPr="00B16816">
        <w:t>uka Europskog parlamenta od 11. travnja</w:t>
      </w:r>
      <w:r w:rsidR="000C40E4" w:rsidRPr="00B16816">
        <w:t xml:space="preserve"> 2024. o razrješnici za izvršenje općeg proračuna Europske unije za financijsku godinu 2022., dio I. – Europski parlament</w:t>
      </w:r>
      <w:bookmarkEnd w:id="5"/>
      <w:r w:rsidR="000C40E4" w:rsidRPr="00B16816">
        <w:t xml:space="preserve"> </w:t>
      </w:r>
      <w:bookmarkStart w:id="6" w:name="References"/>
      <w:r w:rsidR="000C40E4" w:rsidRPr="00B16816">
        <w:t>(2023/2130(DEC))</w:t>
      </w:r>
      <w:bookmarkEnd w:id="6"/>
    </w:p>
    <w:p w:rsidR="000C40E4" w:rsidRPr="00D360B4" w:rsidRDefault="000C40E4" w:rsidP="000C40E4"/>
    <w:p w:rsidR="00C51297" w:rsidRPr="00D360B4" w:rsidRDefault="00C51297" w:rsidP="00C51297">
      <w:pPr>
        <w:spacing w:after="240"/>
      </w:pPr>
      <w:bookmarkStart w:id="7" w:name="TextBodyBegin"/>
      <w:bookmarkEnd w:id="7"/>
      <w:r w:rsidRPr="00D360B4">
        <w:rPr>
          <w:i/>
        </w:rPr>
        <w:t>Europski parlament</w:t>
      </w:r>
      <w:r w:rsidRPr="00D360B4">
        <w:t>,</w:t>
      </w:r>
    </w:p>
    <w:p w:rsidR="00C51297" w:rsidRPr="00D360B4" w:rsidRDefault="00C51297" w:rsidP="00C51297">
      <w:pPr>
        <w:pStyle w:val="NormalHanging12a"/>
        <w:rPr>
          <w:noProof/>
        </w:rPr>
      </w:pPr>
      <w:r w:rsidRPr="00D360B4">
        <w:t>–</w:t>
      </w:r>
      <w:r w:rsidRPr="00D360B4">
        <w:tab/>
        <w:t>uzimajući u obzir opći proračun Europske unije za financijsku godinu 2022.</w:t>
      </w:r>
      <w:r w:rsidRPr="00D360B4">
        <w:rPr>
          <w:rStyle w:val="FootnoteReference"/>
          <w:noProof/>
        </w:rPr>
        <w:footnoteReference w:id="1"/>
      </w:r>
      <w:r w:rsidRPr="00D360B4">
        <w:t>,</w:t>
      </w:r>
    </w:p>
    <w:p w:rsidR="00C51297" w:rsidRPr="00D360B4" w:rsidRDefault="00C51297" w:rsidP="00C51297">
      <w:pPr>
        <w:pStyle w:val="NormalHanging12a"/>
        <w:rPr>
          <w:noProof/>
        </w:rPr>
      </w:pPr>
      <w:r w:rsidRPr="00D360B4">
        <w:t>–</w:t>
      </w:r>
      <w:r w:rsidRPr="00D360B4">
        <w:tab/>
        <w:t>uzimajući u obzir konsolidiranu godišnju računovodstvenu dokumentaciju Europske unije za financijsku godinu 2022. (COM(2023)0391 – C9</w:t>
      </w:r>
      <w:r w:rsidRPr="00D360B4">
        <w:noBreakHyphen/>
        <w:t>0248/2023)</w:t>
      </w:r>
      <w:r w:rsidRPr="00D360B4">
        <w:rPr>
          <w:rStyle w:val="FootnoteReference"/>
          <w:noProof/>
        </w:rPr>
        <w:footnoteReference w:id="2"/>
      </w:r>
      <w:r w:rsidRPr="00D360B4">
        <w:t>,</w:t>
      </w:r>
    </w:p>
    <w:p w:rsidR="00C51297" w:rsidRPr="00D360B4" w:rsidRDefault="00C51297" w:rsidP="00C51297">
      <w:pPr>
        <w:pStyle w:val="NormalHanging12a"/>
        <w:rPr>
          <w:noProof/>
        </w:rPr>
      </w:pPr>
      <w:r w:rsidRPr="00D360B4">
        <w:t>–</w:t>
      </w:r>
      <w:r w:rsidRPr="00D360B4">
        <w:tab/>
        <w:t>uzimajući u obzir izvješće o proračunskom i financijskom upravljanju za financijsku godinu 2022., dio I. – Europski parlament</w:t>
      </w:r>
      <w:r w:rsidRPr="00D360B4">
        <w:rPr>
          <w:rStyle w:val="FootnoteReference"/>
          <w:noProof/>
        </w:rPr>
        <w:footnoteReference w:id="3"/>
      </w:r>
      <w:r w:rsidRPr="00D360B4">
        <w:t>,</w:t>
      </w:r>
    </w:p>
    <w:p w:rsidR="00C51297" w:rsidRPr="00D360B4" w:rsidRDefault="00C51297" w:rsidP="00C51297">
      <w:pPr>
        <w:pStyle w:val="NormalHanging12a"/>
        <w:rPr>
          <w:noProof/>
        </w:rPr>
      </w:pPr>
      <w:r w:rsidRPr="00D360B4">
        <w:t>–</w:t>
      </w:r>
      <w:r w:rsidRPr="00D360B4">
        <w:tab/>
        <w:t>uzimajući u obzir godišnje izvješće unutarnjeg revizora za financijsku godinu 2022.,</w:t>
      </w:r>
    </w:p>
    <w:p w:rsidR="00C51297" w:rsidRPr="00D360B4" w:rsidRDefault="00C51297" w:rsidP="00C51297">
      <w:pPr>
        <w:pStyle w:val="NormalHanging12a"/>
        <w:rPr>
          <w:noProof/>
        </w:rPr>
      </w:pPr>
      <w:r w:rsidRPr="00D360B4">
        <w:t>–</w:t>
      </w:r>
      <w:r w:rsidRPr="00D360B4">
        <w:tab/>
        <w:t>uzimajući u obzir godišnje izvješće Revizorskog suda o izvršenju proračuna za financijsku godinu 2022., s odgovorima institucija</w:t>
      </w:r>
      <w:r w:rsidRPr="00D360B4">
        <w:rPr>
          <w:rStyle w:val="FootnoteReference"/>
          <w:noProof/>
        </w:rPr>
        <w:footnoteReference w:id="4"/>
      </w:r>
      <w:r w:rsidRPr="00D360B4">
        <w:t>,</w:t>
      </w:r>
    </w:p>
    <w:p w:rsidR="00C51297" w:rsidRPr="00D360B4" w:rsidRDefault="00C51297" w:rsidP="00C51297">
      <w:pPr>
        <w:pStyle w:val="NormalHanging12a"/>
        <w:rPr>
          <w:noProof/>
        </w:rPr>
      </w:pPr>
      <w:r w:rsidRPr="00D360B4">
        <w:t>–</w:t>
      </w:r>
      <w:r w:rsidRPr="00D360B4">
        <w:tab/>
        <w:t>uzimajući u obzir izjavu o jamstvu</w:t>
      </w:r>
      <w:r w:rsidRPr="00D360B4">
        <w:rPr>
          <w:rStyle w:val="FootnoteReference"/>
          <w:noProof/>
        </w:rPr>
        <w:footnoteReference w:id="5"/>
      </w:r>
      <w:r w:rsidRPr="00D360B4">
        <w:t xml:space="preserve"> u pogledu pouzdanosti računovodstvene dokumentacije te zakonitosti i pravilnosti temeljnih transakcija koju je u skladu s člankom 287. Ugovora o funkcioniranju Europske unije Revizorski sud podnio za financijsku godinu 2022.,</w:t>
      </w:r>
    </w:p>
    <w:p w:rsidR="00C51297" w:rsidRPr="00D360B4" w:rsidRDefault="00C51297" w:rsidP="00C51297">
      <w:pPr>
        <w:pStyle w:val="NormalHanging12a"/>
        <w:rPr>
          <w:noProof/>
        </w:rPr>
      </w:pPr>
      <w:r w:rsidRPr="00D360B4">
        <w:t>–</w:t>
      </w:r>
      <w:r w:rsidRPr="00D360B4">
        <w:tab/>
        <w:t>uzimajući u obzir članak 314. stavak 10. i članak 318. Ugovora o funkcioniranju Europske unije,</w:t>
      </w:r>
    </w:p>
    <w:p w:rsidR="00C51297" w:rsidRPr="00D360B4" w:rsidRDefault="00C51297" w:rsidP="00C51297">
      <w:pPr>
        <w:pStyle w:val="NormalHanging12a"/>
        <w:rPr>
          <w:noProof/>
        </w:rPr>
      </w:pPr>
      <w:r w:rsidRPr="00D360B4">
        <w:t>–</w:t>
      </w:r>
      <w:r w:rsidRPr="00D360B4">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w:t>
      </w:r>
      <w:r w:rsidRPr="00D360B4">
        <w:lastRenderedPageBreak/>
        <w:t>br. 966/2012</w:t>
      </w:r>
      <w:r w:rsidRPr="00D360B4">
        <w:rPr>
          <w:rStyle w:val="FootnoteReference"/>
          <w:noProof/>
        </w:rPr>
        <w:footnoteReference w:id="6"/>
      </w:r>
      <w:r w:rsidRPr="00D360B4">
        <w:t>, a posebno njezine članke 260., 261. i 262.,</w:t>
      </w:r>
    </w:p>
    <w:p w:rsidR="00C51297" w:rsidRPr="00D360B4" w:rsidRDefault="00C51297" w:rsidP="00C51297">
      <w:pPr>
        <w:pStyle w:val="NormalHanging12a"/>
        <w:rPr>
          <w:noProof/>
        </w:rPr>
      </w:pPr>
      <w:r w:rsidRPr="00D360B4">
        <w:t>–</w:t>
      </w:r>
      <w:r w:rsidRPr="00D360B4">
        <w:tab/>
        <w:t>uzimajući u obzir Odluku Predsjedništva od 10. prosinca 2018. o internom pravilniku o izvršenju proračuna Europskog parlamenta, a posebno njezin članak 34.,</w:t>
      </w:r>
    </w:p>
    <w:p w:rsidR="00C51297" w:rsidRPr="00D360B4" w:rsidRDefault="00C51297" w:rsidP="00C51297">
      <w:pPr>
        <w:pStyle w:val="NormalHanging12a"/>
        <w:rPr>
          <w:noProof/>
        </w:rPr>
      </w:pPr>
      <w:r w:rsidRPr="00D360B4">
        <w:t>–</w:t>
      </w:r>
      <w:r w:rsidRPr="00D360B4">
        <w:tab/>
        <w:t>uzimajući u obzir članak 100. i članak 104. stavak 3. Poslovnika te Prilog V. Poslovniku,</w:t>
      </w:r>
    </w:p>
    <w:p w:rsidR="00C51297" w:rsidRPr="00D360B4" w:rsidRDefault="00C51297" w:rsidP="00C51297">
      <w:pPr>
        <w:pStyle w:val="NormalHanging12a"/>
      </w:pPr>
      <w:r w:rsidRPr="00D360B4">
        <w:t>–</w:t>
      </w:r>
      <w:r w:rsidRPr="00D360B4">
        <w:tab/>
        <w:t>uzimajući u obzir mišljenje Odbora za pravna pitanja,</w:t>
      </w:r>
    </w:p>
    <w:p w:rsidR="00C51297" w:rsidRPr="00D360B4" w:rsidRDefault="00C51297" w:rsidP="00C51297">
      <w:pPr>
        <w:pStyle w:val="NormalHanging12a"/>
      </w:pPr>
      <w:r w:rsidRPr="00D360B4">
        <w:t>–</w:t>
      </w:r>
      <w:r w:rsidRPr="00D360B4">
        <w:tab/>
        <w:t>uzimajući u obzir izvješće Odbora za proračunski nadzor (A9</w:t>
      </w:r>
      <w:r w:rsidRPr="00D360B4">
        <w:noBreakHyphen/>
        <w:t>0067/2024),</w:t>
      </w:r>
    </w:p>
    <w:p w:rsidR="00C51297" w:rsidRPr="00D360B4" w:rsidRDefault="00C51297" w:rsidP="00C51297">
      <w:pPr>
        <w:pStyle w:val="NormalHanging12a"/>
        <w:widowControl/>
      </w:pPr>
      <w:r w:rsidRPr="00D360B4">
        <w:t>A.</w:t>
      </w:r>
      <w:r w:rsidRPr="00D360B4">
        <w:tab/>
        <w:t>budući da je predsjednica 22. lipnja 2023. usvojila financijske izvještaje Parlamenta za financijsku godinu 2022.;</w:t>
      </w:r>
    </w:p>
    <w:p w:rsidR="00C51297" w:rsidRPr="00D360B4" w:rsidRDefault="00C51297" w:rsidP="00C51297">
      <w:pPr>
        <w:pStyle w:val="NormalHanging12a"/>
        <w:widowControl/>
      </w:pPr>
      <w:r w:rsidRPr="00D360B4">
        <w:t>B.</w:t>
      </w:r>
      <w:r w:rsidRPr="00D360B4">
        <w:tab/>
        <w:t>budući da je glavni tajnik, kao glavni dužnosnik za ovjeravanje na osnovi delegiranja ovlasti, 26. lipnja 2023. potvrdio svoje razumno jamstvo da su sredstva dodijeljena proračunu Parlamenta upotrijebljena u svrhu za koju su namijenjena i u skladu s načelom dobrog financijskog upravljanja te da uspostavljeni postupci nadzora daju potrebna jamstva u vezi sa zakonitošću i pravilnošću temeljnih transakcija;</w:t>
      </w:r>
    </w:p>
    <w:p w:rsidR="002519A1" w:rsidRDefault="00C51297" w:rsidP="00C51297">
      <w:pPr>
        <w:pStyle w:val="NormalHanging12a"/>
        <w:widowControl/>
      </w:pPr>
      <w:r w:rsidRPr="00D360B4">
        <w:t>C.</w:t>
      </w:r>
      <w:r w:rsidRPr="00D360B4">
        <w:tab/>
        <w:t>budući da Revizorski sud u svojoj reviziji navodi da u pogledu posebne ocjene administrativnih i drugih rashoda 2022. nije utvrdio ozbiljne nedostatke u godišnjim izvješćima o radu institucija i tijela koje je ispitao, kako se zahtijeva Uredbom (EU, Euratom) 2018/1046;</w:t>
      </w:r>
    </w:p>
    <w:p w:rsidR="00C51297" w:rsidRPr="00D360B4" w:rsidRDefault="00C51297" w:rsidP="00C51297">
      <w:pPr>
        <w:pStyle w:val="NormalHanging12a"/>
        <w:widowControl/>
      </w:pPr>
      <w:r w:rsidRPr="00D360B4">
        <w:t>D.</w:t>
      </w:r>
      <w:r w:rsidRPr="00D360B4">
        <w:tab/>
        <w:t>budući da se člankom 262. stavkom 1. Uredbe (EU, Euratom) 2018/1046 od svake institucije Unije zahtijeva da poduzme sve odgovarajuće mjere u skladu s primjedbama iz odluke Parlamenta o razrješnici;</w:t>
      </w:r>
    </w:p>
    <w:p w:rsidR="00C51297" w:rsidRPr="00D360B4" w:rsidRDefault="00C51297" w:rsidP="00C51297">
      <w:pPr>
        <w:pStyle w:val="NormalHanging12a"/>
        <w:rPr>
          <w:noProof/>
        </w:rPr>
      </w:pPr>
      <w:r w:rsidRPr="00D360B4">
        <w:t>1.</w:t>
      </w:r>
      <w:r w:rsidRPr="00D360B4">
        <w:tab/>
        <w:t>daje svojoj predsjednici razrješnicu za izvršenje proračuna Europskog parlamenta za financijsku godinu 2022.;</w:t>
      </w:r>
    </w:p>
    <w:p w:rsidR="00C51297" w:rsidRPr="00D360B4" w:rsidRDefault="00C51297" w:rsidP="00C51297">
      <w:pPr>
        <w:pStyle w:val="NormalHanging12a"/>
        <w:rPr>
          <w:noProof/>
        </w:rPr>
      </w:pPr>
      <w:r w:rsidRPr="00D360B4">
        <w:t>2.</w:t>
      </w:r>
      <w:r w:rsidRPr="00D360B4">
        <w:tab/>
        <w:t>iznosi svoje primjedbe u Rezoluciji u nastavku;</w:t>
      </w:r>
    </w:p>
    <w:p w:rsidR="00C51297" w:rsidRPr="00D360B4" w:rsidRDefault="00C51297" w:rsidP="00C51297">
      <w:pPr>
        <w:pStyle w:val="NormalHanging12a"/>
        <w:rPr>
          <w:noProof/>
        </w:rPr>
      </w:pPr>
      <w:r w:rsidRPr="00D360B4">
        <w:t>3.</w:t>
      </w:r>
      <w:r w:rsidRPr="00D360B4">
        <w:tab/>
        <w:t xml:space="preserve">nalaže svojoj predsjednici da ovu Odluku i Rezoluciju, koja je njezin sastavni dio, proslijedi Vijeću, Komisiji i Revizorskom sudu te da ih da na objavu u </w:t>
      </w:r>
      <w:r w:rsidRPr="00D360B4">
        <w:rPr>
          <w:i/>
        </w:rPr>
        <w:t>Službenom listu Europske unije</w:t>
      </w:r>
      <w:r w:rsidRPr="00D360B4">
        <w:t xml:space="preserve"> (serija L).</w:t>
      </w:r>
    </w:p>
    <w:p w:rsidR="00C51297" w:rsidRPr="00D360B4" w:rsidRDefault="00C51297" w:rsidP="00C51297"/>
    <w:p w:rsidR="00C51297" w:rsidRPr="00D360B4" w:rsidRDefault="00C51297" w:rsidP="00C51297">
      <w:pPr>
        <w:pStyle w:val="PageHeading"/>
        <w:sectPr w:rsidR="00C51297" w:rsidRPr="00D360B4" w:rsidSect="00D360B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51297" w:rsidRPr="00D360B4" w:rsidRDefault="00B16816" w:rsidP="00B16816">
      <w:pPr>
        <w:pStyle w:val="PageHeading"/>
        <w:jc w:val="left"/>
        <w:rPr>
          <w:noProof/>
        </w:rPr>
      </w:pPr>
      <w:bookmarkStart w:id="8" w:name="_Toc161213076"/>
      <w:r w:rsidRPr="00B16816">
        <w:rPr>
          <w:rFonts w:ascii="Times New Roman" w:hAnsi="Times New Roman" w:cs="Times New Roman"/>
        </w:rPr>
        <w:lastRenderedPageBreak/>
        <w:t>2. R</w:t>
      </w:r>
      <w:r>
        <w:rPr>
          <w:rFonts w:ascii="Times New Roman" w:hAnsi="Times New Roman" w:cs="Times New Roman"/>
        </w:rPr>
        <w:t>ezolucija E</w:t>
      </w:r>
      <w:r w:rsidRPr="00B16816">
        <w:rPr>
          <w:rFonts w:ascii="Times New Roman" w:hAnsi="Times New Roman" w:cs="Times New Roman"/>
        </w:rPr>
        <w:t>uropskog parlamenta</w:t>
      </w:r>
      <w:bookmarkEnd w:id="8"/>
      <w:r>
        <w:rPr>
          <w:rFonts w:ascii="Times New Roman" w:hAnsi="Times New Roman" w:cs="Times New Roman"/>
        </w:rPr>
        <w:t xml:space="preserve"> od 11. travnja 2024. </w:t>
      </w:r>
      <w:r w:rsidR="00C51297" w:rsidRPr="00B16816">
        <w:rPr>
          <w:rFonts w:ascii="Times New Roman" w:hAnsi="Times New Roman" w:cs="Times New Roman"/>
        </w:rPr>
        <w:t>s primjedbama koje su sastavni dio Odluke o razrješnici za izvršenje općeg proračuna Europske unije za financijsku godinu 2022., dio I. – Europski parlament</w:t>
      </w:r>
      <w:r>
        <w:rPr>
          <w:rFonts w:ascii="Times New Roman" w:hAnsi="Times New Roman" w:cs="Times New Roman"/>
        </w:rPr>
        <w:t xml:space="preserve"> </w:t>
      </w:r>
      <w:r w:rsidR="00C51297" w:rsidRPr="00B16816">
        <w:rPr>
          <w:rFonts w:ascii="Times New Roman" w:hAnsi="Times New Roman" w:cs="Times New Roman"/>
        </w:rPr>
        <w:t>(2023/2130(DEC))</w:t>
      </w:r>
    </w:p>
    <w:p w:rsidR="00C51297" w:rsidRPr="00D360B4" w:rsidRDefault="00C51297" w:rsidP="00C51297">
      <w:pPr>
        <w:pStyle w:val="EPComma"/>
        <w:rPr>
          <w:noProof/>
        </w:rPr>
      </w:pPr>
      <w:r w:rsidRPr="00D360B4">
        <w:rPr>
          <w:i/>
        </w:rPr>
        <w:t>Europski parlament</w:t>
      </w:r>
      <w:r w:rsidRPr="00D360B4">
        <w:t>,</w:t>
      </w:r>
    </w:p>
    <w:p w:rsidR="00C51297" w:rsidRPr="00D360B4" w:rsidRDefault="00C51297" w:rsidP="00C51297">
      <w:pPr>
        <w:pStyle w:val="NormalHanging12a"/>
        <w:rPr>
          <w:noProof/>
        </w:rPr>
      </w:pPr>
      <w:r w:rsidRPr="00D360B4">
        <w:t>–</w:t>
      </w:r>
      <w:r w:rsidRPr="00D360B4">
        <w:tab/>
        <w:t>uzimajući u obzir svoju Odluku o razrješnici za izvršenje općeg proračuna Europske unije za financijsku godinu 2022., dio I – Europski parlament,</w:t>
      </w:r>
    </w:p>
    <w:p w:rsidR="00C51297" w:rsidRPr="00D360B4" w:rsidRDefault="00C51297" w:rsidP="00C51297">
      <w:pPr>
        <w:pStyle w:val="NormalHanging12a"/>
        <w:rPr>
          <w:noProof/>
        </w:rPr>
      </w:pPr>
      <w:r w:rsidRPr="00D360B4">
        <w:t>–</w:t>
      </w:r>
      <w:r w:rsidRPr="00D360B4">
        <w:tab/>
        <w:t>uzimajući u obzir članak 100. i članak 104. stavak 3. Poslovnika te Prilog V. Poslovniku,</w:t>
      </w:r>
    </w:p>
    <w:p w:rsidR="00C51297" w:rsidRPr="00D360B4" w:rsidRDefault="00C51297" w:rsidP="00C51297">
      <w:pPr>
        <w:pStyle w:val="NormalHanging12a"/>
      </w:pPr>
      <w:r w:rsidRPr="00D360B4">
        <w:t>–</w:t>
      </w:r>
      <w:r w:rsidRPr="00D360B4">
        <w:tab/>
        <w:t>uzimajući u obzir mišljenje Odbora za pravna pitanja,</w:t>
      </w:r>
    </w:p>
    <w:p w:rsidR="00C51297" w:rsidRPr="00D360B4" w:rsidRDefault="00C51297" w:rsidP="00C51297">
      <w:pPr>
        <w:pStyle w:val="NormalHanging12a"/>
      </w:pPr>
      <w:r w:rsidRPr="00D360B4">
        <w:t>–</w:t>
      </w:r>
      <w:r w:rsidRPr="00D360B4">
        <w:tab/>
        <w:t>uzimajući u obzir izvješće Odbora za proračunski nadzor (A9</w:t>
      </w:r>
      <w:r w:rsidRPr="00D360B4">
        <w:noBreakHyphen/>
        <w:t>0067/2024),</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A.</w:t>
      </w:r>
      <w:r w:rsidRPr="00D360B4">
        <w:rPr>
          <w14:textOutline w14:w="0" w14:cap="flat" w14:cmpd="sng" w14:algn="ctr">
            <w14:noFill/>
            <w14:prstDash w14:val="solid"/>
            <w14:bevel/>
          </w14:textOutline>
        </w:rPr>
        <w:tab/>
        <w:t>budući da je u svojoj potvrdi završne računovodstvene dokumentacije računovodstveni službenik Europskog parlamenta (</w:t>
      </w:r>
      <w:r w:rsidRPr="00D360B4">
        <w:rPr>
          <w:rtl/>
          <w14:textOutline w14:w="0" w14:cap="flat" w14:cmpd="sng" w14:algn="ctr">
            <w14:noFill/>
            <w14:prstDash w14:val="solid"/>
            <w14:bevel/>
          </w14:textOutline>
        </w:rPr>
        <w:t>„</w:t>
      </w:r>
      <w:r w:rsidRPr="00D360B4">
        <w:rPr>
          <w14:textOutline w14:w="0" w14:cap="flat" w14:cmpd="sng" w14:algn="ctr">
            <w14:noFill/>
            <w14:prstDash w14:val="solid"/>
            <w14:bevel/>
          </w14:textOutline>
        </w:rPr>
        <w:t>Parlament</w:t>
      </w:r>
      <w:r w:rsidRPr="00D360B4">
        <w:rPr>
          <w:rtl/>
          <w14:textOutline w14:w="0" w14:cap="flat" w14:cmpd="sng" w14:algn="ctr">
            <w14:noFill/>
            <w14:prstDash w14:val="solid"/>
            <w14:bevel/>
          </w14:textOutline>
        </w:rPr>
        <w:t>”</w:t>
      </w:r>
      <w:r w:rsidRPr="00D360B4">
        <w:rPr>
          <w14:textOutline w14:w="0" w14:cap="flat" w14:cmpd="sng" w14:algn="ctr">
            <w14:noFill/>
            <w14:prstDash w14:val="solid"/>
            <w14:bevel/>
          </w14:textOutline>
        </w:rPr>
        <w:t>) izrazio razumno jamstvo da dokumentacija u svim značajnim aspektima vjerno prikazuje financijsko stanje, rezultate poslovanja i novčane tokove Parlamenta;</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B.</w:t>
      </w:r>
      <w:r w:rsidRPr="00D360B4">
        <w:rPr>
          <w14:textOutline w14:w="0" w14:cap="flat" w14:cmpd="sng" w14:algn="ctr">
            <w14:noFill/>
            <w14:prstDash w14:val="solid"/>
            <w14:bevel/>
          </w14:textOutline>
        </w:rPr>
        <w:tab/>
        <w:t>budući da je, u skladu s uobičajenim postupkom, upravi Parlamenta poslan upitnik koji sadrži 60 pitanja, a pisane je odgovore primio i 4</w:t>
      </w:r>
      <w:r w:rsidR="002519A1">
        <w:rPr>
          <w14:textOutline w14:w="0" w14:cap="flat" w14:cmpd="sng" w14:algn="ctr">
            <w14:noFill/>
            <w14:prstDash w14:val="solid"/>
            <w14:bevel/>
          </w14:textOutline>
        </w:rPr>
        <w:t>.</w:t>
      </w:r>
      <w:r w:rsidRPr="00D360B4">
        <w:rPr>
          <w14:textOutline w14:w="0" w14:cap="flat" w14:cmpd="sng" w14:algn="ctr">
            <w14:noFill/>
            <w14:prstDash w14:val="solid"/>
            <w14:bevel/>
          </w14:textOutline>
        </w:rPr>
        <w:t> prosinca 2023. o njima javno raspravljao Odbor za proračunski nadzor u prisutnosti glavnog tajnika, ravnatelja Tijela za europske političke stranke i europske političke zaklade (</w:t>
      </w:r>
      <w:r w:rsidRPr="00D360B4">
        <w:rPr>
          <w:rtl/>
          <w14:textOutline w14:w="0" w14:cap="flat" w14:cmpd="sng" w14:algn="ctr">
            <w14:noFill/>
            <w14:prstDash w14:val="solid"/>
            <w14:bevel/>
          </w14:textOutline>
        </w:rPr>
        <w:t>„</w:t>
      </w:r>
      <w:r w:rsidRPr="00D360B4">
        <w:rPr>
          <w14:textOutline w14:w="0" w14:cap="flat" w14:cmpd="sng" w14:algn="ctr">
            <w14:noFill/>
            <w14:prstDash w14:val="solid"/>
            <w14:bevel/>
          </w14:textOutline>
        </w:rPr>
        <w:t>Tijelo</w:t>
      </w:r>
      <w:r w:rsidRPr="00D360B4">
        <w:rPr>
          <w:rtl/>
          <w14:textOutline w14:w="0" w14:cap="flat" w14:cmpd="sng" w14:algn="ctr">
            <w14:noFill/>
            <w14:prstDash w14:val="solid"/>
            <w14:bevel/>
          </w14:textOutline>
        </w:rPr>
        <w:t>”</w:t>
      </w:r>
      <w:r w:rsidRPr="00D360B4">
        <w:rPr>
          <w14:textOutline w14:w="0" w14:cap="flat" w14:cmpd="sng" w14:algn="ctr">
            <w14:noFill/>
            <w14:prstDash w14:val="solid"/>
            <w14:bevel/>
          </w14:textOutline>
        </w:rPr>
        <w:t>) i unutarnjeg revizora;</w:t>
      </w:r>
    </w:p>
    <w:p w:rsidR="00C51297" w:rsidRDefault="00C51297" w:rsidP="00C51297">
      <w:pPr>
        <w:pStyle w:val="NormalHanging12a"/>
      </w:pPr>
      <w:r w:rsidRPr="00D360B4">
        <w:t>C.</w:t>
      </w:r>
      <w:r w:rsidRPr="00D360B4">
        <w:tab/>
        <w:t>budući da uvijek ima prostora za poboljšanje kvalitete, učinkovitosti i djelotvornosti, kao i transparentnosti upravljanja javnim financijama; budući da je temeljit nadzor neophodan kako bi se zajamčilo da političko vodstvo i uprava Parlamenta odgovaraju građanima Unije; budući da je integritet Parlamenta od presudne važnosti za funkcioniranje europske demokracije i da povećava povjerenje građana u Europske institucije;</w:t>
      </w:r>
    </w:p>
    <w:p w:rsidR="00DF7B04" w:rsidRDefault="00DF7B04" w:rsidP="00DF7B04">
      <w:pPr>
        <w:pStyle w:val="NormalHanging12a"/>
      </w:pPr>
      <w:r>
        <w:t>D.</w:t>
      </w:r>
      <w:r>
        <w:tab/>
        <w:t>budući da vanjsko upletanje, manipulacija informacijama i dezinformacije predstavljaju ozbiljno kršenje vrijednosti na kojima se Unija temelji; budući da je Posebni odbor Parlamenta za vanjsko upletanje u sve demokratske procese u Europskoj uniji, uključujući dezinformiranje (INGE), osnovan u lipnju 2022., razotkrio detalje napora i operacija trećih zemalja usmjerene na infiltraciju, i upletanje u europske demokracije i institucije Unije te utjecaj na njih;</w:t>
      </w:r>
    </w:p>
    <w:p w:rsidR="00DF7B04" w:rsidRPr="00D360B4" w:rsidRDefault="00DF7B04" w:rsidP="00DF7B04">
      <w:pPr>
        <w:pStyle w:val="NormalHanging12a"/>
      </w:pPr>
      <w:r>
        <w:t>E.</w:t>
      </w:r>
      <w:r>
        <w:tab/>
        <w:t>budući da su zastupnici navodno bili plaćeni za promicanje ruske propagande;</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Upravljanje proračunom i financijama Parlamenta</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1.</w:t>
      </w:r>
      <w:r w:rsidRPr="00D360B4">
        <w:rPr>
          <w14:textOutline w14:w="0" w14:cap="flat" w14:cmpd="sng" w14:algn="ctr">
            <w14:noFill/>
            <w14:prstDash w14:val="solid"/>
            <w14:bevel/>
          </w14:textOutline>
        </w:rPr>
        <w:tab/>
        <w:t>napominje da su konačna odobrena sredstva Europskog parlamenta za 2022. ukupno iznosila 2161 milijuna EUR, odnosno 19,55 % naslova 7. višegodišnjeg financijskog okvira</w:t>
      </w:r>
      <w:r w:rsidRPr="00D360B4">
        <w:rPr>
          <w:rStyle w:val="FootnoteReference"/>
          <w:szCs w:val="24"/>
        </w:rPr>
        <w:footnoteReference w:id="7"/>
      </w:r>
      <w:r w:rsidRPr="00D360B4">
        <w:rPr>
          <w14:textOutline w14:w="0" w14:cap="flat" w14:cmpd="sng" w14:algn="ctr">
            <w14:noFill/>
            <w14:prstDash w14:val="solid"/>
            <w14:bevel/>
          </w14:textOutline>
        </w:rPr>
        <w:t xml:space="preserve"> predviđenog za administrativne rashode institucija Unije u cjelini tijekom 2022., </w:t>
      </w:r>
      <w:r w:rsidRPr="00D360B4">
        <w:rPr>
          <w14:textOutline w14:w="0" w14:cap="flat" w14:cmpd="sng" w14:algn="ctr">
            <w14:noFill/>
            <w14:prstDash w14:val="solid"/>
            <w14:bevel/>
          </w14:textOutline>
        </w:rPr>
        <w:lastRenderedPageBreak/>
        <w:t>što predstavlja povećanje od 4,76 % u odnosu na proračun iz 2021. (2064 milijuna EUR);</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2.</w:t>
      </w:r>
      <w:r w:rsidRPr="00D360B4">
        <w:rPr>
          <w14:textOutline w14:w="0" w14:cap="flat" w14:cmpd="sng" w14:algn="ctr">
            <w14:noFill/>
            <w14:prstDash w14:val="solid"/>
            <w14:bevel/>
          </w14:textOutline>
        </w:rPr>
        <w:tab/>
        <w:t>napominje da je ukupni prihod unesen u poslovne knjige do 31. prosinca 2022. iznosio 250 473 772 EUR (u usporedbi s 215 332 108 EUR 2021.); napominje da su namjenski prihodi stavljeni na raspolaganje 2022. iznosili 61 267 620 EUR (u usporedbi s 37 150 962 EUR 2021.);</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3.</w:t>
      </w:r>
      <w:r w:rsidRPr="00D360B4">
        <w:rPr>
          <w14:textOutline w14:w="0" w14:cap="flat" w14:cmpd="sng" w14:algn="ctr">
            <w14:noFill/>
            <w14:prstDash w14:val="solid"/>
            <w14:bevel/>
          </w14:textOutline>
        </w:rPr>
        <w:tab/>
        <w:t>naglašava da je pet poglavlja činilo 76,5 % ukupnih obveza: poglavlje 10. „Članovi institucije”, poglavlje 12. „Dužnosnici i privremeno osoblje”, poglavlje 14. „Ostalo osoblje i vanjske usluge”, poglavlje 20. „Zgrade i povezani troškovi”, i poglavlje 42. „Rashodi za parlamentarnu pomoć”;</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4.</w:t>
      </w:r>
      <w:r w:rsidRPr="00D360B4">
        <w:rPr>
          <w14:textOutline w14:w="0" w14:cap="flat" w14:cmpd="sng" w14:algn="ctr">
            <w14:noFill/>
            <w14:prstDash w14:val="solid"/>
            <w14:bevel/>
          </w14:textOutline>
        </w:rPr>
        <w:tab/>
        <w:t>prima na znanje brojke na temelju kojih su zaključene poslovne knjige Parlamenta za financijsku godinu 2022., konkretno:</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C51297" w:rsidRPr="00D360B4" w:rsidTr="00B16816">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C51297" w:rsidRPr="00D360B4" w:rsidRDefault="00C51297" w:rsidP="00B16816">
            <w:pPr>
              <w:autoSpaceDE w:val="0"/>
              <w:autoSpaceDN w:val="0"/>
              <w:adjustRightInd w:val="0"/>
            </w:pPr>
            <w:r w:rsidRPr="00D360B4">
              <w:rPr>
                <w:b/>
              </w:rPr>
              <w:t>(a) Dostupna odobrena sredstva (EUR)</w:t>
            </w:r>
          </w:p>
        </w:tc>
      </w:tr>
      <w:tr w:rsidR="00C51297" w:rsidRPr="00D360B4" w:rsidTr="00B16816">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C51297" w:rsidRPr="00D360B4" w:rsidRDefault="00C51297" w:rsidP="00B16816">
            <w:pPr>
              <w:autoSpaceDE w:val="0"/>
              <w:autoSpaceDN w:val="0"/>
              <w:adjustRightInd w:val="0"/>
            </w:pPr>
            <w:r w:rsidRPr="00D360B4">
              <w:t xml:space="preserve">odobrena sredstva za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51297" w:rsidRPr="00D360B4" w:rsidRDefault="00C51297" w:rsidP="00B16816">
            <w:pPr>
              <w:autoSpaceDE w:val="0"/>
              <w:autoSpaceDN w:val="0"/>
              <w:adjustRightInd w:val="0"/>
              <w:jc w:val="right"/>
            </w:pPr>
            <w:r w:rsidRPr="00D360B4">
              <w:t>2 161 651 286,00</w:t>
            </w:r>
          </w:p>
        </w:tc>
      </w:tr>
      <w:tr w:rsidR="00C51297" w:rsidRPr="00D360B4" w:rsidTr="00B16816">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C51297" w:rsidRPr="00D360B4" w:rsidRDefault="00C51297" w:rsidP="00B16816">
            <w:pPr>
              <w:autoSpaceDE w:val="0"/>
              <w:autoSpaceDN w:val="0"/>
              <w:adjustRightInd w:val="0"/>
            </w:pPr>
            <w:r w:rsidRPr="00D360B4">
              <w:t xml:space="preserve">neautomatski prijenosi iz financijske godine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51297" w:rsidRPr="00D360B4" w:rsidRDefault="00C51297" w:rsidP="00B16816">
            <w:pPr>
              <w:autoSpaceDE w:val="0"/>
              <w:autoSpaceDN w:val="0"/>
              <w:adjustRightInd w:val="0"/>
              <w:jc w:val="right"/>
            </w:pPr>
            <w:r w:rsidRPr="00D360B4">
              <w:t>22 007 230,00</w:t>
            </w:r>
          </w:p>
        </w:tc>
      </w:tr>
      <w:tr w:rsidR="00C51297" w:rsidRPr="00D360B4" w:rsidTr="00B16816">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C51297" w:rsidRPr="00D360B4" w:rsidRDefault="00C51297" w:rsidP="00B16816">
            <w:pPr>
              <w:autoSpaceDE w:val="0"/>
              <w:autoSpaceDN w:val="0"/>
              <w:adjustRightInd w:val="0"/>
            </w:pPr>
            <w:r w:rsidRPr="00D360B4">
              <w:t xml:space="preserve">automatski prijenosi iz financijske godine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51297" w:rsidRPr="00D360B4" w:rsidRDefault="00C51297" w:rsidP="00B16816">
            <w:pPr>
              <w:autoSpaceDE w:val="0"/>
              <w:autoSpaceDN w:val="0"/>
              <w:adjustRightInd w:val="0"/>
              <w:jc w:val="right"/>
            </w:pPr>
            <w:r w:rsidRPr="00D360B4">
              <w:t>380 099 194,75</w:t>
            </w:r>
          </w:p>
        </w:tc>
      </w:tr>
      <w:tr w:rsidR="00C51297" w:rsidRPr="00D360B4" w:rsidTr="00B16816">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C51297" w:rsidRPr="00D360B4" w:rsidRDefault="00C51297" w:rsidP="00B16816">
            <w:pPr>
              <w:autoSpaceDE w:val="0"/>
              <w:autoSpaceDN w:val="0"/>
              <w:adjustRightInd w:val="0"/>
            </w:pPr>
            <w:r w:rsidRPr="00D360B4">
              <w:t xml:space="preserve">odobrena sredstva koja odgovaraju namjenskim prihodima za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51297" w:rsidRPr="00D360B4" w:rsidRDefault="00C51297" w:rsidP="00B16816">
            <w:pPr>
              <w:autoSpaceDE w:val="0"/>
              <w:autoSpaceDN w:val="0"/>
              <w:adjustRightInd w:val="0"/>
              <w:jc w:val="right"/>
            </w:pPr>
            <w:r w:rsidRPr="00D360B4">
              <w:t>61 267 620,37</w:t>
            </w:r>
          </w:p>
        </w:tc>
      </w:tr>
      <w:tr w:rsidR="00C51297" w:rsidRPr="00D360B4" w:rsidTr="00B16816">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C51297" w:rsidRPr="00D360B4" w:rsidRDefault="00C51297" w:rsidP="00B16816">
            <w:pPr>
              <w:autoSpaceDE w:val="0"/>
              <w:autoSpaceDN w:val="0"/>
              <w:adjustRightInd w:val="0"/>
            </w:pPr>
            <w:r w:rsidRPr="00D360B4">
              <w:t xml:space="preserve">prijenosi koji odgovaraju namjenskim prihodima iz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51297" w:rsidRPr="00D360B4" w:rsidRDefault="00C51297" w:rsidP="00B16816">
            <w:pPr>
              <w:autoSpaceDE w:val="0"/>
              <w:autoSpaceDN w:val="0"/>
              <w:adjustRightInd w:val="0"/>
              <w:jc w:val="right"/>
            </w:pPr>
            <w:r w:rsidRPr="00D360B4">
              <w:t>39 603 266,73</w:t>
            </w:r>
          </w:p>
        </w:tc>
      </w:tr>
      <w:tr w:rsidR="00C51297" w:rsidRPr="00D360B4" w:rsidTr="00B16816">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C51297" w:rsidRPr="00D360B4" w:rsidRDefault="00C51297" w:rsidP="00B16816">
            <w:pPr>
              <w:autoSpaceDE w:val="0"/>
              <w:autoSpaceDN w:val="0"/>
              <w:adjustRightInd w:val="0"/>
            </w:pPr>
            <w:r w:rsidRPr="00D360B4">
              <w:t xml:space="preserve">ukupno: </w:t>
            </w:r>
          </w:p>
        </w:tc>
        <w:tc>
          <w:tcPr>
            <w:tcW w:w="2702" w:type="dxa"/>
            <w:tcBorders>
              <w:top w:val="single" w:sz="4" w:space="0" w:color="auto"/>
              <w:left w:val="single" w:sz="4" w:space="0" w:color="auto"/>
              <w:bottom w:val="single" w:sz="4" w:space="0" w:color="auto"/>
              <w:right w:val="single" w:sz="4" w:space="0" w:color="auto"/>
            </w:tcBorders>
            <w:vAlign w:val="bottom"/>
            <w:hideMark/>
          </w:tcPr>
          <w:p w:rsidR="00C51297" w:rsidRPr="00D360B4" w:rsidRDefault="00C51297" w:rsidP="00B16816">
            <w:pPr>
              <w:autoSpaceDE w:val="0"/>
              <w:autoSpaceDN w:val="0"/>
              <w:adjustRightInd w:val="0"/>
              <w:jc w:val="right"/>
            </w:pPr>
            <w:r w:rsidRPr="00D360B4">
              <w:t>2 664 628 597,85</w:t>
            </w:r>
          </w:p>
        </w:tc>
      </w:tr>
      <w:tr w:rsidR="00C51297" w:rsidRPr="00D360B4" w:rsidTr="00B16816">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rPr>
                <w:b/>
              </w:rPr>
            </w:pPr>
            <w:r w:rsidRPr="00D360B4">
              <w:rPr>
                <w:b/>
              </w:rPr>
              <w:t>(b) Upotreba odobrenih sredstava u financijskoj godini 2022. (EUR)</w:t>
            </w:r>
          </w:p>
        </w:tc>
      </w:tr>
      <w:tr w:rsidR="00C51297" w:rsidRPr="00D360B4" w:rsidTr="00B16816">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pPr>
            <w:r w:rsidRPr="00D360B4">
              <w:t xml:space="preserve">preuzete obveze: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jc w:val="right"/>
            </w:pPr>
            <w:r w:rsidRPr="00D360B4">
              <w:t>2 607 456 700,15</w:t>
            </w:r>
          </w:p>
        </w:tc>
      </w:tr>
      <w:tr w:rsidR="00C51297" w:rsidRPr="00D360B4" w:rsidTr="00B16816">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pPr>
            <w:r w:rsidRPr="00D360B4">
              <w:t xml:space="preserve">izvršena plaćanja: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jc w:val="right"/>
            </w:pPr>
            <w:r w:rsidRPr="00D360B4">
              <w:t>2 186 635 235,75</w:t>
            </w:r>
          </w:p>
        </w:tc>
      </w:tr>
      <w:tr w:rsidR="00C51297" w:rsidRPr="00D360B4" w:rsidTr="00B16816">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pPr>
            <w:r w:rsidRPr="00D360B4">
              <w:t xml:space="preserve">odobrena sredstva prenesena automatski, uključujući ona iz namjenskih prihoda: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jc w:val="right"/>
            </w:pPr>
          </w:p>
          <w:p w:rsidR="00C51297" w:rsidRPr="00D360B4" w:rsidRDefault="00C51297" w:rsidP="00B16816">
            <w:pPr>
              <w:autoSpaceDE w:val="0"/>
              <w:autoSpaceDN w:val="0"/>
              <w:adjustRightInd w:val="0"/>
              <w:jc w:val="right"/>
            </w:pPr>
            <w:r w:rsidRPr="00D360B4">
              <w:t>428 826 276,81</w:t>
            </w:r>
          </w:p>
        </w:tc>
      </w:tr>
      <w:tr w:rsidR="00C51297" w:rsidRPr="00D360B4" w:rsidTr="00B16816">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pPr>
            <w:r w:rsidRPr="00D360B4">
              <w:t xml:space="preserve">odobrena sredstva prenesena neautomatski: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jc w:val="right"/>
            </w:pPr>
            <w:r w:rsidRPr="00D360B4">
              <w:t>0</w:t>
            </w:r>
          </w:p>
        </w:tc>
      </w:tr>
      <w:tr w:rsidR="00C51297" w:rsidRPr="00D360B4" w:rsidTr="00B16816">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pPr>
            <w:r w:rsidRPr="00D360B4">
              <w:t xml:space="preserve">ukinuta odobrena sredstva: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jc w:val="right"/>
            </w:pPr>
            <w:r w:rsidRPr="00D360B4">
              <w:t>49 167 085,50</w:t>
            </w:r>
          </w:p>
        </w:tc>
      </w:tr>
      <w:tr w:rsidR="00C51297" w:rsidRPr="00D360B4" w:rsidTr="00B16816">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rPr>
                <w:b/>
              </w:rPr>
            </w:pPr>
            <w:r w:rsidRPr="00D360B4">
              <w:rPr>
                <w:b/>
              </w:rPr>
              <w:t>(c) Proračunski primici (EUR)</w:t>
            </w:r>
          </w:p>
        </w:tc>
      </w:tr>
      <w:tr w:rsidR="00C51297" w:rsidRPr="00D360B4" w:rsidTr="00B16816">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pPr>
            <w:r w:rsidRPr="00D360B4">
              <w:t xml:space="preserve">primljeno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jc w:val="right"/>
            </w:pPr>
            <w:r w:rsidRPr="00D360B4">
              <w:t>250 473 772,00</w:t>
            </w:r>
          </w:p>
        </w:tc>
      </w:tr>
      <w:tr w:rsidR="00C51297" w:rsidRPr="00D360B4" w:rsidTr="00B16816">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C51297" w:rsidRPr="00D360B4" w:rsidRDefault="00C51297" w:rsidP="00B16816">
            <w:pPr>
              <w:autoSpaceDE w:val="0"/>
              <w:autoSpaceDN w:val="0"/>
              <w:adjustRightInd w:val="0"/>
            </w:pPr>
            <w:r w:rsidRPr="00D360B4">
              <w:rPr>
                <w:b/>
              </w:rPr>
              <w:t>(d) Ukupna bilanca stanja 31. prosinca 2022.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C51297" w:rsidRPr="00D360B4" w:rsidRDefault="00C51297" w:rsidP="00B16816">
            <w:pPr>
              <w:autoSpaceDE w:val="0"/>
              <w:autoSpaceDN w:val="0"/>
              <w:adjustRightInd w:val="0"/>
              <w:jc w:val="right"/>
            </w:pPr>
            <w:r w:rsidRPr="00D360B4">
              <w:t>1 735 834 446,00</w:t>
            </w:r>
          </w:p>
        </w:tc>
      </w:tr>
    </w:tbl>
    <w:p w:rsidR="00C51297" w:rsidRPr="00D360B4" w:rsidRDefault="00C51297" w:rsidP="00C51297">
      <w:pPr>
        <w:pStyle w:val="NormalHanging12a"/>
        <w:spacing w:before="240"/>
      </w:pPr>
      <w:r w:rsidRPr="00D360B4">
        <w:t>5.</w:t>
      </w:r>
      <w:r w:rsidRPr="00D360B4">
        <w:tab/>
        <w:t xml:space="preserve">napominje da je </w:t>
      </w:r>
      <w:proofErr w:type="spellStart"/>
      <w:r w:rsidRPr="00D360B4">
        <w:t>Parlamentov</w:t>
      </w:r>
      <w:proofErr w:type="spellEnd"/>
      <w:r w:rsidRPr="00D360B4">
        <w:t xml:space="preserve"> Odbor za proračune u financijskoj godini 2022. odobrio 21 prijenos („prijenosi kategorije C”) u skladu s člancima 31. i 49. Financijske uredbe ukupnog iznosa od 88 449 115 EUR odnosno 4,09 % konačnih odobrenih sredstava; napominje da je predsjednica odobrila 11 prijenosa („prijenosi kategorije P”) ukupnog iznosa 34 246 879 EUR odnosno 1,6 % proračuna za 2022.; želi znati između kojih su proračunskih linija provedeni ti prijenosi kategorije P; poziva predsjedništvo da </w:t>
      </w:r>
      <w:proofErr w:type="spellStart"/>
      <w:r w:rsidRPr="00D360B4">
        <w:t>proaktivno</w:t>
      </w:r>
      <w:proofErr w:type="spellEnd"/>
      <w:r w:rsidRPr="00D360B4">
        <w:t xml:space="preserve"> obavješćuje Odbor za proračunski nadzor o predmetnim iznosima i proračunskim linijama;</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6.</w:t>
      </w:r>
      <w:r w:rsidRPr="00D360B4">
        <w:rPr>
          <w14:textOutline w14:w="0" w14:cap="flat" w14:cmpd="sng" w14:algn="ctr">
            <w14:noFill/>
            <w14:prstDash w14:val="solid"/>
            <w14:bevel/>
          </w14:textOutline>
        </w:rPr>
        <w:tab/>
        <w:t xml:space="preserve">napominje da se procjenjuje da je </w:t>
      </w:r>
      <w:proofErr w:type="spellStart"/>
      <w:r w:rsidRPr="00D360B4">
        <w:rPr>
          <w14:textOutline w14:w="0" w14:cap="flat" w14:cmpd="sng" w14:algn="ctr">
            <w14:noFill/>
            <w14:prstDash w14:val="solid"/>
            <w14:bevel/>
          </w14:textOutline>
        </w:rPr>
        <w:t>pandemija</w:t>
      </w:r>
      <w:proofErr w:type="spellEnd"/>
      <w:r w:rsidRPr="00D360B4">
        <w:rPr>
          <w14:textOutline w14:w="0" w14:cap="flat" w14:cmpd="sng" w14:algn="ctr">
            <w14:noFill/>
            <w14:prstDash w14:val="solid"/>
            <w14:bevel/>
          </w14:textOutline>
        </w:rPr>
        <w:t xml:space="preserve"> bolesti COVID-19 stvorila umjeren višak od 16 417 325 EUR, koji je prenesen iz stavki poput onih povezanih s putnim troškovima, organizacijom i primanjem skupina posjetitelja, radom centara Parlamenta za posjetitelje, vanjskim osposobljavanjem uživo, dokumentacijom/publikacijama te lokalnim parlamentarnim asistentima i stažistima zastupnika; primjećuje da je istodobno zbog </w:t>
      </w:r>
      <w:proofErr w:type="spellStart"/>
      <w:r w:rsidRPr="00D360B4">
        <w:rPr>
          <w14:textOutline w14:w="0" w14:cap="flat" w14:cmpd="sng" w14:algn="ctr">
            <w14:noFill/>
            <w14:prstDash w14:val="solid"/>
            <w14:bevel/>
          </w14:textOutline>
        </w:rPr>
        <w:t>pandemije</w:t>
      </w:r>
      <w:proofErr w:type="spellEnd"/>
      <w:r w:rsidRPr="00D360B4">
        <w:rPr>
          <w14:textOutline w14:w="0" w14:cap="flat" w14:cmpd="sng" w14:algn="ctr">
            <w14:noFill/>
            <w14:prstDash w14:val="solid"/>
            <w14:bevel/>
          </w14:textOutline>
        </w:rPr>
        <w:t xml:space="preserve"> bolesti COVID-19 bilo potrebno ojačati druge proračunske linije za ukupno 7 549 000 EUR; ističe da se te linije uglavnom odnose na pružanje financijske </w:t>
      </w:r>
      <w:r w:rsidRPr="00D360B4">
        <w:rPr>
          <w14:textOutline w14:w="0" w14:cap="flat" w14:cmpd="sng" w14:algn="ctr">
            <w14:noFill/>
            <w14:prstDash w14:val="solid"/>
            <w14:bevel/>
          </w14:textOutline>
        </w:rPr>
        <w:lastRenderedPageBreak/>
        <w:t>potpore osoblju koje radi kod kuće, na zdravlje i prevenciju te dodatne rashode za usmeno prevođenje kako bi se podržao rad na daljinu te višejezični sastanci na daljinu i hibridni sastanci;</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7.</w:t>
      </w:r>
      <w:r w:rsidRPr="00D360B4">
        <w:rPr>
          <w14:textOutline w14:w="0" w14:cap="flat" w14:cmpd="sng" w14:algn="ctr">
            <w14:noFill/>
            <w14:prstDash w14:val="solid"/>
            <w14:bevel/>
          </w14:textOutline>
        </w:rPr>
        <w:tab/>
        <w:t xml:space="preserve">prima na znanje činjenicu da je 2022. bila godina tranzicije za institucije Unije, uključujući Parlament; napominje da su mjere uvedene zbog </w:t>
      </w:r>
      <w:proofErr w:type="spellStart"/>
      <w:r w:rsidRPr="00D360B4">
        <w:rPr>
          <w14:textOutline w14:w="0" w14:cap="flat" w14:cmpd="sng" w14:algn="ctr">
            <w14:noFill/>
            <w14:prstDash w14:val="solid"/>
            <w14:bevel/>
          </w14:textOutline>
        </w:rPr>
        <w:t>pandemije</w:t>
      </w:r>
      <w:proofErr w:type="spellEnd"/>
      <w:r w:rsidRPr="00D360B4">
        <w:rPr>
          <w14:textOutline w14:w="0" w14:cap="flat" w14:cmpd="sng" w14:algn="ctr">
            <w14:noFill/>
            <w14:prstDash w14:val="solid"/>
            <w14:bevel/>
          </w14:textOutline>
        </w:rPr>
        <w:t xml:space="preserve"> bolesti COVID-19 ukinute do lipnja 2022.; pozdravlja napore svih glavnih uprava i glavnog tajnika da uspostave potrebne alate za nastavak parlamentarnog rada kako bi on funkcionirao na isti način kao i prije </w:t>
      </w:r>
      <w:proofErr w:type="spellStart"/>
      <w:r w:rsidRPr="00D360B4">
        <w:rPr>
          <w14:textOutline w14:w="0" w14:cap="flat" w14:cmpd="sng" w14:algn="ctr">
            <w14:noFill/>
            <w14:prstDash w14:val="solid"/>
            <w14:bevel/>
          </w14:textOutline>
        </w:rPr>
        <w:t>pandemije</w:t>
      </w:r>
      <w:proofErr w:type="spellEnd"/>
      <w:r w:rsidRPr="00D360B4">
        <w:rPr>
          <w14:textOutline w14:w="0" w14:cap="flat" w14:cmpd="sng" w14:algn="ctr">
            <w14:noFill/>
            <w14:prstDash w14:val="solid"/>
            <w14:bevel/>
          </w14:textOutline>
        </w:rPr>
        <w:t xml:space="preserve"> bolesti COVID-19; pozdravlja uspješan nastavak plenarnih sjednica u prisutnosti od ožujka 2022.; napominje da je to uslijedilo nakon dvogodišnjeg razdoblja tijekom kojeg se više od 12 000 glasovanja moralo održati na daljinu tijekom najmanje 175 krugova glasovanja, raspoređenih na 30 sjednica; </w:t>
      </w:r>
    </w:p>
    <w:p w:rsidR="00C51297" w:rsidRPr="00D360B4" w:rsidRDefault="00C51297" w:rsidP="00C51297">
      <w:pPr>
        <w:pStyle w:val="NormalHanging12a"/>
      </w:pPr>
      <w:r w:rsidRPr="00D360B4">
        <w:t>8.</w:t>
      </w:r>
      <w:r w:rsidRPr="00D360B4">
        <w:tab/>
        <w:t>napominje da su ruska ratna agresija na Ukrajinu i iznimno visoka razina inflacije, koja je do kraja 2022. za Uniju na godišnjoj osnovi i dalje iznosila 10,4 %, snažno utjecali na financijsku godinu 2022.; uviđa da je uprava Parlamenta uložila znatne napore u izvršenje proračuna kako bi se zadovoljile hitne potrebe koje proizlaze iz krizne situacije; pozdravlja donacije tehničke opreme Parlamenta za potporu Ukrajini u teškim ratnim vremenima;</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Mišljenja Europskog revizorskog suda o pouzdanosti računovodstvene dokumentacije iz 2022. te zakonitosti i pravilnosti temeljnih transakcija</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9.</w:t>
      </w:r>
      <w:r w:rsidRPr="00D360B4">
        <w:rPr>
          <w14:textOutline w14:w="0" w14:cap="flat" w14:cmpd="sng" w14:algn="ctr">
            <w14:noFill/>
            <w14:prstDash w14:val="solid"/>
            <w14:bevel/>
          </w14:textOutline>
        </w:rPr>
        <w:tab/>
        <w:t xml:space="preserve">podsjeća na to da Europski revizorski sud obavlja posebnu procjenu administrativnih i drugih rashoda u okviru jedinstvene skupine politika za sve institucije Unije; ističe da administrativni rashodi obuhvaćaju rashode za ljudske resurse i mirovine, koji su 2022. činili otprilike 70 % ukupnih administrativnih rashoda, kao i rashode za zgrade, opremu, energiju, komunikacije i informacijsku tehnologiju; ističe da rad Revizorskog suda tijekom dugog niza godina upućuje na to da su ti rashodi općenito </w:t>
      </w:r>
      <w:proofErr w:type="spellStart"/>
      <w:r w:rsidRPr="00D360B4">
        <w:rPr>
          <w14:textOutline w14:w="0" w14:cap="flat" w14:cmpd="sng" w14:algn="ctr">
            <w14:noFill/>
            <w14:prstDash w14:val="solid"/>
            <w14:bevel/>
          </w14:textOutline>
        </w:rPr>
        <w:t>niskorizični</w:t>
      </w:r>
      <w:proofErr w:type="spellEnd"/>
      <w:r w:rsidRPr="00D360B4">
        <w:rPr>
          <w14:textOutline w14:w="0" w14:cap="flat" w14:cmpd="sng" w14:algn="ctr">
            <w14:noFill/>
            <w14:prstDash w14:val="solid"/>
            <w14:bevel/>
          </w14:textOutline>
        </w:rPr>
        <w:t>;</w:t>
      </w:r>
    </w:p>
    <w:p w:rsidR="00C51297" w:rsidRPr="00D360B4" w:rsidRDefault="00C51297" w:rsidP="00C51297">
      <w:pPr>
        <w:pStyle w:val="NormalHanging12a"/>
      </w:pPr>
      <w:r w:rsidRPr="00D360B4">
        <w:t>10.</w:t>
      </w:r>
      <w:r w:rsidRPr="00D360B4">
        <w:tab/>
        <w:t>napominje da naslov 7. višegodišnjeg financijskog okvira „Europska javna uprava” obuhvaća 11,6 milijardi EUR odnosno 5,9 % proračuna Unije za 2022., a udio Parlamenta iznosi 2,2 milijardi EUR odnosno 18,9 %; pozdravlja činjenicu da je Revizorski sud utvrdio da stopa pogreške u rashodima za područje „Europska javna uprava” nije bila značajna; poziva Parlament da provjeri i utvrdi za koju je vrstu transakcija zabilježen velik udio pogrešaka, iako je on ispod praga značajnosti, i istraži potrebne izmjene postupaka kako bi se izbjegle i otkrile slične pogreške u budućnosti;</w:t>
      </w:r>
    </w:p>
    <w:p w:rsidR="00C51297" w:rsidRPr="00D360B4" w:rsidRDefault="00C51297" w:rsidP="00C51297">
      <w:pPr>
        <w:pStyle w:val="NormalHanging12a"/>
      </w:pPr>
      <w:r w:rsidRPr="00D360B4">
        <w:t>11.</w:t>
      </w:r>
      <w:r w:rsidRPr="00D360B4">
        <w:tab/>
        <w:t>napominje da su u godišnjem izvješću Revizorskog suda o izvršenju proračuna za financijsku godinu 2022., predstavljeni konkretni nalazi o Parlamentu; prima na znanje da Revizorski sud preporučuje upravi Parlamenta da ojača svoje smjernice o izvršenju odobrenih proračunskih sredstava od strane klubova zastupnika te da nastavi raditi na poboljšanju unutarnjih pravila i osiguravanju usklađenosti s pravilima i postupcima javne nabave;</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12.</w:t>
      </w:r>
      <w:r w:rsidRPr="00D360B4">
        <w:rPr>
          <w14:textOutline w14:w="0" w14:cap="flat" w14:cmpd="sng" w14:algn="ctr">
            <w14:noFill/>
            <w14:prstDash w14:val="solid"/>
            <w14:bevel/>
          </w14:textOutline>
        </w:rPr>
        <w:tab/>
        <w:t>napominje da je Revizorski sud odabrao uzorak od 13 transakcija za Parlament te da je u trima od njih utvrdio mjerljive pogreške; napominje da je jedno od problematičnih područja na koje se osvrnuo Revizorski sud bila javna nabava; ističe da je ta vrsta nalaza zabilježena i u prošlosti;</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13.</w:t>
      </w:r>
      <w:r w:rsidRPr="00D360B4">
        <w:rPr>
          <w14:textOutline w14:w="0" w14:cap="flat" w14:cmpd="sng" w14:algn="ctr">
            <w14:noFill/>
            <w14:prstDash w14:val="solid"/>
            <w14:bevel/>
          </w14:textOutline>
        </w:rPr>
        <w:tab/>
        <w:t xml:space="preserve">prima na znanje primjedbe Revizorskog suda u pogledu internih pravila Parlamenta; podsjeća da klubovi zastupnika upravljaju sredstvima koja su im dodijeljena u skladu s </w:t>
      </w:r>
      <w:r w:rsidRPr="00D360B4">
        <w:rPr>
          <w14:textOutline w14:w="0" w14:cap="flat" w14:cmpd="sng" w14:algn="ctr">
            <w14:noFill/>
            <w14:prstDash w14:val="solid"/>
            <w14:bevel/>
          </w14:textOutline>
        </w:rPr>
        <w:lastRenderedPageBreak/>
        <w:t>načelima neizravnog upravljanja sredstvima analognom primjenom članka 62. stavka 1. točke (c) Financijske uredbe; smatra da ta pravila zamjenjuju „sporazume o doprinosu” (iz članka 155. stavka 6. Financijske uredbe);</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14.</w:t>
      </w:r>
      <w:r w:rsidRPr="00D360B4">
        <w:rPr>
          <w14:textOutline w14:w="0" w14:cap="flat" w14:cmpd="sng" w14:algn="ctr">
            <w14:noFill/>
            <w14:prstDash w14:val="solid"/>
            <w14:bevel/>
          </w14:textOutline>
        </w:rPr>
        <w:tab/>
        <w:t>podsjeća da su u skladu s internim pravilima Parlamenta klubovi zastupnika odgovorni instituciji za upravljanje odobrenim sredstvima, u granicama ovlasti koje im je dodijelilo Predsjedništvo; prima na znanje da se odobrenim sredstvima treba upravljati u skladu s tim pravilima i da bi trebalo poduzeti odgovarajuće mjere kako bi se spriječila svaka neusklađenost;</w:t>
      </w:r>
    </w:p>
    <w:p w:rsidR="00C51297" w:rsidRPr="00D360B4" w:rsidRDefault="00C51297" w:rsidP="00C51297">
      <w:pPr>
        <w:pStyle w:val="NormalHanging12a"/>
      </w:pPr>
      <w:r w:rsidRPr="00D360B4">
        <w:t>15.</w:t>
      </w:r>
      <w:r w:rsidRPr="00D360B4">
        <w:tab/>
        <w:t>klubovi zastupnika dobivaju pomoć i savjete Parlamenta kada to zatraže; napominje da su financijski odjeli klubova zastupnika 2022. ubrzali potpisivanje dokumentacije s nacionalnim izaslanstvima kako bi se osiguralo dobro upravljanje odobrenim sredstvima u okviru proračunske linije 400;</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16.</w:t>
      </w:r>
      <w:r w:rsidRPr="00D360B4">
        <w:rPr>
          <w14:textOutline w14:w="0" w14:cap="flat" w14:cmpd="sng" w14:algn="ctr">
            <w14:noFill/>
            <w14:prstDash w14:val="solid"/>
            <w14:bevel/>
          </w14:textOutline>
        </w:rPr>
        <w:tab/>
        <w:t>pozdravlja predanost uprave da unaprijedi smjernice za klubove zastupnika o pravilnoj provedbi unutarnjih pravila Parlamenta i da im pomogne kako bi se poboljšalo njihovo unutarnje financijsko upravljanje; pozdravlja činjenicu da će to dodatno pojasniti smjernice o nabavi koju provode klubovi zastupnika;</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Godišnje izvješće unutarnjeg revizora</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17.</w:t>
      </w:r>
      <w:r w:rsidRPr="00D360B4">
        <w:rPr>
          <w14:textOutline w14:w="0" w14:cap="flat" w14:cmpd="sng" w14:algn="ctr">
            <w14:noFill/>
            <w14:prstDash w14:val="solid"/>
            <w14:bevel/>
          </w14:textOutline>
        </w:rPr>
        <w:tab/>
        <w:t>napominje da je na sastanku nadležnog odbora i unutarnjeg revizora održanom 4. prosinca 2023. unutarnji revizor predstavio svoje godišnje izvješće i opisao jamstvene revizije koje je proveo i usluge savjetovanja koje je pružio te izvijestio o ishodu trenutačnog stanja, koje je 2022. obuhvaćalo međusektorsko praćenje nedovršenih mjera iz izvješća unutarnje revizije, reviziju službenih putovanja osoblja, preispitivanje okvira Parlamenta za upravljanje rizicima i reviziju postupka javne nabave u DG INLO-u, reviziju nabave i upotrebe sigurnosne opreme i usluga u DG SAFE-u, drugi zadatak koji se odnosi na reviziju financiranja europskih političkih stranaka i europskih političkih zaklada te periodično preispitivanje građevinskog projekta Adenauer 2 – Faza 3 (završetak istočnog krila);</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18.</w:t>
      </w:r>
      <w:r w:rsidRPr="00D360B4">
        <w:rPr>
          <w14:textOutline w14:w="0" w14:cap="flat" w14:cmpd="sng" w14:algn="ctr">
            <w14:noFill/>
            <w14:prstDash w14:val="solid"/>
            <w14:bevel/>
          </w14:textOutline>
        </w:rPr>
        <w:tab/>
        <w:t>pozdravlja i podržava mjere koje je unutarnji revizor dogovorio s odgovornim glavnim upravama kao rezultat dodijeljenih izjava o jamstvu u pogledu revizije službenih putovanja osoblja, s obzirom na preispitivanje okvira Parlamenta za upravljanje rizicima i reviziju postupka javne nabave u DG INLO-u;</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19.</w:t>
      </w:r>
      <w:r w:rsidRPr="00D360B4">
        <w:rPr>
          <w14:textOutline w14:w="0" w14:cap="flat" w14:cmpd="sng" w14:algn="ctr">
            <w14:noFill/>
            <w14:prstDash w14:val="solid"/>
            <w14:bevel/>
          </w14:textOutline>
        </w:rPr>
        <w:tab/>
        <w:t>prima na znanje dodijeljene izjave o jamstvu za koje se trenutačno pripremaju preliminarni zaključci ili za koje je terenski rad još u tijeku i koji trenutačno slijede postupak predviđen u Povelji unutarnjeg revizora;</w:t>
      </w:r>
    </w:p>
    <w:p w:rsidR="00C51297" w:rsidRPr="00D360B4" w:rsidRDefault="00C51297" w:rsidP="00C51297">
      <w:pPr>
        <w:pStyle w:val="NormalHanging12a"/>
      </w:pPr>
      <w:r w:rsidRPr="00D360B4">
        <w:t>20.</w:t>
      </w:r>
      <w:r w:rsidRPr="00D360B4">
        <w:tab/>
        <w:t>napominje da je postupak praćenja 2022. rezultirao zaključenjem 38 od 92 nedovršene mjere za koje su istekli dogovoreni rokovi za provedbu; zabrinut je zbog činjenice da je do 31. prosinca 2022. provedba 29 nedovršenih mjera kasnila više od 12 mjeseci; očekuje da će glavne uprave osigurati dovršetak preostalih mjera bez daljnjeg odgađanja i očekuje provođenje dogovorenih mjera u skladu s rokovima utvrđenima u godišnjem izvješću unutarnjeg revizora;</w:t>
      </w:r>
    </w:p>
    <w:p w:rsidR="00C51297" w:rsidRPr="00D360B4" w:rsidRDefault="00C51297" w:rsidP="00C51297">
      <w:pPr>
        <w:pStyle w:val="NormalHanging12a"/>
      </w:pPr>
      <w:r w:rsidRPr="00D360B4">
        <w:t>21.</w:t>
      </w:r>
      <w:r w:rsidRPr="00D360B4">
        <w:tab/>
        <w:t xml:space="preserve">uviđa da su u skladu s člankom 118. stavkom 9. Financijske uredbe izvješća i zaključci unutarnjeg revizora, kao i izvješće dotične institucije Unije, dostupni javnosti čim unutarnji revizor potvrdi mjere poduzete za njihovu provedbu; napominje da se izvješća </w:t>
      </w:r>
      <w:r w:rsidRPr="00D360B4">
        <w:lastRenderedPageBreak/>
        <w:t>i nalazi u praksi objavljuju tek nakon što se provedu sve preporuke</w:t>
      </w:r>
      <w:r w:rsidR="00D3067A" w:rsidRPr="00D3067A">
        <w:t>, što dovodi do de facto kašnjenja u objavi koje traje godinama; poziva Predsjedništvo da svako izvješće o unutarnjoj reviziji učini dostupnim javnosti godinu dana nakon njegova dovršetka, nakon što unutarnji revizor potvrdi mjere koje su poduzete za provedbu preporuke iz prethodne godine</w:t>
      </w:r>
      <w:r w:rsidRPr="00D360B4">
        <w:t>; podsjeća da zastupnici mogu ostvariti pristup povjerljivima dokumentima samo u skladu s pravilima Predsjedništva i načelom nužnosti pristupa; podsjeća da svi članovi Odbora za proračunski nadzor imaju pravo zatražiti povjerljiv pristup izvješću o unutarnjoj reviziji u vezi s postupkom davanja razrješnice; pozdravlja činjenicu da unutarnji revizor Odboru za proračunski nadzor redovito podnosi izvješća o provedenim godišnjim aktivnostima revizije;</w:t>
      </w:r>
    </w:p>
    <w:p w:rsidR="00C51297" w:rsidRPr="00D360B4" w:rsidRDefault="00C51297" w:rsidP="00C51297">
      <w:pPr>
        <w:pStyle w:val="NormalHanging12a"/>
      </w:pPr>
      <w:r w:rsidRPr="00D360B4">
        <w:t>22.</w:t>
      </w:r>
      <w:r w:rsidRPr="00D360B4">
        <w:tab/>
        <w:t xml:space="preserve">napominje da zbog radnog mjesta predviđenog za revizora informacijskih sustava koje se nije popunilo, 2022. nije bilo moguće provesti jednu planiranu reviziju u području IT-a (o osviještenosti osoblja u području </w:t>
      </w:r>
      <w:proofErr w:type="spellStart"/>
      <w:r w:rsidRPr="00D360B4">
        <w:t>kibernetičke</w:t>
      </w:r>
      <w:proofErr w:type="spellEnd"/>
      <w:r w:rsidRPr="00D360B4">
        <w:t xml:space="preserve"> sigurnosti); prima na znanje poteškoće u pronalaženju posebnih profila revizorskog osoblja, među ostalim u području IT-a, za provedbu planiranih revizija u skladu s njihovim zahtjevima; poziva Službu za unutarnju reviziju da riješi taj problem kako bi se provedba preostalih revizija osigurala pravodobno prije sljedećeg ciklusa davanja razrješnice;</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23.</w:t>
      </w:r>
      <w:r w:rsidRPr="00D360B4">
        <w:rPr>
          <w14:textOutline w14:w="0" w14:cap="flat" w14:cmpd="sng" w14:algn="ctr">
            <w14:noFill/>
            <w14:prstDash w14:val="solid"/>
            <w14:bevel/>
          </w14:textOutline>
        </w:rPr>
        <w:tab/>
        <w:t>pozdravlja činjenicu da je Služba za unutarnju reviziju u okviru svojeg programa osiguranja i poboljšanja kvalitete za 2022. nastavila tražiti poboljšanje pružanja objektivnog jamstva tijelima za donošenje odluka i nadzornim tijelima, dužnosnicima za ovjeravanje i upravi; prima na znanje da je unutarnji revizor izjavio da nije primio upute ni smjernice ni od kojeg izvora koji bi ugrozio njegovu neovisnost;</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Daljnje postupanje u vezi s rezolucijom o davanju razrješnice za 2021.</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24.</w:t>
      </w:r>
      <w:r w:rsidRPr="00D360B4">
        <w:rPr>
          <w14:textOutline w14:w="0" w14:cap="flat" w14:cmpd="sng" w14:algn="ctr">
            <w14:noFill/>
            <w14:prstDash w14:val="solid"/>
            <w14:bevel/>
          </w14:textOutline>
        </w:rPr>
        <w:tab/>
        <w:t>prima na znanje pisane odgovore na rezoluciju o davanju razrješnice za 2021. dostavljene Odboru Parlamenta za proračunski nadzor 13. rujna 2023., izlaganje glavnog tajnika usmjereno na rješavanje problema navedenih u rezoluciji Parlamenta o davanju razrješnice za 2021. te razmjenu mišljenja sa zastupnicima koje je uslijedilo;</w:t>
      </w:r>
    </w:p>
    <w:p w:rsidR="00C51297" w:rsidRPr="00D360B4" w:rsidRDefault="00C51297" w:rsidP="00C51297">
      <w:pPr>
        <w:pStyle w:val="NormalHanging12a"/>
      </w:pPr>
      <w:r w:rsidRPr="00D360B4">
        <w:t>25.</w:t>
      </w:r>
      <w:r w:rsidRPr="00D360B4">
        <w:tab/>
        <w:t>podsjeća na činjenicu da, kad se na plenarnoj sjednici zatraži da Parlament donese različita pravila ili mjere, Predsjedništvo raspravlja i glasuje o tim predloženim pravilima ili mjerama; podsjeća, s obzirom na članak 25. Poslovnika, da je Predsjedništvo nadležno za donošenje financijskih, organizacijskih i administrativnih odluka o pitanjima koja se tiču zastupnikâ; podsjeća da Predsjedništvo čine predsjednik Europskog parlamenta, 14 potpredsjednika i pet kvestora (bez prava glasa) koje demokratski bira Parlament; napominje da članovi Predsjedništva raspravljaju o nacrtima projekcija proračuna Parlamenta; podsjeća da je davanje razrješnice oblik odvijanja demokratskog nadzora te da se konkretni zahtjevi usvojeni na plenarnoj sjednici u rezolucijama o razrješnici odražavaju u raspravama Predsjedništva;</w:t>
      </w:r>
    </w:p>
    <w:p w:rsidR="00C51297" w:rsidRPr="00D360B4" w:rsidRDefault="00C51297" w:rsidP="00C51297">
      <w:pPr>
        <w:pStyle w:val="NormalHanging12a"/>
      </w:pPr>
      <w:r w:rsidRPr="00D360B4">
        <w:t>26.</w:t>
      </w:r>
      <w:r w:rsidRPr="00D360B4">
        <w:tab/>
        <w:t xml:space="preserve">svjestan je činjenice da su od izbijanja </w:t>
      </w:r>
      <w:proofErr w:type="spellStart"/>
      <w:r w:rsidRPr="00D360B4">
        <w:t>pandemije</w:t>
      </w:r>
      <w:proofErr w:type="spellEnd"/>
      <w:r w:rsidRPr="00D360B4">
        <w:t xml:space="preserve"> bolesti COVID-19 u ožujku 2020. te do postupnog ukidanja sanitarnih ograničenja početkom 2022. razmatranja Predsjedništva prvenstveno bila usmjerena na odluke o zaštiti integriteta zastupnika i osoblja uz osiguravanje kontinuiteta poslovanja i provedbu praktičnih mjera solidarnosti u odnosu na tri države članice u kojima se nalaze mjesta rada Parlamenta;</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Glavna uprava Predsjedništva</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27.</w:t>
      </w:r>
      <w:r w:rsidRPr="00D360B4">
        <w:rPr>
          <w14:textOutline w14:w="0" w14:cap="flat" w14:cmpd="sng" w14:algn="ctr">
            <w14:noFill/>
            <w14:prstDash w14:val="solid"/>
            <w14:bevel/>
          </w14:textOutline>
        </w:rPr>
        <w:tab/>
        <w:t xml:space="preserve">podsjeća da Glavna uprava Predsjedništva (DG PRES) pruža stručno znanje i olakšava </w:t>
      </w:r>
      <w:r w:rsidRPr="00D360B4">
        <w:rPr>
          <w14:textOutline w14:w="0" w14:cap="flat" w14:cmpd="sng" w14:algn="ctr">
            <w14:noFill/>
            <w14:prstDash w14:val="solid"/>
            <w14:bevel/>
          </w14:textOutline>
        </w:rPr>
        <w:lastRenderedPageBreak/>
        <w:t xml:space="preserve">zakonodavni i parlamentarni rad predsjednika, rad tijekom plenarne sjednice i rad upravljačkih tijela Parlamenta te zastupnika u svakoj fazi parlamentarnog i zakonodavnog postupka; podsjeća da je također odgovorna za </w:t>
      </w:r>
      <w:proofErr w:type="spellStart"/>
      <w:r w:rsidRPr="00D360B4">
        <w:rPr>
          <w14:textOutline w14:w="0" w14:cap="flat" w14:cmpd="sng" w14:algn="ctr">
            <w14:noFill/>
            <w14:prstDash w14:val="solid"/>
            <w14:bevel/>
          </w14:textOutline>
        </w:rPr>
        <w:t>međuinstitucijske</w:t>
      </w:r>
      <w:proofErr w:type="spellEnd"/>
      <w:r w:rsidRPr="00D360B4">
        <w:rPr>
          <w14:textOutline w14:w="0" w14:cap="flat" w14:cmpd="sng" w14:algn="ctr">
            <w14:noFill/>
            <w14:prstDash w14:val="solid"/>
            <w14:bevel/>
          </w14:textOutline>
        </w:rPr>
        <w:t xml:space="preserve"> odnose, za protokolarnu potporu službenim posjetima i događanjima koje sponzorira predsjednik, za upravljanje klasificiranim podacima Unije i za upravljanje službenom i preporučenom poštom te da je bila odgovorna za međuparlamentarne odnose do studenoga 2022.; napominje da je do 31. prosinca 2022. zapošljavala 364 člana osoblja, od čega 307 dužnosnika, 19 privremenih djelatnika, 37 ugovornih djelatnika i jednog člana osoblja agencije; </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28.</w:t>
      </w:r>
      <w:r w:rsidRPr="00D360B4">
        <w:rPr>
          <w14:textOutline w14:w="0" w14:cap="flat" w14:cmpd="sng" w14:algn="ctr">
            <w14:noFill/>
            <w14:prstDash w14:val="solid"/>
            <w14:bevel/>
          </w14:textOutline>
        </w:rPr>
        <w:tab/>
        <w:t>napominje da su konačna odobrena sredstva DG PRES-a 2022. iznosila 1 275 565 EUR, što predstavlja 0,1 % proračuna Parlamenta; ističe da je od tog iznosa odobreno ukupno 1 169 055,78 EUR; pozdravlja veliku iskorištenost odobrenih sredstava;</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29.</w:t>
      </w:r>
      <w:r w:rsidRPr="00D360B4">
        <w:rPr>
          <w14:textOutline w14:w="0" w14:cap="flat" w14:cmpd="sng" w14:algn="ctr">
            <w14:noFill/>
            <w14:prstDash w14:val="solid"/>
            <w14:bevel/>
          </w14:textOutline>
        </w:rPr>
        <w:tab/>
        <w:t xml:space="preserve">pozdravlja napredak postignut u provedbi različitih komponenti programa </w:t>
      </w:r>
      <w:proofErr w:type="spellStart"/>
      <w:r w:rsidRPr="00D360B4">
        <w:rPr>
          <w14:textOutline w14:w="0" w14:cap="flat" w14:cmpd="sng" w14:algn="ctr">
            <w14:noFill/>
            <w14:prstDash w14:val="solid"/>
            <w14:bevel/>
          </w14:textOutline>
        </w:rPr>
        <w:t>eLegislate</w:t>
      </w:r>
      <w:proofErr w:type="spellEnd"/>
      <w:r w:rsidRPr="00D360B4">
        <w:rPr>
          <w14:textOutline w14:w="0" w14:cap="flat" w14:cmpd="sng" w14:algn="ctr">
            <w14:noFill/>
            <w14:prstDash w14:val="solid"/>
            <w14:bevel/>
          </w14:textOutline>
        </w:rPr>
        <w:t xml:space="preserve"> s pomoću XML tehnologije za bržu i lakšu izradu amandmana na zakonodavne prijedloge i pripremnih dokumenata za </w:t>
      </w:r>
      <w:proofErr w:type="spellStart"/>
      <w:r w:rsidRPr="00D360B4">
        <w:rPr>
          <w14:textOutline w14:w="0" w14:cap="flat" w14:cmpd="sng" w14:algn="ctr">
            <w14:noFill/>
            <w14:prstDash w14:val="solid"/>
            <w14:bevel/>
          </w14:textOutline>
        </w:rPr>
        <w:t>međuinstitucijske</w:t>
      </w:r>
      <w:proofErr w:type="spellEnd"/>
      <w:r w:rsidRPr="00D360B4">
        <w:rPr>
          <w14:textOutline w14:w="0" w14:cap="flat" w14:cmpd="sng" w14:algn="ctr">
            <w14:noFill/>
            <w14:prstDash w14:val="solid"/>
            <w14:bevel/>
          </w14:textOutline>
        </w:rPr>
        <w:t xml:space="preserve"> zakonodavne pregovore; poziva razne uključene službe da dodatno pojačaju svoje napore i osiguraju da svi koraci u parlamentarnom zakonodavnom postupku imaju pomoć alata </w:t>
      </w:r>
      <w:proofErr w:type="spellStart"/>
      <w:r w:rsidRPr="00D360B4">
        <w:rPr>
          <w14:textOutline w14:w="0" w14:cap="flat" w14:cmpd="sng" w14:algn="ctr">
            <w14:noFill/>
            <w14:prstDash w14:val="solid"/>
            <w14:bevel/>
          </w14:textOutline>
        </w:rPr>
        <w:t>eLegislate</w:t>
      </w:r>
      <w:proofErr w:type="spellEnd"/>
      <w:r w:rsidRPr="00D360B4">
        <w:rPr>
          <w14:textOutline w14:w="0" w14:cap="flat" w14:cmpd="sng" w14:algn="ctr">
            <w14:noFill/>
            <w14:prstDash w14:val="solid"/>
            <w14:bevel/>
          </w14:textOutline>
        </w:rPr>
        <w:t xml:space="preserve"> od početka zakonodavnog postupka u 10. parlamentarnom sazivu;</w:t>
      </w:r>
    </w:p>
    <w:p w:rsidR="00C51297" w:rsidRPr="00D360B4" w:rsidRDefault="00C51297" w:rsidP="00C51297">
      <w:pPr>
        <w:pStyle w:val="NormalHanging12a"/>
        <w:rPr>
          <w:iCs/>
        </w:rPr>
      </w:pPr>
      <w:r w:rsidRPr="00D360B4">
        <w:t>30.</w:t>
      </w:r>
      <w:r w:rsidRPr="00D360B4">
        <w:tab/>
        <w:t>naglašava da su transparentnost, odgovornost i integritet ključna etička načela u institucijama Unije, a osobito u Parlamentu kao domu europske demokracije; pozdravlja hitne mjere koje je Parlament poduzeo kad je riječ o događajima povezanima sa slučajevima sumnje u korupciju koji se odnose na zastupnike i zaposlenike u prosincu 2022.; pozdravlja doprinos DG PRES-a akcijskom planu u 14 točaka koji je predložila predsjednica i njegove napore u provedbi novih pravila o integritetu i transparentnosti; nadalje pozdravlja napore političkih tijela Parlamenta da povećaju transparentnost, integritet i odgovornost u Parlamentu; poziva upravu da prati proračunski i financijski učinak tih mjera; napominje da Parlament svojim djelovanjem ponovno uspostavlja povjerenje u postupke donošenja odluka u Uniji povećanjem transparentnosti, etičnosti i dobrog ponašanja u najreprezentativnijoj instituciji Unije;</w:t>
      </w:r>
      <w:r w:rsidR="00DF7B04">
        <w:t xml:space="preserve"> </w:t>
      </w:r>
      <w:r w:rsidRPr="00D360B4">
        <w:t xml:space="preserve">podsjeća da su ti događaji opće poznati kao afera </w:t>
      </w:r>
      <w:proofErr w:type="spellStart"/>
      <w:r w:rsidRPr="00D360B4">
        <w:t>Qatargate</w:t>
      </w:r>
      <w:proofErr w:type="spellEnd"/>
      <w:r w:rsidRPr="00D360B4">
        <w:t>;</w:t>
      </w:r>
    </w:p>
    <w:p w:rsidR="00C51297" w:rsidRPr="00D360B4" w:rsidRDefault="00C51297" w:rsidP="00C51297">
      <w:pPr>
        <w:pStyle w:val="NormalHanging12a"/>
      </w:pPr>
      <w:r w:rsidRPr="00D360B4">
        <w:t>3</w:t>
      </w:r>
      <w:r w:rsidR="00DF7B04">
        <w:t>1</w:t>
      </w:r>
      <w:r w:rsidRPr="00D360B4">
        <w:t>.</w:t>
      </w:r>
      <w:r w:rsidRPr="00D360B4">
        <w:tab/>
        <w:t xml:space="preserve">napominje da je 2022. prvi put potpuno proveden obvezni registar transparentnosti u skladu s revidiranim </w:t>
      </w:r>
      <w:proofErr w:type="spellStart"/>
      <w:r w:rsidRPr="00D360B4">
        <w:t>Međuinstitucijskim</w:t>
      </w:r>
      <w:proofErr w:type="spellEnd"/>
      <w:r w:rsidRPr="00D360B4">
        <w:t xml:space="preserve"> sporazumom koji su u srpnju 2021.</w:t>
      </w:r>
      <w:r w:rsidRPr="00D360B4">
        <w:rPr>
          <w:rStyle w:val="FootnoteReference"/>
        </w:rPr>
        <w:footnoteReference w:id="8"/>
      </w:r>
      <w:r w:rsidRPr="00D360B4">
        <w:t xml:space="preserve"> donijeli Parlament, Komisija i Vijeće; napominje da, iako uvodi neka načela za poboljšanje zajedničke kulture transparentnosti, </w:t>
      </w:r>
      <w:proofErr w:type="spellStart"/>
      <w:r w:rsidRPr="00D360B4">
        <w:t>Međuinstitucijski</w:t>
      </w:r>
      <w:proofErr w:type="spellEnd"/>
      <w:r w:rsidRPr="00D360B4">
        <w:t xml:space="preserve"> sporazum trima potpisnicima daje mogućnost primjene uvjetovanosti i naknadnih dopunskih mjera kako smatraju primjerenim; ističe da je Parlament poboljšao uvjetovanost, dok je sudjelovanje Vijeća i dalje ograničeno;</w:t>
      </w:r>
    </w:p>
    <w:p w:rsidR="00C51297" w:rsidRPr="00D360B4" w:rsidRDefault="00C51297" w:rsidP="00C51297">
      <w:pPr>
        <w:pStyle w:val="NormalHanging12a"/>
      </w:pPr>
      <w:r w:rsidRPr="00D360B4">
        <w:t>3</w:t>
      </w:r>
      <w:r w:rsidR="00DF7B04">
        <w:t>2</w:t>
      </w:r>
      <w:r w:rsidRPr="00D360B4">
        <w:t>.</w:t>
      </w:r>
      <w:r w:rsidRPr="00D360B4">
        <w:tab/>
        <w:t xml:space="preserve">podsjeća na važnost tog registra kao ključnog instrumenta za poticanje transparentnog i etičkog zastupanja interesa na razini Unije, uvođenjem obveznog upisa u registar kao preduvjeta da bi predstavnici interesnih skupina mogli sudjelovati u određenim aktivnostima s institucijama Unije, među ostalim s Parlamentom; poziva na pružanje svih potrebnih resursa kako bi se osigurala stvarna provedba unutarnjih pravila povezanih s registrom transparentnosti, među ostalim, ako je primjereno, uvođenjem </w:t>
      </w:r>
      <w:r w:rsidRPr="00D360B4">
        <w:lastRenderedPageBreak/>
        <w:t>odgovarajućih sankcija;</w:t>
      </w:r>
    </w:p>
    <w:p w:rsidR="00C51297" w:rsidRDefault="00C51297" w:rsidP="00C51297">
      <w:pPr>
        <w:pStyle w:val="NormalHanging12a"/>
      </w:pPr>
      <w:r w:rsidRPr="00D360B4">
        <w:t>3</w:t>
      </w:r>
      <w:r w:rsidR="00DF7B04">
        <w:t>3</w:t>
      </w:r>
      <w:r w:rsidRPr="00D360B4">
        <w:t>.</w:t>
      </w:r>
      <w:r w:rsidRPr="00D360B4">
        <w:tab/>
        <w:t>pozdravlja povećanu upotrebu registra transparentnosti kao informativnog i referentnog alata za aktivnosti zastupanja interesa na razini Unije, što pokazuje povećanje broja zahtjeva za upis i broja posjeta internetskoj stranici svake godine; pozdravlja redovitu komunikaciju, korisničku podršku i aktivnosti podizanja razine osviještenosti koje Tajništvo provodi među dionicima unutar institucija i izvan njih, kao i razvoj informatičkih rješenja za poboljšanje registra transparentnosti; podsjeća na potrebu za daljnjim jačanjem provjera kvalitete podataka novih podnositelja zahtjeva; napominje da se proteklih godina kvaliteta unosa u registar transparentnosti poboljšala zbog pojačanog ciljanog praćenja kvalitete i kao rezultat istraga na temelju pritužbi ili istraga na vlastitu inicijativu Tajništva te pohvaljuje ulogu Zajedničkog tajništva u tom poboljšanju, unatoč ograničenosti resursa;  napominje da je ciljanim provjerama kvalitete koje je Tajništvo provelo za 4238 unosa tijekom 2022. utvrđeno da je 44 % od samog početka pružilo zadovoljavajuću kvalitetu podataka (broj sličan 2021., + 4 %), dok je dodatnih 35,2 % predstavnika interesnih skupina poboljšalo informacije nakon ciljanih provjera, a 13,6 % uklonjeno je nakon provjera zbog neprihvatljivosti ili neažuriranja; ističe potrebu za dodjelom dodatnih resursa Tajništvu kako bi moglo vršiti nadzor nad registrom transparentnosti radi osiguranja kvalitete podataka; poziva na njegovo proširenje tako da uključuje predstavnike zemalja koje nisu članice EU-a; predlaže da se informatička rješenja upotrijebe za integraciju registra transparentnosti u sve aktivnosti Parlamenta u koje su uključeni vanjski subjekti kako bi se njihovo sudjelovanje moglo zabilježiti i pratiti u relevantnim bazama podataka;</w:t>
      </w:r>
    </w:p>
    <w:p w:rsidR="00D3067A" w:rsidRPr="00D360B4" w:rsidRDefault="00DF7B04" w:rsidP="00C51297">
      <w:pPr>
        <w:pStyle w:val="NormalHanging12a"/>
      </w:pPr>
      <w:r>
        <w:t>34</w:t>
      </w:r>
      <w:r w:rsidR="00D3067A" w:rsidRPr="00D3067A">
        <w:t>.</w:t>
      </w:r>
      <w:r w:rsidR="00D3067A" w:rsidRPr="00D3067A">
        <w:tab/>
        <w:t>ponovno ističe zabrinutost zbog opsežnog vanjskog upletanja i kampanja dezinformiranja usmjerenih na Uniju, posebno od strane Rusije; ističe potrebu za poboljšanom kulturom sigurnosti u Parlamentu; poziva na obvezno i redovito osposobljavanje zastupnika i osoblja o sigurnosti i integritetu, odgovarajuće sigurnosne provjere i pojačane provjere članova osoblja, posebno onih koji sudjeluju na sastancima zatvorenima za javnost; poziva na stroži nadzor organizacije događanja, pozivanja vanjskih gostiju u Parlament i pristupa komunikacijskim platformama Parlamenta; poziva na hitnu istragu navoda o ruskom utjecaju na Parlament</w:t>
      </w:r>
      <w:r>
        <w:t>;</w:t>
      </w:r>
    </w:p>
    <w:p w:rsidR="00C51297" w:rsidRPr="00D360B4" w:rsidRDefault="00C51297" w:rsidP="00C51297">
      <w:pPr>
        <w:pStyle w:val="NormalHanging12a"/>
      </w:pPr>
      <w:r w:rsidRPr="00D360B4">
        <w:t>35.</w:t>
      </w:r>
      <w:r w:rsidRPr="00D360B4">
        <w:tab/>
        <w:t>traži, slijedom događaja povezanih s navodnom korupcijom u Europskom parlamentu krajem 2022., da se uspostave čvrsti standardi o transparentnosti i pristupu institucijama Unije za sve subjekte navedene u registru transparentnosti; podsjeća da su se nevladine organizacije navodno koristile kao vektori stranog upletanja u postupke donošenja odluka Parlamenta; u tom kontekstu ponovno ističe potrebu za sveobuhvatnom financijskom prethodnom provjerom svih subjekata i otkrivanjem svih izvora financiranja prije njihova upisa u registar transparentnosti; podsjeća na obvezu upisa u registar transparentnosti prije sudjelovanja u organizaciji događanja i konferencija u prostorima Parlamenta;</w:t>
      </w:r>
    </w:p>
    <w:p w:rsidR="00C51297" w:rsidRPr="00D360B4" w:rsidRDefault="00C51297" w:rsidP="00C51297">
      <w:pPr>
        <w:pStyle w:val="NormalHanging12a"/>
      </w:pPr>
      <w:r w:rsidRPr="00D360B4">
        <w:t>36.</w:t>
      </w:r>
      <w:r w:rsidRPr="00D360B4">
        <w:tab/>
        <w:t xml:space="preserve">poziva Komisiju da osigura da su sva sredstva Unije učinkovito </w:t>
      </w:r>
      <w:proofErr w:type="spellStart"/>
      <w:r w:rsidRPr="00D360B4">
        <w:t>sljediva</w:t>
      </w:r>
      <w:proofErr w:type="spellEnd"/>
      <w:r w:rsidRPr="00D360B4">
        <w:t xml:space="preserve"> od izravnog primatelja do krajnjeg korisnika kada se sredstva prenose u lancu, kako je navedeno u prijedlogu preinake Financijske uredbe i kako je zatraženo u Izvješću o vlastitoj inicijativi o transparentnosti i odgovornost nevladinih organizacija koje se financiraju iz proračuna EU-a usvojenom 17. siječnja 2024.</w:t>
      </w:r>
      <w:r w:rsidRPr="00D360B4">
        <w:rPr>
          <w:rStyle w:val="FootnoteReference"/>
        </w:rPr>
        <w:footnoteReference w:id="9"/>
      </w:r>
      <w:r w:rsidRPr="00D360B4">
        <w:t xml:space="preserve">; traži reviziju smjernica za upis u registar transparentnosti radi otkrivanja svih prihoda i rashoda, uključujući prijenos sredstava s jednog dionika subjekta na drugog; ističe da svi registrirani subjekti ili </w:t>
      </w:r>
      <w:r w:rsidRPr="00D360B4">
        <w:lastRenderedPageBreak/>
        <w:t>subjekti koji primaju novac od trećih strana, a koji se ne moraju upisati u registar transparentnosti, moraju otkriti izvor svojega financiranja;</w:t>
      </w:r>
    </w:p>
    <w:p w:rsidR="00C51297" w:rsidRDefault="00C51297" w:rsidP="00C51297">
      <w:pPr>
        <w:pStyle w:val="NormalHanging12a"/>
      </w:pPr>
      <w:r w:rsidRPr="00D360B4">
        <w:t>37.</w:t>
      </w:r>
      <w:r w:rsidRPr="00D360B4">
        <w:tab/>
        <w:t>podsjeća da su na temelju članka 11. Poslovnika zastupnici obvezni objavljivati svoje sastanke s predstavnicima interesnih skupina; s velikom zabrinutošću ističe da u razdoblju do 26. siječnja 2023. 261 sadašnji zastupnik nije na internetskoj stranici Parlamenta objavio nijedan sastanak s nekim predstavnikom interesnih skupina; podsjeća da se informacije i podsjetnici o obvezi objavljivanja sastanaka trebaju slati svim zastupnicima u redovitim intervalima;</w:t>
      </w:r>
    </w:p>
    <w:p w:rsidR="00D3067A" w:rsidRPr="00D360B4" w:rsidRDefault="00DF7B04" w:rsidP="00C51297">
      <w:pPr>
        <w:pStyle w:val="NormalHanging12a"/>
      </w:pPr>
      <w:r>
        <w:t>38.</w:t>
      </w:r>
      <w:r w:rsidR="00D3067A" w:rsidRPr="00D3067A">
        <w:tab/>
        <w:t>prima na znanje revidirani Kodeks ponašanja zastupnika i veću usredotočenost na integritet i transparentnost u pogledu izjava zastupnika o financijskim interesima, potencijalnog sukoba interesa, sastanaka s predstavnicima i izjava o primljenim informacijama; naglašava da su nova pravila dobrodošla, ali da je njihovo tumačenje izazvalo mnoga pitanja i zahtijeva djelovanje uprave Parlamenta i Odbora za Kodeks ponašanja; ističe da je, kako bi zastupnici bili u skladu s novim pravilima, potrebno jasno i pouzdano tumačenje kako bi se omogućila najviša razina pravne sigurnosti; poziva na redovito slanje ažuriranih informacija uredima zastupnika kako bi se omogućila veća vidljivost i pristupačnost;</w:t>
      </w:r>
    </w:p>
    <w:p w:rsidR="00C51297" w:rsidRPr="00D360B4" w:rsidRDefault="00C51297" w:rsidP="00C51297">
      <w:pPr>
        <w:pStyle w:val="NormalHanging12a"/>
      </w:pPr>
      <w:r w:rsidRPr="00D360B4">
        <w:t>3</w:t>
      </w:r>
      <w:r w:rsidR="00DF7B04">
        <w:t>9</w:t>
      </w:r>
      <w:r w:rsidRPr="00D360B4">
        <w:t>.</w:t>
      </w:r>
      <w:r w:rsidRPr="00D360B4">
        <w:tab/>
        <w:t>smatra da je poimenično glasovanje ključan instrument za transparentnost i odgovornost prema građanima Unije; poziva na uvođenje automatskog poimeničnog glasovanja za svako konačno glasovanje osim za tajno glasovanje te na povećanje broja zahtjeva za poimenično glasovanje koje klub zastupnika može podnijeti po sjednici iz članka 190. stavka 2. ili na izuzeće zakonodavnih predmeta iz tog ograničenja;</w:t>
      </w:r>
    </w:p>
    <w:p w:rsidR="00C51297" w:rsidRPr="00D360B4" w:rsidRDefault="00DF7B04"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40</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sa zadovoljstvom prima na znanje uspješnu organizaciju izbora sredinom mandata za predsjednika, potpredsjednike i kvestore koji su održani na daljinu tijekom 2022., u skladu s odlukom Konferencije predsjednikâ; prepoznaje važnost sustava glasovanja na daljinu na plenarnoj sjednici za uspješno odvijanje tako osjetljivog i složenog tajnog glasovanja;</w:t>
      </w:r>
    </w:p>
    <w:p w:rsidR="00C51297" w:rsidRPr="00D360B4" w:rsidRDefault="00C51297" w:rsidP="00C51297">
      <w:pPr>
        <w:pStyle w:val="NormalHanging12a"/>
      </w:pPr>
      <w:r w:rsidRPr="00D360B4">
        <w:t>4</w:t>
      </w:r>
      <w:r w:rsidR="00DF7B04">
        <w:t>1</w:t>
      </w:r>
      <w:r w:rsidRPr="00D360B4">
        <w:t>.</w:t>
      </w:r>
      <w:r w:rsidRPr="00D360B4">
        <w:tab/>
        <w:t xml:space="preserve">podsjeća na izmjene Poslovnika Parlamenta od 20. prosinca 2020. kojima je omogućeno glasovanje na daljinu i na činjenicu da glasovanje na daljinu u odboru trenutačno nije dopušteno osim ako predsjednica utvrdi postojanje izvanrednih okolnosti; ponavlja svoj zahtjev Predsjedništvu, koji je nekoliko puta usvojen na plenarnoj sjednici, da zastupnicima omogući da ostvare svoje pravo glasovanja na daljinu tijekom </w:t>
      </w:r>
      <w:proofErr w:type="spellStart"/>
      <w:r w:rsidRPr="00D360B4">
        <w:t>rodiljnog</w:t>
      </w:r>
      <w:proofErr w:type="spellEnd"/>
      <w:r w:rsidRPr="00D360B4">
        <w:t xml:space="preserve"> ili očinskog dopusta, dugotrajne bolesti ili u slučajevima više sile, kako bi se iskoristili veliki administrativni napori i financijsko ulaganje Parlamenta u tehnička rješenja koja omogućuju glasovanje na daljinu;</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4</w:t>
      </w:r>
      <w:r w:rsidR="00DF7B04">
        <w:rPr>
          <w14:textOutline w14:w="0" w14:cap="flat" w14:cmpd="sng" w14:algn="ctr">
            <w14:noFill/>
            <w14:prstDash w14:val="solid"/>
            <w14:bevel/>
          </w14:textOutline>
        </w:rPr>
        <w:t>2</w:t>
      </w:r>
      <w:r w:rsidRPr="00D360B4">
        <w:rPr>
          <w14:textOutline w14:w="0" w14:cap="flat" w14:cmpd="sng" w14:algn="ctr">
            <w14:noFill/>
            <w14:prstDash w14:val="solid"/>
            <w14:bevel/>
          </w14:textOutline>
        </w:rPr>
        <w:t>.</w:t>
      </w:r>
      <w:r w:rsidRPr="00D360B4">
        <w:rPr>
          <w14:textOutline w14:w="0" w14:cap="flat" w14:cmpd="sng" w14:algn="ctr">
            <w14:noFill/>
            <w14:prstDash w14:val="solid"/>
            <w14:bevel/>
          </w14:textOutline>
        </w:rPr>
        <w:tab/>
        <w:t>napominje da je DG PRES uspio odgovoriti na potrebe nastale nakon utvrđivanja procjena za 2022., unatoč nestabilnoj sanitarnoj situaciji i njezinu utjecaju na razinu parlamentarnih aktivnosti; napominje da je to stvorilo i višak koji bi se mogao iskoristiti za financiranje potreba drugih glavnih uprava koje proizlaze iz visoke inflacije 2022.;</w:t>
      </w:r>
    </w:p>
    <w:p w:rsidR="00C51297" w:rsidRPr="00D360B4" w:rsidRDefault="00C51297" w:rsidP="00C51297">
      <w:pPr>
        <w:pStyle w:val="NormalHanging12a"/>
      </w:pPr>
      <w:r w:rsidRPr="00D360B4">
        <w:t>4</w:t>
      </w:r>
      <w:r w:rsidR="00DF7B04">
        <w:t>3</w:t>
      </w:r>
      <w:r w:rsidRPr="00D360B4">
        <w:t>.</w:t>
      </w:r>
      <w:r w:rsidRPr="00D360B4">
        <w:tab/>
        <w:t xml:space="preserve">podsjeća da je u skladu s Ugovorom o Europskoj Uniji, a posebno Protokolom br. 6 priloženim Ugovorima, sjedište Europskog parlamenta u </w:t>
      </w:r>
      <w:proofErr w:type="spellStart"/>
      <w:r w:rsidRPr="00D360B4">
        <w:t>Strasbourgu</w:t>
      </w:r>
      <w:proofErr w:type="spellEnd"/>
      <w:r w:rsidRPr="00D360B4">
        <w:t xml:space="preserve">, gdje se održava 12 mjesečnih plenarnih sjednica, uključujući sjednicu na kojoj se donosi proračun; naglašava da su privremeno ukidanje sjednica u </w:t>
      </w:r>
      <w:proofErr w:type="spellStart"/>
      <w:r w:rsidRPr="00D360B4">
        <w:t>Strasbourgu</w:t>
      </w:r>
      <w:proofErr w:type="spellEnd"/>
      <w:r w:rsidRPr="00D360B4">
        <w:t xml:space="preserve"> i sudjelovanje na daljinu povezani s iznimnim okolnostima </w:t>
      </w:r>
      <w:proofErr w:type="spellStart"/>
      <w:r w:rsidRPr="00D360B4">
        <w:t>pandemije</w:t>
      </w:r>
      <w:proofErr w:type="spellEnd"/>
      <w:r w:rsidRPr="00D360B4">
        <w:t xml:space="preserve"> bolesti COVID-19; podsjeća da svaka izmjena Ugovorâ iziskuje jednoglasnost država članica; podsjeća da je velika većina </w:t>
      </w:r>
      <w:r w:rsidRPr="00D360B4">
        <w:lastRenderedPageBreak/>
        <w:t>Parlamenta podržala jedinstveno sjedište kako bi se osiguralo učinkovito trošenje novca poreznih obveznika Unije te kako bi institucija preuzela odgovornost za smanjenje svojeg ugljičnog otiska; napominje da bi za trajne promjene bila potrebna izmjena Ugovora;</w:t>
      </w:r>
    </w:p>
    <w:p w:rsidR="00C51297" w:rsidRPr="00D360B4" w:rsidRDefault="00C51297" w:rsidP="00C51297">
      <w:pPr>
        <w:pStyle w:val="NormalHanging12a"/>
      </w:pPr>
      <w:r w:rsidRPr="00D360B4">
        <w:t>4</w:t>
      </w:r>
      <w:r w:rsidR="00DF7B04">
        <w:t>4</w:t>
      </w:r>
      <w:r w:rsidRPr="00D360B4">
        <w:t>.</w:t>
      </w:r>
      <w:r w:rsidRPr="00D360B4">
        <w:tab/>
        <w:t xml:space="preserve">napominje da je suspenzija sjednica u </w:t>
      </w:r>
      <w:proofErr w:type="spellStart"/>
      <w:r w:rsidRPr="00D360B4">
        <w:t>Strasbourgu</w:t>
      </w:r>
      <w:proofErr w:type="spellEnd"/>
      <w:r w:rsidRPr="00D360B4">
        <w:t xml:space="preserve"> tijekom </w:t>
      </w:r>
      <w:proofErr w:type="spellStart"/>
      <w:r w:rsidRPr="00D360B4">
        <w:t>pandemije</w:t>
      </w:r>
      <w:proofErr w:type="spellEnd"/>
      <w:r w:rsidRPr="00D360B4">
        <w:t xml:space="preserve"> bolesti COVID-19 pridonijela uštedama od ukupno 26 260 608 EUR, kako navodi Tajništvo Parlamenta, pri čemu se znatno smanjio i ugljični otisak Parlamenta; ističe da je Revizorski sud procijenio da bi se „preseljenjem iz </w:t>
      </w:r>
      <w:proofErr w:type="spellStart"/>
      <w:r w:rsidRPr="00D360B4">
        <w:t>Strasbourga</w:t>
      </w:r>
      <w:proofErr w:type="spellEnd"/>
      <w:r w:rsidRPr="00D360B4">
        <w:t xml:space="preserve"> u Bruxelles mogle ostvariti uštede od 114 milijuna eura godišnje, s tim da bi se u slučaju uspješne prodaje zgrada u </w:t>
      </w:r>
      <w:proofErr w:type="spellStart"/>
      <w:r w:rsidRPr="00D360B4">
        <w:t>Strasbourgu</w:t>
      </w:r>
      <w:proofErr w:type="spellEnd"/>
      <w:r w:rsidRPr="00D360B4">
        <w:t xml:space="preserve"> ostvarila i jednokratna ušteda od 616 milijuna eura, a u slučaju da do prodaje ne dođe nastao bi jednokratni trošak od 40 milijuna eura”</w:t>
      </w:r>
      <w:r w:rsidRPr="00D360B4">
        <w:rPr>
          <w:vertAlign w:val="superscript"/>
        </w:rPr>
        <w:footnoteReference w:id="10"/>
      </w:r>
      <w:r w:rsidRPr="00D360B4">
        <w:t xml:space="preserve">; smatra da je s obzirom na aktualnu klimatsku krizu neodgovorno zadržati sjedište u </w:t>
      </w:r>
      <w:proofErr w:type="spellStart"/>
      <w:r w:rsidRPr="00D360B4">
        <w:t>Strasbourgu</w:t>
      </w:r>
      <w:proofErr w:type="spellEnd"/>
      <w:r w:rsidRPr="00D360B4">
        <w:t>; poziva Vijeće da uzme u obzir mišljenje Parlamenta i hitno djeluje u tom pogledu;</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Glavna uprava za komunikaciju</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4</w:t>
      </w:r>
      <w:r w:rsidR="00DF7B04">
        <w:rPr>
          <w14:textOutline w14:w="0" w14:cap="flat" w14:cmpd="sng" w14:algn="ctr">
            <w14:noFill/>
            <w14:prstDash w14:val="solid"/>
            <w14:bevel/>
          </w14:textOutline>
        </w:rPr>
        <w:t>5</w:t>
      </w:r>
      <w:r w:rsidRPr="00D360B4">
        <w:rPr>
          <w14:textOutline w14:w="0" w14:cap="flat" w14:cmpd="sng" w14:algn="ctr">
            <w14:noFill/>
            <w14:prstDash w14:val="solid"/>
            <w14:bevel/>
          </w14:textOutline>
        </w:rPr>
        <w:t>.</w:t>
      </w:r>
      <w:r w:rsidRPr="00D360B4">
        <w:rPr>
          <w14:textOutline w14:w="0" w14:cap="flat" w14:cmpd="sng" w14:algn="ctr">
            <w14:noFill/>
            <w14:prstDash w14:val="solid"/>
            <w14:bevel/>
          </w14:textOutline>
        </w:rPr>
        <w:tab/>
        <w:t xml:space="preserve">podsjeća da se Glavna uprava za komunikaciju (DG COMM) nalazi na više lokacija, te da se njeno osoblje nalazi u Bruxellesu, </w:t>
      </w:r>
      <w:proofErr w:type="spellStart"/>
      <w:r w:rsidRPr="00D360B4">
        <w:rPr>
          <w14:textOutline w14:w="0" w14:cap="flat" w14:cmpd="sng" w14:algn="ctr">
            <w14:noFill/>
            <w14:prstDash w14:val="solid"/>
            <w14:bevel/>
          </w14:textOutline>
        </w:rPr>
        <w:t>Strasbourgu</w:t>
      </w:r>
      <w:proofErr w:type="spellEnd"/>
      <w:r w:rsidRPr="00D360B4">
        <w:rPr>
          <w14:textOutline w14:w="0" w14:cap="flat" w14:cmpd="sng" w14:algn="ctr">
            <w14:noFill/>
            <w14:prstDash w14:val="solid"/>
            <w14:bevel/>
          </w14:textOutline>
        </w:rPr>
        <w:t xml:space="preserve"> i uredima za vezu u svakoj od 27 država članica, kao i u Londonu, Washingtonu D.C. (do 1. studenoga 2022., kada su dva ureda za vezu EP-a premještena u novu Glavnu upravu za partnerstva za parlamentarnu demokraciju) i Kući Jeana </w:t>
      </w:r>
      <w:proofErr w:type="spellStart"/>
      <w:r w:rsidRPr="00D360B4">
        <w:rPr>
          <w14:textOutline w14:w="0" w14:cap="flat" w14:cmpd="sng" w14:algn="ctr">
            <w14:noFill/>
            <w14:prstDash w14:val="solid"/>
            <w14:bevel/>
          </w14:textOutline>
        </w:rPr>
        <w:t>Monneta</w:t>
      </w:r>
      <w:proofErr w:type="spellEnd"/>
      <w:r w:rsidRPr="00D360B4">
        <w:rPr>
          <w14:textOutline w14:w="0" w14:cap="flat" w14:cmpd="sng" w14:algn="ctr">
            <w14:noFill/>
            <w14:prstDash w14:val="solid"/>
            <w14:bevel/>
          </w14:textOutline>
        </w:rPr>
        <w:t xml:space="preserve"> u </w:t>
      </w:r>
      <w:proofErr w:type="spellStart"/>
      <w:r w:rsidRPr="00D360B4">
        <w:rPr>
          <w14:textOutline w14:w="0" w14:cap="flat" w14:cmpd="sng" w14:algn="ctr">
            <w14:noFill/>
            <w14:prstDash w14:val="solid"/>
            <w14:bevel/>
          </w14:textOutline>
        </w:rPr>
        <w:t>Bazochesu</w:t>
      </w:r>
      <w:proofErr w:type="spellEnd"/>
      <w:r w:rsidRPr="00D360B4">
        <w:rPr>
          <w14:textOutline w14:w="0" w14:cap="flat" w14:cmpd="sng" w14:algn="ctr">
            <w14:noFill/>
            <w14:prstDash w14:val="solid"/>
            <w14:bevel/>
          </w14:textOutline>
        </w:rPr>
        <w:t xml:space="preserve"> (Francuska);</w:t>
      </w:r>
    </w:p>
    <w:p w:rsidR="00C51297" w:rsidRDefault="00C51297" w:rsidP="00C51297">
      <w:pPr>
        <w:pStyle w:val="NormalHanging12a"/>
      </w:pPr>
      <w:r w:rsidRPr="00D360B4">
        <w:t>4</w:t>
      </w:r>
      <w:r w:rsidR="00DF7B04">
        <w:t>6</w:t>
      </w:r>
      <w:r w:rsidRPr="00D360B4">
        <w:t>.</w:t>
      </w:r>
      <w:r w:rsidRPr="00D360B4">
        <w:tab/>
        <w:t>napominje da su ključne zadaće DG COMM-a suradnja s medijima, informiranje, objašnjavanje i povećanje vidljivosti rada Parlamenta, podizanje razine osviještenosti o Parlamentu među građanima, dionicima i predvodnicima javnog mijenja putem ureda za vezu Europskog parlamenta koji se nalaze u državama članicama, poticanje interakcije s građanima poboljšanim projektima za posjetitelje, događanjima i informativnim kampanjama i njegovom prisutnošću na društvenim mrežama te pružanje stručnog znanja zastupnicima i klubovima zastupnika o temama kao što je praćenje i analiza medijskih sadržaja i javnog mijenja; i borba protiv dezinformiranja svim sredstvima, osobito uoči izbora;</w:t>
      </w:r>
    </w:p>
    <w:p w:rsidR="00EC153F" w:rsidRPr="00D360B4" w:rsidRDefault="00DF7B04" w:rsidP="00C51297">
      <w:pPr>
        <w:pStyle w:val="NormalHanging12a"/>
      </w:pPr>
      <w:r>
        <w:t>47</w:t>
      </w:r>
      <w:r w:rsidR="00EC153F">
        <w:t>.</w:t>
      </w:r>
      <w:r>
        <w:tab/>
        <w:t>naglašava potrebu da P</w:t>
      </w:r>
      <w:r w:rsidR="00EC153F" w:rsidRPr="00EC153F">
        <w:t>arlament i d</w:t>
      </w:r>
      <w:r>
        <w:t>ruge institucije Unije imaju odgovarajuće resurse</w:t>
      </w:r>
      <w:r w:rsidR="00EC153F" w:rsidRPr="00EC153F">
        <w:t xml:space="preserve"> za zaštitu svojeg informacijskog prostora od kampanja manipulacije informacijama, uz potpuno poštovanje vrijednosti Unije;</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4</w:t>
      </w:r>
      <w:r w:rsidR="00B26782">
        <w:rPr>
          <w14:textOutline w14:w="0" w14:cap="flat" w14:cmpd="sng" w14:algn="ctr">
            <w14:noFill/>
            <w14:prstDash w14:val="solid"/>
            <w14:bevel/>
          </w14:textOutline>
        </w:rPr>
        <w:t>8</w:t>
      </w:r>
      <w:r w:rsidRPr="00D360B4">
        <w:rPr>
          <w14:textOutline w14:w="0" w14:cap="flat" w14:cmpd="sng" w14:algn="ctr">
            <w14:noFill/>
            <w14:prstDash w14:val="solid"/>
            <w14:bevel/>
          </w14:textOutline>
        </w:rPr>
        <w:t>.</w:t>
      </w:r>
      <w:r w:rsidRPr="00D360B4">
        <w:rPr>
          <w14:textOutline w14:w="0" w14:cap="flat" w14:cmpd="sng" w14:algn="ctr">
            <w14:noFill/>
            <w14:prstDash w14:val="solid"/>
            <w14:bevel/>
          </w14:textOutline>
        </w:rPr>
        <w:tab/>
        <w:t>napominje da su konačna odobrena sredstva DG COMM-a 2022. iznosila 121 235 650 EUR, što predstavlja 5,6 % proračuna Parlamenta; ističe da je od tog iznosa odobreno ukupno 121 146 177 EUR; pozdravlja veliku iskorištenost odobrenih sredstava;</w:t>
      </w:r>
    </w:p>
    <w:p w:rsidR="00C51297" w:rsidRPr="00D360B4" w:rsidRDefault="00C51297" w:rsidP="00C51297">
      <w:pPr>
        <w:pStyle w:val="NormalHanging12a"/>
      </w:pPr>
      <w:r w:rsidRPr="00D360B4">
        <w:t>4</w:t>
      </w:r>
      <w:r w:rsidR="00B26782">
        <w:t>9</w:t>
      </w:r>
      <w:r w:rsidRPr="00D360B4">
        <w:t>.</w:t>
      </w:r>
      <w:r w:rsidRPr="00D360B4">
        <w:tab/>
        <w:t>prima na znanje složenost aktivnosti DG COMM-a; prima na znanje potrebu za povećanjem vidljivosti rada Parlamenta i povjerenja građana u instituciju Parlamenta, što bi zahtijevalo povećanje proračuna za DG COMM;</w:t>
      </w:r>
    </w:p>
    <w:p w:rsidR="00C51297" w:rsidRPr="00D360B4" w:rsidRDefault="00B26782"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50</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ističe da je tijekom prva četiri mjeseca 2022. </w:t>
      </w:r>
      <w:proofErr w:type="spellStart"/>
      <w:r w:rsidR="00C51297" w:rsidRPr="00D360B4">
        <w:rPr>
          <w14:textOutline w14:w="0" w14:cap="flat" w14:cmpd="sng" w14:algn="ctr">
            <w14:noFill/>
            <w14:prstDash w14:val="solid"/>
            <w14:bevel/>
          </w14:textOutline>
        </w:rPr>
        <w:t>pandemija</w:t>
      </w:r>
      <w:proofErr w:type="spellEnd"/>
      <w:r w:rsidR="00C51297" w:rsidRPr="00D360B4">
        <w:rPr>
          <w14:textOutline w14:w="0" w14:cap="flat" w14:cmpd="sng" w14:algn="ctr">
            <w14:noFill/>
            <w14:prstDash w14:val="solid"/>
            <w14:bevel/>
          </w14:textOutline>
        </w:rPr>
        <w:t xml:space="preserve"> bolesti COVID-19 i dalje utjecala na izvršenje proračuna DG COMM-a, posebno u pogledu skupina posjetitelja i objekata za posjetitelje; napominje da je velik dio viškova uzrokovanih obustavom aktivnosti preraspodijeljen drugim službama Parlamenta kako bi se financirali drugi </w:t>
      </w:r>
      <w:r w:rsidR="00C51297" w:rsidRPr="00D360B4">
        <w:rPr>
          <w14:textOutline w14:w="0" w14:cap="flat" w14:cmpd="sng" w14:algn="ctr">
            <w14:noFill/>
            <w14:prstDash w14:val="solid"/>
            <w14:bevel/>
          </w14:textOutline>
        </w:rPr>
        <w:lastRenderedPageBreak/>
        <w:t>prioriteti i riješio učinak inflacije na rashode za osoblje; napominje da je znatno povećanje cijena također snažno utjecalo na nekoliko aktivnosti DG COMM-a, kao što su audiovizualne usluge;</w:t>
      </w:r>
    </w:p>
    <w:p w:rsidR="00C51297" w:rsidRPr="00D360B4" w:rsidRDefault="00B26782" w:rsidP="00C51297">
      <w:pPr>
        <w:pStyle w:val="NormalHanging12a"/>
      </w:pPr>
      <w:r>
        <w:t>51</w:t>
      </w:r>
      <w:r w:rsidR="00C51297" w:rsidRPr="00D360B4">
        <w:t>.</w:t>
      </w:r>
      <w:r w:rsidR="00C51297" w:rsidRPr="00D360B4">
        <w:tab/>
        <w:t>napominje da je predsjednica 10. ožujka 2022. donijela revidiranu odluku o „sigurnosnim mjerama za ograničavanje širenja bolesti COVID-19”, što znači da se nekoliko aktivnosti ponovno počelo odvijati u fizičkoj prisutnosti, uključujući ponovni prihvat skupina posjetitelja; pozdravlja odluku o povećanju plaćenih financijskih doprinosa za putovanja, smještaj, obroke i manje lokalne troškove za 10 % za sponzorirane skupine posjetitelja tijekom 2022.; poziva Predsjedništvo da ukine svoju odluku da se godišnja kvota sponzoriranih posjetitelja po članu smanji sa 110 na 100 i s 55 na 50 tijekom izbornih godina; ističe da je odluka o prijenosu neiskorištene kvote iz 2020. u 2022., 2023. i 2024. ostala nepromijenjena; zahtijeva od Predsjedništva da se akreditirani parlamentarni asistenti uklone s popisa dopuštenih voditelja skupina i da se ta uloga prepusti samo članu sponzorirane skupine ili stručnjaku, kao što su platni agenti ili putničke agencije, kako bi se spriječilo da akreditirani parlamentarni asistenti moraju preuzeti financijsku odgovornost, koja može obuhvaćati veliku količinu novca;</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5</w:t>
      </w:r>
      <w:r w:rsidR="00B26782">
        <w:rPr>
          <w14:textOutline w14:w="0" w14:cap="flat" w14:cmpd="sng" w14:algn="ctr">
            <w14:noFill/>
            <w14:prstDash w14:val="solid"/>
            <w14:bevel/>
          </w14:textOutline>
        </w:rPr>
        <w:t>2</w:t>
      </w:r>
      <w:r w:rsidRPr="00D360B4">
        <w:rPr>
          <w14:textOutline w14:w="0" w14:cap="flat" w14:cmpd="sng" w14:algn="ctr">
            <w14:noFill/>
            <w14:prstDash w14:val="solid"/>
            <w14:bevel/>
          </w14:textOutline>
        </w:rPr>
        <w:t>.</w:t>
      </w:r>
      <w:r w:rsidRPr="00D360B4">
        <w:rPr>
          <w14:textOutline w14:w="0" w14:cap="flat" w14:cmpd="sng" w14:algn="ctr">
            <w14:noFill/>
            <w14:prstDash w14:val="solid"/>
            <w14:bevel/>
          </w14:textOutline>
        </w:rPr>
        <w:tab/>
        <w:t>napominje da su se nakon energetske krize u Uniji cijene putovanja i obroka znatno povećale; prima na znanje planiranu reviziju pravila u pogledu isplate subvencija sponzoriranim skupinama posjetitelja;</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5</w:t>
      </w:r>
      <w:r w:rsidR="00B26782">
        <w:rPr>
          <w14:textOutline w14:w="0" w14:cap="flat" w14:cmpd="sng" w14:algn="ctr">
            <w14:noFill/>
            <w14:prstDash w14:val="solid"/>
            <w14:bevel/>
          </w14:textOutline>
        </w:rPr>
        <w:t>3</w:t>
      </w:r>
      <w:r w:rsidRPr="00D360B4">
        <w:rPr>
          <w14:textOutline w14:w="0" w14:cap="flat" w14:cmpd="sng" w14:algn="ctr">
            <w14:noFill/>
            <w14:prstDash w14:val="solid"/>
            <w14:bevel/>
          </w14:textOutline>
        </w:rPr>
        <w:t>.</w:t>
      </w:r>
      <w:r w:rsidRPr="00D360B4">
        <w:rPr>
          <w14:textOutline w14:w="0" w14:cap="flat" w14:cmpd="sng" w14:algn="ctr">
            <w14:noFill/>
            <w14:prstDash w14:val="solid"/>
            <w14:bevel/>
          </w14:textOutline>
        </w:rPr>
        <w:tab/>
        <w:t xml:space="preserve">prima na znanje da je postupno ukidanje ograničenja povezanih s </w:t>
      </w:r>
      <w:proofErr w:type="spellStart"/>
      <w:r w:rsidRPr="00D360B4">
        <w:rPr>
          <w14:textOutline w14:w="0" w14:cap="flat" w14:cmpd="sng" w14:algn="ctr">
            <w14:noFill/>
            <w14:prstDash w14:val="solid"/>
            <w14:bevel/>
          </w14:textOutline>
        </w:rPr>
        <w:t>pandemijom</w:t>
      </w:r>
      <w:proofErr w:type="spellEnd"/>
      <w:r w:rsidRPr="00D360B4">
        <w:rPr>
          <w14:textOutline w14:w="0" w14:cap="flat" w14:cmpd="sng" w14:algn="ctr">
            <w14:noFill/>
            <w14:prstDash w14:val="solid"/>
            <w14:bevel/>
          </w14:textOutline>
        </w:rPr>
        <w:t xml:space="preserve"> bolesti COVID-19 u državama članicama omogućilo uredima za vezu EP-a da nastave s radom u normalnim uvjetima uz sustavno dodavanje hibridnih elemenata; ističe da je u uredima za vezu EP-a organiziran niz aktivnosti povezanih s Europskom godinom mladih; napominje da se u državama članicama zastupnici sustavno pozivaju na događanja i aktivnosti s medijima, dionicima, organizacijama civilnog društva i zajednicom mladih; napominje da uredi za vezu također promiču sudjelovanje zastupnika u događanjima i aktivnostima trećih strana;</w:t>
      </w:r>
    </w:p>
    <w:p w:rsidR="00C51297" w:rsidRPr="00D360B4" w:rsidRDefault="00C51297" w:rsidP="00C51297">
      <w:pPr>
        <w:pStyle w:val="NormalHanging12a"/>
      </w:pPr>
      <w:r w:rsidRPr="00D360B4">
        <w:t>5</w:t>
      </w:r>
      <w:r w:rsidR="00B26782">
        <w:t>4</w:t>
      </w:r>
      <w:r w:rsidRPr="00D360B4">
        <w:t>.</w:t>
      </w:r>
      <w:r w:rsidRPr="00D360B4">
        <w:tab/>
        <w:t xml:space="preserve">prima na znanje da su zastupnici imali priliku sudjelovati u plenarnim raspravama iz ureda za vezu EP-a u državama članicama u kojima su izabrani zbog iznimnih mjera uvedenih tijekom </w:t>
      </w:r>
      <w:proofErr w:type="spellStart"/>
      <w:r w:rsidRPr="00D360B4">
        <w:t>pandemije</w:t>
      </w:r>
      <w:proofErr w:type="spellEnd"/>
      <w:r w:rsidRPr="00D360B4">
        <w:t xml:space="preserve"> bolesti COVID-19, što je bilo olakšano djelovanjem DG COMM-a; pozdravlja povećane napore koje je DG COMM uložio u upotrebu novih tehnologija kako bi se olakšao rad zastupnika tijekom </w:t>
      </w:r>
      <w:proofErr w:type="spellStart"/>
      <w:r w:rsidRPr="00D360B4">
        <w:t>pandemije</w:t>
      </w:r>
      <w:proofErr w:type="spellEnd"/>
      <w:r w:rsidRPr="00D360B4">
        <w:t xml:space="preserve"> bolesti COVID-19; prima na znanje da su omogućavanjem pristupa na daljinu komunikacijskim aktivnostima Parlamenta za nacionalne medije otvoreni novi načini za interakciju s građanima Unije;</w:t>
      </w:r>
    </w:p>
    <w:p w:rsidR="00C51297" w:rsidRDefault="00C51297" w:rsidP="00C51297">
      <w:pPr>
        <w:spacing w:after="240"/>
        <w:ind w:left="567" w:hanging="567"/>
        <w:rPr>
          <w14:textOutline w14:w="0" w14:cap="flat" w14:cmpd="sng" w14:algn="ctr">
            <w14:noFill/>
            <w14:prstDash w14:val="solid"/>
            <w14:bevel/>
          </w14:textOutline>
        </w:rPr>
      </w:pPr>
      <w:r w:rsidRPr="00D360B4">
        <w:rPr>
          <w14:textOutline w14:w="0" w14:cap="flat" w14:cmpd="sng" w14:algn="ctr">
            <w14:noFill/>
            <w14:prstDash w14:val="solid"/>
            <w14:bevel/>
          </w14:textOutline>
        </w:rPr>
        <w:t>5</w:t>
      </w:r>
      <w:r w:rsidR="00B26782">
        <w:rPr>
          <w14:textOutline w14:w="0" w14:cap="flat" w14:cmpd="sng" w14:algn="ctr">
            <w14:noFill/>
            <w14:prstDash w14:val="solid"/>
            <w14:bevel/>
          </w14:textOutline>
        </w:rPr>
        <w:t>5</w:t>
      </w:r>
      <w:r w:rsidRPr="00D360B4">
        <w:rPr>
          <w14:textOutline w14:w="0" w14:cap="flat" w14:cmpd="sng" w14:algn="ctr">
            <w14:noFill/>
            <w14:prstDash w14:val="solid"/>
            <w14:bevel/>
          </w14:textOutline>
        </w:rPr>
        <w:t>.</w:t>
      </w:r>
      <w:r w:rsidRPr="00D360B4">
        <w:rPr>
          <w14:textOutline w14:w="0" w14:cap="flat" w14:cmpd="sng" w14:algn="ctr">
            <w14:noFill/>
            <w14:prstDash w14:val="solid"/>
            <w14:bevel/>
          </w14:textOutline>
        </w:rPr>
        <w:tab/>
        <w:t>prima na znanje da je 2022. DG COMM završio većinu svojeg pripremnog rada uoči europskih izbora 2024.; napominje da je 2022. Predsjedništvo Parlamenta odobrilo komunikacijsku strategiju za izbore 2024.; napominje da je sredinom 2022. pokrenut paneuropski poziv na podnošenje prijedloga koji je doveo do 19 dodjela bespovratnih sredstava, financiranja mjera izgradnje kapaciteta i/ili aktivnosti uključivanja građana za potporu europskim izborima;</w:t>
      </w:r>
    </w:p>
    <w:p w:rsidR="00EC153F" w:rsidRPr="00D360B4" w:rsidRDefault="00DF7B04" w:rsidP="00C51297">
      <w:pPr>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5</w:t>
      </w:r>
      <w:r w:rsidR="00B26782">
        <w:rPr>
          <w:szCs w:val="24"/>
          <w14:textOutline w14:w="0" w14:cap="flat" w14:cmpd="sng" w14:algn="ctr">
            <w14:noFill/>
            <w14:prstDash w14:val="solid"/>
            <w14:bevel/>
          </w14:textOutline>
        </w:rPr>
        <w:t>6</w:t>
      </w:r>
      <w:r>
        <w:rPr>
          <w:szCs w:val="24"/>
          <w14:textOutline w14:w="0" w14:cap="flat" w14:cmpd="sng" w14:algn="ctr">
            <w14:noFill/>
            <w14:prstDash w14:val="solid"/>
            <w14:bevel/>
          </w14:textOutline>
        </w:rPr>
        <w:t>.</w:t>
      </w:r>
      <w:r>
        <w:rPr>
          <w:szCs w:val="24"/>
          <w14:textOutline w14:w="0" w14:cap="flat" w14:cmpd="sng" w14:algn="ctr">
            <w14:noFill/>
            <w14:prstDash w14:val="solid"/>
            <w14:bevel/>
          </w14:textOutline>
        </w:rPr>
        <w:tab/>
        <w:t>pozdravlja donošenje Europskog akta o slo</w:t>
      </w:r>
      <w:r w:rsidR="002519A1">
        <w:rPr>
          <w:szCs w:val="24"/>
          <w14:textOutline w14:w="0" w14:cap="flat" w14:cmpd="sng" w14:algn="ctr">
            <w14:noFill/>
            <w14:prstDash w14:val="solid"/>
            <w14:bevel/>
          </w14:textOutline>
        </w:rPr>
        <w:t>bodi medija</w:t>
      </w:r>
      <w:r>
        <w:rPr>
          <w:szCs w:val="24"/>
          <w14:textOutline w14:w="0" w14:cap="flat" w14:cmpd="sng" w14:algn="ctr">
            <w14:noFill/>
            <w14:prstDash w14:val="solid"/>
            <w14:bevel/>
          </w14:textOutline>
        </w:rPr>
        <w:t xml:space="preserve"> kojim se uvodi</w:t>
      </w:r>
      <w:r w:rsidR="00EC153F" w:rsidRPr="00EC153F">
        <w:rPr>
          <w:szCs w:val="24"/>
          <w14:textOutline w14:w="0" w14:cap="flat" w14:cmpd="sng" w14:algn="ctr">
            <w14:noFill/>
            <w14:prstDash w14:val="solid"/>
            <w14:bevel/>
          </w14:textOutline>
        </w:rPr>
        <w:t xml:space="preserve"> novi skup pravila za promicanje pluralizma i neovisnosti medija diljem Unije; smatra da taj akt predstavlja dodatni alat u okviru stalnih napora Unije u borbi protiv sustavnih kampanja vanjske manipulacije informacijama i upletanja čiji je cilj destabilizacija Unije;</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lastRenderedPageBreak/>
        <w:t>5</w:t>
      </w:r>
      <w:r w:rsidR="00B26782">
        <w:rPr>
          <w14:textOutline w14:w="0" w14:cap="flat" w14:cmpd="sng" w14:algn="ctr">
            <w14:noFill/>
            <w14:prstDash w14:val="solid"/>
            <w14:bevel/>
          </w14:textOutline>
        </w:rPr>
        <w:t>7</w:t>
      </w:r>
      <w:r w:rsidRPr="00D360B4">
        <w:rPr>
          <w14:textOutline w14:w="0" w14:cap="flat" w14:cmpd="sng" w14:algn="ctr">
            <w14:noFill/>
            <w14:prstDash w14:val="solid"/>
            <w14:bevel/>
          </w14:textOutline>
        </w:rPr>
        <w:t>.</w:t>
      </w:r>
      <w:r w:rsidRPr="00D360B4">
        <w:rPr>
          <w14:textOutline w14:w="0" w14:cap="flat" w14:cmpd="sng" w14:algn="ctr">
            <w14:noFill/>
            <w14:prstDash w14:val="solid"/>
            <w14:bevel/>
          </w14:textOutline>
        </w:rPr>
        <w:tab/>
        <w:t xml:space="preserve">napominje da su centri Europa </w:t>
      </w:r>
      <w:proofErr w:type="spellStart"/>
      <w:r w:rsidRPr="00D360B4">
        <w:rPr>
          <w14:textOutline w14:w="0" w14:cap="flat" w14:cmpd="sng" w14:algn="ctr">
            <w14:noFill/>
            <w14:prstDash w14:val="solid"/>
            <w14:bevel/>
          </w14:textOutline>
        </w:rPr>
        <w:t>Experience</w:t>
      </w:r>
      <w:proofErr w:type="spellEnd"/>
      <w:r w:rsidRPr="00D360B4">
        <w:rPr>
          <w14:textOutline w14:w="0" w14:cap="flat" w14:cmpd="sng" w14:algn="ctr">
            <w14:noFill/>
            <w14:prstDash w14:val="solid"/>
            <w14:bevel/>
          </w14:textOutline>
        </w:rPr>
        <w:t xml:space="preserve"> pozitivne mjere kojima se promiče rad Unije i kojima se građanima objašnjavaju politike Unije; sa zadovoljstvom primjećuje povećani broj posjeta centrima Europa </w:t>
      </w:r>
      <w:proofErr w:type="spellStart"/>
      <w:r w:rsidRPr="00D360B4">
        <w:rPr>
          <w14:textOutline w14:w="0" w14:cap="flat" w14:cmpd="sng" w14:algn="ctr">
            <w14:noFill/>
            <w14:prstDash w14:val="solid"/>
            <w14:bevel/>
          </w14:textOutline>
        </w:rPr>
        <w:t>Experience</w:t>
      </w:r>
      <w:proofErr w:type="spellEnd"/>
      <w:r w:rsidRPr="00D360B4">
        <w:rPr>
          <w14:textOutline w14:w="0" w14:cap="flat" w14:cmpd="sng" w14:algn="ctr">
            <w14:noFill/>
            <w14:prstDash w14:val="solid"/>
            <w14:bevel/>
          </w14:textOutline>
        </w:rPr>
        <w:t xml:space="preserve"> u posljednje dvije godine; napominje da svake godine tisuće posjetitelja mjesečno posjeti centre Europa </w:t>
      </w:r>
      <w:proofErr w:type="spellStart"/>
      <w:r w:rsidRPr="00D360B4">
        <w:rPr>
          <w14:textOutline w14:w="0" w14:cap="flat" w14:cmpd="sng" w14:algn="ctr">
            <w14:noFill/>
            <w14:prstDash w14:val="solid"/>
            <w14:bevel/>
          </w14:textOutline>
        </w:rPr>
        <w:t>Experience</w:t>
      </w:r>
      <w:proofErr w:type="spellEnd"/>
      <w:r w:rsidRPr="00D360B4">
        <w:rPr>
          <w14:textOutline w14:w="0" w14:cap="flat" w14:cmpd="sng" w14:algn="ctr">
            <w14:noFill/>
            <w14:prstDash w14:val="solid"/>
            <w14:bevel/>
          </w14:textOutline>
        </w:rPr>
        <w:t xml:space="preserve">; prima na znanje da su 2022., unatoč aktualnoj krizi inflacije, otvorena dva nova objekta Europa </w:t>
      </w:r>
      <w:proofErr w:type="spellStart"/>
      <w:r w:rsidRPr="00D360B4">
        <w:rPr>
          <w14:textOutline w14:w="0" w14:cap="flat" w14:cmpd="sng" w14:algn="ctr">
            <w14:noFill/>
            <w14:prstDash w14:val="solid"/>
            <w14:bevel/>
          </w14:textOutline>
        </w:rPr>
        <w:t>Experience</w:t>
      </w:r>
      <w:proofErr w:type="spellEnd"/>
      <w:r w:rsidRPr="00D360B4">
        <w:rPr>
          <w14:textOutline w14:w="0" w14:cap="flat" w14:cmpd="sng" w14:algn="ctr">
            <w14:noFill/>
            <w14:prstDash w14:val="solid"/>
            <w14:bevel/>
          </w14:textOutline>
        </w:rPr>
        <w:t xml:space="preserve"> (u Parizu i Rimu), što je uredima za vezu omogućilo da iskoriste različite mogućnosti informiranja i prošire svoje mreže; napominje da je na kraju 2022. ostvareno više od 80 % ciljeva uvođenja programa Europa </w:t>
      </w:r>
      <w:proofErr w:type="spellStart"/>
      <w:r w:rsidRPr="00D360B4">
        <w:rPr>
          <w14:textOutline w14:w="0" w14:cap="flat" w14:cmpd="sng" w14:algn="ctr">
            <w14:noFill/>
            <w14:prstDash w14:val="solid"/>
            <w14:bevel/>
          </w14:textOutline>
        </w:rPr>
        <w:t>Experience</w:t>
      </w:r>
      <w:proofErr w:type="spellEnd"/>
      <w:r w:rsidRPr="00D360B4">
        <w:rPr>
          <w14:textOutline w14:w="0" w14:cap="flat" w14:cmpd="sng" w14:algn="ctr">
            <w14:noFill/>
            <w14:prstDash w14:val="solid"/>
            <w14:bevel/>
          </w14:textOutline>
        </w:rPr>
        <w:t>;</w:t>
      </w:r>
    </w:p>
    <w:p w:rsidR="00C51297" w:rsidRDefault="00C51297" w:rsidP="00C51297">
      <w:pPr>
        <w:pStyle w:val="NormalHanging12a"/>
      </w:pPr>
      <w:r w:rsidRPr="00D360B4">
        <w:t>5</w:t>
      </w:r>
      <w:r w:rsidR="00B26782">
        <w:t>8</w:t>
      </w:r>
      <w:r w:rsidRPr="00D360B4">
        <w:t>.</w:t>
      </w:r>
      <w:r w:rsidRPr="00D360B4">
        <w:tab/>
        <w:t>podsjeća na aktualnu borbu u kojoj Unija sudjeluje radi očuvanja europskih vrijednosti i integriteta naših demokratskih procesa; pozdravlja mjere koje Parlament poduzima radi ostvarivanja tih ciljeva i borbe protiv dezinformiranja i manipulacije informacijama; poziva na jačanje tih mjera s obzirom na predstojeće europske izbore i posebno poziva DG COMM da nastavi razvijati i provoditi djelotvorne strategije za borbu protiv dezinformiranja i manipulacije informacijama, osobito u izbornom kontekstu; ističe da je jedno od najmoćnijih oružja za borbu protiv dezinformiranja pozitivna komunikacija o aktivnostima Parlamenta utemeljena na činjenicama;</w:t>
      </w:r>
    </w:p>
    <w:p w:rsidR="00EC153F" w:rsidRPr="00D360B4" w:rsidRDefault="00EC153F" w:rsidP="00C51297">
      <w:pPr>
        <w:pStyle w:val="NormalHanging12a"/>
      </w:pPr>
      <w:r>
        <w:t>5</w:t>
      </w:r>
      <w:r w:rsidR="00B26782">
        <w:t>9</w:t>
      </w:r>
      <w:r>
        <w:t>.</w:t>
      </w:r>
      <w:r w:rsidRPr="00EC153F">
        <w:tab/>
        <w:t>smatra da se odobravanje pristupa resursima Parlamenta, kao što su studiji za snimanje videozapisa ili druge komunikacijske platforme, ne smije koristiti za ugrožavanje vrijednosti Unije ili za širenje neprijateljskih informacija od strane autoritarnih režima;</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Glavna uprava za kadrovske poslove</w:t>
      </w:r>
    </w:p>
    <w:p w:rsidR="00C51297" w:rsidRPr="00D360B4" w:rsidRDefault="00B26782"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60</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podsjeća da je Glavna uprava za kadrovske poslove (DG PERS) odgovorna za odgovarajuće i učinkovito upravljanje ljudskim resursima u Parlamentu i osigurava da zastupnici imaju potporu visokokvalificirane radne snage kako bi im se omogućilo da propisno ispune svoj mandat;</w:t>
      </w:r>
    </w:p>
    <w:p w:rsidR="00C51297" w:rsidRPr="00D360B4" w:rsidRDefault="00B26782"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61</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su konačna odobrena sredstva DG PERS-a 2022. iznosila 1 090 141 584 EUR, što predstavlja 50,4 % proračuna Parlamenta; ističe da je od tog iznosa odobreno ukupno 1 087 939 413 EUR; pozdravlja veliku iskorištenost odobrenih sredstava;</w:t>
      </w:r>
    </w:p>
    <w:p w:rsidR="00C51297" w:rsidRPr="00D360B4" w:rsidRDefault="00B26782"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62</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je Parlament 2022. zaposlio manje dužnosnika na natječajima koje organizira Europski ured za odabir osoblja (EPSO) (48 dužnosnika) nego na internim i otvorenim natječajima Parlamenta (139 dužnosnika); žali zbog toga što je EPSO naišao na razne probleme s organiziranjem internetskih testiranja i jezičnim režimom natječajâ; prima na znanje opće poteškoće s kojima se suočavaju DG PERS i druge glavne uprave u privlačenju i zadržavanju talenata, što utječe na uspješnost radne snage Parlamenta; traži učinkovitije, usmjerenije i kraće postupke odabira koji bi doveli do povećanja privlačnosti Parlamenta kao poslodavca i omogućili glavnim upravama da brzo zapošljavaju specijalizirane profile potrebne za potporu njihovu radu;</w:t>
      </w:r>
    </w:p>
    <w:p w:rsidR="00C51297" w:rsidRPr="00D360B4" w:rsidRDefault="00B26782" w:rsidP="00C51297">
      <w:pPr>
        <w:pStyle w:val="NormalHanging12a"/>
      </w:pPr>
      <w:r>
        <w:t>63</w:t>
      </w:r>
      <w:r w:rsidR="00C51297" w:rsidRPr="00D360B4">
        <w:t>.</w:t>
      </w:r>
      <w:r w:rsidR="00C51297" w:rsidRPr="00D360B4">
        <w:tab/>
        <w:t>ističe da je osiguravanje pravedne geografske ravnoteže važan dio stvaranja istinski europske javne službe, napominje da je Parlament tijekom godina poduzeo niz mjera u tom pogledu; napominje da još ima prostora za poboljšanje; napominje da je Predsjedništvo uspostavilo pravni okvir za organizaciju natječajâ za osobe određenog državljanstva i odlučilo organizirati prvi od takvih natječaja; ističe da bi se natječaji uvijek trebali temeljiti na profesionalnoj osposobljenosti osobe, neovisno o dobi, rodu i vjeroispovijesti;</w:t>
      </w:r>
    </w:p>
    <w:p w:rsidR="00C51297" w:rsidRPr="00D360B4" w:rsidRDefault="00C51297" w:rsidP="00C51297">
      <w:pPr>
        <w:pStyle w:val="NormalHanging12a"/>
      </w:pPr>
      <w:r w:rsidRPr="00D360B4">
        <w:lastRenderedPageBreak/>
        <w:t>6</w:t>
      </w:r>
      <w:r w:rsidR="00B26782">
        <w:t>4</w:t>
      </w:r>
      <w:r w:rsidRPr="00D360B4">
        <w:t>.</w:t>
      </w:r>
      <w:r w:rsidRPr="00D360B4">
        <w:tab/>
        <w:t>podsjeća na to da je Predsjedništvo 13.°siječnja°2020. odobrilo nove i ambicioznije ciljeve za postizanje rodne ravnoteže na razinama višeg i srednjeg rukovodstva u upravi Parlamenta koji se trebaju ostvariti do 2024., što znači da bi žene trebale zauzimati 50 % radnih mjesta načelnika odjela, 50 % radnih mjesta direktora i 40 % radnih mjesta glavnih direktora; podsjeća da je akcijski plan za rodnu ravnopravnost za razdoblje 2021. – 2022., čija je svrha olakšati provedbu tih ciljeva te rodnu ravnopravnost sveobuhvatno ugraditi u sve aktivnosti Parlamenta, naknadno izrađen i odobren u Predsjedništvu 6. srpnja 2020.; napominje da su 2022. žene zauzimale 28,6 % radnih mjesta glavnih direktora; pozdravlja činjenicu da su 50,8 % radnih mjesta direktora i 43,5 % radnih mjesta načelnika odjela zauzimale žene;</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6</w:t>
      </w:r>
      <w:r w:rsidR="00B26782">
        <w:rPr>
          <w14:textOutline w14:w="0" w14:cap="flat" w14:cmpd="sng" w14:algn="ctr">
            <w14:noFill/>
            <w14:prstDash w14:val="solid"/>
            <w14:bevel/>
          </w14:textOutline>
        </w:rPr>
        <w:t>5</w:t>
      </w:r>
      <w:r w:rsidRPr="00D360B4">
        <w:rPr>
          <w14:textOutline w14:w="0" w14:cap="flat" w14:cmpd="sng" w14:algn="ctr">
            <w14:noFill/>
            <w14:prstDash w14:val="solid"/>
            <w14:bevel/>
          </w14:textOutline>
        </w:rPr>
        <w:t>.</w:t>
      </w:r>
      <w:r w:rsidRPr="00D360B4">
        <w:rPr>
          <w14:textOutline w14:w="0" w14:cap="flat" w14:cmpd="sng" w14:algn="ctr">
            <w14:noFill/>
            <w14:prstDash w14:val="solid"/>
            <w14:bevel/>
          </w14:textOutline>
        </w:rPr>
        <w:tab/>
        <w:t>prima na znanje da je nekoliko glavnih uprava izrazilo zabrinutost oko privlačenja talenata i specijaliziranih profila koji su ključni za obavljanje temeljnih aktivnosti Parlamenta; napominje da se za moguću internalizaciju mogu uzeti u obzir samo usluge koje su ključne; ističe da neke usluge pružaju vanjski pružatelji usluga zbog specifične prirode tih usluga zbog koje one ne ispunjavaju uvjete za internalizaciju; stoga smatra da upravljačka tijela pri razmatranju opcija za internalizaciju ne bi trebala uzeti u obzir službe koje ne ispunjavaju te uvjete;</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6</w:t>
      </w:r>
      <w:r w:rsidR="00DF498A">
        <w:rPr>
          <w14:textOutline w14:w="0" w14:cap="flat" w14:cmpd="sng" w14:algn="ctr">
            <w14:noFill/>
            <w14:prstDash w14:val="solid"/>
            <w14:bevel/>
          </w14:textOutline>
        </w:rPr>
        <w:t>6</w:t>
      </w:r>
      <w:r w:rsidRPr="00D360B4">
        <w:rPr>
          <w14:textOutline w14:w="0" w14:cap="flat" w14:cmpd="sng" w14:algn="ctr">
            <w14:noFill/>
            <w14:prstDash w14:val="solid"/>
            <w14:bevel/>
          </w14:textOutline>
        </w:rPr>
        <w:t>.</w:t>
      </w:r>
      <w:r w:rsidRPr="00D360B4">
        <w:rPr>
          <w14:textOutline w14:w="0" w14:cap="flat" w14:cmpd="sng" w14:algn="ctr">
            <w14:noFill/>
            <w14:prstDash w14:val="solid"/>
            <w14:bevel/>
          </w14:textOutline>
        </w:rPr>
        <w:tab/>
        <w:t>pozdravlja rad DG PERS-a s akreditiranim parlamentarnim asistentima; ističe da je Odjel za informiranje DG PERS-a održao 85 informativnih sastanaka za dužnosnike, privremene djelatnike i ugovorne djelatnike te akreditirane parlamentarne asistente, uz šest internetskih seminara o umirovljenju i 14 informativnih sastanaka za nove stažiste zastupnika; pozdravlja rad Odjela za odnose akreditiranih parlamentarnih asistenata u vezi sa zapošljavanjem i upravljanjem ugovorima akreditiranih parlamentarnih asistenata te njegovu ulogu kontaktne točke za sva povezana pitanja i postupke; napominje da je taj odjel odgovorio na 12 405 zahtjeva za informacije, uključujući zapošljavanje, izmjene, obnove i raskide ugovora; sa zadovoljstvom primjećuje da je 100 % ugovora za akreditirane parlamentarne asistente sklopljeno u roku od 10 radnih dana;</w:t>
      </w:r>
    </w:p>
    <w:p w:rsidR="00C51297" w:rsidRPr="00D360B4" w:rsidRDefault="00C51297" w:rsidP="00C51297">
      <w:pPr>
        <w:pStyle w:val="NormalHanging12a"/>
      </w:pPr>
      <w:r w:rsidRPr="00D360B4">
        <w:t>6</w:t>
      </w:r>
      <w:r w:rsidR="00DF498A">
        <w:t>7</w:t>
      </w:r>
      <w:r w:rsidRPr="00D360B4">
        <w:t>.</w:t>
      </w:r>
      <w:r w:rsidRPr="00D360B4">
        <w:tab/>
        <w:t>sa zadovoljstvom primjećuje da je, u skladu sa zahtjevom iz rezolucije o davanju razrješnice za 2021., Predsjedništvo na sjednici 10. srpnja 2023. zatražilo uvođenje sporazumnog raskida ugovora između zastupnika i njihovih akreditiranih parlamentarnih asistenata u slučajevima kada je raskid ugovora akreditiranog parlamentarnog asistenta potreban zbog drugih razloga osim gubitka povjerenja;</w:t>
      </w:r>
    </w:p>
    <w:p w:rsidR="00C51297" w:rsidRPr="00D360B4" w:rsidRDefault="00C51297" w:rsidP="00C51297">
      <w:pPr>
        <w:pStyle w:val="NormalHanging12a"/>
      </w:pPr>
      <w:r w:rsidRPr="00D360B4">
        <w:t>6</w:t>
      </w:r>
      <w:r w:rsidR="00DF498A">
        <w:t>8</w:t>
      </w:r>
      <w:r w:rsidRPr="00D360B4">
        <w:t>.</w:t>
      </w:r>
      <w:r w:rsidRPr="00D360B4">
        <w:tab/>
        <w:t xml:space="preserve">potvrđuje da je rad akreditiranih parlamentarnih asistenata sastavni dio rada zastupnika i da akreditirani parlamentarni asistenti imaju važnu ulogu u zakonodavnim postupcima Unije; napominje da je nakon usvajanja Statuta akreditiranih parlamentarnih asistenata 2009. priznanje njihova </w:t>
      </w:r>
      <w:r w:rsidR="00EC153F" w:rsidRPr="00EC153F">
        <w:t>rada</w:t>
      </w:r>
      <w:r w:rsidR="00EC153F">
        <w:t xml:space="preserve"> </w:t>
      </w:r>
      <w:r w:rsidRPr="00D360B4">
        <w:t>postupno ojačano tijekom godina; prima na znanje napore koje je Parlament uložio u stvaranje okvira za pružanje potpore akreditiranim parlamentarnim asistentima</w:t>
      </w:r>
      <w:r w:rsidR="00EC153F" w:rsidRPr="00EC153F">
        <w:t>; traži od Pre</w:t>
      </w:r>
      <w:r w:rsidR="00DF7B04">
        <w:t>dsjedništva</w:t>
      </w:r>
      <w:r w:rsidR="00EC153F" w:rsidRPr="00EC153F">
        <w:t xml:space="preserve"> i uprave Parlamenta da se redovito i formalno savjetuju s Odborom akreditiranih parlamentarnih asistenata o revizijama i reformama koje izravno utječu na prava akreditiranih parlamentarnih asistenata</w:t>
      </w:r>
      <w:r w:rsidRPr="00D360B4">
        <w:t>; traži dužno poštovanje postojećih pravila; poziva upravu Parlamenta da istraži izvedivost uvođenja otkaznog roka u ugovore akreditiranih parlamentarnih asistenata u slučaju dobrovoljnog ili nedobrovoljnog neočekivanog odlaska zastupnika u Europskom parlamentu;</w:t>
      </w:r>
      <w:r w:rsidRPr="00D360B4">
        <w:rPr>
          <w:b/>
          <w:i/>
        </w:rPr>
        <w:t> </w:t>
      </w:r>
    </w:p>
    <w:p w:rsidR="00C51297" w:rsidRPr="00D360B4" w:rsidRDefault="00C51297" w:rsidP="00C51297">
      <w:pPr>
        <w:pStyle w:val="NormalHanging12a"/>
      </w:pPr>
      <w:r w:rsidRPr="00D360B4">
        <w:t>6</w:t>
      </w:r>
      <w:r w:rsidR="00DF498A">
        <w:t>9</w:t>
      </w:r>
      <w:r w:rsidRPr="00D360B4">
        <w:t>.</w:t>
      </w:r>
      <w:r w:rsidRPr="00D360B4">
        <w:tab/>
        <w:t xml:space="preserve">napominje da akreditirani parlamentarni asistenti sudjeluju u službenim putovanjima u tri mjesta rada Parlamenta; napominje da je 11. prosinca 2023. Predsjedništvo donijelo </w:t>
      </w:r>
      <w:r w:rsidRPr="00D360B4">
        <w:lastRenderedPageBreak/>
        <w:t xml:space="preserve">izmjene Provedbenih mjera za glavu VII. Uvjeta zaposlenja ostalih službenika Europske unije, kojom se uređuje zapošljavanje akreditiranih parlamentarnih asistenata; napominje da se u skladu s tom odlukom pravila primjenjiva na službena putovanja dužnosnika i ostalih službenika Parlamenta primjenjuju na akreditirane parlamentarne asistente </w:t>
      </w:r>
      <w:proofErr w:type="spellStart"/>
      <w:r w:rsidRPr="00D360B4">
        <w:t>mutatis</w:t>
      </w:r>
      <w:proofErr w:type="spellEnd"/>
      <w:r w:rsidRPr="00D360B4">
        <w:t xml:space="preserve"> </w:t>
      </w:r>
      <w:proofErr w:type="spellStart"/>
      <w:r w:rsidRPr="00D360B4">
        <w:t>mutandis</w:t>
      </w:r>
      <w:proofErr w:type="spellEnd"/>
      <w:r w:rsidRPr="00D360B4">
        <w:t xml:space="preserve">; napominje da akreditirani parlamentarni asistenti koji imaju potvrđeni putni nalog za putovanje u Strasbourg tijekom plenarnih sjednica Europskog parlamenta mogu onamo putovati čarter vlakom; napominje da se, u slučaju da su čarter vlakovi </w:t>
      </w:r>
      <w:proofErr w:type="spellStart"/>
      <w:r w:rsidRPr="00D360B4">
        <w:t>Eurostara</w:t>
      </w:r>
      <w:proofErr w:type="spellEnd"/>
      <w:r w:rsidRPr="00D360B4">
        <w:t xml:space="preserve"> puni, akreditiranim parlamentarnim asistentima nude znatno lošije i manje pouzdane mogućnosti putovanja nego drugom osoblju Parlamenta; poziva Parlament da ispita potrebu za dodatnim vlakom; ponovno ističe da je akreditiranim parlamentarnim asistentima koji prate zastupnike na sjednice u </w:t>
      </w:r>
      <w:proofErr w:type="spellStart"/>
      <w:r w:rsidRPr="00D360B4">
        <w:t>Strasbourgu</w:t>
      </w:r>
      <w:proofErr w:type="spellEnd"/>
      <w:r w:rsidRPr="00D360B4">
        <w:t xml:space="preserve"> potreban putni nalog te da im se trebaju nadoknaditi troškovi u skladu s važećim pravilima;</w:t>
      </w:r>
    </w:p>
    <w:p w:rsidR="00C51297" w:rsidRPr="00D360B4" w:rsidRDefault="00DF498A" w:rsidP="00C51297">
      <w:pPr>
        <w:pStyle w:val="NormalHanging12a"/>
      </w:pPr>
      <w:r>
        <w:t>70</w:t>
      </w:r>
      <w:r w:rsidR="00C51297" w:rsidRPr="00D360B4">
        <w:t>.</w:t>
      </w:r>
      <w:r w:rsidR="00C51297" w:rsidRPr="00D360B4">
        <w:tab/>
        <w:t>primjećuje da se Odlukom Predsjedništva o važećim pravilima o službenim putovanjima Odbora izvan triju mjesta rada, kako je izmijenjena u studenome 2011. nakon rasprava Konferencije predsjednikâ u travnju 2011. i rasprava Predsjedništva u studenome 2011., trenutačno zabranjuje akreditiranim parlamentarnim asistentima da prate zastupnike na službenim putovanjima izaslanstava Parlamenta i službenim putovanjima odborâ; napominje da dopuštanje neslužbenog sudjelovanja akreditiranih parlamentarnih asistenata u službenim putovanjima Europskog parlamenta predstavlja ozbiljan rizik za ugled Parlamenta i stvara određene probleme s obzirom na pokriće njihova osiguranja; podsjeća da zastupnike u Europskom parlamentu na tim službenim putovanjima već prate predstavnici klubova zastupnika</w:t>
      </w:r>
      <w:r w:rsidR="00EC153F" w:rsidRPr="00EC153F">
        <w:t>, ali ističe da je tehnička potpora koju akreditirani parlamentarni asistenti pružaju tijekom službenih putovanja od ključne važnosti za zastupnike koji sudjeluju u službenom putovanju; ponavlja svoj dugogodišnji zahtjev da se akreditiranim parlamentarnim asistentima dopusti da, pod određenim uvjetima koje treba utvrditi, prate zastupnike na službenim putovanjima izaslanstava Parlamenta i drugim službenim putovanjima izvan triju mjesta rada, kao što je ponovljeno na plenarnoj sjednici u rezolucijama o razrješnici; poziva Predsjedništvo i Konferenciju predsjednika da pozitivno odgovore na taj zahtjev</w:t>
      </w:r>
      <w:r w:rsidR="00C51297" w:rsidRPr="00D360B4">
        <w:t>;</w:t>
      </w:r>
      <w:r w:rsidR="00EC153F">
        <w:t xml:space="preserve"> </w:t>
      </w:r>
    </w:p>
    <w:p w:rsidR="00C51297" w:rsidRPr="00D360B4" w:rsidRDefault="00DF498A" w:rsidP="00C51297">
      <w:pPr>
        <w:pStyle w:val="NormalHanging12a"/>
      </w:pPr>
      <w:r>
        <w:t>71</w:t>
      </w:r>
      <w:r w:rsidR="00C51297" w:rsidRPr="00D360B4">
        <w:t>.</w:t>
      </w:r>
      <w:r w:rsidR="00C51297" w:rsidRPr="00D360B4">
        <w:tab/>
        <w:t xml:space="preserve">podsjeća da su akreditirani parlamentarni asistenti bez obzira na svoje iskustvo i kvalifikacije isključeni iz sudjelovanja na internim natječajima Parlamenta; poziva Predsjedništvo da istraži mogućnost pružanja jednakih prilika akreditiranim parlamentarnim asistentima uz pošten tretman i u skladu s kriterijima koje su odredile relevantne glavne uprave kako bi im se omogućilo da, pod uvjetima koje treba utvrditi, sudjeluju na internim natječajima ravnopravno s osobljem Europskog parlamenta; napominje da akreditirani parlamentarni asistenti višegodišnjim iskustvom stječu temeljito razumijevanje političkih i tehničkih aspekata izvršavanja mandata zastupnika u Europskom parlamentu te različitih pravnih postupaka Unije; ističe da bi veće uključivanje akreditiranih parlamentarnih asistenata u interne strukture Parlamenta moglo dovesti do </w:t>
      </w:r>
      <w:proofErr w:type="spellStart"/>
      <w:r w:rsidR="00C51297" w:rsidRPr="00D360B4">
        <w:t>uključivije</w:t>
      </w:r>
      <w:proofErr w:type="spellEnd"/>
      <w:r w:rsidR="00C51297" w:rsidRPr="00D360B4">
        <w:t>, raznolikije i geografski uravnoteženije radne snage; ističe važnost zadržavanja i prenošenja znanja unutar Europskog parlamenta u vezi s internim metodama rada;</w:t>
      </w:r>
    </w:p>
    <w:p w:rsidR="00C51297" w:rsidRPr="00D360B4" w:rsidRDefault="00DF498A" w:rsidP="00C51297">
      <w:pPr>
        <w:pStyle w:val="NormalHanging12a"/>
      </w:pPr>
      <w:r>
        <w:t>72</w:t>
      </w:r>
      <w:r w:rsidR="00C51297" w:rsidRPr="00D360B4">
        <w:t>.</w:t>
      </w:r>
      <w:r w:rsidR="00C51297" w:rsidRPr="00D360B4">
        <w:tab/>
        <w:t>napominje da je razdoblje mirovanja primjenjivo na akreditirane parlamentarne asistente barem dvostruko dulje od razdoblja mirovanja primjenjivog na zastupnike u Europskom parlamentu; poziva na raspravu o usklađivanju razdoblja mirovanja za zaposlenike Europskog parlamenta;</w:t>
      </w:r>
    </w:p>
    <w:p w:rsidR="00C51297" w:rsidRPr="00D360B4" w:rsidRDefault="00DF498A" w:rsidP="00C51297">
      <w:pPr>
        <w:pStyle w:val="NormalHanging12a"/>
      </w:pPr>
      <w:r>
        <w:t>73</w:t>
      </w:r>
      <w:r w:rsidR="00C51297" w:rsidRPr="00D360B4">
        <w:t>.</w:t>
      </w:r>
      <w:r w:rsidR="00C51297" w:rsidRPr="00D360B4">
        <w:tab/>
        <w:t xml:space="preserve">pozdravlja napredak ostvaren u pogledu revizije pravila kojima se uređuje zapošljavanje akreditiranih parlamentarnih asistenata; pozdravlja pozitivno usklađivanje koje </w:t>
      </w:r>
      <w:r w:rsidR="00C51297" w:rsidRPr="00D360B4">
        <w:lastRenderedPageBreak/>
        <w:t xml:space="preserve">spomenuta odluka donosi za osoblje; pozdravlja dogovor postignut u pogledu sporazumnog raskida ugovora između akreditiranih parlamentarnih asistenata i zastupnika u Europskom parlamentu; pozdravlja usklađivanje pravila o naknadama za troškove službenih putovanja koja se primjenjuju na akreditirane parlamentarne asistente i na osoblje; pozdravlja reviziju obveznog osposobljavanja za akreditirane parlamentarne asistente nakon što stupe na dužnost; pozdravlja reviziju pravila o </w:t>
      </w:r>
      <w:proofErr w:type="spellStart"/>
      <w:r w:rsidR="00C51297" w:rsidRPr="00D360B4">
        <w:t>rodiljnom</w:t>
      </w:r>
      <w:proofErr w:type="spellEnd"/>
      <w:r w:rsidR="00C51297" w:rsidRPr="00D360B4">
        <w:t xml:space="preserve"> dopustu za akreditirane parlamentarne asistente kako bi se poboljšalo učinkovito korištenje resursa zastupnika u Europskom parlamentu; pohvaljuje Predsjedništvo Europskog parlamenta zbog usklađivanja sa zahtjevima istaknutim na plenarnoj sjednici Europskog parlamenta i pohvaljuje doprinos Odbora akreditiranih parlamentarnih asistenata proteklih godina; potiče Predsjedništvo Parlamenta da nastavi taj konstruktivni rad s Odborom akreditiranih parlamentarnih asistenata u pogledu drugih neriješenih pitanja;</w:t>
      </w:r>
    </w:p>
    <w:p w:rsidR="00B16816" w:rsidRDefault="00DF498A" w:rsidP="00C51297">
      <w:pPr>
        <w:pStyle w:val="NormalHanging12a"/>
      </w:pPr>
      <w:r>
        <w:t>74</w:t>
      </w:r>
      <w:r w:rsidR="00C51297" w:rsidRPr="00D360B4">
        <w:t>.</w:t>
      </w:r>
      <w:r w:rsidR="00C51297" w:rsidRPr="00D360B4">
        <w:tab/>
        <w:t xml:space="preserve">radi jačanja transparentnosti i odgovornosti u poslovanju Europskog parlamenta te promicanja pravedne raspodjele resursa, predlažu se sljedeće izmjene u pogledu parlamentarne pomoći te ukupnih gornjih granica i proračuna: </w:t>
      </w:r>
    </w:p>
    <w:p w:rsidR="00B16816" w:rsidRDefault="00B16816" w:rsidP="00B16816">
      <w:pPr>
        <w:pStyle w:val="NormalHanging12a"/>
        <w:ind w:left="1134"/>
      </w:pPr>
      <w:r>
        <w:t>1.</w:t>
      </w:r>
      <w:r>
        <w:tab/>
      </w:r>
      <w:r w:rsidR="00C51297" w:rsidRPr="00D360B4">
        <w:t xml:space="preserve">minimalna dodijeljena proračunska sredstva za parlamentarnu pomoć (akreditirani parlamentarni asistenti) moraju se utvrditi na najmanje 35 %; </w:t>
      </w:r>
    </w:p>
    <w:p w:rsidR="00B16816" w:rsidRDefault="00B16816" w:rsidP="00B16816">
      <w:pPr>
        <w:pStyle w:val="NormalHanging12a"/>
        <w:ind w:left="1134"/>
      </w:pPr>
      <w:r>
        <w:t>2.</w:t>
      </w:r>
      <w:r>
        <w:tab/>
      </w:r>
      <w:r w:rsidR="00C51297" w:rsidRPr="00D360B4">
        <w:t xml:space="preserve">maksimalna dodijeljena proračunska sredstva za druge korisnike ograničavaju se na 65 % i dijele na sljedeći način: </w:t>
      </w:r>
    </w:p>
    <w:p w:rsidR="00B16816" w:rsidRDefault="00B16816" w:rsidP="00B16816">
      <w:pPr>
        <w:pStyle w:val="NormalHanging12a"/>
        <w:ind w:left="1701"/>
      </w:pPr>
      <w:r>
        <w:t>a.</w:t>
      </w:r>
      <w:r>
        <w:tab/>
      </w:r>
      <w:r w:rsidR="00C51297" w:rsidRPr="00D360B4">
        <w:t>maksimalna dodijeljena proračunska sredstva za pružatelje usluga ograničavaju se na 25 %,</w:t>
      </w:r>
    </w:p>
    <w:p w:rsidR="00B16816" w:rsidRDefault="00B16816" w:rsidP="00B16816">
      <w:pPr>
        <w:pStyle w:val="NormalHanging12a"/>
        <w:ind w:left="1701"/>
      </w:pPr>
      <w:r>
        <w:t>b.</w:t>
      </w:r>
      <w:r>
        <w:tab/>
      </w:r>
      <w:r w:rsidR="00C51297" w:rsidRPr="00D360B4">
        <w:t xml:space="preserve">maksimalna dodijeljena proračunska sredstva za lokalne asistente ograničavaju se na 25 %, </w:t>
      </w:r>
    </w:p>
    <w:p w:rsidR="00C51297" w:rsidRPr="00D360B4" w:rsidRDefault="00C51297" w:rsidP="00B16816">
      <w:pPr>
        <w:pStyle w:val="NormalHanging12a"/>
        <w:ind w:left="1701"/>
      </w:pPr>
      <w:r w:rsidRPr="00D360B4">
        <w:t>c</w:t>
      </w:r>
      <w:r w:rsidR="00B16816">
        <w:t>.</w:t>
      </w:r>
      <w:r w:rsidR="00B16816">
        <w:tab/>
      </w:r>
      <w:r w:rsidRPr="00D360B4">
        <w:t>maksimalna dodijeljena proračunska sredstva za stažiste ograničavaju se na 15 %;</w:t>
      </w:r>
    </w:p>
    <w:p w:rsidR="00C51297" w:rsidRPr="00D360B4" w:rsidRDefault="008400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75</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je nakon dvaju izdanja Programa Schuman za zapošljavanje i razvoj koja su dovršena 2022., te godine zaposleno 16 % osoba s popisa kandidata; ističe da je kao rezultat toga zaposleno 50 uspješnih kandidata iz 16 različitih država članica; napominje da je od tih država članica devet država članica koje je predstavljalo malo ili vrlo malo članova osoblja sada zastupljenije i predstavlja ih 70 % odgovarajućih uspješnih kandidata; ističe stvaranje mreže bivših stažista u Parlamentu koju je glavni tajnik odobrio krajem 2022.;</w:t>
      </w: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7</w:t>
      </w:r>
      <w:r w:rsidR="0084000C">
        <w:rPr>
          <w14:textOutline w14:w="0" w14:cap="flat" w14:cmpd="sng" w14:algn="ctr">
            <w14:noFill/>
            <w14:prstDash w14:val="solid"/>
            <w14:bevel/>
          </w14:textOutline>
        </w:rPr>
        <w:t>6</w:t>
      </w:r>
      <w:r w:rsidRPr="00D360B4">
        <w:rPr>
          <w14:textOutline w14:w="0" w14:cap="flat" w14:cmpd="sng" w14:algn="ctr">
            <w14:noFill/>
            <w14:prstDash w14:val="solid"/>
            <w14:bevel/>
          </w14:textOutline>
        </w:rPr>
        <w:t>.</w:t>
      </w:r>
      <w:r w:rsidRPr="00D360B4">
        <w:rPr>
          <w14:textOutline w14:w="0" w14:cap="flat" w14:cmpd="sng" w14:algn="ctr">
            <w14:noFill/>
            <w14:prstDash w14:val="solid"/>
            <w14:bevel/>
          </w14:textOutline>
        </w:rPr>
        <w:tab/>
        <w:t>pozdravlja činjenicu da je DG PERS proveo program pozitivnih mjera za kandidate s invaliditetom, što je dovelo do znatno većeg broja prijava nego prethodnih godina;</w:t>
      </w:r>
    </w:p>
    <w:p w:rsidR="00C51297" w:rsidRPr="00D360B4" w:rsidRDefault="00C51297" w:rsidP="00C51297">
      <w:pPr>
        <w:pStyle w:val="NormalHanging12a"/>
      </w:pPr>
      <w:r w:rsidRPr="00D360B4">
        <w:t>7</w:t>
      </w:r>
      <w:r w:rsidR="0084000C">
        <w:t>7</w:t>
      </w:r>
      <w:r w:rsidRPr="00D360B4">
        <w:t>.</w:t>
      </w:r>
      <w:r w:rsidRPr="00D360B4">
        <w:tab/>
        <w:t>podsjeća na odluku glavnog tajnika iz studenoga 2022. o novim pravilima za rad na daljinu u Parlamentu koja se primjenjuju na Glavno tajništvo Parlamenta; podsjeća da zastupnici i klubovi zastupnika također mogu odlučiti primjenjivati pravila o radu na daljinu kako je utvrđeno u toj odluci; napominje da je uravnoteženo korištenje hibridnog radnog okruženja korisno i produktivno te stoga pozdravlja odluku o zadržavanju mogućnosti rada na daljinu; podsjeća da je fizička prisutnost uvijek od ključne važnosti za učinkovitu i djelotvornu interakciju svih dionika u svakom parlamentarnom postupku;</w:t>
      </w:r>
    </w:p>
    <w:p w:rsidR="00C51297" w:rsidRPr="00D360B4" w:rsidRDefault="00C51297" w:rsidP="00C51297">
      <w:pPr>
        <w:pStyle w:val="NormalHanging12a"/>
      </w:pPr>
      <w:r w:rsidRPr="00D360B4">
        <w:lastRenderedPageBreak/>
        <w:t>7</w:t>
      </w:r>
      <w:r w:rsidR="0084000C">
        <w:t>8</w:t>
      </w:r>
      <w:r w:rsidRPr="00D360B4">
        <w:t>.</w:t>
      </w:r>
      <w:r w:rsidRPr="00D360B4">
        <w:tab/>
        <w:t xml:space="preserve">smatra da je za zadovoljavanje potreba uprave Parlamenta (uključujući koheziju unutar timova, internu komunikaciju i uključivanje </w:t>
      </w:r>
      <w:proofErr w:type="spellStart"/>
      <w:r w:rsidRPr="00D360B4">
        <w:t>novopridošlih</w:t>
      </w:r>
      <w:proofErr w:type="spellEnd"/>
      <w:r w:rsidRPr="00D360B4">
        <w:t xml:space="preserve"> zaposlenika u posao), što bi pozitivno utjecalo na uspješnost uprave Parlamenta i privlačnost Parlamenta kao poslodavca, potrebno nastaviti provoditi analizu novih načina rada; prima na znanje uvođenje mogućnosti da osoblje radi na daljinu iz inozemstva pet dana godišnje; konstatira da su nekim mjerama povezanima s </w:t>
      </w:r>
      <w:proofErr w:type="spellStart"/>
      <w:r w:rsidRPr="00D360B4">
        <w:t>pandemijom</w:t>
      </w:r>
      <w:proofErr w:type="spellEnd"/>
      <w:r w:rsidRPr="00D360B4">
        <w:t xml:space="preserve"> bolesti COVID-19 izmijenjeni radni uvjeti u određenim službama; poziva na </w:t>
      </w:r>
      <w:proofErr w:type="spellStart"/>
      <w:r w:rsidRPr="00D360B4">
        <w:t>proaktivno</w:t>
      </w:r>
      <w:proofErr w:type="spellEnd"/>
      <w:r w:rsidRPr="00D360B4">
        <w:t xml:space="preserve"> praćenje i evaluaciju novih načina rada kako bi se izbjegao negativan utjecaj na dobrobit i zadovoljstvo osoblja;</w:t>
      </w:r>
    </w:p>
    <w:p w:rsidR="00C51297" w:rsidRDefault="00C51297" w:rsidP="00C51297">
      <w:pPr>
        <w:pStyle w:val="NormalHanging12a"/>
      </w:pPr>
      <w:r w:rsidRPr="00D360B4">
        <w:t>7</w:t>
      </w:r>
      <w:r w:rsidR="0084000C">
        <w:t>9</w:t>
      </w:r>
      <w:r w:rsidRPr="00D360B4">
        <w:t>.</w:t>
      </w:r>
      <w:r w:rsidRPr="00D360B4">
        <w:tab/>
        <w:t>napominje da je od 459 zastupnika 8. parlamentarnog saziva koji nisu ponovno izabrani 2019. Parlament primio samo jednu obavijest o zapošljavanju nakon isteka mandata (članak 6. Kodeksa ponašanja); pozdravlja zabranu lobiranja za bivše zastupnike tijekom šestomjesečnog razdoblja nakon isteka njihova mandata i uvođenje postupka u slučaju neusklađenosti; pohvaljuje činjenicu da više nije moguće izdati lobističku iskaznicu bivšem zastupniku tijekom šestomjesečnog razdoblja nakon isteka njegova mandata i da se njegova iskaznica bivšeg zastupnika deaktivira ako se bivšem zastupniku nakon tog razdoblja izda lobistička iskaznica; napominje da je 2022. od 199 dužnosnika koji su napustili službu njih 65 zatražilo dopuštenje za obavljanje djelatnosti nakon napuštanja službe (članak 16. Pravilnika o osoblju); poziva Parlament da uspostavi stroža pravila za reguliranje prakse „rotirajućih vrata” za zastupnike i javne službenike;</w:t>
      </w:r>
    </w:p>
    <w:p w:rsidR="00246F70" w:rsidRPr="00D360B4" w:rsidRDefault="0084000C" w:rsidP="00C51297">
      <w:pPr>
        <w:pStyle w:val="NormalHanging12a"/>
      </w:pPr>
      <w:r>
        <w:t>80</w:t>
      </w:r>
      <w:r w:rsidR="00246F70">
        <w:t>.</w:t>
      </w:r>
      <w:r w:rsidR="00246F70" w:rsidRPr="00246F70">
        <w:tab/>
        <w:t>čvrsto vjeruje da sponzoriranje događanja i putovanja nikada ne bi smjelo služiti kao sredstvo za ugrožavanje vrijednosti Unije ili širenje neprijateljskih informacija autoritarnih režima; ponovno poziva na stroža pravila za putovanja zastupnika koja plaćaju strane zemlje i subjekti; smatra da bi slična pravila trebalo utvrditi za putovanja akreditiranih parlamentarnih asistenata ili osoblja klubova zastupnika;</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Glavna uprava za infrastrukturu i logistiku</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81</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podsjeća da Glavna uprava za infrastrukturu i logistiku (DG INLO) upravlja objektima koji obuhvaćaju 1,3 milijuna m² u Bruxellesu, Luxembourgu i </w:t>
      </w:r>
      <w:proofErr w:type="spellStart"/>
      <w:r w:rsidR="00C51297" w:rsidRPr="00D360B4">
        <w:rPr>
          <w14:textOutline w14:w="0" w14:cap="flat" w14:cmpd="sng" w14:algn="ctr">
            <w14:noFill/>
            <w14:prstDash w14:val="solid"/>
            <w14:bevel/>
          </w14:textOutline>
        </w:rPr>
        <w:t>Strasbourgu</w:t>
      </w:r>
      <w:proofErr w:type="spellEnd"/>
      <w:r w:rsidR="00C51297" w:rsidRPr="00D360B4">
        <w:rPr>
          <w14:textOutline w14:w="0" w14:cap="flat" w14:cmpd="sng" w14:algn="ctr">
            <w14:noFill/>
            <w14:prstDash w14:val="solid"/>
            <w14:bevel/>
          </w14:textOutline>
        </w:rPr>
        <w:t xml:space="preserve">, kao i uredima za vezu i objektima Europa </w:t>
      </w:r>
      <w:proofErr w:type="spellStart"/>
      <w:r w:rsidR="00C51297" w:rsidRPr="00D360B4">
        <w:rPr>
          <w14:textOutline w14:w="0" w14:cap="flat" w14:cmpd="sng" w14:algn="ctr">
            <w14:noFill/>
            <w14:prstDash w14:val="solid"/>
            <w14:bevel/>
          </w14:textOutline>
        </w:rPr>
        <w:t>Experience</w:t>
      </w:r>
      <w:proofErr w:type="spellEnd"/>
      <w:r w:rsidR="00C51297" w:rsidRPr="00D360B4">
        <w:rPr>
          <w14:textOutline w14:w="0" w14:cap="flat" w14:cmpd="sng" w14:algn="ctr">
            <w14:noFill/>
            <w14:prstDash w14:val="solid"/>
            <w14:bevel/>
          </w14:textOutline>
        </w:rPr>
        <w:t xml:space="preserve"> u državama članicama; napominje da DG INLO također pruža usluge pripreme i dostave hrane i prijevoza te upravlja uredima i prostorima Parlamenta za sastanke te ih oprema; napominje da je na dan 31. prosinca 2022. ta uprava zapošljavala 652 člana osoblja, od čega 267 dužnosnika, 47 privremenih djelatnika i 338 ugovornih djelatnika;</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82</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napominje da su konačna odobrena sredstva DG INLO-a 2022. iznosila 271 191 093 EUR, što predstavlja 12,5 % proračuna Parlamenta; ističe da je od tog iznosa odobreno ukupno 269 189 287 EUR; pozdravlja veliku iskorištenost odobrenih sredstava; prima na znanje da su proračunske stavke u kojima je stopa potrošnje bila niža od 95 % bile u području mobilnosti, neuspješnog poziva za podnošenje ponuda za kupnju vozila i manje aktivnosti od očekivane zbog </w:t>
      </w:r>
      <w:proofErr w:type="spellStart"/>
      <w:r w:rsidR="00C51297" w:rsidRPr="00D360B4">
        <w:rPr>
          <w14:textOutline w14:w="0" w14:cap="flat" w14:cmpd="sng" w14:algn="ctr">
            <w14:noFill/>
            <w14:prstDash w14:val="solid"/>
            <w14:bevel/>
          </w14:textOutline>
        </w:rPr>
        <w:t>pandemije</w:t>
      </w:r>
      <w:proofErr w:type="spellEnd"/>
      <w:r w:rsidR="00C51297" w:rsidRPr="00D360B4">
        <w:rPr>
          <w14:textOutline w14:w="0" w14:cap="flat" w14:cmpd="sng" w14:algn="ctr">
            <w14:noFill/>
            <w14:prstDash w14:val="solid"/>
            <w14:bevel/>
          </w14:textOutline>
        </w:rPr>
        <w:t xml:space="preserve"> bolesti COVID-19, što je dovelo do nižih rashoda za unutarnje sastanke;</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83</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uviđa da Strategija za upravljanje nekretninama Parlamenta nakon 2019. pruža usklađen okvir za buduće odluke i doprinosi konsolidaciji portfelja nekretnina Parlamenta uz prilagodbu objekata razvoju obrazaca održavanja sastanaka, lokalnom razvoju i približavanju građanima putem objekata Europa </w:t>
      </w:r>
      <w:proofErr w:type="spellStart"/>
      <w:r w:rsidR="00C51297" w:rsidRPr="00D360B4">
        <w:rPr>
          <w14:textOutline w14:w="0" w14:cap="flat" w14:cmpd="sng" w14:algn="ctr">
            <w14:noFill/>
            <w14:prstDash w14:val="solid"/>
            <w14:bevel/>
          </w14:textOutline>
        </w:rPr>
        <w:t>Experience</w:t>
      </w:r>
      <w:proofErr w:type="spellEnd"/>
      <w:r w:rsidR="00C51297" w:rsidRPr="00D360B4">
        <w:rPr>
          <w14:textOutline w14:w="0" w14:cap="flat" w14:cmpd="sng" w14:algn="ctr">
            <w14:noFill/>
            <w14:prstDash w14:val="solid"/>
            <w14:bevel/>
          </w14:textOutline>
        </w:rPr>
        <w:t xml:space="preserve">, jačanju sigurnosti za zgrade Parlamenta te međusobnom povezivanju središnjih zgrada; napominje da je </w:t>
      </w:r>
      <w:r w:rsidR="00C51297" w:rsidRPr="00D360B4">
        <w:rPr>
          <w14:textOutline w14:w="0" w14:cap="flat" w14:cmpd="sng" w14:algn="ctr">
            <w14:noFill/>
            <w14:prstDash w14:val="solid"/>
            <w14:bevel/>
          </w14:textOutline>
        </w:rPr>
        <w:lastRenderedPageBreak/>
        <w:t>većina politika i mjera navedenih u aktualnoj strategiji za upravljanje nekretninama dovršena ili u tijeku;</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84</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naglašava potrebu za učinkovitim upravljanjem zgradama Parlamenta usmjerenim na rezultate; izražava zadovoljstvo rezultatima procjene zgrada 2022., o kojima je Predsjedništvo obaviješteno u lipnju 2022. u obliku putovnica za zgrade, gdje je rezultat indeksa dogradnje energetskih svojstava kvalitete unutarnjeg okoliša bio samo 0,1, što svjedoči o njihovu općem izvrsnom stanju i o učinkovitom planiranju preventivnog i korektivnog održavanja i održavanja koje provode nadležne službe Parlamenta u okviru integrirane strategije upravljanja objektima s naglaskom na upravljanju životnim ciklusom portfelja zgrada Parlamenta, koju je Predsjedništvo donijelo 8. ožujka 2021.;</w:t>
      </w:r>
    </w:p>
    <w:p w:rsidR="00C51297" w:rsidRPr="00D360B4" w:rsidRDefault="00E07D18" w:rsidP="00C51297">
      <w:pPr>
        <w:pStyle w:val="NormalHanging12a"/>
      </w:pPr>
      <w:r>
        <w:t>85</w:t>
      </w:r>
      <w:r w:rsidR="00C51297" w:rsidRPr="00D360B4">
        <w:t>.</w:t>
      </w:r>
      <w:r w:rsidR="00C51297" w:rsidRPr="00D360B4">
        <w:tab/>
        <w:t xml:space="preserve">pozdravlja predanost DG INLO-a provedbi okolišno održivih rješenja; napominje da je 2022. Parlament proizveo više od 19 % vlastite energije iz obnovljivih izvora; pozdravlja provedbu studije o proizvodnji električne energije na licu mjesta u </w:t>
      </w:r>
      <w:proofErr w:type="spellStart"/>
      <w:r w:rsidR="00C51297" w:rsidRPr="00D360B4">
        <w:t>Strasbourgu</w:t>
      </w:r>
      <w:proofErr w:type="spellEnd"/>
      <w:r w:rsidR="00C51297" w:rsidRPr="00D360B4">
        <w:t xml:space="preserve"> 2022. te naknadnu ugradnju 1400 m2 </w:t>
      </w:r>
      <w:proofErr w:type="spellStart"/>
      <w:r w:rsidR="00C51297" w:rsidRPr="00D360B4">
        <w:t>fotonaponskih</w:t>
      </w:r>
      <w:proofErr w:type="spellEnd"/>
      <w:r w:rsidR="00C51297" w:rsidRPr="00D360B4">
        <w:t xml:space="preserve"> solarnih ploča na zgradama PFLIMLIN, DE MADARIAGA i CHURCHILL, koja je u tijeku. naglašava da bi Parlament tu energiju mogao dijeliti s gradom </w:t>
      </w:r>
      <w:proofErr w:type="spellStart"/>
      <w:r w:rsidR="00C51297" w:rsidRPr="00D360B4">
        <w:t>Strasbourgom</w:t>
      </w:r>
      <w:proofErr w:type="spellEnd"/>
      <w:r w:rsidR="00C51297" w:rsidRPr="00D360B4">
        <w:t xml:space="preserve"> kad su prostorije Parlamenta uglavnom prazne; poziva Predsjedništvo da razmotri i mogućnost iznajmljivanja krovnih površina za postavljanje solarnih ploča vanjskim korisnicima i na taj ih način iskoristi kao dodatni izvor prihoda za Parlament;</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86</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prima na znanje otvaranje istočnog krila zgrade ADENAUER u Luxembourgu 10. svibnja 2022., čime će se, zajedno sa stavljanjem u upotrebu zapadnog krila nakon dovršetka njegove izgradnje 2024., osigurati jedinstvena zgrada u kojoj će se na jednom mjestu nalaziti sve službe Parlamenta koje se nalaze u Luxembourgu;</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87</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prima na znanje otvaranje 15 dvorana za seminare za posjetitelje, višenamjenske </w:t>
      </w:r>
      <w:proofErr w:type="spellStart"/>
      <w:r w:rsidR="00C51297" w:rsidRPr="00D360B4">
        <w:rPr>
          <w14:textOutline w14:w="0" w14:cap="flat" w14:cmpd="sng" w14:algn="ctr">
            <w14:noFill/>
            <w14:prstDash w14:val="solid"/>
            <w14:bevel/>
          </w14:textOutline>
        </w:rPr>
        <w:t>agore</w:t>
      </w:r>
      <w:proofErr w:type="spellEnd"/>
      <w:r w:rsidR="00C51297" w:rsidRPr="00D360B4">
        <w:rPr>
          <w14:textOutline w14:w="0" w14:cap="flat" w14:cmpd="sng" w14:algn="ctr">
            <w14:noFill/>
            <w14:prstDash w14:val="solid"/>
            <w14:bevel/>
          </w14:textOutline>
        </w:rPr>
        <w:t xml:space="preserve"> i Saharov </w:t>
      </w:r>
      <w:proofErr w:type="spellStart"/>
      <w:r w:rsidR="00C51297" w:rsidRPr="00D360B4">
        <w:rPr>
          <w14:textOutline w14:w="0" w14:cap="flat" w14:cmpd="sng" w14:algn="ctr">
            <w14:noFill/>
            <w14:prstDash w14:val="solid"/>
            <w14:bevel/>
          </w14:textOutline>
        </w:rPr>
        <w:t>Loungea</w:t>
      </w:r>
      <w:proofErr w:type="spellEnd"/>
      <w:r w:rsidR="00C51297" w:rsidRPr="00D360B4">
        <w:rPr>
          <w14:textOutline w14:w="0" w14:cap="flat" w14:cmpd="sng" w14:algn="ctr">
            <w14:noFill/>
            <w14:prstDash w14:val="solid"/>
            <w14:bevel/>
          </w14:textOutline>
        </w:rPr>
        <w:t xml:space="preserve"> u zgradi ZWEIG, što će doprinijeti boljem iskustvu posjetitelja Europskog parlamenta u Bruxellesu; prima na znanje dovršetak prolaza koji povezuje zgradu ZWEIG sa zgradama Odbora regija i Europskog gospodarskog i socijalnog odbora;</w:t>
      </w:r>
    </w:p>
    <w:p w:rsidR="00C51297" w:rsidRPr="00D360B4" w:rsidRDefault="00E07D18" w:rsidP="00C51297">
      <w:pPr>
        <w:pStyle w:val="NormalHanging12a"/>
      </w:pPr>
      <w:r>
        <w:t>88</w:t>
      </w:r>
      <w:r w:rsidR="00C51297" w:rsidRPr="00D360B4">
        <w:t>.</w:t>
      </w:r>
      <w:r w:rsidR="00C51297" w:rsidRPr="00D360B4">
        <w:tab/>
        <w:t>pozdravlja napore Parlamenta da potakne osoblje na upotrebu održivih načina prijevoza za odlazak na posao i s posla tako što im je omogućio besplatnu upotrebu povećanog broja klasičnih i električnih bicikala te im djelomičnim povratom cijene karata za javni prijevoz nadomješćuje ograničen pristup parkiralištima; pozdravlja novi sustav u okviru kojeg se nudi popust od 90 % za sezonske karte za javni prijevoz u Bruxellesu, koji je doveo do povećanja broja zaposlenika koji upotrebljavaju sezonsku kartu koju sufinancira Parlament za 26,57 %;</w:t>
      </w:r>
    </w:p>
    <w:p w:rsidR="00C51297" w:rsidRPr="00D360B4" w:rsidRDefault="00E07D18" w:rsidP="00C51297">
      <w:pPr>
        <w:pStyle w:val="NormalHanging12a"/>
      </w:pPr>
      <w:r>
        <w:t>89</w:t>
      </w:r>
      <w:r w:rsidR="00C51297" w:rsidRPr="00D360B4">
        <w:t>.</w:t>
      </w:r>
      <w:r w:rsidR="00C51297" w:rsidRPr="00D360B4">
        <w:tab/>
        <w:t xml:space="preserve">pozdravlja činjenicu da tijekom sjednica u </w:t>
      </w:r>
      <w:proofErr w:type="spellStart"/>
      <w:r w:rsidR="00C51297" w:rsidRPr="00D360B4">
        <w:t>Strasbourgu</w:t>
      </w:r>
      <w:proofErr w:type="spellEnd"/>
      <w:r w:rsidR="00C51297" w:rsidRPr="00D360B4">
        <w:t xml:space="preserve"> osoblje može unajmiti standardne i električne bicikle; pozdravlja povećanje voznog parka bicikala; žali zbog činjenice što su u praksi svi bicikli rezervirani danima unaprijed; poziva Parlament da ispita mogućnost da se u </w:t>
      </w:r>
      <w:proofErr w:type="spellStart"/>
      <w:r w:rsidR="00C51297" w:rsidRPr="00D360B4">
        <w:t>Strasbourgu</w:t>
      </w:r>
      <w:proofErr w:type="spellEnd"/>
      <w:r w:rsidR="00C51297" w:rsidRPr="00D360B4">
        <w:t xml:space="preserve"> ponudi više bicikala za najam te poveća vremenski okvir za njihovo preuzimanje kako bi se zadovoljila potražnja zastupnika i osoblja te pridonijelo održivoj mobilnosti;</w:t>
      </w:r>
    </w:p>
    <w:p w:rsidR="00C51297" w:rsidRDefault="00E07D18" w:rsidP="00C51297">
      <w:pPr>
        <w:pStyle w:val="NormalHanging12a"/>
      </w:pPr>
      <w:r>
        <w:t>90</w:t>
      </w:r>
      <w:r w:rsidR="00C51297" w:rsidRPr="00D360B4">
        <w:t>.</w:t>
      </w:r>
      <w:r w:rsidR="00C51297" w:rsidRPr="00D360B4">
        <w:tab/>
        <w:t>pozdravlja činjenicu da se postotak automobila s nultim emisijama ili hibridnih automobila na punjenje u voznom parku za prijevoz osoba povećao s 81 % u 2021. na 97 % u 2022.;</w:t>
      </w:r>
    </w:p>
    <w:p w:rsidR="008A4FA4" w:rsidRPr="00D360B4" w:rsidRDefault="00E07D18" w:rsidP="00C51297">
      <w:pPr>
        <w:pStyle w:val="NormalHanging12a"/>
      </w:pPr>
      <w:r>
        <w:lastRenderedPageBreak/>
        <w:t>91</w:t>
      </w:r>
      <w:r w:rsidR="008A4FA4">
        <w:t>.</w:t>
      </w:r>
      <w:r w:rsidR="008A4FA4" w:rsidRPr="008A4FA4">
        <w:tab/>
        <w:t xml:space="preserve">ističe da je 2022. velik dio mjesta u voznom parku za prijevoz na sjednice između Bruxellesa i </w:t>
      </w:r>
      <w:proofErr w:type="spellStart"/>
      <w:r w:rsidR="008A4FA4" w:rsidRPr="008A4FA4">
        <w:t>Strasbourga</w:t>
      </w:r>
      <w:proofErr w:type="spellEnd"/>
      <w:r w:rsidR="008A4FA4" w:rsidRPr="008A4FA4">
        <w:t xml:space="preserve"> bio slobodan; ponavlja svoj poziv upravi Parlamenta da proširi skupinu korisnika i omogući osoblju Parlamenta da koristi vozni park za prijevoz u Strasbourg i iz njega kad nema prisutnih zastupnika, pri čemu bi mjesta za zastupnike bila osigurana;</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92</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prepoznaje važnost i dodanu vrijednost certifikata EMAS Parlamenta u pogledu njegova institucijskog pristupa kad je riječ o održivom okolišu i kružnom gospodarstvu; prima na znanje mjere za uštedu vode i gospodarenje otpadom koje je u tu svrhu poduzela uprava;</w:t>
      </w:r>
    </w:p>
    <w:p w:rsidR="00C51297" w:rsidRPr="00D360B4" w:rsidRDefault="00E07D18" w:rsidP="00C51297">
      <w:pPr>
        <w:pStyle w:val="NormalHanging12a"/>
      </w:pPr>
      <w:r>
        <w:t>93</w:t>
      </w:r>
      <w:r w:rsidR="00C51297" w:rsidRPr="00D360B4">
        <w:t>.</w:t>
      </w:r>
      <w:r w:rsidR="00C51297" w:rsidRPr="00D360B4">
        <w:tab/>
      </w:r>
      <w:r w:rsidR="008A4FA4">
        <w:t>prima</w:t>
      </w:r>
      <w:r w:rsidR="00C51297" w:rsidRPr="00D360B4">
        <w:t xml:space="preserve"> na </w:t>
      </w:r>
      <w:r w:rsidR="008A4FA4">
        <w:t xml:space="preserve">znanje </w:t>
      </w:r>
      <w:r w:rsidR="008A4FA4" w:rsidRPr="008A4FA4">
        <w:t>jednoglasnu</w:t>
      </w:r>
      <w:r w:rsidR="008A4FA4">
        <w:t xml:space="preserve"> </w:t>
      </w:r>
      <w:r w:rsidR="00C51297" w:rsidRPr="00D360B4">
        <w:t xml:space="preserve">odluku Predsjedništva od 23. listopada 2019. o odobrenju osnivanja laboratorija IDEA u cilju testiranja novih, inovativnih rješenja u kontekstu upravljanja uredima i objektima; </w:t>
      </w:r>
      <w:r w:rsidR="008A4FA4" w:rsidRPr="008A4FA4">
        <w:t xml:space="preserve">pozdravlja stvaranje stalnog laboratorija za inovacije koji bi mogao dovesti do ušteda u budućim projektima obnove i poziva na uspostavu zasebne proračunske linije; </w:t>
      </w:r>
      <w:r w:rsidR="00C51297" w:rsidRPr="00D360B4">
        <w:t xml:space="preserve">ističe da bi laboratorij IDEA trebao biti na raspolaganju zastupnicima i </w:t>
      </w:r>
      <w:r w:rsidR="008A4FA4" w:rsidRPr="008A4FA4">
        <w:t>zahtijeva</w:t>
      </w:r>
      <w:r w:rsidR="00C51297" w:rsidRPr="00D360B4">
        <w:t xml:space="preserve"> </w:t>
      </w:r>
      <w:proofErr w:type="spellStart"/>
      <w:r w:rsidR="00C51297" w:rsidRPr="00D360B4">
        <w:t>da</w:t>
      </w:r>
      <w:r w:rsidR="008A4FA4" w:rsidRPr="008A4FA4">
        <w:t>se</w:t>
      </w:r>
      <w:proofErr w:type="spellEnd"/>
      <w:r w:rsidR="008A4FA4" w:rsidRPr="008A4FA4">
        <w:t xml:space="preserve"> zastupnike u tom pogledu obavijesti</w:t>
      </w:r>
      <w:r w:rsidR="008A4FA4">
        <w:t xml:space="preserve"> </w:t>
      </w:r>
      <w:r w:rsidR="00C51297" w:rsidRPr="00D360B4">
        <w:t xml:space="preserve">o inovacijama </w:t>
      </w:r>
      <w:r w:rsidR="008A4FA4" w:rsidRPr="008A4FA4">
        <w:t>i ispitanim rješenjima koja će se primjenjivati u budućnosti te o onima koja se više ne ispituju i razlozima za to; smatra da bi jedan od prioriteta laboratorija IDEA trebao biti inovativno arhitektonsko rješenje za bolje iskorištavanje prostora koji zauzimaju nekorišteni tuševi u uredima zastupnika</w:t>
      </w:r>
      <w:r w:rsidR="00C51297" w:rsidRPr="00D360B4">
        <w:t>; poziva radnu skupinu Predsjedništva za zgrade i upravu Parlamenta da osiguraju veću transparentnost proračuna za laboratorij IDEA i da Odboru za proračunski nadzor redovito dostavljaju popis inovativnih rješenja, njihove troškove i dobivene povratne informacije, kao i potencijalnu uštedu ako se ona provedu;</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94</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prima na znanje razne projekte i radove povezane s pristupačnošću koji se provode na sva tri mjesta rada, kao i u uredima za vezu EP-a i centrima Europa </w:t>
      </w:r>
      <w:proofErr w:type="spellStart"/>
      <w:r w:rsidR="00C51297" w:rsidRPr="00D360B4">
        <w:rPr>
          <w14:textOutline w14:w="0" w14:cap="flat" w14:cmpd="sng" w14:algn="ctr">
            <w14:noFill/>
            <w14:prstDash w14:val="solid"/>
            <w14:bevel/>
          </w14:textOutline>
        </w:rPr>
        <w:t>Experience</w:t>
      </w:r>
      <w:proofErr w:type="spellEnd"/>
      <w:r w:rsidR="00C51297" w:rsidRPr="00D360B4">
        <w:rPr>
          <w14:textOutline w14:w="0" w14:cap="flat" w14:cmpd="sng" w14:algn="ctr">
            <w14:noFill/>
            <w14:prstDash w14:val="solid"/>
            <w14:bevel/>
          </w14:textOutline>
        </w:rPr>
        <w:t>, čiji je cilj osigurati potpunu usklađenost s primjenjivim regulatornim okvirom u skladu s obvezom Parlamenta da bude institucija bez prepreka koja je dostupna svima;</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95</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potvrđuje da je zbog ruske ratne agresije na Ukrajinu i energetske krize, poremećaja u lancu opskrbe i nestašice sirovina DG INLO bio prisiljen preispitati svoje projekte i prilagoditi svoj proračun; napominje da je zbog deficita u energetskom proračunu koji je iz toga proizašao DG INLO morao zamrznuti ili obustaviti neke projekte kako bi oslobodio resurse potrebne za suočavanje s visokim povećanjem cijena; </w:t>
      </w:r>
    </w:p>
    <w:p w:rsidR="00C51297" w:rsidRPr="00D360B4" w:rsidRDefault="00E07D18" w:rsidP="00C51297">
      <w:pPr>
        <w:pStyle w:val="NormalHanging12a"/>
      </w:pPr>
      <w:r>
        <w:t>96</w:t>
      </w:r>
      <w:r w:rsidR="00C51297" w:rsidRPr="00D360B4">
        <w:t>.</w:t>
      </w:r>
      <w:r w:rsidR="00C51297" w:rsidRPr="00D360B4">
        <w:tab/>
        <w:t>prima na znanje mjere provedene kako bi se smanjila potrošnja energije u Parlamentu, kao što su smanjenje maksimalnih temperatura grijanja u uredskim prostorima i povećanje minimalnih temperatura hlađenja, isključivanje sustava grijanja i hlađenja tijekom vikenda i državnih praznika, smanjenje rasvjete fasada zgrada i smanjenje razine unutarnje rasvjete; uviđa da se mjere trebaju ponovno procijeniti s razvojem energetske krize i da bi uvijek trebale osiguravati dobrobit osoblja;</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97</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potvrđuje da su različite mjere koje je uprava uvela nakon relevantnih odluka Predsjedništva iz svibnja i listopada 2022. dovele do znatnog smanjenja potrošnje energije koje je dovelo do ušteda u iznosu od 10,5 milijuna EUR od svibnja 2022. do listopada 2023.;</w:t>
      </w:r>
    </w:p>
    <w:p w:rsidR="00C51297" w:rsidRPr="00D360B4" w:rsidRDefault="00E07D18" w:rsidP="00C51297">
      <w:pPr>
        <w:pStyle w:val="NormalHanging12a"/>
      </w:pPr>
      <w:r>
        <w:t>98</w:t>
      </w:r>
      <w:r w:rsidR="00C51297" w:rsidRPr="00D360B4">
        <w:t>.</w:t>
      </w:r>
      <w:r w:rsidR="00C51297" w:rsidRPr="00D360B4">
        <w:tab/>
        <w:t xml:space="preserve">prima na znanje da je DG INLO tijekom 2022. nastavio s provedbom strategije Parlamenta za upravljanje nekretninama nakon 2019.; prima na znanje doprinos kupnje zgrade </w:t>
      </w:r>
      <w:proofErr w:type="spellStart"/>
      <w:r w:rsidR="00C51297" w:rsidRPr="00D360B4">
        <w:t>Trèves</w:t>
      </w:r>
      <w:proofErr w:type="spellEnd"/>
      <w:r w:rsidR="00C51297" w:rsidRPr="00D360B4">
        <w:t xml:space="preserve"> II u pogledu provedbe te strategije i konsolidacije nekretnina Parlamenta, </w:t>
      </w:r>
      <w:r w:rsidR="00C51297" w:rsidRPr="00D360B4">
        <w:lastRenderedPageBreak/>
        <w:t xml:space="preserve">osobito kako bi se omogućilo međusobno povezivanje središnjih zgrada Parlamenta u Bruxellesu; traži vremenski raspored za međusobno povezivanje zgrada </w:t>
      </w:r>
      <w:proofErr w:type="spellStart"/>
      <w:r w:rsidR="00C51297" w:rsidRPr="00D360B4">
        <w:t>Trèves</w:t>
      </w:r>
      <w:proofErr w:type="spellEnd"/>
      <w:r w:rsidR="00C51297" w:rsidRPr="00D360B4">
        <w:t xml:space="preserve"> I </w:t>
      </w:r>
      <w:proofErr w:type="spellStart"/>
      <w:r w:rsidR="00C51297" w:rsidRPr="00D360B4">
        <w:t>i</w:t>
      </w:r>
      <w:proofErr w:type="spellEnd"/>
      <w:r w:rsidR="00C51297" w:rsidRPr="00D360B4">
        <w:t xml:space="preserve"> </w:t>
      </w:r>
      <w:proofErr w:type="spellStart"/>
      <w:r w:rsidR="00C51297" w:rsidRPr="00D360B4">
        <w:t>Trèves</w:t>
      </w:r>
      <w:proofErr w:type="spellEnd"/>
      <w:r w:rsidR="00C51297" w:rsidRPr="00D360B4">
        <w:t xml:space="preserve"> II s glavnim središnjim zgradama u Bruxellesu;</w:t>
      </w:r>
    </w:p>
    <w:p w:rsidR="00C51297" w:rsidRPr="00D360B4" w:rsidRDefault="00E07D18" w:rsidP="00C51297">
      <w:pPr>
        <w:pStyle w:val="NormalHanging12a"/>
      </w:pPr>
      <w:r>
        <w:t>99</w:t>
      </w:r>
      <w:r w:rsidR="00C51297" w:rsidRPr="00D360B4">
        <w:t>.</w:t>
      </w:r>
      <w:r w:rsidR="00C51297" w:rsidRPr="00D360B4">
        <w:tab/>
      </w:r>
      <w:r w:rsidR="00B77A72" w:rsidRPr="00B77A72">
        <w:t>pohvaljuje Parlament za radove na prilagodbi pristupačnosti koji su provedeni u zgradama u Bruxellesu od 2017. do 2022., ukupne vr</w:t>
      </w:r>
      <w:r w:rsidR="00B77A72">
        <w:t>ijednosti od 3,3 milijuna EUR</w:t>
      </w:r>
      <w:r w:rsidR="00B77A72">
        <w:rPr>
          <w:rStyle w:val="FootnoteReference"/>
        </w:rPr>
        <w:footnoteReference w:id="11"/>
      </w:r>
      <w:r w:rsidR="00B77A72" w:rsidRPr="00B77A72">
        <w:t xml:space="preserve">; pozdravlja činjenicu </w:t>
      </w:r>
      <w:r w:rsidR="00C51297" w:rsidRPr="00D360B4">
        <w:t xml:space="preserve">da </w:t>
      </w:r>
      <w:r w:rsidR="00B77A72">
        <w:t xml:space="preserve">su </w:t>
      </w:r>
      <w:r w:rsidR="00C51297" w:rsidRPr="00D360B4">
        <w:t xml:space="preserve">tribine u prostoru za posjetitelje vijećnice u zgradi SPAAK </w:t>
      </w:r>
      <w:r w:rsidR="00B77A72">
        <w:t xml:space="preserve">sada </w:t>
      </w:r>
      <w:r w:rsidR="00C51297" w:rsidRPr="00D360B4">
        <w:t xml:space="preserve">pristupačne osobama sa smanjenom mobilnošću; ; podsjeća da je Unija predvodnik u promicanju </w:t>
      </w:r>
      <w:proofErr w:type="spellStart"/>
      <w:r w:rsidR="00C51297" w:rsidRPr="00D360B4">
        <w:t>uključivosti</w:t>
      </w:r>
      <w:proofErr w:type="spellEnd"/>
      <w:r w:rsidR="00C51297" w:rsidRPr="00D360B4">
        <w:t xml:space="preserve"> i jednakosti svih svojih građana; </w:t>
      </w:r>
      <w:r w:rsidR="00B77A72" w:rsidRPr="00B77A72">
        <w:t xml:space="preserve">podsjeća da bi svi građani Europe trebali imati jednak pristup kad posjećuju institucije Unije; </w:t>
      </w:r>
      <w:r w:rsidR="00C51297" w:rsidRPr="00D360B4">
        <w:t xml:space="preserve">poziva </w:t>
      </w:r>
      <w:r w:rsidR="00DF7B04">
        <w:t xml:space="preserve">Parlament da </w:t>
      </w:r>
      <w:r w:rsidR="00C51297" w:rsidRPr="00D360B4">
        <w:t xml:space="preserve"> </w:t>
      </w:r>
      <w:r w:rsidR="00DF7B04">
        <w:t xml:space="preserve">provede </w:t>
      </w:r>
      <w:r w:rsidR="00C51297" w:rsidRPr="00D360B4">
        <w:t xml:space="preserve">analizu potreba posjetitelja s invaliditetom i </w:t>
      </w:r>
      <w:r w:rsidR="00B77A72" w:rsidRPr="00B77A72">
        <w:t>zahtijeva</w:t>
      </w:r>
      <w:r w:rsidR="00B77A72">
        <w:t xml:space="preserve"> </w:t>
      </w:r>
      <w:r w:rsidR="00C51297" w:rsidRPr="00D360B4">
        <w:t>provedbu odgovarajućih mjera;</w:t>
      </w:r>
    </w:p>
    <w:p w:rsidR="00C51297" w:rsidRPr="00D360B4" w:rsidRDefault="00E07D18" w:rsidP="00C51297">
      <w:pPr>
        <w:pStyle w:val="NormalHanging12a"/>
      </w:pPr>
      <w:r>
        <w:t>100</w:t>
      </w:r>
      <w:r w:rsidR="00C51297" w:rsidRPr="00D360B4">
        <w:t>.</w:t>
      </w:r>
      <w:r w:rsidR="00C51297" w:rsidRPr="00D360B4">
        <w:tab/>
        <w:t>prima na znanje zapisnik s dodatne sjednice Predsjedništva od 6. srpnja 2022. na kojoj je Predsjedništvo primilo na znanje i podržalo rezultate Međunarodnog natječaja za arhitektonski dizajn za obnovu zgrade SPAAK; napominje da je Predsjedništvo odobrilo pet kandidata; napominje da 2022. nije donesena nijedna druga odluka o toj temi te da stoga nije bilo financijskih posljedica i pritom naglašava sve hitniju potrebu za što bržim početkom radova na obnovi; ističe da su 14. veljače 2024. konačni planovi za početak radova na obnovi brzo odobreni na razini odbora s obzirom na sve gore stanje zgrade; ističe da postojeća zgrada ima vrlo nisku ocjenu energetske učinkovitosti te da nema prijeko potrebnu fleksibilnost da bi odgovarala svojoj svrsi; ističe da bi Europski parlament sa svojim portfeljem zgrada trebao biti predvodnik u području energetske učinkovitosti i održivosti kako bi se osigurala potpora građana ciljevima europskog zelenog plana; napominje da bi obnova dovela do znatnog smanjenja troškova od nekoliko milijuna EUR godišnje te bi, osim toga, pomogla da se ispune zahtjevi buduće europske Direktive o energetskoj učinkovitosti i Direktive o energetskim svojstvima zgrada; </w:t>
      </w:r>
    </w:p>
    <w:p w:rsidR="00C51297" w:rsidRPr="00D360B4" w:rsidRDefault="00E07D18" w:rsidP="00C51297">
      <w:pPr>
        <w:pStyle w:val="NormalHanging12a"/>
      </w:pPr>
      <w:r>
        <w:t>101</w:t>
      </w:r>
      <w:r w:rsidR="00C51297" w:rsidRPr="00D360B4">
        <w:t>.</w:t>
      </w:r>
      <w:r w:rsidR="00C51297" w:rsidRPr="00D360B4">
        <w:tab/>
        <w:t xml:space="preserve">nadalje prima na znanje odluku Predsjedništva od 6. srpnja 2022. o strategiji za upravljanje nekretninama u </w:t>
      </w:r>
      <w:proofErr w:type="spellStart"/>
      <w:r w:rsidR="00C51297" w:rsidRPr="00D360B4">
        <w:t>Strasbourgu</w:t>
      </w:r>
      <w:proofErr w:type="spellEnd"/>
      <w:r w:rsidR="00C51297" w:rsidRPr="00D360B4">
        <w:t>, usmjerenu na poboljšanje kapaciteta za primanje i smještaj, optimizaciju korištenja prostora Parlamenta, povećanje pristupačnosti i konsolidaciju funkcija osoblja;</w:t>
      </w:r>
    </w:p>
    <w:p w:rsidR="00C51297" w:rsidRPr="00D360B4" w:rsidRDefault="00E07D18" w:rsidP="00C51297">
      <w:pPr>
        <w:pStyle w:val="NormalHanging12a"/>
      </w:pPr>
      <w:r>
        <w:t>102</w:t>
      </w:r>
      <w:r w:rsidR="00C51297" w:rsidRPr="00D360B4">
        <w:t>.</w:t>
      </w:r>
      <w:r w:rsidR="00C51297" w:rsidRPr="00D360B4">
        <w:tab/>
        <w:t xml:space="preserve">napominje da je </w:t>
      </w:r>
      <w:proofErr w:type="spellStart"/>
      <w:r w:rsidR="00C51297" w:rsidRPr="00D360B4">
        <w:t>samoposlužna</w:t>
      </w:r>
      <w:proofErr w:type="spellEnd"/>
      <w:r w:rsidR="00C51297" w:rsidRPr="00D360B4">
        <w:t xml:space="preserve"> kantina Parlamenta na katu –1 zgrade </w:t>
      </w:r>
      <w:proofErr w:type="spellStart"/>
      <w:r w:rsidR="00C51297" w:rsidRPr="00D360B4">
        <w:t>Spinelli</w:t>
      </w:r>
      <w:proofErr w:type="spellEnd"/>
      <w:r w:rsidR="00C51297" w:rsidRPr="00D360B4">
        <w:t xml:space="preserve"> često zagušena u vršnim satima, što dovodi do dugih redova i vremena čekanja; poziva Predsjedništvo da razmotri uvođenje ograničenja pristupa kantinama u glavnim zgradama Parlamenta za vanjske posjetitelje i skupine posjetitelja; zabrinut je zbog nezadovoljavajućeg omjera cijene i kvalitete te osobito zbog nedostatka cjenovno pristupačnih vegetarijanskih opcija; od uprave traži da predloži rješenja za tu situaciju;</w:t>
      </w:r>
    </w:p>
    <w:p w:rsidR="00C51297" w:rsidRPr="00D360B4" w:rsidRDefault="00E07D18" w:rsidP="00C51297">
      <w:pPr>
        <w:pStyle w:val="NormalHanging12a"/>
      </w:pPr>
      <w:r>
        <w:t>103</w:t>
      </w:r>
      <w:r w:rsidR="00C51297" w:rsidRPr="00D360B4">
        <w:t>.</w:t>
      </w:r>
      <w:r w:rsidR="00C51297" w:rsidRPr="00D360B4">
        <w:tab/>
        <w:t>navodi da je 2022., nakon što su ukinuta ograničenja kapaciteta povezana s bolešću COVID-19, vozni park za prijevoz iz Bruxellesa u Strasbourg ponedjeljkom obuhvaćao 250 mjesta i da su u tjednima održavanja sjednica 2022. u prosjeku bila popunjena 162 mjesta odnosno 65 % dostupnih mjesta u voznom parku; ponavlja svoj poziv upravi Parlamenta da proširi skupinu korisnika tih mjesta i pritom zajamči mjesta za zastupnike kako bi se izbjeglo rasipanje resursa;</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lastRenderedPageBreak/>
        <w:t>Glavna uprava za pismeno prevođenje</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104</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podsjeća da je Glavna uprava za pismeno prevođenje (DG TRAD) odgovorna za pružanje visokokvalitetnog višejezičnog zakonodavstva i drugih jezičnih usluga Europskom parlamentu, službama Parlamenta i svim građanima Unije, na temelju načela potpuno resursno učinkovite višejezičnosti; napominje da je na dan 31. prosinca 2022. ta glavna uprava zapošljavala 1 109 članova osoblja, od čega 945 dužnosnika, 97 privremenih djelatnika, 66 ugovornih djelatnika i jednog člana osoblja agencije;</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105</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su konačna odobrena sredstva DG TRAD-a 2022. iznosila 17 105 500 EUR, što predstavlja 0,8 % proračuna Parlamenta; ističe da je od tog iznosa odobreno ukupno 16 834 967 EUR; pozdravlja veliku iskorištenost odobrenih sredstava;</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106</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pozdravlja predanost DG TRAD-a pravodobnom pružanju visokokvalitetnih jezičnih usluga; sa zadovoljstvom primjećuje da je 2022. prevedeno više od 2,89 milijuna bruto stranica, što je povećanje od 26 % u odnosu na 2021.; sa zadovoljstvom primjećuje da je velika većina posla obavljena na vrijeme (98,5 % u uobičajenim okolnostima i 98,6 % ako zahtjevi nisu bili u skladu s pravilima);</w:t>
      </w:r>
    </w:p>
    <w:p w:rsidR="00C51297" w:rsidRDefault="00E07D18" w:rsidP="00C51297">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107</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pozdravlja činjenicu da DG TRAD promiče i proizvodi sadržaj na „jeziku građana” na službena 24 jezika Unije, u skladu s pristupom Parlamenta jasnom jeziku prilagođenom potrebama ljudi; pozdravlja osnivanje tima za ukrajinski jezik koji pruža jezične usluge na ukrajinskom jeziku, uključujući prijevode, </w:t>
      </w:r>
      <w:proofErr w:type="spellStart"/>
      <w:r w:rsidR="00C51297" w:rsidRPr="00D360B4">
        <w:rPr>
          <w14:textOutline w14:w="0" w14:cap="flat" w14:cmpd="sng" w14:algn="ctr">
            <w14:noFill/>
            <w14:prstDash w14:val="solid"/>
            <w14:bevel/>
          </w14:textOutline>
        </w:rPr>
        <w:t>audioproizvode</w:t>
      </w:r>
      <w:proofErr w:type="spellEnd"/>
      <w:r w:rsidR="00C51297" w:rsidRPr="00D360B4">
        <w:rPr>
          <w14:textOutline w14:w="0" w14:cap="flat" w14:cmpd="sng" w14:algn="ctr">
            <w14:noFill/>
            <w14:prstDash w14:val="solid"/>
            <w14:bevel/>
          </w14:textOutline>
        </w:rPr>
        <w:t xml:space="preserve"> i titlove za posebnu internetsku stranicu;</w:t>
      </w:r>
    </w:p>
    <w:p w:rsidR="000C6EE0" w:rsidRPr="00D360B4" w:rsidRDefault="000C6EE0" w:rsidP="00C51297">
      <w:pPr>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10</w:t>
      </w:r>
      <w:r w:rsidR="00E07D18">
        <w:rPr>
          <w:szCs w:val="24"/>
          <w14:textOutline w14:w="0" w14:cap="flat" w14:cmpd="sng" w14:algn="ctr">
            <w14:noFill/>
            <w14:prstDash w14:val="solid"/>
            <w14:bevel/>
          </w14:textOutline>
        </w:rPr>
        <w:t>8</w:t>
      </w:r>
      <w:r>
        <w:rPr>
          <w:szCs w:val="24"/>
          <w14:textOutline w14:w="0" w14:cap="flat" w14:cmpd="sng" w14:algn="ctr">
            <w14:noFill/>
            <w14:prstDash w14:val="solid"/>
            <w14:bevel/>
          </w14:textOutline>
        </w:rPr>
        <w:t>.</w:t>
      </w:r>
      <w:r w:rsidRPr="000C6EE0">
        <w:rPr>
          <w:szCs w:val="24"/>
          <w14:textOutline w14:w="0" w14:cap="flat" w14:cmpd="sng" w14:algn="ctr">
            <w14:noFill/>
            <w14:prstDash w14:val="solid"/>
            <w14:bevel/>
          </w14:textOutline>
        </w:rPr>
        <w:tab/>
        <w:t>podsjeća na dugogodišnji zahtjev zajednice gluhih osoba koja od 2016. traži da se omogući podnošenje predstavki Parlamentu na nacionalnim znakovnim jezicima država EU-a; naglašava da bi se tom mjerom gluhim osobama omogućilo da ostvare svoje pravo na podnošenje predstavki, što je jedno od temeljnih prava svih europskih građana, sadržano u Ugovorima i Povelji o temeljnim pravima</w:t>
      </w:r>
      <w:r>
        <w:rPr>
          <w:szCs w:val="24"/>
          <w14:textOutline w14:w="0" w14:cap="flat" w14:cmpd="sng" w14:algn="ctr">
            <w14:noFill/>
            <w14:prstDash w14:val="solid"/>
            <w14:bevel/>
          </w14:textOutline>
        </w:rPr>
        <w:t xml:space="preserve"> Europske unije</w:t>
      </w:r>
      <w:r w:rsidRPr="000C6EE0">
        <w:rPr>
          <w:szCs w:val="24"/>
          <w14:textOutline w14:w="0" w14:cap="flat" w14:cmpd="sng" w14:algn="ctr">
            <w14:noFill/>
            <w14:prstDash w14:val="solid"/>
            <w14:bevel/>
          </w14:textOutline>
        </w:rPr>
        <w:t>; prima na znanje analizu koju su proveli DG LINC i DG ITEC o najučinkovitijem rješenju uz minimalne troškove poslanu Odboru za predstavke u svibnju 2020.; poziva upravu da usvoji to rješenje i olakša podnošenje predstavki na nacionalnim znakovnim jezicima EU-a putem portala za predstavke;</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109</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sa zadovoljstvom prima na znanje uspješan završetak prvog kruga otvorenog natječaja za međukulturne i jezične stručnjake, koji je obuhvaćao 11 jezika, a organizirali su ga DG TRAD i DG PERS; ističe da je DG TRAD također počeo zapošljavati uspješne kandidate svojeg prvog otvorenog natječaja za stručnjake za jasan jezik; pozdravlja činjenicu da je suradnja znatno ubrzala zapošljavanje visokokvalificiranih dužnosnika s ažuriranim profilima usmjerenima na budućnost;</w:t>
      </w:r>
    </w:p>
    <w:p w:rsidR="00C51297" w:rsidRPr="00D360B4" w:rsidRDefault="00E07D18" w:rsidP="00C51297">
      <w:pPr>
        <w:pStyle w:val="NormalHanging12a"/>
      </w:pPr>
      <w:r>
        <w:t>110</w:t>
      </w:r>
      <w:r w:rsidR="00C51297" w:rsidRPr="00D360B4">
        <w:t>.</w:t>
      </w:r>
      <w:r w:rsidR="00C51297" w:rsidRPr="00D360B4">
        <w:tab/>
        <w:t>podsjeća da su službeni jezici koji se koriste u institucijama, tijelima i agencijama Unije utvrđeni u Uredbi br. 1</w:t>
      </w:r>
      <w:r w:rsidR="00C51297" w:rsidRPr="00D360B4">
        <w:rPr>
          <w:vertAlign w:val="superscript"/>
        </w:rPr>
        <w:footnoteReference w:id="12"/>
      </w:r>
      <w:r w:rsidR="00C51297" w:rsidRPr="00D360B4">
        <w:t xml:space="preserve">; potvrđuje da DG TRAD osigurava da je </w:t>
      </w:r>
      <w:proofErr w:type="spellStart"/>
      <w:r w:rsidR="00C51297" w:rsidRPr="00D360B4">
        <w:t>postupovni</w:t>
      </w:r>
      <w:proofErr w:type="spellEnd"/>
      <w:r w:rsidR="00C51297" w:rsidRPr="00D360B4">
        <w:t xml:space="preserve"> sadržaj Parlamenta dostupan na sva 24 službena i radna jezika Unije; pozdravlja izvanredan posao koji su usmeni prevoditelji obavili 2022. i kojim su osigurali da se, koliko je to moguće, javne rasprave usmeno prevedu na sve službene jezike Unije; ističe da u skladu s Poslovnikom Parlamenta zastupnici imaju pravo govoriti na bilo kojem od 24 </w:t>
      </w:r>
      <w:r w:rsidR="00C51297" w:rsidRPr="00D360B4">
        <w:lastRenderedPageBreak/>
        <w:t xml:space="preserve">službena jezika Unije, što odražava europsku kulturnu i jezičnu raznolikost i, osim toga, čini europske institucije pristupačnijima i </w:t>
      </w:r>
      <w:proofErr w:type="spellStart"/>
      <w:r w:rsidR="00C51297" w:rsidRPr="00D360B4">
        <w:t>transparentnijima</w:t>
      </w:r>
      <w:proofErr w:type="spellEnd"/>
      <w:r w:rsidR="00C51297" w:rsidRPr="00D360B4">
        <w:t xml:space="preserve"> za sve građane Unije; konstatira da se u radu Parlamenta posebno često uvelike upotrebljava jedan radni jezik; poziva na jamčenje poštovanja višejezičnosti osiguravanjem, prema potrebi, dostatnog broja osoblja zaduženog za pismeno i usmeno prevođenje;</w:t>
      </w:r>
    </w:p>
    <w:p w:rsidR="00C51297" w:rsidRPr="00D360B4" w:rsidRDefault="00E07D1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111</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ističe da je DG TRAD jezično tijelo Europskog parlamenta jer podupire donošenje višejezičnog zakonodavstva i doprinosi višejezičnoj komunikaciji s građanima Unije na jasnom jeziku uvođenjem standarda jasnog jezika;</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Glavna uprava za konferencijsku logistiku i usmeno prevođenje</w:t>
      </w:r>
    </w:p>
    <w:p w:rsidR="00C51297" w:rsidRPr="00D360B4" w:rsidRDefault="00C80D0C" w:rsidP="00C51297">
      <w:pPr>
        <w:pStyle w:val="NormalHanging12a"/>
      </w:pPr>
      <w:r>
        <w:t>112</w:t>
      </w:r>
      <w:r w:rsidR="00C51297" w:rsidRPr="00D360B4">
        <w:t>.</w:t>
      </w:r>
      <w:r w:rsidR="00C51297" w:rsidRPr="00D360B4">
        <w:tab/>
        <w:t>podsjeća da je Glavna uprava za konferencijsku logistiku i usmeno prevođenje (DG LINC) odgovorna za pružanje jezične, tehničke i logističke potpore sastancima i konferencijama; napominje da je na dan 31. prosinca 2022. ta glavna uprava zapošljavala 554 člana osoblja, od čega 443 dužnosnika, 29 privremenih djelatnika i 82 ugovorna djelatnika; naglašava da kvaliteta usmenog prevođenja izravno utječe na poruku prenesenu građanima Unije;</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113</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su konačna odobrena sredstva DG LINC-a 2022. iznosila 79 569 347 EUR, što predstavlja 3,7 % proračuna Parlamenta; ističe da je od tog iznosa odobreno ukupno 79 282 501 EUR; pozdravlja veliku iskorištenost odobrenih sredstava;</w:t>
      </w:r>
    </w:p>
    <w:p w:rsidR="00C51297" w:rsidRPr="00D360B4" w:rsidRDefault="00C80D0C" w:rsidP="00C51297">
      <w:pPr>
        <w:pStyle w:val="NormalHanging12a"/>
      </w:pPr>
      <w:r>
        <w:t>114</w:t>
      </w:r>
      <w:r w:rsidR="00C51297" w:rsidRPr="00D360B4">
        <w:t>.</w:t>
      </w:r>
      <w:r w:rsidR="00C51297" w:rsidRPr="00D360B4">
        <w:tab/>
        <w:t xml:space="preserve">ističe da je potražnja za uslugama DG LINC-a počela znatno rasti od početka 2022., dok su ograničenja povezana s bolešću COVID-19 i dalje bila na snazi; uviđa da je zbog toga došlo do pritiska na resurse jer je zbog ograničavanja socijalnih kontakata i drugih ograničenja bilo potrebno više usmenih prevoditelja, tehničke potpore i složenih operacija planiranja; prima na znanje da su učinci inflacije utjecali na naknade za vanjske konferencijske prevoditelje; napominje da je povećani trošak usmenog prevođenja djelomično smanjen usmenim prevođenjem plenarnih sjednica u </w:t>
      </w:r>
      <w:proofErr w:type="spellStart"/>
      <w:r w:rsidR="00C51297" w:rsidRPr="00D360B4">
        <w:t>Strasbourgu</w:t>
      </w:r>
      <w:proofErr w:type="spellEnd"/>
      <w:r w:rsidR="00C51297" w:rsidRPr="00D360B4">
        <w:t xml:space="preserve"> iz Bruxellesa na daljinu; u cilju poboljšanja radnih uvjeta, osobito bolje kvalitete zvuka i ograničenja broja radnih sati i trajanja usmenog prevođenja za govornike na daljinu;</w:t>
      </w:r>
    </w:p>
    <w:p w:rsidR="00C51297" w:rsidRPr="00D360B4" w:rsidRDefault="00C80D0C" w:rsidP="00C51297">
      <w:pPr>
        <w:pStyle w:val="NormalHanging12a"/>
      </w:pPr>
      <w:r>
        <w:t>115</w:t>
      </w:r>
      <w:r w:rsidR="00C51297" w:rsidRPr="00D360B4">
        <w:t>.</w:t>
      </w:r>
      <w:r w:rsidR="00C51297" w:rsidRPr="00D360B4">
        <w:tab/>
        <w:t>prima na znanje da su predstavnici usmenih prevoditelja osporili radne uvjete koji se primjenjuju na usmeno prevođenje za sudionike na daljinu s obzirom na utjecaj na zdravlje i dobrobit usmenih prevoditelja koji proizlazi iz dugih razdoblja usmenog prevođenja na daljinu, posebno u smislu prijavljenih poteškoća sa sluhom; podsjeća na dužnost europskih institucija da vode brigu o svojim zaposlenicima; ističe da je posljedična kolektivna mjera u ljeto i jesen 2022. dovela do prekida usluga usmenog prevođenja, što je utjecalo na govornike na daljinu; napominje da su privremeni načini rada usmenih prevoditelja za sastanke sa sudjelovanjem na daljinu stupili na snagu 17. listopada 2022.; napominje da je time omogućena ponovna uspostava usmenog prevođenja za govornike na daljinu uz zadržavanje skraćenog tjednog radnog vremena usmenih prevoditelja, što je dovelo do smanjenja pružanja usluga; napominje da je krajem 2022. bio u tijeku socijalni dijalog čiji je cilj bio uspostava trajnog okvira i potpuna ponovna uspostava usluga usmenog prevođenja, koji je dovršen 2023.;</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116</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pozdravlja činjenicu da je 2022. DG LINC uspio konsolidirati pružanje usluga usmenog prevođenja uz prilagodbu zahtjevnom regulatornom okruženju; sa zadovoljstvom prima na znanje da je DG LINC pružio usluge za ukupno 5278 parlamentarnih sastanaka s usmenim prevođenjem i u prosjeku osigurao 5266 sati usmenog prevođenja po radnom </w:t>
      </w:r>
      <w:r w:rsidR="00C51297" w:rsidRPr="00D360B4">
        <w:rPr>
          <w14:textOutline w14:w="0" w14:cap="flat" w14:cmpd="sng" w14:algn="ctr">
            <w14:noFill/>
            <w14:prstDash w14:val="solid"/>
            <w14:bevel/>
          </w14:textOutline>
        </w:rPr>
        <w:lastRenderedPageBreak/>
        <w:t xml:space="preserve">tjednu, što je povećanje od 4172 sastanka i 4039 sati tjednog usmenog prevođenja u odnosu na 2021.; napominje da je to i dalje ispod prosjeka prije </w:t>
      </w:r>
      <w:proofErr w:type="spellStart"/>
      <w:r w:rsidR="00C51297" w:rsidRPr="00D360B4">
        <w:rPr>
          <w14:textOutline w14:w="0" w14:cap="flat" w14:cmpd="sng" w14:algn="ctr">
            <w14:noFill/>
            <w14:prstDash w14:val="solid"/>
            <w14:bevel/>
          </w14:textOutline>
        </w:rPr>
        <w:t>pandemije</w:t>
      </w:r>
      <w:proofErr w:type="spellEnd"/>
      <w:r w:rsidR="00C51297" w:rsidRPr="00D360B4">
        <w:rPr>
          <w14:textOutline w14:w="0" w14:cap="flat" w14:cmpd="sng" w14:algn="ctr">
            <w14:noFill/>
            <w14:prstDash w14:val="solid"/>
            <w14:bevel/>
          </w14:textOutline>
        </w:rPr>
        <w:t xml:space="preserve"> bolesti COVID-19 za 2017. i 2018.;</w:t>
      </w:r>
    </w:p>
    <w:p w:rsidR="00C51297" w:rsidRPr="00D360B4" w:rsidRDefault="00C80D0C" w:rsidP="00C51297">
      <w:pPr>
        <w:pStyle w:val="NormalHanging12a"/>
      </w:pPr>
      <w:r>
        <w:t>117</w:t>
      </w:r>
      <w:r w:rsidR="00C51297" w:rsidRPr="00D360B4">
        <w:t>.</w:t>
      </w:r>
      <w:r w:rsidR="00C51297" w:rsidRPr="00D360B4">
        <w:tab/>
      </w:r>
      <w:r w:rsidR="001F78F4" w:rsidRPr="001F78F4">
        <w:t>podsjeća na članak 26. Povelje Europske unije o temeljnim pravima;</w:t>
      </w:r>
      <w:r w:rsidR="001F78F4">
        <w:t xml:space="preserve"> </w:t>
      </w:r>
      <w:r w:rsidR="00C51297" w:rsidRPr="00D360B4">
        <w:t>ponavlja svoj dugogodišnji zahtjev upućen glavnom tajniku da se analizira izvedivost prevođenja na međunarodni znakovni jezik za sve plenarne rasprave te da bez odgode ispuni taj zahtjev; smatra, nadalje, da bi prijenos plenarnih sjednica na znakovne jezike koji se upotrebljavaju u svakoj državi članici povećao sudjelovanje osoba s invaliditetom u demokratskom procesu u EU-u;</w:t>
      </w:r>
      <w:r w:rsidR="001F78F4">
        <w:t xml:space="preserve"> </w:t>
      </w:r>
      <w:r w:rsidR="001F78F4" w:rsidRPr="001F78F4">
        <w:t>ističe važnost upotrebe digitalnih alata, uključujući pomoćne uređaje koji se temelje na umjetnoj inteligenciji; također ustraje u potrebi za pristupačnim informacijama u lako čitljivim formatima, piktogramima i novim tehnologijama za sve osobe s invaliditetom.</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Glavna uprava za financije</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118</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podsjeća da je Glavna uprava za financije (DG FINS) upravno tijelo odgovorno za proračunske i financijske poslove Parlamenta; napominje da je ta glavna uprava na dan 31. prosinca 2022. zapošljavala 246 članova osoblja, od čega 149 dužnosnika, 27 privremenih djelatnika, 63 ugovorna djelatnika i sedam članova osoblja agencije;</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119</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su konačna odobrena sredstva DG FINS-a 2022. iznosila 396 723 134 EUR, što predstavlja 18,4 % proračuna Parlamenta; ističe da je od tog iznosa odobreno ukupno 395 647 243 EUR; pozdravlja veliku iskorištenost odobrenih sredstava;</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120</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napominje da su se 2022. mnoge zadaće za koje je DG FINS odgovoran više ili manje vratile na razine prije </w:t>
      </w:r>
      <w:proofErr w:type="spellStart"/>
      <w:r w:rsidR="00C51297" w:rsidRPr="00D360B4">
        <w:rPr>
          <w14:textOutline w14:w="0" w14:cap="flat" w14:cmpd="sng" w14:algn="ctr">
            <w14:noFill/>
            <w14:prstDash w14:val="solid"/>
            <w14:bevel/>
          </w14:textOutline>
        </w:rPr>
        <w:t>pandemije</w:t>
      </w:r>
      <w:proofErr w:type="spellEnd"/>
      <w:r w:rsidR="00C51297" w:rsidRPr="00D360B4">
        <w:rPr>
          <w14:textOutline w14:w="0" w14:cap="flat" w14:cmpd="sng" w14:algn="ctr">
            <w14:noFill/>
            <w14:prstDash w14:val="solid"/>
            <w14:bevel/>
          </w14:textOutline>
        </w:rPr>
        <w:t>; napominje da je rat u Ukrajini imao konkretan učinak na aktivnosti DG FINS-a, zbog čega je bila potrebna otpornost i prilagodljivost kako bi se osigurao kontinuitet određenih aktivnosti u Parlamentu mobilizacijom i preraspodjelom financijskih sredstava potrebnih za suočavanje s inflacijskim šokom;</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121</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pozdravlja činjenicu da je DG FINS, kao odgovor na znatno povećanje inflacije i kamatnih stopa, kao i na globalnu energetsku krizu, postrožio nadzor nad razinama korištenja proračunskih odobrenih sredstava i da je morao poduzeti izvanredne mjere kako bi osigurao kontinuitet poslovanja Parlamenta, među ostalim brojnim preraspodjelama proračunskih sredstava i zahtjevom za izmjenu proračuna u studenome 2022.;</w:t>
      </w:r>
    </w:p>
    <w:p w:rsidR="00C51297" w:rsidRPr="00D360B4" w:rsidRDefault="00C80D0C" w:rsidP="00C51297">
      <w:pPr>
        <w:pStyle w:val="NormalHanging12a"/>
      </w:pPr>
      <w:r>
        <w:t>122</w:t>
      </w:r>
      <w:r w:rsidR="00C51297" w:rsidRPr="00D360B4">
        <w:t>.</w:t>
      </w:r>
      <w:r w:rsidR="00C51297" w:rsidRPr="00D360B4">
        <w:tab/>
        <w:t>sa zadovoljstvom primjećuje da je DG FINS uspio iskoristiti učinkovitost svojih postupaka i predanost svojeg osoblja osiguravanju kontinuiteta usluga za koje je odgovoran i postizanja ciljeva utvrđenih u godišnjem programu rada; prima na znanje zabrinutost koju su zastupnici izrazili zbog neopravdanih i često znatnih kašnjenja u obradi povrata troškova, pri čemu povrat putnih troškova i troškova boravka u prosjeku traje do 40 dana; pozdravlja činjenicu da Parlament stalno modernizira svoje postupke kako bi zastupnicima nudio bolje usluge primjenom automatizacije, pojednostavljenja i digitalizacije; od DG FINS-a traži daljnje ubrzanje radnih procesa kako bi se osigurali brži postupci; osobito opremanjem djelatnika potrebnim alatima i softverom za učinkovito upravljanje radnim opterećenjem, čime će se skratiti vrijeme obrade;</w:t>
      </w:r>
    </w:p>
    <w:p w:rsidR="00C51297" w:rsidRPr="00D360B4" w:rsidRDefault="00C80D0C" w:rsidP="00C51297">
      <w:pPr>
        <w:pStyle w:val="NormalHanging12a"/>
      </w:pPr>
      <w:r>
        <w:t>123</w:t>
      </w:r>
      <w:r w:rsidR="00C51297" w:rsidRPr="00D360B4">
        <w:t>.</w:t>
      </w:r>
      <w:r w:rsidR="00C51297" w:rsidRPr="00D360B4">
        <w:tab/>
        <w:t xml:space="preserve">potvrđuje da je rad lokalnih asistenata ključan dio aktivnosti zastupnika u njihovim izbornim jedinicama i prva kontaktna točka za građane; ističe da se složenost postupka </w:t>
      </w:r>
      <w:r w:rsidR="00C51297" w:rsidRPr="00D360B4">
        <w:lastRenderedPageBreak/>
        <w:t>zapošljavanja i potpisivanja ugovora za lokalne asistente već nekoliko godina povećava zbog niza administrativnih zahtjeva koji dovode do dvostrukih provjera i nejasnih zahtjeva; ističe da bi DG FINS trebao priznati da lokalni asistenti podliježu nacionalnom zakonodavstvu i stoga traži da službe za pojedinu zemlju preuzmu postupak zapošljavanja; nadalje podsjeća da su dobrovoljne i političke aktivnosti lokalnih asistenata, ako se obavljaju u skladu s pravilima Europskog parlamenta, često redovna zanimanja koja ne bi trebala zahtijevati nepotrebne provjere;</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124</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prima na znanje sudjelovanje DG FINS-a u izmjenama regulatornog okvira za financiranje političkih struktura; pozdravlja činjenicu da je pridonio izradi prijedloga koji je Predsjedništvo usvojilo u srpnju 2022. o izmjeni pravila o korištenju odobrenih sredstava za financiranje klubova zastupnika; napominje da se izmjenom uzima u obzir situacija koja proizlazi iz </w:t>
      </w:r>
      <w:proofErr w:type="spellStart"/>
      <w:r w:rsidR="00C51297" w:rsidRPr="00D360B4">
        <w:rPr>
          <w14:textOutline w14:w="0" w14:cap="flat" w14:cmpd="sng" w14:algn="ctr">
            <w14:noFill/>
            <w14:prstDash w14:val="solid"/>
            <w14:bevel/>
          </w14:textOutline>
        </w:rPr>
        <w:t>pandemije</w:t>
      </w:r>
      <w:proofErr w:type="spellEnd"/>
      <w:r w:rsidR="00C51297" w:rsidRPr="00D360B4">
        <w:rPr>
          <w14:textOutline w14:w="0" w14:cap="flat" w14:cmpd="sng" w14:algn="ctr">
            <w14:noFill/>
            <w14:prstDash w14:val="solid"/>
            <w14:bevel/>
          </w14:textOutline>
        </w:rPr>
        <w:t xml:space="preserve"> bolesti COVID-19 i iznimno se predviđa metoda za zadržavanje gornje granice prijenosa neiskorištenih sredstava iz 2022. u 2023. na 75 % umjesto 50 %; sa zadovoljstvom primjećuje da je DG FINS također bio uključen u rad na reviziji Uredbe (EU, Euratom) br. 1141/2014 Europskog parlamenta i Vijeća od 22. listopada 2014. o statutu i financiranju europskih političkih stranaka i europskih političkih zaklada</w:t>
      </w:r>
      <w:r w:rsidR="00C51297" w:rsidRPr="00D360B4">
        <w:rPr>
          <w:rStyle w:val="FootnoteReference"/>
          <w:szCs w:val="24"/>
        </w:rPr>
        <w:footnoteReference w:id="13"/>
      </w:r>
      <w:r w:rsidR="00C51297" w:rsidRPr="00D360B4">
        <w:rPr>
          <w14:textOutline w14:w="0" w14:cap="flat" w14:cmpd="sng" w14:algn="ctr">
            <w14:noFill/>
            <w14:prstDash w14:val="solid"/>
            <w14:bevel/>
          </w14:textOutline>
        </w:rPr>
        <w:t>;</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125</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pozdravlja stalne napore koji su tijekom 2022. uloženi u digitalizaciju procesâ, uključujući razvoj novih funkcija i preoblikovanje aplikacije e-Portal; sa zadovoljstvom primjećuje da se kao rezultat toga povećala stopa korištenja aplikacije;</w:t>
      </w:r>
    </w:p>
    <w:p w:rsidR="00C51297" w:rsidRPr="00D360B4" w:rsidRDefault="00C80D0C" w:rsidP="00C51297">
      <w:pPr>
        <w:pStyle w:val="NormalHanging12a"/>
      </w:pPr>
      <w:r>
        <w:t>126</w:t>
      </w:r>
      <w:r w:rsidR="00C51297" w:rsidRPr="00D360B4">
        <w:t>.</w:t>
      </w:r>
      <w:r w:rsidR="00C51297" w:rsidRPr="00D360B4">
        <w:tab/>
        <w:t>podsjeća da dugi COVID iziskuje dugotrajnu skrb te je i dalje predmet intenzivnih istraživanja; napominje da među zastupnicima u Europskom parlamentu, osobljem i akreditiranim parlamentarnim asistentima postoje dugoročni pacijenti kojima je potrebna stalna pomoć; žali zbog činjenice da postojećim pravilima sustava zdravstvenog osiguranja (JSIS) nisu predviđeni odgovarajući povrati troškova, zbog čega za pogođene osobe nastaje golemo financijsko opterećenje; ističe da su sličnim nepovoljnim uvjetima izložene brojne osobe s autoimunim poremećajima, koji nisu priznati na odgovarajući način; poziva DG FINS i PMO da izmijene pravila o povratu troškova kako bi bolje odgovarala njihovim potrebama;</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127</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pozdravlja organizaciju radnih sastanaka o posebnim temama javne nabave, uključujući upravljanje cijenama ugovora i upravljanje prijevarama; prima na znanje komparativne studije i studije izvedivosti koje su zaključene u korist modela Komisije koji se temelji na e-nabavi;</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128</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DG FINS koordinira usluge povezane s organizacijom putovanja prilagođene potrebama zastupnika i svim administrativnim službama Parlamenta, uključujući putničku agenciju; pozdravlja činjenicu da je DG FINS, u suradnji s putničkom agencijom, uložio napore kako bi automatizirao upravljanje povratom troškova zastupnika za putovanja vlakom; napominje da je 2022. bila druga posljednja godina prije isteka ugovora s trenutačnom agencijom; ponavlja da bi nova izabrana agencija trebala moći zastupnicima ponuditi fleksibilnija i cjenovno povoljnija rješenja slična ponudama koje mogu pronaći na otvorenom tržištu;</w:t>
      </w:r>
    </w:p>
    <w:p w:rsidR="00C51297" w:rsidRPr="00D360B4" w:rsidRDefault="00C80D0C" w:rsidP="00C51297">
      <w:pPr>
        <w:pStyle w:val="NormalHanging12a"/>
      </w:pPr>
      <w:r>
        <w:t>129</w:t>
      </w:r>
      <w:r w:rsidR="00C51297" w:rsidRPr="00D360B4">
        <w:t>.</w:t>
      </w:r>
      <w:r w:rsidR="00C51297" w:rsidRPr="00D360B4">
        <w:tab/>
        <w:t xml:space="preserve">zabrinut je zbog činjenice da je 2022. otkriveno pet slučajeva sumnje na prijevaru u kojima su zastupnici navodno tražili povrat troškova za određene načine prijevoza, a zapravo su koristili jeftinije načine; napominje da se očekuje izdavanje dvaju naloga za </w:t>
      </w:r>
      <w:r w:rsidR="00C51297" w:rsidRPr="00D360B4">
        <w:lastRenderedPageBreak/>
        <w:t>povrat u ukupnom iznosu od 39 807 EUR te se trenutačno provodi daljnja istraga ostalih slučajeva, koji obuhvaćaju nekoliko proračunskih godina i mogli bi se odnositi na iznos od do 801 000 EUR;</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130</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prima na znanje najavu na sjednici Predsjedništva od 7. ožujka 2022. o osnivanju ad </w:t>
      </w:r>
      <w:proofErr w:type="spellStart"/>
      <w:r w:rsidR="00C51297" w:rsidRPr="00D360B4">
        <w:rPr>
          <w14:textOutline w14:w="0" w14:cap="flat" w14:cmpd="sng" w14:algn="ctr">
            <w14:noFill/>
            <w14:prstDash w14:val="solid"/>
            <w14:bevel/>
          </w14:textOutline>
        </w:rPr>
        <w:t>hoc</w:t>
      </w:r>
      <w:proofErr w:type="spellEnd"/>
      <w:r w:rsidR="00C51297" w:rsidRPr="00D360B4">
        <w:rPr>
          <w14:textOutline w14:w="0" w14:cap="flat" w14:cmpd="sng" w14:algn="ctr">
            <w14:noFill/>
            <w14:prstDash w14:val="solid"/>
            <w14:bevel/>
          </w14:textOutline>
        </w:rPr>
        <w:t xml:space="preserve"> radne skupine Predsjedništva za naknadu za opće troškove, čija je zadaća ocijeniti funkcioniranje odluke Predsjedništva od 2. srpnja 2018. o utvrđivanju popisa troškova koji se mogu pokriti iz naknade za opće troškove na temelju iskustva stečenog tijekom 9. parlamentarnog saziva; primjećuje da je Predsjedništvo na svojoj sjednici 17.°listopada°2022. usvojilo niz izmjena provedbenih mjera Statuta zastupnika Europskog parlamenta kojima se pojašnjavaju pravila koja se primjenjuju na pravo i upotrebu naknade za opće troškove i mjere usmjerene na povećanje transparentnosti, i pružanje veće pravne sigurnosti u pogledu prava na naknadu; ističe da je od ad </w:t>
      </w:r>
      <w:proofErr w:type="spellStart"/>
      <w:r w:rsidR="00C51297" w:rsidRPr="00D360B4">
        <w:rPr>
          <w14:textOutline w14:w="0" w14:cap="flat" w14:cmpd="sng" w14:algn="ctr">
            <w14:noFill/>
            <w14:prstDash w14:val="solid"/>
            <w14:bevel/>
          </w14:textOutline>
        </w:rPr>
        <w:t>hoc</w:t>
      </w:r>
      <w:proofErr w:type="spellEnd"/>
      <w:r w:rsidR="00C51297" w:rsidRPr="00D360B4">
        <w:rPr>
          <w14:textOutline w14:w="0" w14:cap="flat" w14:cmpd="sng" w14:algn="ctr">
            <w14:noFill/>
            <w14:prstDash w14:val="solid"/>
            <w14:bevel/>
          </w14:textOutline>
        </w:rPr>
        <w:t xml:space="preserve"> radne skupine zatraženo da primjereno uzme u obzir aspekte transparentnosti, odgovornosti i razumnog financijskog upravljanja sredstvima koja su na raspolaganju zastupnicima te da se pritom vodi načelom slobode i neovisnosti parlamentarnog mandata i ciljem izbjegavanja stvaranja nepotrebnog administrativnog opterećenja za zastupnike, njihove urede i službe Parlamenta;</w:t>
      </w:r>
    </w:p>
    <w:p w:rsidR="00C51297" w:rsidRPr="00D360B4" w:rsidRDefault="00C80D0C" w:rsidP="00C51297">
      <w:pPr>
        <w:pStyle w:val="NormalHanging12a"/>
      </w:pPr>
      <w:r>
        <w:t>131</w:t>
      </w:r>
      <w:r w:rsidR="00C51297" w:rsidRPr="00D360B4">
        <w:t>.</w:t>
      </w:r>
      <w:r w:rsidR="00C51297" w:rsidRPr="00D360B4">
        <w:tab/>
        <w:t>ističe da su 2022. predane samo 32 dobrovoljne izjave o korištenju naknade za opće troškove, od čega ih je 29 sadržavalo izvješće revizora, a predalo ih je 26 zastupnika; pozdravlja rad Tajništva na poticanju zastupnika u Europskom parlamentu da više upotrebljavaju tu mogućnost;</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132</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ističe da zastupnici mogu dokumentirati svoje korištenje sredstava u okviru naknade za opće troškove, detaljno ili po vrsti troškova, samostalno ili uz potporu vanjskog revizora, te da te informacije u cijelosti ili djelomično mogu objaviti na svojoj internetskoj stranici u okviru internetskih stranica Parlamenta u skladu s člankom 11. stavkom 2. Poslovnika Europskog parlamenta; pozdravlja činjenicu da je pojednostavnjeni popis vrsta troškova uključen u Provedbene mjere Statuta zastupnika te da je usvojen i amandman kojim se pojašnjava mogućnost da zastupnici koriste naknadu za opće troškove u slučaju iscrpljenja drugih naknada;</w:t>
      </w:r>
    </w:p>
    <w:p w:rsidR="00C51297" w:rsidRPr="00D360B4" w:rsidRDefault="00C80D0C" w:rsidP="00C51297">
      <w:pPr>
        <w:pStyle w:val="NormalHanging12a"/>
      </w:pPr>
      <w:r>
        <w:t>133</w:t>
      </w:r>
      <w:r w:rsidR="00C51297" w:rsidRPr="00D360B4">
        <w:t>.</w:t>
      </w:r>
      <w:r w:rsidR="00C51297" w:rsidRPr="00D360B4">
        <w:tab/>
        <w:t>podsjeća da OLAF ima mandat za istraživanje sumnji na ozbiljnu povredu radne dužnosti osoblja Unije i članova institucija Unije, uključujući moguće povrede Kodeksa ponašanja zastupnika u Parlamentu; napominje da 2022. nije bilo slučajeva u kojima je OLAF zatražio pristup uredima ili računima e-pošte zastupnika; napominje da bi se mogao provesti postupak jačanja OLAF-ovih ovlasti u Parlamentu u slučajevima potkrijepljenih sumnji u vezi s pojedinim zastupnicima, ako je to nužno i proporcionalno za istragu i uz puno poštovanje povjerljivosti u skladu s načelom imuniteta kako je utvrđeno u Protokolu br. 7 o povlasticama i imunitetima Europske unije; ponavlja svoj poziv Predsjedništvu da bez odgode uspostavi takav postupak;</w:t>
      </w:r>
    </w:p>
    <w:p w:rsidR="00C51297" w:rsidRPr="00D360B4" w:rsidRDefault="00C80D0C" w:rsidP="00C51297">
      <w:pPr>
        <w:pStyle w:val="NormalHanging12a"/>
      </w:pPr>
      <w:r>
        <w:t>134</w:t>
      </w:r>
      <w:r w:rsidR="00C51297" w:rsidRPr="00D360B4">
        <w:t>.</w:t>
      </w:r>
      <w:r w:rsidR="00C51297" w:rsidRPr="00D360B4">
        <w:tab/>
        <w:t xml:space="preserve">napominje da je 2022. OLAF istraživao 32 slučaja povezana s Parlamentom koji su se, osobito, odnosili na financijska i socijalna prava zastupnika, financiranje političkih struktura i ispunjavanje profesionalnih obveza osoblja; ističe da je OLAF izdao 14 izvješća, od kojih su neka sadržavala više od jedne preporuke, te ih je pet sadržavalo financijske preporuke, pet ih je sadržavalo preporuke za stegovne mjere, jedno je sadržavalo administrativnu preporuku, a sedam ih nije sadržavalo preporuke; prima na znanje da je 2022. Ured europskog javnog tužitelja (EPPO) istraživao četiri slučaja povezana s Parlamentom koja su se odnosila na financijska i socijalna prava zastupnika te financiranje političkih struktura; napominje da nijedna od istraga koje je EPPO </w:t>
      </w:r>
      <w:r w:rsidR="00C51297" w:rsidRPr="00D360B4">
        <w:lastRenderedPageBreak/>
        <w:t>provodio 2022. nije zaključena iste godine; pita upravu jesu li, koliko je to zakonski moguće, OLAF-ove preporuke u cijelosti provedene i je li ostvaren povrat iznosa izloženih riziku te od nje traži da dostavi sažetak, bez osjetljivih podataka, tipologije slučajeva koji su se istraživali kako bi se mogli donijeti zaključci i uvesti poboljšanja;</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135</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je Parlament sustavno odbijao OLAF-ove zahtjeve za provedbu inspekcija ureda zastupnika u Europskom parlamentu i pristup njihovim elektroničkim poslužiteljima i uređajima;</w:t>
      </w:r>
      <w:r w:rsidR="00F6669E">
        <w:rPr>
          <w14:textOutline w14:w="0" w14:cap="flat" w14:cmpd="sng" w14:algn="ctr">
            <w14:noFill/>
            <w14:prstDash w14:val="solid"/>
            <w14:bevel/>
          </w14:textOutline>
        </w:rPr>
        <w:t xml:space="preserve"> </w:t>
      </w:r>
      <w:r w:rsidR="00F6669E" w:rsidRPr="00F6669E">
        <w:rPr>
          <w14:textOutline w14:w="0" w14:cap="flat" w14:cmpd="sng" w14:algn="ctr">
            <w14:noFill/>
            <w14:prstDash w14:val="solid"/>
            <w14:bevel/>
          </w14:textOutline>
        </w:rPr>
        <w:t>ističe da su zastupnici zaštićeni izuzećem od odgovornosti za dane glasove i mišljenja izražena pri obnašanju svojih dužnosti te zaštitom od kaznenog progona i ograničavanja njihove osobne sl</w:t>
      </w:r>
      <w:r w:rsidR="000C6EE0">
        <w:rPr>
          <w14:textOutline w14:w="0" w14:cap="flat" w14:cmpd="sng" w14:algn="ctr">
            <w14:noFill/>
            <w14:prstDash w14:val="solid"/>
            <w14:bevel/>
          </w14:textOutline>
        </w:rPr>
        <w:t>obode tijekom sjednica P</w:t>
      </w:r>
      <w:r w:rsidR="00F6669E" w:rsidRPr="00F6669E">
        <w:rPr>
          <w14:textOutline w14:w="0" w14:cap="flat" w14:cmpd="sng" w14:algn="ctr">
            <w14:noFill/>
            <w14:prstDash w14:val="solid"/>
            <w14:bevel/>
          </w14:textOutline>
        </w:rPr>
        <w:t>arlamenta; podsjeća da OLAF može ući u urede zastupnika tek n</w:t>
      </w:r>
      <w:r w:rsidR="000C6EE0">
        <w:rPr>
          <w14:textOutline w14:w="0" w14:cap="flat" w14:cmpd="sng" w14:algn="ctr">
            <w14:noFill/>
            <w14:prstDash w14:val="solid"/>
            <w14:bevel/>
          </w14:textOutline>
        </w:rPr>
        <w:t>akon što predsjednik P</w:t>
      </w:r>
      <w:r w:rsidR="00F6669E" w:rsidRPr="00F6669E">
        <w:rPr>
          <w14:textOutline w14:w="0" w14:cap="flat" w14:cmpd="sng" w14:algn="ctr">
            <w14:noFill/>
            <w14:prstDash w14:val="solid"/>
            <w14:bevel/>
          </w14:textOutline>
        </w:rPr>
        <w:t>arlamenta odobri pristup na zahtjev nadležnog tijela države članice, u većini slučajeva suca; podsjeća da OLAF mora poštovati ta ograničenja u provedbi svojih dužnosti i istraga te naglašava da se navodna povreda dužnosti ne može koristiti kao izgovor za traženje izravnog pristupa;</w:t>
      </w:r>
    </w:p>
    <w:p w:rsidR="00C51297" w:rsidRPr="00D360B4" w:rsidRDefault="00C80D0C" w:rsidP="00C51297">
      <w:pPr>
        <w:pStyle w:val="NormalHanging12a"/>
      </w:pPr>
      <w:r>
        <w:t>136</w:t>
      </w:r>
      <w:r w:rsidR="00C51297" w:rsidRPr="00D360B4">
        <w:t>.</w:t>
      </w:r>
      <w:r w:rsidR="00C51297" w:rsidRPr="00D360B4">
        <w:tab/>
        <w:t>izražava žaljenje zbog činjenice da unatoč tomu što je u posljednjih 12 godina evidentirano 25 povreda Kodeksa ponašanja zastupnika, predsjednici Parlamenta nijednom zastupniku nisu izrekli financijsku kaznu; poziva predsjednicu da razmotri uvođenje financijskih kazni kad se dokaže da su zastupnici povrijedili Kodeks ponašanja kako bi se osiguralo da kazne zaista imaju odvraćajući učinak;</w:t>
      </w:r>
    </w:p>
    <w:p w:rsidR="00C51297" w:rsidRPr="00D360B4" w:rsidRDefault="00C80D0C" w:rsidP="00C51297">
      <w:pPr>
        <w:pStyle w:val="NormalHanging12a"/>
      </w:pPr>
      <w:r>
        <w:t>137</w:t>
      </w:r>
      <w:r w:rsidR="00C51297" w:rsidRPr="00D360B4">
        <w:t>.</w:t>
      </w:r>
      <w:r w:rsidR="00C51297" w:rsidRPr="00D360B4">
        <w:tab/>
        <w:t>napominje da je 2022. Europski parlament ostvario povrat iznosa od 261 891 EUR od pojedinačnih zastupnika u Europskom parlamentu u okviru proračunske linije prihoda 3300 „Povrat pogrešno isplaćenih iznosa”; napominje da velik dio tog iznosa nije povezan s naknadom za parlamentarnu pomoć; napominje da se, općenito, povrat iznosa u okviru proračunske linije za prihode 3300 (od pojedinačnih zastupnika u Europskom parlamentu, ali i od klubova zastupnika/stranaka/zaklada, trećih strana, osoblja, drugih pojedinaca itd.) najvećim dijelom odnosi na tehnički povrat, na primjer zbog usklađivanja iznosa potrošenih u vezi s izmijenjenim ili raskinutim ugovorima, i da se velika većina ne odnosi na akreditirane parlamentarne asistente; primjećuje da ti iznosi uključuju i dobrovoljni povrat ograničenog broja zastupnika u Europskom parlamentu i poseban slučaj ispravaka koji su posljedica administrativnih pogrešaka u izračunima Parlamenta ili retroaktivne izmjene pravila u nekim državama članicama i prijeboja; napominje da ta kategorija obuhvaća i izmjene uvjeta ugovora i potencijalne povezane povrate nakon potvrđenih prilagodbi uvjeta ugovora;</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Glavna uprava za inovacije i tehnološku podršku</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138</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podsjeća da Glavna uprava za inovacije i tehnološku podršku (DG ITEC) Parlamentu pruža usluge i opremu informacijske i komunikacijske tehnologije (IKT), usluge videokonferencije i multimedijske usluge te usluge izdavaštva i tiskanja; napominje da je na dan 31. prosinca 2022. ta glavna uprava zapošljavala 543 člana osoblja, od čega 349 dužnosnika, 53 privremena djelatnika i 141 ugovornog djelatnika;</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139</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su konačna odobrena sredstva DG ITEC-a 2022. iznosila 134 808 679 EUR, što predstavlja 6,2 % proračuna Parlamenta; ističe da je od tog iznosa odobreno ukupno 134 439 573 EUR; pozdravlja veliku iskorištenost odobrenih sredstava;</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140</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pozdravlja činjenicu da DG ITEC-a surađuje s glavnim upravama kako bi zastupnicima i osoblju osigurao sigurno i hibridno radno okruženje koje se temelji na podacima i </w:t>
      </w:r>
      <w:r w:rsidR="00C51297" w:rsidRPr="00D360B4">
        <w:rPr>
          <w14:textOutline w14:w="0" w14:cap="flat" w14:cmpd="sng" w14:algn="ctr">
            <w14:noFill/>
            <w14:prstDash w14:val="solid"/>
            <w14:bevel/>
          </w14:textOutline>
        </w:rPr>
        <w:lastRenderedPageBreak/>
        <w:t>usmjereno je na korisnike; sa zadovoljstvom prima na znanje njegovo promicanje održivog i odgovornog uvođenja inovativnih tehnologija kao što su umjetna inteligencija i analiza podataka kako bi se poboljšale sposobnosti službi Parlamenta za donošenje odluka;</w:t>
      </w:r>
    </w:p>
    <w:p w:rsidR="00C51297" w:rsidRPr="00D360B4" w:rsidRDefault="00C80D0C" w:rsidP="00C51297">
      <w:pPr>
        <w:pStyle w:val="NormalHanging12a"/>
      </w:pPr>
      <w:r>
        <w:t>141</w:t>
      </w:r>
      <w:r w:rsidR="00C51297" w:rsidRPr="00D360B4">
        <w:t>.</w:t>
      </w:r>
      <w:r w:rsidR="00C51297" w:rsidRPr="00D360B4">
        <w:tab/>
        <w:t>podsjeća na dodanu vrijednost besplatnog softvera otvorenog koda za poboljšanje sigurnosti jer on omogućuje Parlamentu da utvrdi i ispravi nedostatke, zadrži kontrolu nad podacima njihovim smještanjem na svojem poslužitelju i osmisli rješenja u skladu s vlastitim specifikacijama, a pritom može izbjeći učinke ovisnosti o određenom pružatelju usluga;</w:t>
      </w:r>
      <w:r w:rsidR="00CE0FE9">
        <w:t xml:space="preserve"> </w:t>
      </w:r>
      <w:r w:rsidR="00CE0FE9" w:rsidRPr="00CE0FE9">
        <w:t xml:space="preserve">podsjeća da bi se odabir softvera koji se koristi trebao voditi samo visokim standardima </w:t>
      </w:r>
      <w:proofErr w:type="spellStart"/>
      <w:r w:rsidR="00CE0FE9" w:rsidRPr="00CE0FE9">
        <w:t>kibernetičke</w:t>
      </w:r>
      <w:proofErr w:type="spellEnd"/>
      <w:r w:rsidR="00CE0FE9" w:rsidRPr="00CE0FE9">
        <w:t xml:space="preserve"> sigurnosti;</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142</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napominje da su aktivnosti Parlamenta u području </w:t>
      </w:r>
      <w:proofErr w:type="spellStart"/>
      <w:r w:rsidR="00C51297" w:rsidRPr="00D360B4">
        <w:rPr>
          <w14:textOutline w14:w="0" w14:cap="flat" w14:cmpd="sng" w14:algn="ctr">
            <w14:noFill/>
            <w14:prstDash w14:val="solid"/>
            <w14:bevel/>
          </w14:textOutline>
        </w:rPr>
        <w:t>kibernetičke</w:t>
      </w:r>
      <w:proofErr w:type="spellEnd"/>
      <w:r w:rsidR="00C51297" w:rsidRPr="00D360B4">
        <w:rPr>
          <w14:textOutline w14:w="0" w14:cap="flat" w14:cmpd="sng" w14:algn="ctr">
            <w14:noFill/>
            <w14:prstDash w14:val="solid"/>
            <w14:bevel/>
          </w14:textOutline>
        </w:rPr>
        <w:t xml:space="preserve"> obrane bile snažno obilježene sve većim </w:t>
      </w:r>
      <w:proofErr w:type="spellStart"/>
      <w:r w:rsidR="00C51297" w:rsidRPr="00D360B4">
        <w:rPr>
          <w14:textOutline w14:w="0" w14:cap="flat" w14:cmpd="sng" w14:algn="ctr">
            <w14:noFill/>
            <w14:prstDash w14:val="solid"/>
            <w14:bevel/>
          </w14:textOutline>
        </w:rPr>
        <w:t>kibernetičkim</w:t>
      </w:r>
      <w:proofErr w:type="spellEnd"/>
      <w:r w:rsidR="00C51297" w:rsidRPr="00D360B4">
        <w:rPr>
          <w14:textOutline w14:w="0" w14:cap="flat" w14:cmpd="sng" w14:algn="ctr">
            <w14:noFill/>
            <w14:prstDash w14:val="solid"/>
            <w14:bevel/>
          </w14:textOutline>
        </w:rPr>
        <w:t xml:space="preserve"> prijetnjama i rizicima za Parlament i druge institucije, tijela i agencije Unije; pozdravlja činjenicu da je CERT-EU iskoristio dodatna sredstva za usmjeravanje Parlamenta u području aplikacija infrastrukture u oblaku, poboljšanih obavještajnih podataka o </w:t>
      </w:r>
      <w:proofErr w:type="spellStart"/>
      <w:r w:rsidR="00C51297" w:rsidRPr="00D360B4">
        <w:rPr>
          <w14:textOutline w14:w="0" w14:cap="flat" w14:cmpd="sng" w14:algn="ctr">
            <w14:noFill/>
            <w14:prstDash w14:val="solid"/>
            <w14:bevel/>
          </w14:textOutline>
        </w:rPr>
        <w:t>kibernetičkim</w:t>
      </w:r>
      <w:proofErr w:type="spellEnd"/>
      <w:r w:rsidR="00C51297" w:rsidRPr="00D360B4">
        <w:rPr>
          <w14:textOutline w14:w="0" w14:cap="flat" w14:cmpd="sng" w14:algn="ctr">
            <w14:noFill/>
            <w14:prstDash w14:val="solid"/>
            <w14:bevel/>
          </w14:textOutline>
        </w:rPr>
        <w:t xml:space="preserve"> prijetnjama i praćenja sigurnosnog perimetra 24 sata dnevno, sedam dana u tjednu, kao i utvrđivanja ranjivosti;</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143</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pozdravlja osnivanje Uprave za </w:t>
      </w:r>
      <w:proofErr w:type="spellStart"/>
      <w:r w:rsidR="00C51297" w:rsidRPr="00D360B4">
        <w:rPr>
          <w14:textOutline w14:w="0" w14:cap="flat" w14:cmpd="sng" w14:algn="ctr">
            <w14:noFill/>
            <w14:prstDash w14:val="solid"/>
            <w14:bevel/>
          </w14:textOutline>
        </w:rPr>
        <w:t>kibernetičku</w:t>
      </w:r>
      <w:proofErr w:type="spellEnd"/>
      <w:r w:rsidR="00C51297" w:rsidRPr="00D360B4">
        <w:rPr>
          <w14:textOutline w14:w="0" w14:cap="flat" w14:cmpd="sng" w14:algn="ctr">
            <w14:noFill/>
            <w14:prstDash w14:val="solid"/>
            <w14:bevel/>
          </w14:textOutline>
        </w:rPr>
        <w:t xml:space="preserve"> sigurnost 2022., koja je odgovorna za informacijsku sigurnost i sastoji se od triju odjela koji se bave sigurnosnim operacijama, sigurnosnom politikom i sigurnosnim rizikom; poziva Parlament da nastavi svoje aktivnosti i poveća svoja ulaganja u </w:t>
      </w:r>
      <w:proofErr w:type="spellStart"/>
      <w:r w:rsidR="00C51297" w:rsidRPr="00D360B4">
        <w:rPr>
          <w14:textOutline w14:w="0" w14:cap="flat" w14:cmpd="sng" w14:algn="ctr">
            <w14:noFill/>
            <w14:prstDash w14:val="solid"/>
            <w14:bevel/>
          </w14:textOutline>
        </w:rPr>
        <w:t>kibernetičku</w:t>
      </w:r>
      <w:proofErr w:type="spellEnd"/>
      <w:r w:rsidR="00C51297" w:rsidRPr="00D360B4">
        <w:rPr>
          <w14:textOutline w14:w="0" w14:cap="flat" w14:cmpd="sng" w14:algn="ctr">
            <w14:noFill/>
            <w14:prstDash w14:val="solid"/>
            <w14:bevel/>
          </w14:textOutline>
        </w:rPr>
        <w:t xml:space="preserve"> sigurnost; pozdravlja činjenicu da je DG ITEC ponudio mogućnost provjere informatičke opreme kako bi se utvrdilo sadrži li ona špijunski softver kao što je PEGASUS te poziva DG ITEC da nastavi s radom u tom području;</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144</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napominje da je nakon povećane upotrebe prijenosnih uređaja 2022. DG ITEC objavio globalnu studiju za planiranje poboljšanja bežične mreže u zgradama Parlamenta; napominje da je 2022. zgrada SPAAK u Bruxellesu ojačana uvođenjem 351 dodatne antene; prima na znanje napore uložene u poboljšanje bežične mreže u zgradama Parlamenta; traži daljnje poboljšanje mobilne mreže u zgradama Parlamenta u </w:t>
      </w:r>
      <w:proofErr w:type="spellStart"/>
      <w:r w:rsidR="00C51297" w:rsidRPr="00D360B4">
        <w:rPr>
          <w14:textOutline w14:w="0" w14:cap="flat" w14:cmpd="sng" w14:algn="ctr">
            <w14:noFill/>
            <w14:prstDash w14:val="solid"/>
            <w14:bevel/>
          </w14:textOutline>
        </w:rPr>
        <w:t>Strasbourgu</w:t>
      </w:r>
      <w:proofErr w:type="spellEnd"/>
      <w:r w:rsidR="00C51297" w:rsidRPr="00D360B4">
        <w:rPr>
          <w14:textOutline w14:w="0" w14:cap="flat" w14:cmpd="sng" w14:algn="ctr">
            <w14:noFill/>
            <w14:prstDash w14:val="solid"/>
            <w14:bevel/>
          </w14:textOutline>
        </w:rPr>
        <w:t xml:space="preserve"> kako bi se poboljšao prijam mobilnih telefona;</w:t>
      </w:r>
    </w:p>
    <w:p w:rsidR="00C51297" w:rsidRPr="00D360B4" w:rsidRDefault="00C80D0C"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145</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ističe da inflacija na svjetskoj razini u kombinaciji s problemima u lancu opskrbe uzrokuje povećanje troškova u područjima od hardvera do profesionalnih usluga; pozdravlja činjenicu da je DG ITEC ponovno odredio prioritete tekućih ulaganja u informacijske tehnologije; pozdravlja novi i brži ciklus upravljanja informatičkom opremom kao dio programa </w:t>
      </w:r>
      <w:proofErr w:type="spellStart"/>
      <w:r w:rsidR="00C51297" w:rsidRPr="00D360B4">
        <w:rPr>
          <w14:textOutline w14:w="0" w14:cap="flat" w14:cmpd="sng" w14:algn="ctr">
            <w14:noFill/>
            <w14:prstDash w14:val="solid"/>
            <w14:bevel/>
          </w14:textOutline>
        </w:rPr>
        <w:t>Agile</w:t>
      </w:r>
      <w:proofErr w:type="spellEnd"/>
      <w:r w:rsidR="00C51297" w:rsidRPr="00D360B4">
        <w:rPr>
          <w14:textOutline w14:w="0" w14:cap="flat" w14:cmpd="sng" w14:algn="ctr">
            <w14:noFill/>
            <w14:prstDash w14:val="solid"/>
            <w14:bevel/>
          </w14:textOutline>
        </w:rPr>
        <w:t> IT DG ITEC-a;</w:t>
      </w:r>
    </w:p>
    <w:p w:rsidR="00C51297" w:rsidRDefault="00C80D0C" w:rsidP="00C51297">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146</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napominje da je </w:t>
      </w:r>
      <w:proofErr w:type="spellStart"/>
      <w:r w:rsidR="00C51297" w:rsidRPr="00D360B4">
        <w:rPr>
          <w14:textOutline w14:w="0" w14:cap="flat" w14:cmpd="sng" w14:algn="ctr">
            <w14:noFill/>
            <w14:prstDash w14:val="solid"/>
            <w14:bevel/>
          </w14:textOutline>
        </w:rPr>
        <w:t>pandemija</w:t>
      </w:r>
      <w:proofErr w:type="spellEnd"/>
      <w:r w:rsidR="00C51297" w:rsidRPr="00D360B4">
        <w:rPr>
          <w14:textOutline w14:w="0" w14:cap="flat" w14:cmpd="sng" w14:algn="ctr">
            <w14:noFill/>
            <w14:prstDash w14:val="solid"/>
            <w14:bevel/>
          </w14:textOutline>
        </w:rPr>
        <w:t xml:space="preserve"> bolesti COVID-19 bila katalizator ubrzane digitalne transformacije Parlamenta u posljednjih nekoliko godina; ističe prelazak na hibridni Parlament s potpuno fleksibilnim radnim uvjetima, od fizičke prisutnosti do potpuno digitalnog radnog okruženja; pozdravlja otpornost koju je Parlament pokazao u kontekstu </w:t>
      </w:r>
      <w:proofErr w:type="spellStart"/>
      <w:r w:rsidR="00C51297" w:rsidRPr="00D360B4">
        <w:rPr>
          <w14:textOutline w14:w="0" w14:cap="flat" w14:cmpd="sng" w14:algn="ctr">
            <w14:noFill/>
            <w14:prstDash w14:val="solid"/>
            <w14:bevel/>
          </w14:textOutline>
        </w:rPr>
        <w:t>pandemije</w:t>
      </w:r>
      <w:proofErr w:type="spellEnd"/>
      <w:r w:rsidR="00C51297" w:rsidRPr="00D360B4">
        <w:rPr>
          <w14:textOutline w14:w="0" w14:cap="flat" w14:cmpd="sng" w14:algn="ctr">
            <w14:noFill/>
            <w14:prstDash w14:val="solid"/>
            <w14:bevel/>
          </w14:textOutline>
        </w:rPr>
        <w:t xml:space="preserve"> bolesti COVID-19 i činjenicu da je njegov odgovor bio brz i fleksibilan te da je imao koristi od prethodnih ulaganja u digitalizaciju;</w:t>
      </w:r>
    </w:p>
    <w:p w:rsidR="00F6669E" w:rsidRPr="00D360B4" w:rsidRDefault="00C80D0C" w:rsidP="00C51297">
      <w:pPr>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147</w:t>
      </w:r>
      <w:r w:rsidR="00F6669E">
        <w:rPr>
          <w:szCs w:val="24"/>
          <w14:textOutline w14:w="0" w14:cap="flat" w14:cmpd="sng" w14:algn="ctr">
            <w14:noFill/>
            <w14:prstDash w14:val="solid"/>
            <w14:bevel/>
          </w14:textOutline>
        </w:rPr>
        <w:t>.</w:t>
      </w:r>
      <w:r w:rsidR="00F6669E" w:rsidRPr="00F6669E">
        <w:rPr>
          <w:szCs w:val="24"/>
          <w14:textOutline w14:w="0" w14:cap="flat" w14:cmpd="sng" w14:algn="ctr">
            <w14:noFill/>
            <w14:prstDash w14:val="solid"/>
            <w14:bevel/>
          </w14:textOutline>
        </w:rPr>
        <w:tab/>
        <w:t xml:space="preserve">podsjeća na dugogodišnji zahtjev zajednice gluhih osoba da se omogući podnošenje predstavki na nacionalnim znakovnim jezicima koji se upotrebljavaju u Uniji; prima na znanje rasprave održane na sjednicama Odbora za predstavke 29. studenoga 2023. i 19. ožujka 2024., posebno u vezi s predstavkom br. 1056/2016, te ističe predanost </w:t>
      </w:r>
      <w:r w:rsidR="00F6669E" w:rsidRPr="00F6669E">
        <w:rPr>
          <w:szCs w:val="24"/>
          <w14:textOutline w14:w="0" w14:cap="flat" w14:cmpd="sng" w14:algn="ctr">
            <w14:noFill/>
            <w14:prstDash w14:val="solid"/>
            <w14:bevel/>
          </w14:textOutline>
        </w:rPr>
        <w:lastRenderedPageBreak/>
        <w:t>Parlamenta poboljšanju pristupačnosti za sve europske građane; podsje</w:t>
      </w:r>
      <w:r w:rsidR="000C6EE0">
        <w:rPr>
          <w:szCs w:val="24"/>
          <w14:textOutline w14:w="0" w14:cap="flat" w14:cmpd="sng" w14:algn="ctr">
            <w14:noFill/>
            <w14:prstDash w14:val="solid"/>
            <w14:bevel/>
          </w14:textOutline>
        </w:rPr>
        <w:t>ća da se Poslovnikom P</w:t>
      </w:r>
      <w:r w:rsidR="00F6669E" w:rsidRPr="00F6669E">
        <w:rPr>
          <w:szCs w:val="24"/>
          <w14:textOutline w14:w="0" w14:cap="flat" w14:cmpd="sng" w14:algn="ctr">
            <w14:noFill/>
            <w14:prstDash w14:val="solid"/>
            <w14:bevel/>
          </w14:textOutline>
        </w:rPr>
        <w:t xml:space="preserve">arlamenta zahtijeva podnošenje predstavki u pisanom obliku; poziva upravu Parlamenta da uvede potrebne promjene na portalu za predstavke kako bi se podnositeljima predstavki omogućilo da svojoj pisanoj predstavki prilože videosnimku prijevoda na znakovni jezik; potiče upravu da pozove relevantne dionike, uključujući predstavnike zajednice gluhih osoba, da daju svoj doprinos i povratne informacije tijekom postupka provedbe kako bi se osigurala učinkovitost i </w:t>
      </w:r>
      <w:proofErr w:type="spellStart"/>
      <w:r w:rsidR="00F6669E" w:rsidRPr="00F6669E">
        <w:rPr>
          <w:szCs w:val="24"/>
          <w14:textOutline w14:w="0" w14:cap="flat" w14:cmpd="sng" w14:algn="ctr">
            <w14:noFill/>
            <w14:prstDash w14:val="solid"/>
            <w14:bevel/>
          </w14:textOutline>
        </w:rPr>
        <w:t>uključivost</w:t>
      </w:r>
      <w:proofErr w:type="spellEnd"/>
      <w:r w:rsidR="00F6669E" w:rsidRPr="00F6669E">
        <w:rPr>
          <w:szCs w:val="24"/>
          <w14:textOutline w14:w="0" w14:cap="flat" w14:cmpd="sng" w14:algn="ctr">
            <w14:noFill/>
            <w14:prstDash w14:val="solid"/>
            <w14:bevel/>
          </w14:textOutline>
        </w:rPr>
        <w:t xml:space="preserve"> predloženih mjera;</w:t>
      </w:r>
    </w:p>
    <w:p w:rsidR="00C51297" w:rsidRPr="00D360B4" w:rsidRDefault="0065165D" w:rsidP="00C51297">
      <w:pPr>
        <w:pStyle w:val="NormalHanging12a"/>
      </w:pPr>
      <w:r>
        <w:t>148</w:t>
      </w:r>
      <w:r w:rsidR="00C51297" w:rsidRPr="00D360B4">
        <w:t>.</w:t>
      </w:r>
      <w:r w:rsidR="00C51297" w:rsidRPr="00D360B4">
        <w:tab/>
        <w:t>pozdravlja činjenicu da portal za digitalno potpisivanje (</w:t>
      </w:r>
      <w:proofErr w:type="spellStart"/>
      <w:r w:rsidR="00C51297" w:rsidRPr="00D360B4">
        <w:t>DiSP</w:t>
      </w:r>
      <w:proofErr w:type="spellEnd"/>
      <w:r w:rsidR="00C51297" w:rsidRPr="00D360B4">
        <w:t xml:space="preserve">) omogućuje zastupnicima digitalno potpisivanje dokumenata, čime se poboljšavaju učinkovitost, </w:t>
      </w:r>
      <w:proofErr w:type="spellStart"/>
      <w:r w:rsidR="00C51297" w:rsidRPr="00D360B4">
        <w:t>sljedivost</w:t>
      </w:r>
      <w:proofErr w:type="spellEnd"/>
      <w:r w:rsidR="00C51297" w:rsidRPr="00D360B4">
        <w:t xml:space="preserve"> i transparentnost postupaka, te napominje da je, neovisno o mogućnosti slanja potpisanih amandmana za plenarnu sjednicu službama za plenarne sjednice e-poštom ili putem portala za prijenose Europskog parlamenta, potpisivanje amandmana za plenarnu sjednicu i dalje zastario i opterećujući postupak; poziva Predsjedništvo da poduzme potrebne korake kako bi zastupnicima u budućnosti omogućilo digitalno potpisivanje amandmana za plenarnu sjednicu;</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Glavna uprava za sigurnost i zaštitu</w:t>
      </w:r>
    </w:p>
    <w:p w:rsidR="00C51297" w:rsidRPr="00D360B4" w:rsidRDefault="0065165D"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149</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podsjeća da Glavna uprava za sigurnost i zaštitu (DG SAFE) nastoji predvidjeti, spriječiti i ublažiti sigurnosne rizike i prijetnje Parlamentu te njegovim zastupnicima i osoblju primjenom pristupa temeljenog na riziku kojim se uzimaju u obzir demokratska priroda institucije i vrijednosti koje ona utjelovljuje, posebno otvorenost i transparentnost; napominje da je na dan 31. prosinca 2022. ta glavna uprava zapošljavala 882 člana osoblja, od čega 170 dužnosnika, 22 privremena djelatnika i 690 ugovornih djelatnika;</w:t>
      </w:r>
    </w:p>
    <w:p w:rsidR="00C51297" w:rsidRPr="00D360B4" w:rsidRDefault="0065165D"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150</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su konačna odobrena sredstva DG SAFE-a 2022. iznosila 29 507 334 EUR, što predstavlja 1,4 % proračuna Parlamenta; ističe da je od tog iznosa odobreno ukupno 28 370 796 EUR; pozdravlja veliku iskorištenost odobrenih sredstava;</w:t>
      </w:r>
    </w:p>
    <w:p w:rsidR="00C51297" w:rsidRPr="00D360B4" w:rsidRDefault="0065165D" w:rsidP="00C51297">
      <w:pPr>
        <w:pStyle w:val="NormalHanging12a"/>
      </w:pPr>
      <w:r>
        <w:t>151</w:t>
      </w:r>
      <w:r w:rsidR="00C51297" w:rsidRPr="00D360B4">
        <w:t>.</w:t>
      </w:r>
      <w:r w:rsidR="00C51297" w:rsidRPr="00D360B4">
        <w:tab/>
        <w:t>pozdravlja internalizaciju općih sigurnosnih službi u Luksemburgu koja je stupila na snagu 1. siječnja 2022.; potvrđuje da je teško privući i zaposliti osoblje specijalizirano u području sigurnosti iz svih država članica uz uvjete koji se nude u okviru funkcijske skupine I.; podsjeća na posebnu situaciju u Luksemburgu, gdje je plaća koja se nudi u toj funkcijskoj skupini niža od nacionalne minimalne međusektorske plaće, zbog čega je Parlament prisiljen pribjeći socijalnoj naknadi;</w:t>
      </w:r>
    </w:p>
    <w:p w:rsidR="00C51297" w:rsidRPr="00D360B4" w:rsidRDefault="0065165D"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152</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ističe povećanu potražnju za dodatnim i izvanrednim uslugama DG SAFE-a u području sigurnosti i zaštite na svim mjestima rada za sve veći broj velikih događanja; prepoznaje izazov koji zadovoljavanje tih sve većih potreba predstavlja za sigurnosne službe Parlamenta, koje imaju fiksni broj agenata;</w:t>
      </w:r>
    </w:p>
    <w:p w:rsidR="00C51297" w:rsidRPr="00D360B4" w:rsidRDefault="0065165D"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153</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pozdravlja povratak na uobičajenu razinu posjetitelja nakon ublažavanja ograničenja povezanih s bolešću COVID-19 2022.; zabrinut je zbog toga što bi nedostatak prostora u Bruxellesu za dobrodošlicu i akreditaciju sudionika i za sudionike konferencije mogao predstavljati rizik za sigurnost Parlamenta;</w:t>
      </w:r>
    </w:p>
    <w:p w:rsidR="00C51297" w:rsidRPr="00D360B4" w:rsidRDefault="0065165D"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154</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naglašava važnost temeljitog planiranja projekata povezanih s uredima za vezu Europskog parlamenta i centrima Europa </w:t>
      </w:r>
      <w:proofErr w:type="spellStart"/>
      <w:r w:rsidR="00C51297" w:rsidRPr="00D360B4">
        <w:rPr>
          <w14:textOutline w14:w="0" w14:cap="flat" w14:cmpd="sng" w14:algn="ctr">
            <w14:noFill/>
            <w14:prstDash w14:val="solid"/>
            <w14:bevel/>
          </w14:textOutline>
        </w:rPr>
        <w:t>Experience</w:t>
      </w:r>
      <w:proofErr w:type="spellEnd"/>
      <w:r w:rsidR="00C51297" w:rsidRPr="00D360B4">
        <w:rPr>
          <w14:textOutline w14:w="0" w14:cap="flat" w14:cmpd="sng" w14:algn="ctr">
            <w14:noFill/>
            <w14:prstDash w14:val="solid"/>
            <w14:bevel/>
          </w14:textOutline>
        </w:rPr>
        <w:t xml:space="preserve"> kako bi se mogli pažljivo procijeniti troškovi usluga i opreme u području sigurnosti i zaštite;</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lastRenderedPageBreak/>
        <w:t xml:space="preserve">Horizontalna pitanja koja utječu na proračun Parlamenta za financijsku godinu 2022. </w:t>
      </w:r>
    </w:p>
    <w:p w:rsidR="00C51297" w:rsidRPr="00D360B4" w:rsidRDefault="00C51297" w:rsidP="00C51297">
      <w:pPr>
        <w:spacing w:after="240"/>
        <w:rPr>
          <w:b/>
          <w:noProof/>
          <w:u w:val="single"/>
        </w:rPr>
      </w:pPr>
      <w:r w:rsidRPr="00D360B4">
        <w:rPr>
          <w:b/>
          <w:u w:val="single"/>
        </w:rPr>
        <w:t xml:space="preserve">Uznemiravanje </w:t>
      </w:r>
    </w:p>
    <w:p w:rsidR="00C51297" w:rsidRPr="00D360B4" w:rsidRDefault="0065165D" w:rsidP="00C51297">
      <w:pPr>
        <w:pStyle w:val="NormalHanging12a"/>
      </w:pPr>
      <w:r>
        <w:t>155</w:t>
      </w:r>
      <w:r w:rsidR="00C51297" w:rsidRPr="00D360B4">
        <w:t>.</w:t>
      </w:r>
      <w:r w:rsidR="00C51297" w:rsidRPr="00D360B4">
        <w:tab/>
        <w:t xml:space="preserve">pozdravlja politiku nulte tolerancije Parlamenta na uznemiravanje i provedene kampanje za podizanje svijesti; ističe da se Kodeksom primjerenog ponašanja zastupnika u Europskom parlamentu nastoji osigurati da zastupnici prema svima koji rade u Europskom parlamentu postupaju dostojanstveno, ljubazno i s poštovanjem te bez predrasuda i diskriminacije; podsjeća da je 2022. 56 zastupnika u Europskom parlamentu sudjelovalo u tečajevima osposobljavanja; napominje da su od studenoga 2018., kada su ponuđeni prvi tečajevi, ukupno 324 aktualna zastupnika u Europskom parlamentu </w:t>
      </w:r>
      <w:r w:rsidR="00C51297" w:rsidRPr="002519A1">
        <w:t>(46 %)</w:t>
      </w:r>
      <w:r w:rsidR="00C51297" w:rsidRPr="00D360B4">
        <w:t xml:space="preserve"> sudjelovala u osposobljavanju, kao i 56 bivših zastupnika čiji je mandat istekao; napominje da je 2022. 106 članova osoblja i akreditiranih parlamentarnih asistenata sudjelovalo u tečajevima osposobljavanja za borbu protiv uznemiravanja; sa zabrinutošću napominje da se slučajevi uznemiravanja i dalje događaju bez obzira na aktivnosti koje se provode kako bi se iskorijenilo uznemiravanje na radnom mjestu;</w:t>
      </w:r>
    </w:p>
    <w:p w:rsidR="00C51297" w:rsidRPr="00D360B4" w:rsidRDefault="0065165D" w:rsidP="00C51297">
      <w:pPr>
        <w:pStyle w:val="NormalHanging12a"/>
      </w:pPr>
      <w:r>
        <w:t>156</w:t>
      </w:r>
      <w:r w:rsidR="00C51297" w:rsidRPr="00D360B4">
        <w:t>.</w:t>
      </w:r>
      <w:r w:rsidR="00C51297" w:rsidRPr="00D360B4">
        <w:tab/>
        <w:t>podsjeća na to da je u prethodnim razrješnicama zatraženo uvođenje obveznih tečajeva osposobljavanja za borbu protiv uznemiravanja za sve zastupnike i akreditirane parlamentarne asistente, kao i za osoblje, uključujući osobe na rukovodećim položajima u različitim glavnim upravama i klubovima zastupnika; priznaje da je radi doprinosa izgradnji boljeg radnog okruženja u Europskom parlamentu i izbjegavanju zlouporabe ovlasti Predsjedništvo 10. srpnja 2023. dodatno odobrilo koncept osposobljavanja u području sastavljanja dobrog i uspješnog tima te sprečavanja uznemiravanja; pozdravlja napore Predsjedništva da osposobljavanje za borbu protiv uznemiravanja postane obvezno za sve zastupnike, kao i za načelnike odjela, direktore i glavne direktore;</w:t>
      </w:r>
    </w:p>
    <w:p w:rsidR="00C51297" w:rsidRPr="00D360B4" w:rsidRDefault="0065165D"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157</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ističe da bi trebalo uvesti obvezno osposobljavanje za borbu protiv uznemiravanja za zastupnike, akreditirane parlamentarne asistente i članove osoblja;</w:t>
      </w:r>
      <w:r w:rsidR="00900240">
        <w:rPr>
          <w14:textOutline w14:w="0" w14:cap="flat" w14:cmpd="sng" w14:algn="ctr">
            <w14:noFill/>
            <w14:prstDash w14:val="solid"/>
            <w14:bevel/>
          </w14:textOutline>
        </w:rPr>
        <w:t xml:space="preserve"> </w:t>
      </w:r>
      <w:r w:rsidR="00900240" w:rsidRPr="00900240">
        <w:rPr>
          <w14:textOutline w14:w="0" w14:cap="flat" w14:cmpd="sng" w14:algn="ctr">
            <w14:noFill/>
            <w14:prstDash w14:val="solid"/>
            <w14:bevel/>
          </w14:textOutline>
        </w:rPr>
        <w:t>ističe da bi svi članovi osoblja, uključujući medicinsko osoblje koje ima ulogu u postupcima za sprečavanje uznemiravanja, trebali biti posebno osposobljeni za te postupke;</w:t>
      </w:r>
    </w:p>
    <w:p w:rsidR="00C51297" w:rsidRPr="00D360B4" w:rsidRDefault="0065165D"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158</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ističe činjenicu da je Savjetodavni odbor nadležan za prijave zbog uznemiravanja na radnom mjestu i za njegovo sprečavanje 2022. zaprimio dvije pritužbe koje su podnijela dva stažista; također napominje da se jedan član osoblja obratio Odboru radi savjetovanja; </w:t>
      </w:r>
    </w:p>
    <w:p w:rsidR="00C51297" w:rsidRDefault="0065165D" w:rsidP="00C51297">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159</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ističe da Savjetodavni odbor nadležan za prijave zbog uznemiravanja koje se odnose na zastupnike ima mandat za ispitivanje optužbi o psihičkom ili seksualnom uznemiravanju koje su navodno počinili zastupnici, a koje podnose članovi svih kategorija osoblja, uključujući akreditirane parlamentarne asistente, stažiste, upućene nacionalne stručnjake i osoblje klubova zastupnika; napominje da je radi daljnjeg jačanja politika Parlamenta protiv uznemiravanja Predsjedništvo 20. studenoga 2023. usvojilo niz dodatnih izmjena pravila o funkcioniranju Savjetodavnog odbora nadležnog za prijave zbog uznemiravanja koje se odnose na zastupnike;</w:t>
      </w:r>
      <w:r w:rsidR="000D5C70">
        <w:rPr>
          <w14:textOutline w14:w="0" w14:cap="flat" w14:cmpd="sng" w14:algn="ctr">
            <w14:noFill/>
            <w14:prstDash w14:val="solid"/>
            <w14:bevel/>
          </w14:textOutline>
        </w:rPr>
        <w:t xml:space="preserve"> </w:t>
      </w:r>
      <w:r w:rsidR="000D5C70" w:rsidRPr="000D5C70">
        <w:rPr>
          <w14:textOutline w14:w="0" w14:cap="flat" w14:cmpd="sng" w14:algn="ctr">
            <w14:noFill/>
            <w14:prstDash w14:val="solid"/>
            <w14:bevel/>
          </w14:textOutline>
        </w:rPr>
        <w:t>ponovno poziva Predsjedništvo da u oba savjetodavna odbora uključi neovisne stručnjake za pitanja uznemiravanja kako bi im pomogli u obavljanju njihovih dužnosti;</w:t>
      </w:r>
    </w:p>
    <w:p w:rsidR="00900240" w:rsidRPr="00D360B4" w:rsidRDefault="0065165D" w:rsidP="00C51297">
      <w:pPr>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160</w:t>
      </w:r>
      <w:r w:rsidR="00900240">
        <w:rPr>
          <w:szCs w:val="24"/>
          <w14:textOutline w14:w="0" w14:cap="flat" w14:cmpd="sng" w14:algn="ctr">
            <w14:noFill/>
            <w14:prstDash w14:val="solid"/>
            <w14:bevel/>
          </w14:textOutline>
        </w:rPr>
        <w:t>.</w:t>
      </w:r>
      <w:r w:rsidR="00900240" w:rsidRPr="00900240">
        <w:rPr>
          <w:szCs w:val="24"/>
          <w14:textOutline w14:w="0" w14:cap="flat" w14:cmpd="sng" w14:algn="ctr">
            <w14:noFill/>
            <w14:prstDash w14:val="solid"/>
            <w14:bevel/>
          </w14:textOutline>
        </w:rPr>
        <w:tab/>
        <w:t xml:space="preserve">naglašava da seksualno i psihološko uznemiravanje nisu prihvatljivi ni u kojim okolnostima; podsjeća da je Parlament uspješno uspostavio nekoliko kontaktnih točaka za rješavanje slučajeva uznemiravanja, kao što su Savjetodavni odbor nadležan za </w:t>
      </w:r>
      <w:r w:rsidR="00900240" w:rsidRPr="00900240">
        <w:rPr>
          <w:szCs w:val="24"/>
          <w14:textOutline w14:w="0" w14:cap="flat" w14:cmpd="sng" w14:algn="ctr">
            <w14:noFill/>
            <w14:prstDash w14:val="solid"/>
            <w14:bevel/>
          </w14:textOutline>
        </w:rPr>
        <w:lastRenderedPageBreak/>
        <w:t xml:space="preserve">prijave zbog uznemiravanja koje se odnose na zastupnike i Savjetodavni odbor nadležan za prijave zbog uznemiravanja na radnom mjestu i za njegovo sprečavanje, kao i povjerljivi savjetnici; vrlo je zabrinut zbog medijskih napisa o seksualnom uznemiravanju koje je navodno jedan zastupnik provodio od ljeta 2022., u vezi s kojim nisu poduzete nikakve mjere; podsjeća da se sve klubove zastupnika snažno potiče da prijave potencijalne slučajeve spomenutim odborima i da je uspostava vanjskih struktura s istom svrhom dovela do zaobilaženja protokola Parlamenta protiv uznemiravanja i uspostave </w:t>
      </w:r>
      <w:proofErr w:type="spellStart"/>
      <w:r w:rsidR="00900240" w:rsidRPr="00900240">
        <w:rPr>
          <w:szCs w:val="24"/>
          <w14:textOutline w14:w="0" w14:cap="flat" w14:cmpd="sng" w14:algn="ctr">
            <w14:noFill/>
            <w14:prstDash w14:val="solid"/>
            <w14:bevel/>
          </w14:textOutline>
        </w:rPr>
        <w:t>dvostupanjskog</w:t>
      </w:r>
      <w:proofErr w:type="spellEnd"/>
      <w:r w:rsidR="00900240" w:rsidRPr="00900240">
        <w:rPr>
          <w:szCs w:val="24"/>
          <w14:textOutline w14:w="0" w14:cap="flat" w14:cmpd="sng" w14:algn="ctr">
            <w14:noFill/>
            <w14:prstDash w14:val="solid"/>
            <w14:bevel/>
          </w14:textOutline>
        </w:rPr>
        <w:t xml:space="preserve"> sustava; ističe da to dovodi do ozbiljne nesigurnosti za žrtve i uspostave različitih pravila za različite političke stranke;</w:t>
      </w:r>
    </w:p>
    <w:p w:rsidR="00C51297" w:rsidRPr="00D360B4" w:rsidRDefault="0065165D"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161</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je 2022. 13 članova osoblja (u usporedbi s 9 u 2021.) zatražilo pomoć institucije u skladu s člankom 24. Pravilnika o osoblju; napominje da se šest slučajeva (u usporedbi s 5 u 2021.) odnosilo na navodno uznemiravanje; ističe da nijedan dotični član osoblja nije bio dužnosnik i da su svih šest bili akreditirani parlamentarni asistenti ili bivši akreditirani parlamentarni asistenti;</w:t>
      </w:r>
    </w:p>
    <w:p w:rsidR="00C51297" w:rsidRPr="00D360B4" w:rsidRDefault="0065165D" w:rsidP="00C51297">
      <w:pPr>
        <w:pStyle w:val="NormalHanging12a"/>
      </w:pPr>
      <w:r>
        <w:t>162</w:t>
      </w:r>
      <w:r w:rsidR="00C51297" w:rsidRPr="00D360B4">
        <w:t>.</w:t>
      </w:r>
      <w:r w:rsidR="00C51297" w:rsidRPr="00D360B4">
        <w:tab/>
        <w:t>smatra da bi u obzir trebalo uzeti i situacije kada parlamentarne asistente uznemiravaju drugi parlamentarni asistenti ili dužnosnici Parlamenta;</w:t>
      </w:r>
    </w:p>
    <w:p w:rsidR="00C51297" w:rsidRPr="00D360B4" w:rsidRDefault="00C51297" w:rsidP="00C51297">
      <w:pPr>
        <w:spacing w:after="240"/>
        <w:rPr>
          <w:b/>
          <w:noProof/>
          <w:u w:val="single"/>
        </w:rPr>
      </w:pPr>
      <w:r w:rsidRPr="00D360B4">
        <w:rPr>
          <w:b/>
          <w:u w:val="single"/>
        </w:rPr>
        <w:t>Zviždači</w:t>
      </w:r>
    </w:p>
    <w:p w:rsidR="00C51297" w:rsidRPr="00D360B4" w:rsidRDefault="0065165D" w:rsidP="00C51297">
      <w:pPr>
        <w:pStyle w:val="NormalHanging12a"/>
      </w:pPr>
      <w:r>
        <w:t>163</w:t>
      </w:r>
      <w:r w:rsidR="00C51297" w:rsidRPr="00D360B4">
        <w:t>.</w:t>
      </w:r>
      <w:r w:rsidR="00C51297" w:rsidRPr="00D360B4">
        <w:tab/>
        <w:t>podsjeća da su članovi osoblja institucija Unije obvezni prijaviti sve informacije koje upućuju na korupciju, prijevaru i druge ozbiljne nepravilnosti koje otkriju u okviru obavljanja dužnosti; napominje da je Parlament 2022. zabilježio jedan slučaj zviždanja; pozdravlja tekući rad u 2022. na ažuriranju unutarnjih pravila za provedbu članka 22. točke (c) Pravilnika o osoblju od 4. prosinca 2015. sveobuhvatnijim i detaljnijim unutarnjim pravilima; pozdravlja činjenicu da je odluka Predsjedništva o unutarnjim pravilima o zviždačima donesena 20. studenoga 2023. i da se primjenjuje od 1. prosinca 2023.; uključujući odredbe o zaštiti zviždača, prijenosu dokaza OLAF-u i prema potrebi EPPO-u te rokove za rješavanje pritužbi; međutim;</w:t>
      </w:r>
    </w:p>
    <w:p w:rsidR="00C51297" w:rsidRPr="00D360B4" w:rsidRDefault="0065165D" w:rsidP="00C51297">
      <w:pPr>
        <w:pStyle w:val="NormalHanging12a"/>
      </w:pPr>
      <w:r>
        <w:t>164</w:t>
      </w:r>
      <w:r w:rsidR="00C51297" w:rsidRPr="00D360B4">
        <w:t>.</w:t>
      </w:r>
      <w:r w:rsidR="00C51297" w:rsidRPr="00D360B4">
        <w:tab/>
        <w:t>u skladu s priopćenjem Predsjedništva br. 18/2023 o unutarnjim pravilima o zviždačima i obvezi akreditiranih parlamentarnih asistenata i članova osoblja da prijavljuju sve povrede nužno je da i sve službe u okviru Parlamenta budu obvezne prijaviti sve informacije koje su im na raspolaganju o prijevarama, povredama financijskih pravila ili ponašanju koje je protivno etičkom kodeksu Parlamenta; ta obveza primjenjuje se na sve takve informacije, neovisno o povjerljivosti, i one bi se trebale prijaviti relevantnoj službi u okviru Parlamenta;</w:t>
      </w:r>
    </w:p>
    <w:p w:rsidR="00C51297" w:rsidRPr="00D360B4" w:rsidRDefault="00C51297" w:rsidP="00C51297">
      <w:pPr>
        <w:spacing w:after="240"/>
        <w:rPr>
          <w:b/>
          <w:noProof/>
          <w:u w:val="single"/>
        </w:rPr>
      </w:pPr>
      <w:r w:rsidRPr="00D360B4">
        <w:rPr>
          <w:b/>
          <w:u w:val="single"/>
        </w:rPr>
        <w:t>Dobrovoljni mirovinski fond</w:t>
      </w:r>
    </w:p>
    <w:p w:rsidR="00C51297" w:rsidRPr="00D360B4" w:rsidRDefault="0065165D"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165</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primjećuje da je </w:t>
      </w:r>
      <w:proofErr w:type="spellStart"/>
      <w:r w:rsidR="00C51297" w:rsidRPr="00D360B4">
        <w:rPr>
          <w14:textOutline w14:w="0" w14:cap="flat" w14:cmpd="sng" w14:algn="ctr">
            <w14:noFill/>
            <w14:prstDash w14:val="solid"/>
            <w14:bevel/>
          </w14:textOutline>
        </w:rPr>
        <w:t>aktuarski</w:t>
      </w:r>
      <w:proofErr w:type="spellEnd"/>
      <w:r w:rsidR="00C51297" w:rsidRPr="00D360B4">
        <w:rPr>
          <w14:textOutline w14:w="0" w14:cap="flat" w14:cmpd="sng" w14:algn="ctr">
            <w14:noFill/>
            <w14:prstDash w14:val="solid"/>
            <w14:bevel/>
          </w14:textOutline>
        </w:rPr>
        <w:t xml:space="preserve"> deficit dobrovoljnog mirovinskog fonda na dan 31.°prosinca 2021. iznosio 379 milijuna EUR (u usporedbi s 371,4 milijuna EUR na dan 31.°prosinca°2020.); pozdravlja izmjene koje je Predsjedništvo Parlamenta izvršilo u članku 76. Provedbenih mjera Statuta zastupnika u Europskom parlamentu u vezi s dodatnim (dobrovoljnim) mirovinskim sustavom, koje su stupile na snagu 1. srpnja 2023. i čiji je cilj smanjiti buduće mirovinske obveze s 362,7 milijuna EUR na procijenjenih 139 milijuna EUR, a </w:t>
      </w:r>
      <w:proofErr w:type="spellStart"/>
      <w:r w:rsidR="00C51297" w:rsidRPr="00D360B4">
        <w:rPr>
          <w14:textOutline w14:w="0" w14:cap="flat" w14:cmpd="sng" w14:algn="ctr">
            <w14:noFill/>
            <w14:prstDash w14:val="solid"/>
            <w14:bevel/>
          </w14:textOutline>
        </w:rPr>
        <w:t>aktuarski</w:t>
      </w:r>
      <w:proofErr w:type="spellEnd"/>
      <w:r w:rsidR="00C51297" w:rsidRPr="00D360B4">
        <w:rPr>
          <w14:textOutline w14:w="0" w14:cap="flat" w14:cmpd="sng" w14:algn="ctr">
            <w14:noFill/>
            <w14:prstDash w14:val="solid"/>
            <w14:bevel/>
          </w14:textOutline>
        </w:rPr>
        <w:t xml:space="preserve"> deficit Fonda smanjiti s 310 milijuna EUR na procijenjenih 86 milijuna EUR;</w:t>
      </w:r>
    </w:p>
    <w:p w:rsidR="00C51297" w:rsidRPr="00D360B4" w:rsidRDefault="0065165D" w:rsidP="00C51297">
      <w:pPr>
        <w:pStyle w:val="NormalHanging12a"/>
      </w:pPr>
      <w:r>
        <w:t>166</w:t>
      </w:r>
      <w:r w:rsidR="00C51297" w:rsidRPr="00D360B4">
        <w:t>.</w:t>
      </w:r>
      <w:r w:rsidR="00C51297" w:rsidRPr="00D360B4">
        <w:tab/>
        <w:t xml:space="preserve">pozdravlja najnovije odluke Predsjedništva; podsjeća da problem još nije riješen i da će ga se morati riješiti u budućnosti jer se očekuje da će se sredstva Fonda iscrpiti </w:t>
      </w:r>
      <w:r w:rsidR="00C51297" w:rsidRPr="00D360B4">
        <w:lastRenderedPageBreak/>
        <w:t>najkasnije do 2027.; prima na znanje da Parlament nije uključen u upravljanje portfeljem ulaganja dobrovoljnog mirovinskog fonda; no poziva upravitelja Fonda da provede odgovarajuću procjenu mogućeg reputacijskog rizika njegovih ulaganja; napominje da je pravna procjena najnovijih presuda Suda Europske unije i njihovih posljedica za buduće odluke Predsjedništva također stavljena na raspolaganje članovima Predsjedništva kako bi im se omogućilo da donesu informiranu odluku; napominje da su u tijeku žalbe na Sudu Europske unije i da će to pitanje trebati ponovno razmotriti nakon donošenja presuda;</w:t>
      </w:r>
    </w:p>
    <w:p w:rsidR="00C51297" w:rsidRPr="00D360B4" w:rsidRDefault="0065165D"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167</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traži od uprave i Predsjedništva </w:t>
      </w:r>
      <w:r w:rsidR="008E6F36" w:rsidRPr="008E6F36">
        <w:rPr>
          <w14:textOutline w14:w="0" w14:cap="flat" w14:cmpd="sng" w14:algn="ctr">
            <w14:noFill/>
            <w14:prstDash w14:val="solid"/>
            <w14:bevel/>
          </w14:textOutline>
        </w:rPr>
        <w:t>se ponovno uhvate u koštac s tim pitanjem tek nakon što Sud Europske unije provede pravnu procjenu kako bi se razmotrila budućnost</w:t>
      </w:r>
      <w:r w:rsidR="00C51297" w:rsidRPr="00D360B4">
        <w:rPr>
          <w14:textOutline w14:w="0" w14:cap="flat" w14:cmpd="sng" w14:algn="ctr">
            <w14:noFill/>
            <w14:prstDash w14:val="solid"/>
            <w14:bevel/>
          </w14:textOutline>
        </w:rPr>
        <w:t xml:space="preserve"> dobrovoljnog mirovinskog fonda;</w:t>
      </w:r>
    </w:p>
    <w:p w:rsidR="00C51297" w:rsidRPr="00D360B4" w:rsidRDefault="00C51297" w:rsidP="00C51297">
      <w:pPr>
        <w:spacing w:after="240"/>
        <w:ind w:left="567" w:hanging="567"/>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Godišnja izvješća o dodijeljenim ugovorima</w:t>
      </w:r>
    </w:p>
    <w:p w:rsidR="00C51297" w:rsidRPr="00D360B4" w:rsidRDefault="0065165D"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168</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podsjeća na to da se u Financijskoj uredbi utvrđuju informacije o dodjeli ugovora koje Parlament treba dostaviti proračunskom tijelu i dati na uvid javnosti; napominje da Financijska uredba zahtijeva objavu dodijeljenih ugovora u vrijednosti većoj od 15 000 EUR, što je iznos koji odgovara pragu iznad kojeg postupak konkurentnog nadmetanja postaje obvezan; napominje da se od ukupno 194 ugovora dodijeljenih 2022. njih 63 temeljilo na otvorenim postupcima u vrijednosti od 359,3 milijuna EUR, a jedan se ugovor temeljio na ograničenom postupku u vrijednosti od 460 000 EUR; napominje da je 126 ugovora dodijeljeno na temelju pregovaračkih postupaka, u vrijednosti od 48 milijuna EUR;</w:t>
      </w:r>
    </w:p>
    <w:p w:rsidR="00C51297" w:rsidRPr="00D360B4" w:rsidRDefault="0065165D"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169</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se ukupni broj dodijeljenih ugovora 2022. smanjio (194 ugovora) u odnosu na 2021. (221 ugovor); prima na znanje znatno smanjenje ugovorenih iznosa, koji su 2022. dosegli 410 milijuna EUR, u usporedbi s 1016 milijuna EUR 2021.;</w:t>
      </w:r>
    </w:p>
    <w:p w:rsidR="00C51297" w:rsidRPr="00D360B4" w:rsidRDefault="0065165D"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170</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prima na znanje sljedeći presjek dodijeljenih ugovora 2022. i 2021. po vrsti, uključujući ugovore povezane s nekretninama:</w:t>
      </w:r>
    </w:p>
    <w:tbl>
      <w:tblPr>
        <w:tblStyle w:val="TableGrid"/>
        <w:tblW w:w="5000" w:type="pct"/>
        <w:tblLook w:val="04A0" w:firstRow="1" w:lastRow="0" w:firstColumn="1" w:lastColumn="0" w:noHBand="0" w:noVBand="1"/>
      </w:tblPr>
      <w:tblGrid>
        <w:gridCol w:w="2349"/>
        <w:gridCol w:w="1979"/>
        <w:gridCol w:w="1578"/>
        <w:gridCol w:w="1578"/>
        <w:gridCol w:w="1576"/>
      </w:tblGrid>
      <w:tr w:rsidR="00C51297" w:rsidRPr="00D360B4" w:rsidTr="00B16816">
        <w:trPr>
          <w:trHeight w:val="300"/>
        </w:trPr>
        <w:tc>
          <w:tcPr>
            <w:tcW w:w="1296" w:type="pct"/>
            <w:vMerge w:val="restart"/>
            <w:hideMark/>
          </w:tcPr>
          <w:p w:rsidR="00C51297" w:rsidRPr="00D360B4" w:rsidRDefault="00C51297" w:rsidP="00B16816">
            <w:pPr>
              <w:jc w:val="center"/>
              <w:rPr>
                <w:b/>
                <w:bCs/>
                <w:color w:val="000000" w:themeColor="text1"/>
                <w:szCs w:val="24"/>
              </w:rPr>
            </w:pPr>
            <w:r w:rsidRPr="00D360B4">
              <w:rPr>
                <w:b/>
                <w:color w:val="000000" w:themeColor="text1"/>
              </w:rPr>
              <w:t>Vrsta ugovora</w:t>
            </w:r>
          </w:p>
        </w:tc>
        <w:tc>
          <w:tcPr>
            <w:tcW w:w="1963" w:type="pct"/>
            <w:gridSpan w:val="2"/>
            <w:vMerge w:val="restart"/>
            <w:hideMark/>
          </w:tcPr>
          <w:p w:rsidR="00C51297" w:rsidRPr="00D360B4" w:rsidRDefault="00C51297" w:rsidP="00B16816">
            <w:pPr>
              <w:jc w:val="center"/>
              <w:rPr>
                <w:b/>
                <w:bCs/>
                <w:color w:val="000000" w:themeColor="text1"/>
                <w:szCs w:val="24"/>
              </w:rPr>
            </w:pPr>
            <w:r w:rsidRPr="00D360B4">
              <w:rPr>
                <w:b/>
                <w:color w:val="000000" w:themeColor="text1"/>
              </w:rPr>
              <w:t>2021.</w:t>
            </w:r>
          </w:p>
        </w:tc>
        <w:tc>
          <w:tcPr>
            <w:tcW w:w="1741" w:type="pct"/>
            <w:gridSpan w:val="2"/>
            <w:vMerge w:val="restart"/>
            <w:hideMark/>
          </w:tcPr>
          <w:p w:rsidR="00C51297" w:rsidRPr="00D360B4" w:rsidRDefault="00C51297" w:rsidP="00B16816">
            <w:pPr>
              <w:jc w:val="center"/>
              <w:rPr>
                <w:b/>
                <w:bCs/>
                <w:color w:val="000000" w:themeColor="text1"/>
                <w:szCs w:val="24"/>
              </w:rPr>
            </w:pPr>
            <w:r w:rsidRPr="00D360B4">
              <w:rPr>
                <w:b/>
                <w:color w:val="000000" w:themeColor="text1"/>
              </w:rPr>
              <w:t>2022.</w:t>
            </w:r>
          </w:p>
        </w:tc>
      </w:tr>
      <w:tr w:rsidR="00C51297" w:rsidRPr="00D360B4" w:rsidTr="00B16816">
        <w:trPr>
          <w:trHeight w:val="315"/>
        </w:trPr>
        <w:tc>
          <w:tcPr>
            <w:tcW w:w="1296" w:type="pct"/>
            <w:vMerge/>
            <w:hideMark/>
          </w:tcPr>
          <w:p w:rsidR="00C51297" w:rsidRPr="00D360B4" w:rsidRDefault="00C51297" w:rsidP="00B16816">
            <w:pPr>
              <w:rPr>
                <w:b/>
                <w:bCs/>
                <w:color w:val="000000" w:themeColor="text1"/>
                <w:szCs w:val="24"/>
              </w:rPr>
            </w:pPr>
          </w:p>
        </w:tc>
        <w:tc>
          <w:tcPr>
            <w:tcW w:w="1963" w:type="pct"/>
            <w:gridSpan w:val="2"/>
            <w:vMerge/>
            <w:hideMark/>
          </w:tcPr>
          <w:p w:rsidR="00C51297" w:rsidRPr="00D360B4" w:rsidRDefault="00C51297" w:rsidP="00B16816">
            <w:pPr>
              <w:rPr>
                <w:b/>
                <w:bCs/>
                <w:color w:val="000000" w:themeColor="text1"/>
                <w:szCs w:val="24"/>
              </w:rPr>
            </w:pPr>
          </w:p>
        </w:tc>
        <w:tc>
          <w:tcPr>
            <w:tcW w:w="1741" w:type="pct"/>
            <w:gridSpan w:val="2"/>
            <w:vMerge/>
            <w:hideMark/>
          </w:tcPr>
          <w:p w:rsidR="00C51297" w:rsidRPr="00D360B4" w:rsidRDefault="00C51297" w:rsidP="00B16816">
            <w:pPr>
              <w:rPr>
                <w:b/>
                <w:bCs/>
                <w:color w:val="000000" w:themeColor="text1"/>
                <w:szCs w:val="24"/>
              </w:rPr>
            </w:pPr>
          </w:p>
        </w:tc>
      </w:tr>
      <w:tr w:rsidR="00C51297" w:rsidRPr="00D360B4" w:rsidTr="00B16816">
        <w:trPr>
          <w:trHeight w:val="315"/>
        </w:trPr>
        <w:tc>
          <w:tcPr>
            <w:tcW w:w="1296" w:type="pct"/>
            <w:vMerge/>
            <w:hideMark/>
          </w:tcPr>
          <w:p w:rsidR="00C51297" w:rsidRPr="00D360B4" w:rsidRDefault="00C51297" w:rsidP="00B16816">
            <w:pPr>
              <w:rPr>
                <w:b/>
                <w:bCs/>
                <w:color w:val="000000" w:themeColor="text1"/>
                <w:szCs w:val="24"/>
              </w:rPr>
            </w:pPr>
          </w:p>
        </w:tc>
        <w:tc>
          <w:tcPr>
            <w:tcW w:w="1092" w:type="pct"/>
            <w:hideMark/>
          </w:tcPr>
          <w:p w:rsidR="00C51297" w:rsidRPr="00D360B4" w:rsidRDefault="00C51297" w:rsidP="00B16816">
            <w:pPr>
              <w:jc w:val="center"/>
              <w:rPr>
                <w:b/>
                <w:bCs/>
                <w:color w:val="000000" w:themeColor="text1"/>
                <w:szCs w:val="24"/>
              </w:rPr>
            </w:pPr>
            <w:r w:rsidRPr="00D360B4">
              <w:rPr>
                <w:b/>
                <w:color w:val="000000" w:themeColor="text1"/>
              </w:rPr>
              <w:t>Broj</w:t>
            </w:r>
          </w:p>
        </w:tc>
        <w:tc>
          <w:tcPr>
            <w:tcW w:w="871" w:type="pct"/>
            <w:hideMark/>
          </w:tcPr>
          <w:p w:rsidR="00C51297" w:rsidRPr="00D360B4" w:rsidRDefault="00C51297" w:rsidP="00B16816">
            <w:pPr>
              <w:jc w:val="center"/>
              <w:rPr>
                <w:b/>
                <w:bCs/>
                <w:color w:val="000000" w:themeColor="text1"/>
                <w:szCs w:val="24"/>
              </w:rPr>
            </w:pPr>
            <w:r w:rsidRPr="00D360B4">
              <w:rPr>
                <w:b/>
                <w:color w:val="000000" w:themeColor="text1"/>
              </w:rPr>
              <w:t>Postotak</w:t>
            </w:r>
          </w:p>
        </w:tc>
        <w:tc>
          <w:tcPr>
            <w:tcW w:w="871" w:type="pct"/>
            <w:hideMark/>
          </w:tcPr>
          <w:p w:rsidR="00C51297" w:rsidRPr="00D360B4" w:rsidRDefault="00C51297" w:rsidP="00B16816">
            <w:pPr>
              <w:jc w:val="center"/>
              <w:rPr>
                <w:b/>
                <w:bCs/>
                <w:color w:val="000000" w:themeColor="text1"/>
                <w:szCs w:val="24"/>
              </w:rPr>
            </w:pPr>
            <w:r w:rsidRPr="00D360B4">
              <w:rPr>
                <w:b/>
                <w:color w:val="000000" w:themeColor="text1"/>
              </w:rPr>
              <w:t>Broj</w:t>
            </w:r>
          </w:p>
        </w:tc>
        <w:tc>
          <w:tcPr>
            <w:tcW w:w="870" w:type="pct"/>
            <w:hideMark/>
          </w:tcPr>
          <w:p w:rsidR="00C51297" w:rsidRPr="00D360B4" w:rsidRDefault="00C51297" w:rsidP="00B16816">
            <w:pPr>
              <w:jc w:val="center"/>
              <w:rPr>
                <w:b/>
                <w:bCs/>
                <w:color w:val="000000" w:themeColor="text1"/>
                <w:szCs w:val="24"/>
              </w:rPr>
            </w:pPr>
            <w:r w:rsidRPr="00D360B4">
              <w:rPr>
                <w:b/>
                <w:color w:val="000000" w:themeColor="text1"/>
              </w:rPr>
              <w:t>Postotak</w:t>
            </w:r>
          </w:p>
        </w:tc>
      </w:tr>
      <w:tr w:rsidR="00C51297" w:rsidRPr="00D360B4" w:rsidTr="00B16816">
        <w:trPr>
          <w:trHeight w:val="300"/>
        </w:trPr>
        <w:tc>
          <w:tcPr>
            <w:tcW w:w="1296" w:type="pct"/>
            <w:hideMark/>
          </w:tcPr>
          <w:p w:rsidR="00C51297" w:rsidRPr="00D360B4" w:rsidRDefault="00C51297" w:rsidP="00B16816">
            <w:pPr>
              <w:rPr>
                <w:color w:val="000000" w:themeColor="text1"/>
                <w:szCs w:val="24"/>
              </w:rPr>
            </w:pPr>
            <w:r w:rsidRPr="00D360B4">
              <w:rPr>
                <w:color w:val="000000" w:themeColor="text1"/>
              </w:rPr>
              <w:t> </w:t>
            </w:r>
          </w:p>
        </w:tc>
        <w:tc>
          <w:tcPr>
            <w:tcW w:w="1092" w:type="pct"/>
            <w:hideMark/>
          </w:tcPr>
          <w:p w:rsidR="00C51297" w:rsidRPr="00D360B4" w:rsidRDefault="00C51297" w:rsidP="00B16816">
            <w:pPr>
              <w:jc w:val="center"/>
              <w:rPr>
                <w:color w:val="000000" w:themeColor="text1"/>
                <w:szCs w:val="24"/>
              </w:rPr>
            </w:pPr>
            <w:r w:rsidRPr="00D360B4">
              <w:rPr>
                <w:color w:val="000000" w:themeColor="text1"/>
              </w:rPr>
              <w:t> </w:t>
            </w:r>
          </w:p>
        </w:tc>
        <w:tc>
          <w:tcPr>
            <w:tcW w:w="871" w:type="pct"/>
            <w:hideMark/>
          </w:tcPr>
          <w:p w:rsidR="00C51297" w:rsidRPr="00D360B4" w:rsidRDefault="00C51297" w:rsidP="00B16816">
            <w:pPr>
              <w:rPr>
                <w:color w:val="000000" w:themeColor="text1"/>
                <w:szCs w:val="24"/>
              </w:rPr>
            </w:pPr>
            <w:r w:rsidRPr="00D360B4">
              <w:rPr>
                <w:color w:val="000000" w:themeColor="text1"/>
              </w:rPr>
              <w:t> </w:t>
            </w:r>
          </w:p>
        </w:tc>
        <w:tc>
          <w:tcPr>
            <w:tcW w:w="871" w:type="pct"/>
          </w:tcPr>
          <w:p w:rsidR="00C51297" w:rsidRPr="00D360B4" w:rsidRDefault="00C51297" w:rsidP="00B16816">
            <w:pPr>
              <w:rPr>
                <w:color w:val="000000" w:themeColor="text1"/>
                <w:szCs w:val="24"/>
              </w:rPr>
            </w:pPr>
          </w:p>
        </w:tc>
        <w:tc>
          <w:tcPr>
            <w:tcW w:w="870" w:type="pct"/>
          </w:tcPr>
          <w:p w:rsidR="00C51297" w:rsidRPr="00D360B4" w:rsidRDefault="00C51297" w:rsidP="00B16816">
            <w:pPr>
              <w:jc w:val="right"/>
              <w:rPr>
                <w:color w:val="000000" w:themeColor="text1"/>
                <w:szCs w:val="24"/>
              </w:rPr>
            </w:pPr>
          </w:p>
        </w:tc>
      </w:tr>
      <w:tr w:rsidR="00C51297" w:rsidRPr="00D360B4" w:rsidTr="00B16816">
        <w:trPr>
          <w:trHeight w:val="300"/>
        </w:trPr>
        <w:tc>
          <w:tcPr>
            <w:tcW w:w="1296" w:type="pct"/>
            <w:hideMark/>
          </w:tcPr>
          <w:p w:rsidR="00C51297" w:rsidRPr="00D360B4" w:rsidRDefault="00C51297" w:rsidP="00B16816">
            <w:pPr>
              <w:ind w:firstLineChars="100" w:firstLine="240"/>
              <w:rPr>
                <w:color w:val="000000" w:themeColor="text1"/>
                <w:szCs w:val="24"/>
              </w:rPr>
            </w:pPr>
            <w:r w:rsidRPr="00D360B4">
              <w:rPr>
                <w:color w:val="000000" w:themeColor="text1"/>
              </w:rPr>
              <w:t>Zgrade</w:t>
            </w:r>
          </w:p>
        </w:tc>
        <w:tc>
          <w:tcPr>
            <w:tcW w:w="1092" w:type="pct"/>
            <w:hideMark/>
          </w:tcPr>
          <w:p w:rsidR="00C51297" w:rsidRPr="00D360B4" w:rsidRDefault="00C51297" w:rsidP="00B16816">
            <w:pPr>
              <w:jc w:val="center"/>
              <w:rPr>
                <w:color w:val="000000" w:themeColor="text1"/>
                <w:szCs w:val="24"/>
              </w:rPr>
            </w:pPr>
            <w:r w:rsidRPr="00D360B4">
              <w:rPr>
                <w:color w:val="000000" w:themeColor="text1"/>
              </w:rPr>
              <w:t>8</w:t>
            </w:r>
          </w:p>
        </w:tc>
        <w:tc>
          <w:tcPr>
            <w:tcW w:w="871" w:type="pct"/>
            <w:hideMark/>
          </w:tcPr>
          <w:p w:rsidR="00C51297" w:rsidRPr="00D360B4" w:rsidRDefault="00C51297" w:rsidP="00B16816">
            <w:pPr>
              <w:jc w:val="center"/>
              <w:rPr>
                <w:color w:val="000000" w:themeColor="text1"/>
                <w:szCs w:val="24"/>
              </w:rPr>
            </w:pPr>
            <w:r w:rsidRPr="00D360B4">
              <w:rPr>
                <w:color w:val="000000" w:themeColor="text1"/>
              </w:rPr>
              <w:t>3,6 %</w:t>
            </w:r>
          </w:p>
        </w:tc>
        <w:tc>
          <w:tcPr>
            <w:tcW w:w="871" w:type="pct"/>
          </w:tcPr>
          <w:p w:rsidR="00C51297" w:rsidRPr="00D360B4" w:rsidRDefault="00C51297" w:rsidP="00B16816">
            <w:pPr>
              <w:jc w:val="center"/>
              <w:rPr>
                <w:color w:val="000000" w:themeColor="text1"/>
                <w:szCs w:val="24"/>
              </w:rPr>
            </w:pPr>
            <w:r w:rsidRPr="00D360B4">
              <w:rPr>
                <w:color w:val="000000" w:themeColor="text1"/>
              </w:rPr>
              <w:t>2</w:t>
            </w:r>
          </w:p>
        </w:tc>
        <w:tc>
          <w:tcPr>
            <w:tcW w:w="870" w:type="pct"/>
          </w:tcPr>
          <w:p w:rsidR="00C51297" w:rsidRPr="00D360B4" w:rsidRDefault="00C51297" w:rsidP="00B16816">
            <w:pPr>
              <w:jc w:val="center"/>
              <w:rPr>
                <w:color w:val="000000" w:themeColor="text1"/>
                <w:szCs w:val="24"/>
              </w:rPr>
            </w:pPr>
            <w:r w:rsidRPr="00D360B4">
              <w:rPr>
                <w:color w:val="000000" w:themeColor="text1"/>
              </w:rPr>
              <w:t>1 %</w:t>
            </w:r>
          </w:p>
        </w:tc>
      </w:tr>
      <w:tr w:rsidR="00C51297" w:rsidRPr="00D360B4" w:rsidTr="00B16816">
        <w:trPr>
          <w:trHeight w:val="300"/>
        </w:trPr>
        <w:tc>
          <w:tcPr>
            <w:tcW w:w="1296" w:type="pct"/>
            <w:hideMark/>
          </w:tcPr>
          <w:p w:rsidR="00C51297" w:rsidRPr="00D360B4" w:rsidRDefault="00C51297" w:rsidP="00B16816">
            <w:pPr>
              <w:ind w:firstLineChars="100" w:firstLine="240"/>
              <w:rPr>
                <w:color w:val="000000" w:themeColor="text1"/>
                <w:szCs w:val="24"/>
              </w:rPr>
            </w:pPr>
            <w:r w:rsidRPr="00D360B4">
              <w:rPr>
                <w:color w:val="000000" w:themeColor="text1"/>
              </w:rPr>
              <w:t>Usluge</w:t>
            </w:r>
          </w:p>
        </w:tc>
        <w:tc>
          <w:tcPr>
            <w:tcW w:w="1092" w:type="pct"/>
            <w:hideMark/>
          </w:tcPr>
          <w:p w:rsidR="00C51297" w:rsidRPr="00D360B4" w:rsidRDefault="00C51297" w:rsidP="00B16816">
            <w:pPr>
              <w:jc w:val="center"/>
              <w:rPr>
                <w:color w:val="000000" w:themeColor="text1"/>
                <w:szCs w:val="24"/>
              </w:rPr>
            </w:pPr>
            <w:r w:rsidRPr="00D360B4">
              <w:rPr>
                <w:color w:val="000000" w:themeColor="text1"/>
              </w:rPr>
              <w:t>176</w:t>
            </w:r>
          </w:p>
        </w:tc>
        <w:tc>
          <w:tcPr>
            <w:tcW w:w="871" w:type="pct"/>
            <w:hideMark/>
          </w:tcPr>
          <w:p w:rsidR="00C51297" w:rsidRPr="00D360B4" w:rsidRDefault="00C51297" w:rsidP="00B16816">
            <w:pPr>
              <w:jc w:val="center"/>
              <w:rPr>
                <w:color w:val="000000" w:themeColor="text1"/>
                <w:szCs w:val="24"/>
              </w:rPr>
            </w:pPr>
            <w:r w:rsidRPr="00D360B4">
              <w:rPr>
                <w:color w:val="000000" w:themeColor="text1"/>
              </w:rPr>
              <w:t>79,6 %</w:t>
            </w:r>
          </w:p>
        </w:tc>
        <w:tc>
          <w:tcPr>
            <w:tcW w:w="871" w:type="pct"/>
          </w:tcPr>
          <w:p w:rsidR="00C51297" w:rsidRPr="00D360B4" w:rsidRDefault="00C51297" w:rsidP="00B16816">
            <w:pPr>
              <w:jc w:val="center"/>
              <w:rPr>
                <w:color w:val="000000" w:themeColor="text1"/>
                <w:szCs w:val="24"/>
              </w:rPr>
            </w:pPr>
            <w:r w:rsidRPr="00D360B4">
              <w:rPr>
                <w:color w:val="000000" w:themeColor="text1"/>
              </w:rPr>
              <w:t>169</w:t>
            </w:r>
          </w:p>
        </w:tc>
        <w:tc>
          <w:tcPr>
            <w:tcW w:w="870" w:type="pct"/>
          </w:tcPr>
          <w:p w:rsidR="00C51297" w:rsidRPr="00D360B4" w:rsidRDefault="00C51297" w:rsidP="00B16816">
            <w:pPr>
              <w:jc w:val="center"/>
              <w:rPr>
                <w:color w:val="000000" w:themeColor="text1"/>
                <w:szCs w:val="24"/>
              </w:rPr>
            </w:pPr>
            <w:r w:rsidRPr="00D360B4">
              <w:rPr>
                <w:color w:val="000000" w:themeColor="text1"/>
              </w:rPr>
              <w:t>87 %</w:t>
            </w:r>
          </w:p>
        </w:tc>
      </w:tr>
      <w:tr w:rsidR="00C51297" w:rsidRPr="00D360B4" w:rsidTr="00B16816">
        <w:trPr>
          <w:trHeight w:val="300"/>
        </w:trPr>
        <w:tc>
          <w:tcPr>
            <w:tcW w:w="1296" w:type="pct"/>
            <w:hideMark/>
          </w:tcPr>
          <w:p w:rsidR="00C51297" w:rsidRPr="00D360B4" w:rsidRDefault="00C51297" w:rsidP="00B16816">
            <w:pPr>
              <w:ind w:firstLineChars="100" w:firstLine="240"/>
              <w:rPr>
                <w:color w:val="000000" w:themeColor="text1"/>
                <w:szCs w:val="24"/>
              </w:rPr>
            </w:pPr>
            <w:r w:rsidRPr="00D360B4">
              <w:rPr>
                <w:color w:val="000000" w:themeColor="text1"/>
              </w:rPr>
              <w:t>Potrošni materijal</w:t>
            </w:r>
          </w:p>
        </w:tc>
        <w:tc>
          <w:tcPr>
            <w:tcW w:w="1092" w:type="pct"/>
            <w:hideMark/>
          </w:tcPr>
          <w:p w:rsidR="00C51297" w:rsidRPr="00D360B4" w:rsidRDefault="00C51297" w:rsidP="00B16816">
            <w:pPr>
              <w:jc w:val="center"/>
              <w:rPr>
                <w:color w:val="000000" w:themeColor="text1"/>
                <w:szCs w:val="24"/>
              </w:rPr>
            </w:pPr>
            <w:r w:rsidRPr="00D360B4">
              <w:rPr>
                <w:color w:val="000000" w:themeColor="text1"/>
              </w:rPr>
              <w:t>27</w:t>
            </w:r>
          </w:p>
        </w:tc>
        <w:tc>
          <w:tcPr>
            <w:tcW w:w="871" w:type="pct"/>
            <w:hideMark/>
          </w:tcPr>
          <w:p w:rsidR="00C51297" w:rsidRPr="00D360B4" w:rsidRDefault="00C51297" w:rsidP="00B16816">
            <w:pPr>
              <w:jc w:val="center"/>
              <w:rPr>
                <w:color w:val="000000" w:themeColor="text1"/>
                <w:szCs w:val="24"/>
              </w:rPr>
            </w:pPr>
            <w:r w:rsidRPr="00D360B4">
              <w:rPr>
                <w:color w:val="000000" w:themeColor="text1"/>
              </w:rPr>
              <w:t>12,2 %</w:t>
            </w:r>
          </w:p>
        </w:tc>
        <w:tc>
          <w:tcPr>
            <w:tcW w:w="871" w:type="pct"/>
          </w:tcPr>
          <w:p w:rsidR="00C51297" w:rsidRPr="00D360B4" w:rsidRDefault="00C51297" w:rsidP="00B16816">
            <w:pPr>
              <w:jc w:val="center"/>
              <w:rPr>
                <w:color w:val="000000" w:themeColor="text1"/>
                <w:szCs w:val="24"/>
              </w:rPr>
            </w:pPr>
            <w:r w:rsidRPr="00D360B4">
              <w:rPr>
                <w:color w:val="000000" w:themeColor="text1"/>
              </w:rPr>
              <w:t>17</w:t>
            </w:r>
          </w:p>
        </w:tc>
        <w:tc>
          <w:tcPr>
            <w:tcW w:w="870" w:type="pct"/>
          </w:tcPr>
          <w:p w:rsidR="00C51297" w:rsidRPr="00D360B4" w:rsidRDefault="00C51297" w:rsidP="00B16816">
            <w:pPr>
              <w:jc w:val="center"/>
              <w:rPr>
                <w:color w:val="000000" w:themeColor="text1"/>
                <w:szCs w:val="24"/>
              </w:rPr>
            </w:pPr>
            <w:r w:rsidRPr="00D360B4">
              <w:rPr>
                <w:color w:val="000000" w:themeColor="text1"/>
              </w:rPr>
              <w:t>9 %</w:t>
            </w:r>
          </w:p>
        </w:tc>
      </w:tr>
      <w:tr w:rsidR="00C51297" w:rsidRPr="00D360B4" w:rsidTr="00B16816">
        <w:trPr>
          <w:trHeight w:val="300"/>
        </w:trPr>
        <w:tc>
          <w:tcPr>
            <w:tcW w:w="1296" w:type="pct"/>
            <w:hideMark/>
          </w:tcPr>
          <w:p w:rsidR="00C51297" w:rsidRPr="00D360B4" w:rsidRDefault="00C51297" w:rsidP="00B16816">
            <w:pPr>
              <w:ind w:firstLineChars="100" w:firstLine="240"/>
              <w:rPr>
                <w:color w:val="000000" w:themeColor="text1"/>
                <w:szCs w:val="24"/>
              </w:rPr>
            </w:pPr>
            <w:r w:rsidRPr="00D360B4">
              <w:rPr>
                <w:color w:val="000000" w:themeColor="text1"/>
              </w:rPr>
              <w:t>Radovi</w:t>
            </w:r>
          </w:p>
        </w:tc>
        <w:tc>
          <w:tcPr>
            <w:tcW w:w="1092" w:type="pct"/>
            <w:hideMark/>
          </w:tcPr>
          <w:p w:rsidR="00C51297" w:rsidRPr="00D360B4" w:rsidRDefault="00C51297" w:rsidP="00B16816">
            <w:pPr>
              <w:jc w:val="center"/>
              <w:rPr>
                <w:color w:val="000000" w:themeColor="text1"/>
                <w:szCs w:val="24"/>
              </w:rPr>
            </w:pPr>
            <w:r w:rsidRPr="00D360B4">
              <w:rPr>
                <w:color w:val="000000" w:themeColor="text1"/>
              </w:rPr>
              <w:t>10</w:t>
            </w:r>
          </w:p>
        </w:tc>
        <w:tc>
          <w:tcPr>
            <w:tcW w:w="871" w:type="pct"/>
            <w:hideMark/>
          </w:tcPr>
          <w:p w:rsidR="00C51297" w:rsidRPr="00D360B4" w:rsidRDefault="00C51297" w:rsidP="00B16816">
            <w:pPr>
              <w:jc w:val="center"/>
              <w:rPr>
                <w:color w:val="000000" w:themeColor="text1"/>
                <w:szCs w:val="24"/>
              </w:rPr>
            </w:pPr>
            <w:r w:rsidRPr="00D360B4">
              <w:rPr>
                <w:color w:val="000000" w:themeColor="text1"/>
              </w:rPr>
              <w:t>4,5 %</w:t>
            </w:r>
          </w:p>
        </w:tc>
        <w:tc>
          <w:tcPr>
            <w:tcW w:w="871" w:type="pct"/>
          </w:tcPr>
          <w:p w:rsidR="00C51297" w:rsidRPr="00D360B4" w:rsidRDefault="00C51297" w:rsidP="00B16816">
            <w:pPr>
              <w:jc w:val="center"/>
              <w:rPr>
                <w:color w:val="000000" w:themeColor="text1"/>
                <w:szCs w:val="24"/>
              </w:rPr>
            </w:pPr>
            <w:r w:rsidRPr="00D360B4">
              <w:rPr>
                <w:color w:val="000000" w:themeColor="text1"/>
              </w:rPr>
              <w:t>6</w:t>
            </w:r>
          </w:p>
        </w:tc>
        <w:tc>
          <w:tcPr>
            <w:tcW w:w="870" w:type="pct"/>
          </w:tcPr>
          <w:p w:rsidR="00C51297" w:rsidRPr="00D360B4" w:rsidRDefault="00C51297" w:rsidP="00B16816">
            <w:pPr>
              <w:jc w:val="center"/>
              <w:rPr>
                <w:color w:val="000000" w:themeColor="text1"/>
                <w:szCs w:val="24"/>
              </w:rPr>
            </w:pPr>
            <w:r w:rsidRPr="00D360B4">
              <w:rPr>
                <w:color w:val="000000" w:themeColor="text1"/>
              </w:rPr>
              <w:t>3 %</w:t>
            </w:r>
          </w:p>
        </w:tc>
      </w:tr>
      <w:tr w:rsidR="00C51297" w:rsidRPr="00D360B4" w:rsidTr="00B16816">
        <w:trPr>
          <w:trHeight w:val="315"/>
        </w:trPr>
        <w:tc>
          <w:tcPr>
            <w:tcW w:w="1296" w:type="pct"/>
            <w:hideMark/>
          </w:tcPr>
          <w:p w:rsidR="00C51297" w:rsidRPr="00D360B4" w:rsidRDefault="00C51297" w:rsidP="00B16816">
            <w:pPr>
              <w:rPr>
                <w:color w:val="000000" w:themeColor="text1"/>
                <w:szCs w:val="24"/>
              </w:rPr>
            </w:pPr>
            <w:r w:rsidRPr="00D360B4">
              <w:rPr>
                <w:color w:val="000000" w:themeColor="text1"/>
              </w:rPr>
              <w:t> </w:t>
            </w:r>
          </w:p>
        </w:tc>
        <w:tc>
          <w:tcPr>
            <w:tcW w:w="1092" w:type="pct"/>
            <w:hideMark/>
          </w:tcPr>
          <w:p w:rsidR="00C51297" w:rsidRPr="00D360B4" w:rsidRDefault="00C51297" w:rsidP="00B16816">
            <w:pPr>
              <w:jc w:val="center"/>
              <w:rPr>
                <w:color w:val="000000" w:themeColor="text1"/>
                <w:szCs w:val="24"/>
              </w:rPr>
            </w:pPr>
            <w:r w:rsidRPr="00D360B4">
              <w:rPr>
                <w:color w:val="000000" w:themeColor="text1"/>
              </w:rPr>
              <w:t> </w:t>
            </w:r>
          </w:p>
        </w:tc>
        <w:tc>
          <w:tcPr>
            <w:tcW w:w="871" w:type="pct"/>
            <w:hideMark/>
          </w:tcPr>
          <w:p w:rsidR="00C51297" w:rsidRPr="00D360B4" w:rsidRDefault="00C51297" w:rsidP="00B16816">
            <w:pPr>
              <w:rPr>
                <w:color w:val="000000" w:themeColor="text1"/>
                <w:szCs w:val="24"/>
              </w:rPr>
            </w:pPr>
            <w:r w:rsidRPr="00D360B4">
              <w:rPr>
                <w:color w:val="000000" w:themeColor="text1"/>
              </w:rPr>
              <w:t> </w:t>
            </w:r>
          </w:p>
        </w:tc>
        <w:tc>
          <w:tcPr>
            <w:tcW w:w="871" w:type="pct"/>
          </w:tcPr>
          <w:p w:rsidR="00C51297" w:rsidRPr="00D360B4" w:rsidRDefault="00C51297" w:rsidP="00B16816">
            <w:pPr>
              <w:rPr>
                <w:color w:val="000000" w:themeColor="text1"/>
                <w:szCs w:val="24"/>
              </w:rPr>
            </w:pPr>
          </w:p>
        </w:tc>
        <w:tc>
          <w:tcPr>
            <w:tcW w:w="870" w:type="pct"/>
          </w:tcPr>
          <w:p w:rsidR="00C51297" w:rsidRPr="00D360B4" w:rsidRDefault="00C51297" w:rsidP="00B16816">
            <w:pPr>
              <w:jc w:val="center"/>
              <w:rPr>
                <w:color w:val="000000" w:themeColor="text1"/>
                <w:szCs w:val="24"/>
              </w:rPr>
            </w:pPr>
          </w:p>
        </w:tc>
      </w:tr>
      <w:tr w:rsidR="00C51297" w:rsidRPr="00D360B4" w:rsidTr="00B16816">
        <w:trPr>
          <w:trHeight w:val="600"/>
        </w:trPr>
        <w:tc>
          <w:tcPr>
            <w:tcW w:w="1296" w:type="pct"/>
            <w:hideMark/>
          </w:tcPr>
          <w:p w:rsidR="00C51297" w:rsidRPr="00D360B4" w:rsidRDefault="00C51297" w:rsidP="00B16816">
            <w:pPr>
              <w:rPr>
                <w:b/>
                <w:bCs/>
                <w:color w:val="000000" w:themeColor="text1"/>
                <w:szCs w:val="24"/>
              </w:rPr>
            </w:pPr>
            <w:r w:rsidRPr="00D360B4">
              <w:rPr>
                <w:b/>
                <w:color w:val="000000" w:themeColor="text1"/>
              </w:rPr>
              <w:t xml:space="preserve">   Ukupno</w:t>
            </w:r>
          </w:p>
        </w:tc>
        <w:tc>
          <w:tcPr>
            <w:tcW w:w="1092" w:type="pct"/>
            <w:hideMark/>
          </w:tcPr>
          <w:p w:rsidR="00C51297" w:rsidRPr="00D360B4" w:rsidRDefault="00C51297" w:rsidP="00B16816">
            <w:pPr>
              <w:jc w:val="center"/>
              <w:rPr>
                <w:b/>
                <w:bCs/>
                <w:color w:val="000000" w:themeColor="text1"/>
                <w:szCs w:val="24"/>
              </w:rPr>
            </w:pPr>
            <w:r w:rsidRPr="00D360B4">
              <w:rPr>
                <w:b/>
                <w:color w:val="000000" w:themeColor="text1"/>
              </w:rPr>
              <w:t>221</w:t>
            </w:r>
          </w:p>
        </w:tc>
        <w:tc>
          <w:tcPr>
            <w:tcW w:w="871" w:type="pct"/>
            <w:hideMark/>
          </w:tcPr>
          <w:p w:rsidR="00C51297" w:rsidRPr="00D360B4" w:rsidRDefault="00C51297" w:rsidP="00B16816">
            <w:pPr>
              <w:jc w:val="center"/>
              <w:rPr>
                <w:b/>
                <w:bCs/>
                <w:color w:val="000000" w:themeColor="text1"/>
                <w:szCs w:val="24"/>
              </w:rPr>
            </w:pPr>
            <w:r w:rsidRPr="00D360B4">
              <w:rPr>
                <w:b/>
                <w:color w:val="000000" w:themeColor="text1"/>
              </w:rPr>
              <w:t>100 %</w:t>
            </w:r>
          </w:p>
        </w:tc>
        <w:tc>
          <w:tcPr>
            <w:tcW w:w="871" w:type="pct"/>
          </w:tcPr>
          <w:p w:rsidR="00C51297" w:rsidRPr="00D360B4" w:rsidRDefault="00C51297" w:rsidP="00B16816">
            <w:pPr>
              <w:jc w:val="center"/>
              <w:rPr>
                <w:b/>
                <w:bCs/>
                <w:color w:val="000000" w:themeColor="text1"/>
                <w:szCs w:val="24"/>
              </w:rPr>
            </w:pPr>
            <w:r w:rsidRPr="00D360B4">
              <w:rPr>
                <w:b/>
                <w:color w:val="000000" w:themeColor="text1"/>
              </w:rPr>
              <w:t>194</w:t>
            </w:r>
          </w:p>
        </w:tc>
        <w:tc>
          <w:tcPr>
            <w:tcW w:w="870" w:type="pct"/>
          </w:tcPr>
          <w:p w:rsidR="00C51297" w:rsidRPr="00D360B4" w:rsidRDefault="00C51297" w:rsidP="00B16816">
            <w:pPr>
              <w:jc w:val="center"/>
              <w:rPr>
                <w:b/>
                <w:bCs/>
                <w:color w:val="000000" w:themeColor="text1"/>
                <w:szCs w:val="24"/>
              </w:rPr>
            </w:pPr>
            <w:r w:rsidRPr="00D360B4">
              <w:rPr>
                <w:b/>
                <w:color w:val="000000" w:themeColor="text1"/>
              </w:rPr>
              <w:t>100 %</w:t>
            </w:r>
          </w:p>
        </w:tc>
      </w:tr>
    </w:tbl>
    <w:p w:rsidR="00C51297" w:rsidRPr="00D360B4" w:rsidRDefault="00C51297" w:rsidP="00C51297">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C51297" w:rsidRPr="00D360B4" w:rsidTr="00B16816">
        <w:trPr>
          <w:trHeight w:val="300"/>
        </w:trPr>
        <w:tc>
          <w:tcPr>
            <w:tcW w:w="1296" w:type="pct"/>
            <w:vMerge w:val="restart"/>
            <w:hideMark/>
          </w:tcPr>
          <w:p w:rsidR="00C51297" w:rsidRPr="00D360B4" w:rsidRDefault="00C51297" w:rsidP="00B16816">
            <w:pPr>
              <w:jc w:val="center"/>
              <w:rPr>
                <w:b/>
                <w:bCs/>
                <w:color w:val="000000" w:themeColor="text1"/>
                <w:szCs w:val="24"/>
              </w:rPr>
            </w:pPr>
            <w:r w:rsidRPr="00D360B4">
              <w:rPr>
                <w:b/>
                <w:color w:val="000000" w:themeColor="text1"/>
              </w:rPr>
              <w:t>Vrsta ugovora</w:t>
            </w:r>
          </w:p>
        </w:tc>
        <w:tc>
          <w:tcPr>
            <w:tcW w:w="1872" w:type="pct"/>
            <w:gridSpan w:val="2"/>
            <w:vMerge w:val="restart"/>
            <w:hideMark/>
          </w:tcPr>
          <w:p w:rsidR="00C51297" w:rsidRPr="00D360B4" w:rsidRDefault="00C51297" w:rsidP="00B16816">
            <w:pPr>
              <w:jc w:val="center"/>
              <w:rPr>
                <w:b/>
                <w:bCs/>
                <w:color w:val="000000" w:themeColor="text1"/>
                <w:szCs w:val="24"/>
              </w:rPr>
            </w:pPr>
            <w:r w:rsidRPr="00D360B4">
              <w:rPr>
                <w:b/>
                <w:color w:val="000000" w:themeColor="text1"/>
              </w:rPr>
              <w:t>2021.</w:t>
            </w:r>
          </w:p>
        </w:tc>
        <w:tc>
          <w:tcPr>
            <w:tcW w:w="1832" w:type="pct"/>
            <w:gridSpan w:val="2"/>
            <w:vMerge w:val="restart"/>
            <w:hideMark/>
          </w:tcPr>
          <w:p w:rsidR="00C51297" w:rsidRPr="00D360B4" w:rsidRDefault="00C51297" w:rsidP="00B16816">
            <w:pPr>
              <w:jc w:val="center"/>
              <w:rPr>
                <w:b/>
                <w:bCs/>
                <w:color w:val="000000" w:themeColor="text1"/>
                <w:szCs w:val="24"/>
              </w:rPr>
            </w:pPr>
            <w:r w:rsidRPr="00D360B4">
              <w:rPr>
                <w:b/>
                <w:color w:val="000000" w:themeColor="text1"/>
              </w:rPr>
              <w:t>2022.</w:t>
            </w:r>
          </w:p>
        </w:tc>
      </w:tr>
      <w:tr w:rsidR="00C51297" w:rsidRPr="00D360B4" w:rsidTr="00B16816">
        <w:trPr>
          <w:trHeight w:val="315"/>
        </w:trPr>
        <w:tc>
          <w:tcPr>
            <w:tcW w:w="1296" w:type="pct"/>
            <w:vMerge/>
            <w:hideMark/>
          </w:tcPr>
          <w:p w:rsidR="00C51297" w:rsidRPr="00D360B4" w:rsidRDefault="00C51297" w:rsidP="00B16816">
            <w:pPr>
              <w:rPr>
                <w:b/>
                <w:bCs/>
                <w:color w:val="000000" w:themeColor="text1"/>
                <w:szCs w:val="24"/>
              </w:rPr>
            </w:pPr>
          </w:p>
        </w:tc>
        <w:tc>
          <w:tcPr>
            <w:tcW w:w="1872" w:type="pct"/>
            <w:gridSpan w:val="2"/>
            <w:vMerge/>
            <w:hideMark/>
          </w:tcPr>
          <w:p w:rsidR="00C51297" w:rsidRPr="00D360B4" w:rsidRDefault="00C51297" w:rsidP="00B16816">
            <w:pPr>
              <w:rPr>
                <w:b/>
                <w:bCs/>
                <w:color w:val="000000" w:themeColor="text1"/>
                <w:szCs w:val="24"/>
              </w:rPr>
            </w:pPr>
          </w:p>
        </w:tc>
        <w:tc>
          <w:tcPr>
            <w:tcW w:w="1832" w:type="pct"/>
            <w:gridSpan w:val="2"/>
            <w:vMerge/>
            <w:hideMark/>
          </w:tcPr>
          <w:p w:rsidR="00C51297" w:rsidRPr="00D360B4" w:rsidRDefault="00C51297" w:rsidP="00B16816">
            <w:pPr>
              <w:rPr>
                <w:b/>
                <w:bCs/>
                <w:color w:val="000000" w:themeColor="text1"/>
                <w:szCs w:val="24"/>
              </w:rPr>
            </w:pPr>
          </w:p>
        </w:tc>
      </w:tr>
      <w:tr w:rsidR="00C51297" w:rsidRPr="00D360B4" w:rsidTr="00B16816">
        <w:trPr>
          <w:trHeight w:val="315"/>
        </w:trPr>
        <w:tc>
          <w:tcPr>
            <w:tcW w:w="1296" w:type="pct"/>
            <w:vMerge/>
            <w:hideMark/>
          </w:tcPr>
          <w:p w:rsidR="00C51297" w:rsidRPr="00D360B4" w:rsidRDefault="00C51297" w:rsidP="00B16816">
            <w:pPr>
              <w:rPr>
                <w:b/>
                <w:bCs/>
                <w:color w:val="000000" w:themeColor="text1"/>
                <w:szCs w:val="24"/>
              </w:rPr>
            </w:pPr>
          </w:p>
        </w:tc>
        <w:tc>
          <w:tcPr>
            <w:tcW w:w="1059" w:type="pct"/>
            <w:hideMark/>
          </w:tcPr>
          <w:p w:rsidR="00C51297" w:rsidRPr="00D360B4" w:rsidRDefault="00C51297" w:rsidP="00B16816">
            <w:pPr>
              <w:jc w:val="center"/>
              <w:rPr>
                <w:b/>
                <w:bCs/>
                <w:color w:val="000000" w:themeColor="text1"/>
                <w:szCs w:val="24"/>
              </w:rPr>
            </w:pPr>
            <w:r w:rsidRPr="00D360B4">
              <w:rPr>
                <w:b/>
                <w:color w:val="000000" w:themeColor="text1"/>
              </w:rPr>
              <w:t>Iznos</w:t>
            </w:r>
          </w:p>
        </w:tc>
        <w:tc>
          <w:tcPr>
            <w:tcW w:w="814" w:type="pct"/>
            <w:hideMark/>
          </w:tcPr>
          <w:p w:rsidR="00C51297" w:rsidRPr="00D360B4" w:rsidRDefault="00C51297" w:rsidP="00B16816">
            <w:pPr>
              <w:jc w:val="center"/>
              <w:rPr>
                <w:b/>
                <w:bCs/>
                <w:color w:val="000000" w:themeColor="text1"/>
                <w:szCs w:val="24"/>
              </w:rPr>
            </w:pPr>
            <w:r w:rsidRPr="00D360B4">
              <w:rPr>
                <w:b/>
                <w:color w:val="000000" w:themeColor="text1"/>
              </w:rPr>
              <w:t>Postotak</w:t>
            </w:r>
          </w:p>
        </w:tc>
        <w:tc>
          <w:tcPr>
            <w:tcW w:w="973" w:type="pct"/>
            <w:hideMark/>
          </w:tcPr>
          <w:p w:rsidR="00C51297" w:rsidRPr="00D360B4" w:rsidRDefault="00C51297" w:rsidP="00B16816">
            <w:pPr>
              <w:jc w:val="center"/>
              <w:rPr>
                <w:b/>
                <w:bCs/>
                <w:color w:val="000000" w:themeColor="text1"/>
                <w:szCs w:val="24"/>
              </w:rPr>
            </w:pPr>
            <w:r w:rsidRPr="00D360B4">
              <w:rPr>
                <w:b/>
                <w:color w:val="000000" w:themeColor="text1"/>
              </w:rPr>
              <w:t>Iznos</w:t>
            </w:r>
          </w:p>
        </w:tc>
        <w:tc>
          <w:tcPr>
            <w:tcW w:w="859" w:type="pct"/>
            <w:hideMark/>
          </w:tcPr>
          <w:p w:rsidR="00C51297" w:rsidRPr="00D360B4" w:rsidRDefault="00C51297" w:rsidP="00B16816">
            <w:pPr>
              <w:jc w:val="center"/>
              <w:rPr>
                <w:b/>
                <w:bCs/>
                <w:color w:val="000000" w:themeColor="text1"/>
                <w:szCs w:val="24"/>
              </w:rPr>
            </w:pPr>
            <w:r w:rsidRPr="00D360B4">
              <w:rPr>
                <w:b/>
                <w:color w:val="000000" w:themeColor="text1"/>
              </w:rPr>
              <w:t>Postotak</w:t>
            </w:r>
          </w:p>
        </w:tc>
      </w:tr>
      <w:tr w:rsidR="00C51297" w:rsidRPr="00D360B4" w:rsidTr="00B16816">
        <w:trPr>
          <w:trHeight w:val="300"/>
        </w:trPr>
        <w:tc>
          <w:tcPr>
            <w:tcW w:w="1296" w:type="pct"/>
            <w:hideMark/>
          </w:tcPr>
          <w:p w:rsidR="00C51297" w:rsidRPr="00D360B4" w:rsidRDefault="00C51297" w:rsidP="00B16816">
            <w:pPr>
              <w:rPr>
                <w:color w:val="000000" w:themeColor="text1"/>
                <w:szCs w:val="24"/>
              </w:rPr>
            </w:pPr>
            <w:r w:rsidRPr="00D360B4">
              <w:rPr>
                <w:color w:val="000000" w:themeColor="text1"/>
              </w:rPr>
              <w:t xml:space="preserve">   </w:t>
            </w:r>
          </w:p>
        </w:tc>
        <w:tc>
          <w:tcPr>
            <w:tcW w:w="1059" w:type="pct"/>
            <w:hideMark/>
          </w:tcPr>
          <w:p w:rsidR="00C51297" w:rsidRPr="00D360B4" w:rsidRDefault="00C51297" w:rsidP="00B16816">
            <w:pPr>
              <w:rPr>
                <w:color w:val="000000" w:themeColor="text1"/>
                <w:szCs w:val="24"/>
              </w:rPr>
            </w:pPr>
            <w:r w:rsidRPr="00D360B4">
              <w:rPr>
                <w:color w:val="000000" w:themeColor="text1"/>
              </w:rPr>
              <w:t> </w:t>
            </w:r>
          </w:p>
        </w:tc>
        <w:tc>
          <w:tcPr>
            <w:tcW w:w="814" w:type="pct"/>
            <w:hideMark/>
          </w:tcPr>
          <w:p w:rsidR="00C51297" w:rsidRPr="00D360B4" w:rsidRDefault="00C51297" w:rsidP="00B16816">
            <w:pPr>
              <w:rPr>
                <w:color w:val="000000" w:themeColor="text1"/>
                <w:szCs w:val="24"/>
              </w:rPr>
            </w:pPr>
            <w:r w:rsidRPr="00D360B4">
              <w:rPr>
                <w:color w:val="000000" w:themeColor="text1"/>
              </w:rPr>
              <w:t> </w:t>
            </w:r>
          </w:p>
        </w:tc>
        <w:tc>
          <w:tcPr>
            <w:tcW w:w="973" w:type="pct"/>
            <w:hideMark/>
          </w:tcPr>
          <w:p w:rsidR="00C51297" w:rsidRPr="00D360B4" w:rsidRDefault="00C51297" w:rsidP="00B16816">
            <w:pPr>
              <w:rPr>
                <w:color w:val="000000" w:themeColor="text1"/>
                <w:szCs w:val="24"/>
              </w:rPr>
            </w:pPr>
            <w:r w:rsidRPr="00D360B4">
              <w:rPr>
                <w:color w:val="000000" w:themeColor="text1"/>
              </w:rPr>
              <w:t> </w:t>
            </w:r>
          </w:p>
        </w:tc>
        <w:tc>
          <w:tcPr>
            <w:tcW w:w="859" w:type="pct"/>
            <w:hideMark/>
          </w:tcPr>
          <w:p w:rsidR="00C51297" w:rsidRPr="00D360B4" w:rsidRDefault="00C51297" w:rsidP="00B16816">
            <w:pPr>
              <w:rPr>
                <w:color w:val="000000" w:themeColor="text1"/>
                <w:szCs w:val="24"/>
              </w:rPr>
            </w:pPr>
            <w:r w:rsidRPr="00D360B4">
              <w:rPr>
                <w:color w:val="000000" w:themeColor="text1"/>
              </w:rPr>
              <w:t> </w:t>
            </w:r>
          </w:p>
        </w:tc>
      </w:tr>
      <w:tr w:rsidR="00C51297" w:rsidRPr="00D360B4" w:rsidTr="00B16816">
        <w:trPr>
          <w:trHeight w:val="300"/>
        </w:trPr>
        <w:tc>
          <w:tcPr>
            <w:tcW w:w="1296" w:type="pct"/>
            <w:hideMark/>
          </w:tcPr>
          <w:p w:rsidR="00C51297" w:rsidRPr="00D360B4" w:rsidRDefault="00C51297" w:rsidP="00B16816">
            <w:pPr>
              <w:ind w:firstLineChars="100" w:firstLine="240"/>
              <w:rPr>
                <w:color w:val="000000" w:themeColor="text1"/>
                <w:szCs w:val="24"/>
              </w:rPr>
            </w:pPr>
            <w:r w:rsidRPr="00D360B4">
              <w:rPr>
                <w:color w:val="000000" w:themeColor="text1"/>
              </w:rPr>
              <w:t>Zgrade</w:t>
            </w:r>
          </w:p>
        </w:tc>
        <w:tc>
          <w:tcPr>
            <w:tcW w:w="1059" w:type="pct"/>
            <w:hideMark/>
          </w:tcPr>
          <w:p w:rsidR="00C51297" w:rsidRPr="00D360B4" w:rsidRDefault="00C51297" w:rsidP="00B16816">
            <w:pPr>
              <w:jc w:val="center"/>
              <w:rPr>
                <w:color w:val="000000" w:themeColor="text1"/>
                <w:szCs w:val="24"/>
              </w:rPr>
            </w:pPr>
            <w:r w:rsidRPr="00D360B4">
              <w:rPr>
                <w:color w:val="000000" w:themeColor="text1"/>
              </w:rPr>
              <w:t>168 302 638</w:t>
            </w:r>
          </w:p>
        </w:tc>
        <w:tc>
          <w:tcPr>
            <w:tcW w:w="814" w:type="pct"/>
            <w:hideMark/>
          </w:tcPr>
          <w:p w:rsidR="00C51297" w:rsidRPr="00D360B4" w:rsidRDefault="00C51297" w:rsidP="00B16816">
            <w:pPr>
              <w:jc w:val="center"/>
              <w:rPr>
                <w:color w:val="000000" w:themeColor="text1"/>
                <w:szCs w:val="24"/>
              </w:rPr>
            </w:pPr>
            <w:r w:rsidRPr="00D360B4">
              <w:rPr>
                <w:color w:val="000000" w:themeColor="text1"/>
              </w:rPr>
              <w:t>17 %</w:t>
            </w:r>
          </w:p>
        </w:tc>
        <w:tc>
          <w:tcPr>
            <w:tcW w:w="973" w:type="pct"/>
          </w:tcPr>
          <w:p w:rsidR="00C51297" w:rsidRPr="00D360B4" w:rsidRDefault="00C51297" w:rsidP="00B16816">
            <w:pPr>
              <w:jc w:val="center"/>
              <w:rPr>
                <w:color w:val="000000" w:themeColor="text1"/>
                <w:szCs w:val="24"/>
              </w:rPr>
            </w:pPr>
            <w:r w:rsidRPr="00D360B4">
              <w:rPr>
                <w:color w:val="000000" w:themeColor="text1"/>
              </w:rPr>
              <w:t>27 804 776</w:t>
            </w:r>
          </w:p>
        </w:tc>
        <w:tc>
          <w:tcPr>
            <w:tcW w:w="859" w:type="pct"/>
          </w:tcPr>
          <w:p w:rsidR="00C51297" w:rsidRPr="00D360B4" w:rsidRDefault="00C51297" w:rsidP="00B16816">
            <w:pPr>
              <w:jc w:val="center"/>
              <w:rPr>
                <w:color w:val="000000" w:themeColor="text1"/>
                <w:szCs w:val="24"/>
              </w:rPr>
            </w:pPr>
            <w:r w:rsidRPr="00D360B4">
              <w:rPr>
                <w:color w:val="000000" w:themeColor="text1"/>
              </w:rPr>
              <w:t>7 %</w:t>
            </w:r>
          </w:p>
        </w:tc>
      </w:tr>
      <w:tr w:rsidR="00C51297" w:rsidRPr="00D360B4" w:rsidTr="00B16816">
        <w:trPr>
          <w:trHeight w:val="300"/>
        </w:trPr>
        <w:tc>
          <w:tcPr>
            <w:tcW w:w="1296" w:type="pct"/>
            <w:hideMark/>
          </w:tcPr>
          <w:p w:rsidR="00C51297" w:rsidRPr="00D360B4" w:rsidRDefault="00C51297" w:rsidP="00B16816">
            <w:pPr>
              <w:ind w:firstLineChars="100" w:firstLine="240"/>
              <w:rPr>
                <w:color w:val="000000" w:themeColor="text1"/>
                <w:szCs w:val="24"/>
              </w:rPr>
            </w:pPr>
            <w:r w:rsidRPr="00D360B4">
              <w:rPr>
                <w:color w:val="000000" w:themeColor="text1"/>
              </w:rPr>
              <w:lastRenderedPageBreak/>
              <w:t>Usluge</w:t>
            </w:r>
          </w:p>
        </w:tc>
        <w:tc>
          <w:tcPr>
            <w:tcW w:w="1059" w:type="pct"/>
            <w:hideMark/>
          </w:tcPr>
          <w:p w:rsidR="00C51297" w:rsidRPr="00D360B4" w:rsidRDefault="00C51297" w:rsidP="00B16816">
            <w:pPr>
              <w:jc w:val="center"/>
              <w:rPr>
                <w:color w:val="000000" w:themeColor="text1"/>
                <w:szCs w:val="24"/>
              </w:rPr>
            </w:pPr>
            <w:r w:rsidRPr="00D360B4">
              <w:rPr>
                <w:color w:val="000000" w:themeColor="text1"/>
              </w:rPr>
              <w:t>634 689 038</w:t>
            </w:r>
          </w:p>
        </w:tc>
        <w:tc>
          <w:tcPr>
            <w:tcW w:w="814" w:type="pct"/>
            <w:hideMark/>
          </w:tcPr>
          <w:p w:rsidR="00C51297" w:rsidRPr="00D360B4" w:rsidRDefault="00C51297" w:rsidP="00B16816">
            <w:pPr>
              <w:jc w:val="center"/>
              <w:rPr>
                <w:color w:val="000000" w:themeColor="text1"/>
                <w:szCs w:val="24"/>
              </w:rPr>
            </w:pPr>
            <w:r w:rsidRPr="00D360B4">
              <w:rPr>
                <w:color w:val="000000" w:themeColor="text1"/>
              </w:rPr>
              <w:t>62 %</w:t>
            </w:r>
          </w:p>
        </w:tc>
        <w:tc>
          <w:tcPr>
            <w:tcW w:w="973" w:type="pct"/>
          </w:tcPr>
          <w:p w:rsidR="00C51297" w:rsidRPr="00D360B4" w:rsidRDefault="00C51297" w:rsidP="00B16816">
            <w:pPr>
              <w:jc w:val="center"/>
              <w:rPr>
                <w:color w:val="000000" w:themeColor="text1"/>
                <w:szCs w:val="24"/>
              </w:rPr>
            </w:pPr>
            <w:r w:rsidRPr="00D360B4">
              <w:rPr>
                <w:color w:val="000000" w:themeColor="text1"/>
              </w:rPr>
              <w:t>283 779 269</w:t>
            </w:r>
          </w:p>
        </w:tc>
        <w:tc>
          <w:tcPr>
            <w:tcW w:w="859" w:type="pct"/>
          </w:tcPr>
          <w:p w:rsidR="00C51297" w:rsidRPr="00D360B4" w:rsidRDefault="00C51297" w:rsidP="00B16816">
            <w:pPr>
              <w:jc w:val="center"/>
              <w:rPr>
                <w:color w:val="000000" w:themeColor="text1"/>
                <w:szCs w:val="24"/>
              </w:rPr>
            </w:pPr>
            <w:r w:rsidRPr="00D360B4">
              <w:rPr>
                <w:color w:val="000000" w:themeColor="text1"/>
              </w:rPr>
              <w:t>69 %</w:t>
            </w:r>
          </w:p>
        </w:tc>
      </w:tr>
      <w:tr w:rsidR="00C51297" w:rsidRPr="00D360B4" w:rsidTr="00B16816">
        <w:trPr>
          <w:trHeight w:val="300"/>
        </w:trPr>
        <w:tc>
          <w:tcPr>
            <w:tcW w:w="1296" w:type="pct"/>
            <w:hideMark/>
          </w:tcPr>
          <w:p w:rsidR="00C51297" w:rsidRPr="00D360B4" w:rsidRDefault="00C51297" w:rsidP="00B16816">
            <w:pPr>
              <w:ind w:firstLineChars="100" w:firstLine="240"/>
              <w:rPr>
                <w:color w:val="000000" w:themeColor="text1"/>
                <w:szCs w:val="24"/>
              </w:rPr>
            </w:pPr>
            <w:r w:rsidRPr="00D360B4">
              <w:rPr>
                <w:color w:val="000000" w:themeColor="text1"/>
              </w:rPr>
              <w:t>Potrošni materijal</w:t>
            </w:r>
          </w:p>
        </w:tc>
        <w:tc>
          <w:tcPr>
            <w:tcW w:w="1059" w:type="pct"/>
            <w:hideMark/>
          </w:tcPr>
          <w:p w:rsidR="00C51297" w:rsidRPr="00D360B4" w:rsidRDefault="00C51297" w:rsidP="00B16816">
            <w:pPr>
              <w:jc w:val="center"/>
              <w:rPr>
                <w:color w:val="000000" w:themeColor="text1"/>
                <w:szCs w:val="24"/>
              </w:rPr>
            </w:pPr>
            <w:r w:rsidRPr="00D360B4">
              <w:rPr>
                <w:color w:val="000000" w:themeColor="text1"/>
              </w:rPr>
              <w:t>136 777 513</w:t>
            </w:r>
          </w:p>
        </w:tc>
        <w:tc>
          <w:tcPr>
            <w:tcW w:w="814" w:type="pct"/>
            <w:hideMark/>
          </w:tcPr>
          <w:p w:rsidR="00C51297" w:rsidRPr="00D360B4" w:rsidRDefault="00C51297" w:rsidP="00B16816">
            <w:pPr>
              <w:jc w:val="center"/>
              <w:rPr>
                <w:color w:val="000000" w:themeColor="text1"/>
                <w:szCs w:val="24"/>
              </w:rPr>
            </w:pPr>
            <w:r w:rsidRPr="00D360B4">
              <w:rPr>
                <w:color w:val="000000" w:themeColor="text1"/>
              </w:rPr>
              <w:t>13 %</w:t>
            </w:r>
          </w:p>
        </w:tc>
        <w:tc>
          <w:tcPr>
            <w:tcW w:w="973" w:type="pct"/>
          </w:tcPr>
          <w:p w:rsidR="00C51297" w:rsidRPr="00D360B4" w:rsidRDefault="00C51297" w:rsidP="00B16816">
            <w:pPr>
              <w:jc w:val="center"/>
              <w:rPr>
                <w:color w:val="000000" w:themeColor="text1"/>
                <w:szCs w:val="24"/>
              </w:rPr>
            </w:pPr>
            <w:r w:rsidRPr="00D360B4">
              <w:rPr>
                <w:color w:val="000000" w:themeColor="text1"/>
              </w:rPr>
              <w:t>47 817 885</w:t>
            </w:r>
          </w:p>
        </w:tc>
        <w:tc>
          <w:tcPr>
            <w:tcW w:w="859" w:type="pct"/>
          </w:tcPr>
          <w:p w:rsidR="00C51297" w:rsidRPr="00D360B4" w:rsidRDefault="00C51297" w:rsidP="00B16816">
            <w:pPr>
              <w:jc w:val="center"/>
              <w:rPr>
                <w:color w:val="000000" w:themeColor="text1"/>
                <w:szCs w:val="24"/>
              </w:rPr>
            </w:pPr>
            <w:r w:rsidRPr="00D360B4">
              <w:rPr>
                <w:color w:val="000000" w:themeColor="text1"/>
              </w:rPr>
              <w:t>12 %</w:t>
            </w:r>
          </w:p>
        </w:tc>
      </w:tr>
      <w:tr w:rsidR="00C51297" w:rsidRPr="00D360B4" w:rsidTr="00B16816">
        <w:trPr>
          <w:trHeight w:val="300"/>
        </w:trPr>
        <w:tc>
          <w:tcPr>
            <w:tcW w:w="1296" w:type="pct"/>
            <w:hideMark/>
          </w:tcPr>
          <w:p w:rsidR="00C51297" w:rsidRPr="00D360B4" w:rsidRDefault="00C51297" w:rsidP="00B16816">
            <w:pPr>
              <w:ind w:firstLineChars="100" w:firstLine="240"/>
              <w:rPr>
                <w:color w:val="000000" w:themeColor="text1"/>
                <w:szCs w:val="24"/>
              </w:rPr>
            </w:pPr>
            <w:r w:rsidRPr="00D360B4">
              <w:rPr>
                <w:color w:val="000000" w:themeColor="text1"/>
              </w:rPr>
              <w:t>Radovi</w:t>
            </w:r>
          </w:p>
        </w:tc>
        <w:tc>
          <w:tcPr>
            <w:tcW w:w="1059" w:type="pct"/>
            <w:hideMark/>
          </w:tcPr>
          <w:p w:rsidR="00C51297" w:rsidRPr="00D360B4" w:rsidRDefault="00C51297" w:rsidP="00B16816">
            <w:pPr>
              <w:jc w:val="center"/>
              <w:rPr>
                <w:color w:val="000000" w:themeColor="text1"/>
                <w:szCs w:val="24"/>
              </w:rPr>
            </w:pPr>
            <w:r w:rsidRPr="00D360B4">
              <w:rPr>
                <w:color w:val="000000" w:themeColor="text1"/>
              </w:rPr>
              <w:t>76 247 759</w:t>
            </w:r>
          </w:p>
        </w:tc>
        <w:tc>
          <w:tcPr>
            <w:tcW w:w="814" w:type="pct"/>
            <w:hideMark/>
          </w:tcPr>
          <w:p w:rsidR="00C51297" w:rsidRPr="00D360B4" w:rsidRDefault="00C51297" w:rsidP="00B16816">
            <w:pPr>
              <w:jc w:val="center"/>
              <w:rPr>
                <w:color w:val="000000" w:themeColor="text1"/>
                <w:szCs w:val="24"/>
              </w:rPr>
            </w:pPr>
            <w:r w:rsidRPr="00D360B4">
              <w:rPr>
                <w:color w:val="000000" w:themeColor="text1"/>
              </w:rPr>
              <w:t>8 %</w:t>
            </w:r>
          </w:p>
        </w:tc>
        <w:tc>
          <w:tcPr>
            <w:tcW w:w="973" w:type="pct"/>
          </w:tcPr>
          <w:p w:rsidR="00C51297" w:rsidRPr="00D360B4" w:rsidRDefault="00C51297" w:rsidP="00B16816">
            <w:pPr>
              <w:jc w:val="center"/>
              <w:rPr>
                <w:color w:val="000000" w:themeColor="text1"/>
                <w:szCs w:val="24"/>
              </w:rPr>
            </w:pPr>
            <w:r w:rsidRPr="00D360B4">
              <w:rPr>
                <w:color w:val="000000" w:themeColor="text1"/>
              </w:rPr>
              <w:t xml:space="preserve">50 642 975 </w:t>
            </w:r>
          </w:p>
        </w:tc>
        <w:tc>
          <w:tcPr>
            <w:tcW w:w="859" w:type="pct"/>
          </w:tcPr>
          <w:p w:rsidR="00C51297" w:rsidRPr="00D360B4" w:rsidRDefault="00C51297" w:rsidP="00B16816">
            <w:pPr>
              <w:jc w:val="center"/>
              <w:rPr>
                <w:color w:val="000000" w:themeColor="text1"/>
                <w:szCs w:val="24"/>
              </w:rPr>
            </w:pPr>
            <w:r w:rsidRPr="00D360B4">
              <w:rPr>
                <w:color w:val="000000" w:themeColor="text1"/>
              </w:rPr>
              <w:t>12 %</w:t>
            </w:r>
          </w:p>
        </w:tc>
      </w:tr>
      <w:tr w:rsidR="00C51297" w:rsidRPr="00D360B4" w:rsidTr="00B16816">
        <w:trPr>
          <w:trHeight w:val="315"/>
        </w:trPr>
        <w:tc>
          <w:tcPr>
            <w:tcW w:w="1296" w:type="pct"/>
            <w:hideMark/>
          </w:tcPr>
          <w:p w:rsidR="00C51297" w:rsidRPr="00D360B4" w:rsidRDefault="00C51297" w:rsidP="00B16816">
            <w:pPr>
              <w:rPr>
                <w:color w:val="000000" w:themeColor="text1"/>
                <w:szCs w:val="24"/>
              </w:rPr>
            </w:pPr>
            <w:r w:rsidRPr="00D360B4">
              <w:rPr>
                <w:color w:val="000000" w:themeColor="text1"/>
              </w:rPr>
              <w:t> </w:t>
            </w:r>
          </w:p>
        </w:tc>
        <w:tc>
          <w:tcPr>
            <w:tcW w:w="1059" w:type="pct"/>
            <w:hideMark/>
          </w:tcPr>
          <w:p w:rsidR="00C51297" w:rsidRPr="00D360B4" w:rsidRDefault="00C51297" w:rsidP="00B16816">
            <w:pPr>
              <w:jc w:val="center"/>
              <w:rPr>
                <w:color w:val="000000" w:themeColor="text1"/>
                <w:szCs w:val="24"/>
              </w:rPr>
            </w:pPr>
            <w:r w:rsidRPr="00D360B4">
              <w:rPr>
                <w:color w:val="000000" w:themeColor="text1"/>
              </w:rPr>
              <w:t> </w:t>
            </w:r>
          </w:p>
        </w:tc>
        <w:tc>
          <w:tcPr>
            <w:tcW w:w="814" w:type="pct"/>
            <w:hideMark/>
          </w:tcPr>
          <w:p w:rsidR="00C51297" w:rsidRPr="00D360B4" w:rsidRDefault="00C51297" w:rsidP="00B16816">
            <w:pPr>
              <w:jc w:val="right"/>
              <w:rPr>
                <w:color w:val="000000" w:themeColor="text1"/>
                <w:szCs w:val="24"/>
              </w:rPr>
            </w:pPr>
            <w:r w:rsidRPr="00D360B4">
              <w:rPr>
                <w:color w:val="000000" w:themeColor="text1"/>
              </w:rPr>
              <w:t> </w:t>
            </w:r>
          </w:p>
        </w:tc>
        <w:tc>
          <w:tcPr>
            <w:tcW w:w="973" w:type="pct"/>
          </w:tcPr>
          <w:p w:rsidR="00C51297" w:rsidRPr="00D360B4" w:rsidRDefault="00C51297" w:rsidP="00B16816">
            <w:pPr>
              <w:jc w:val="right"/>
              <w:rPr>
                <w:color w:val="000000" w:themeColor="text1"/>
                <w:szCs w:val="24"/>
              </w:rPr>
            </w:pPr>
          </w:p>
        </w:tc>
        <w:tc>
          <w:tcPr>
            <w:tcW w:w="859" w:type="pct"/>
          </w:tcPr>
          <w:p w:rsidR="00C51297" w:rsidRPr="00D360B4" w:rsidRDefault="00C51297" w:rsidP="00B16816">
            <w:pPr>
              <w:jc w:val="right"/>
              <w:rPr>
                <w:color w:val="000000" w:themeColor="text1"/>
                <w:szCs w:val="24"/>
              </w:rPr>
            </w:pPr>
          </w:p>
        </w:tc>
      </w:tr>
      <w:tr w:rsidR="00C51297" w:rsidRPr="00D360B4" w:rsidTr="00B16816">
        <w:trPr>
          <w:trHeight w:val="600"/>
        </w:trPr>
        <w:tc>
          <w:tcPr>
            <w:tcW w:w="1296" w:type="pct"/>
            <w:hideMark/>
          </w:tcPr>
          <w:p w:rsidR="00C51297" w:rsidRPr="00D360B4" w:rsidRDefault="00C51297" w:rsidP="00B16816">
            <w:pPr>
              <w:rPr>
                <w:b/>
                <w:bCs/>
                <w:color w:val="000000" w:themeColor="text1"/>
                <w:szCs w:val="24"/>
              </w:rPr>
            </w:pPr>
            <w:r w:rsidRPr="00D360B4">
              <w:rPr>
                <w:b/>
                <w:color w:val="000000" w:themeColor="text1"/>
              </w:rPr>
              <w:t xml:space="preserve">   Ukupno</w:t>
            </w:r>
          </w:p>
        </w:tc>
        <w:tc>
          <w:tcPr>
            <w:tcW w:w="1059" w:type="pct"/>
            <w:hideMark/>
          </w:tcPr>
          <w:p w:rsidR="00C51297" w:rsidRPr="00D360B4" w:rsidRDefault="00C51297" w:rsidP="00B16816">
            <w:pPr>
              <w:jc w:val="center"/>
              <w:rPr>
                <w:b/>
                <w:bCs/>
                <w:color w:val="000000" w:themeColor="text1"/>
                <w:szCs w:val="24"/>
              </w:rPr>
            </w:pPr>
            <w:r w:rsidRPr="00D360B4">
              <w:rPr>
                <w:b/>
                <w:color w:val="000000" w:themeColor="text1"/>
              </w:rPr>
              <w:t>1 016 016 948</w:t>
            </w:r>
          </w:p>
        </w:tc>
        <w:tc>
          <w:tcPr>
            <w:tcW w:w="814" w:type="pct"/>
            <w:hideMark/>
          </w:tcPr>
          <w:p w:rsidR="00C51297" w:rsidRPr="00D360B4" w:rsidRDefault="00C51297" w:rsidP="00B16816">
            <w:pPr>
              <w:jc w:val="center"/>
              <w:rPr>
                <w:b/>
                <w:bCs/>
                <w:color w:val="000000" w:themeColor="text1"/>
                <w:szCs w:val="24"/>
              </w:rPr>
            </w:pPr>
            <w:r w:rsidRPr="00D360B4">
              <w:rPr>
                <w:b/>
                <w:color w:val="000000" w:themeColor="text1"/>
              </w:rPr>
              <w:t>100 %</w:t>
            </w:r>
          </w:p>
        </w:tc>
        <w:tc>
          <w:tcPr>
            <w:tcW w:w="973" w:type="pct"/>
          </w:tcPr>
          <w:p w:rsidR="00C51297" w:rsidRPr="00D360B4" w:rsidRDefault="00C51297" w:rsidP="00B16816">
            <w:pPr>
              <w:jc w:val="center"/>
              <w:rPr>
                <w:b/>
                <w:bCs/>
                <w:color w:val="000000" w:themeColor="text1"/>
                <w:szCs w:val="24"/>
              </w:rPr>
            </w:pPr>
            <w:r w:rsidRPr="00D360B4">
              <w:rPr>
                <w:b/>
                <w:color w:val="000000" w:themeColor="text1"/>
              </w:rPr>
              <w:t>410 044 905</w:t>
            </w:r>
          </w:p>
        </w:tc>
        <w:tc>
          <w:tcPr>
            <w:tcW w:w="859" w:type="pct"/>
          </w:tcPr>
          <w:p w:rsidR="00C51297" w:rsidRPr="00D360B4" w:rsidRDefault="00C51297" w:rsidP="00B16816">
            <w:pPr>
              <w:jc w:val="center"/>
              <w:rPr>
                <w:b/>
                <w:bCs/>
                <w:color w:val="000000" w:themeColor="text1"/>
                <w:szCs w:val="24"/>
              </w:rPr>
            </w:pPr>
            <w:r w:rsidRPr="00D360B4">
              <w:rPr>
                <w:b/>
                <w:color w:val="000000" w:themeColor="text1"/>
              </w:rPr>
              <w:t>100 %</w:t>
            </w:r>
          </w:p>
        </w:tc>
      </w:tr>
    </w:tbl>
    <w:p w:rsidR="00C51297" w:rsidRPr="00D360B4" w:rsidRDefault="00C51297" w:rsidP="00C51297">
      <w:pPr>
        <w:spacing w:after="240"/>
        <w:ind w:left="567" w:hanging="567"/>
        <w:jc w:val="both"/>
        <w:rPr>
          <w:szCs w:val="24"/>
          <w14:textOutline w14:w="0" w14:cap="flat" w14:cmpd="sng" w14:algn="ctr">
            <w14:noFill/>
            <w14:prstDash w14:val="solid"/>
            <w14:bevel/>
          </w14:textOutline>
        </w:rPr>
      </w:pPr>
    </w:p>
    <w:p w:rsidR="00C51297" w:rsidRPr="00D360B4" w:rsidRDefault="00C51297" w:rsidP="00C51297">
      <w:pPr>
        <w:spacing w:after="240"/>
        <w:ind w:left="567" w:hanging="567"/>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1</w:t>
      </w:r>
      <w:r w:rsidR="003830A8">
        <w:rPr>
          <w14:textOutline w14:w="0" w14:cap="flat" w14:cmpd="sng" w14:algn="ctr">
            <w14:noFill/>
            <w14:prstDash w14:val="solid"/>
            <w14:bevel/>
          </w14:textOutline>
        </w:rPr>
        <w:t>71</w:t>
      </w:r>
      <w:r w:rsidRPr="00D360B4">
        <w:rPr>
          <w14:textOutline w14:w="0" w14:cap="flat" w14:cmpd="sng" w14:algn="ctr">
            <w14:noFill/>
            <w14:prstDash w14:val="solid"/>
            <w14:bevel/>
          </w14:textOutline>
        </w:rPr>
        <w:t>.</w:t>
      </w:r>
      <w:r w:rsidRPr="00D360B4">
        <w:rPr>
          <w14:textOutline w14:w="0" w14:cap="flat" w14:cmpd="sng" w14:algn="ctr">
            <w14:noFill/>
            <w14:prstDash w14:val="solid"/>
            <w14:bevel/>
          </w14:textOutline>
        </w:rPr>
        <w:tab/>
        <w:t>prima na znanje sljedeći presjek dodijeljenih ugovora 2022. i 2021. po vrsti postupka, u pogledu broja i vrijednosti:</w:t>
      </w:r>
    </w:p>
    <w:tbl>
      <w:tblPr>
        <w:tblStyle w:val="TableGrid"/>
        <w:tblW w:w="5000" w:type="pct"/>
        <w:tblLook w:val="04A0" w:firstRow="1" w:lastRow="0" w:firstColumn="1" w:lastColumn="0" w:noHBand="0" w:noVBand="1"/>
      </w:tblPr>
      <w:tblGrid>
        <w:gridCol w:w="2792"/>
        <w:gridCol w:w="1328"/>
        <w:gridCol w:w="1620"/>
        <w:gridCol w:w="1678"/>
        <w:gridCol w:w="1642"/>
      </w:tblGrid>
      <w:tr w:rsidR="00C51297" w:rsidRPr="00D360B4" w:rsidTr="00B16816">
        <w:trPr>
          <w:trHeight w:val="300"/>
        </w:trPr>
        <w:tc>
          <w:tcPr>
            <w:tcW w:w="1541" w:type="pct"/>
            <w:vMerge w:val="restart"/>
            <w:hideMark/>
          </w:tcPr>
          <w:p w:rsidR="00C51297" w:rsidRPr="00D360B4" w:rsidRDefault="00C51297" w:rsidP="00B16816">
            <w:pPr>
              <w:jc w:val="center"/>
              <w:rPr>
                <w:b/>
                <w:bCs/>
                <w:color w:val="000000" w:themeColor="text1"/>
                <w:szCs w:val="24"/>
              </w:rPr>
            </w:pPr>
            <w:r w:rsidRPr="00D360B4">
              <w:rPr>
                <w:b/>
                <w:color w:val="000000" w:themeColor="text1"/>
              </w:rPr>
              <w:t xml:space="preserve">Vrsta postupka </w:t>
            </w:r>
          </w:p>
        </w:tc>
        <w:tc>
          <w:tcPr>
            <w:tcW w:w="1627" w:type="pct"/>
            <w:gridSpan w:val="2"/>
            <w:vMerge w:val="restart"/>
            <w:hideMark/>
          </w:tcPr>
          <w:p w:rsidR="00C51297" w:rsidRPr="00D360B4" w:rsidRDefault="00C51297" w:rsidP="00B16816">
            <w:pPr>
              <w:jc w:val="center"/>
              <w:rPr>
                <w:b/>
                <w:bCs/>
                <w:color w:val="000000" w:themeColor="text1"/>
                <w:szCs w:val="24"/>
              </w:rPr>
            </w:pPr>
            <w:r w:rsidRPr="00D360B4">
              <w:rPr>
                <w:b/>
                <w:color w:val="000000" w:themeColor="text1"/>
              </w:rPr>
              <w:t>2021.</w:t>
            </w:r>
          </w:p>
        </w:tc>
        <w:tc>
          <w:tcPr>
            <w:tcW w:w="1832" w:type="pct"/>
            <w:gridSpan w:val="2"/>
            <w:vMerge w:val="restart"/>
            <w:hideMark/>
          </w:tcPr>
          <w:p w:rsidR="00C51297" w:rsidRPr="00D360B4" w:rsidRDefault="00C51297" w:rsidP="00B16816">
            <w:pPr>
              <w:jc w:val="center"/>
              <w:rPr>
                <w:b/>
                <w:bCs/>
                <w:color w:val="000000" w:themeColor="text1"/>
                <w:szCs w:val="24"/>
              </w:rPr>
            </w:pPr>
            <w:r w:rsidRPr="00D360B4">
              <w:rPr>
                <w:b/>
                <w:color w:val="000000" w:themeColor="text1"/>
              </w:rPr>
              <w:t>2022.</w:t>
            </w:r>
          </w:p>
        </w:tc>
      </w:tr>
      <w:tr w:rsidR="00C51297" w:rsidRPr="00D360B4" w:rsidTr="00B16816">
        <w:trPr>
          <w:trHeight w:val="315"/>
        </w:trPr>
        <w:tc>
          <w:tcPr>
            <w:tcW w:w="1541" w:type="pct"/>
            <w:vMerge/>
            <w:hideMark/>
          </w:tcPr>
          <w:p w:rsidR="00C51297" w:rsidRPr="00D360B4" w:rsidRDefault="00C51297" w:rsidP="00B16816">
            <w:pPr>
              <w:rPr>
                <w:b/>
                <w:bCs/>
                <w:color w:val="000000" w:themeColor="text1"/>
                <w:szCs w:val="24"/>
              </w:rPr>
            </w:pPr>
          </w:p>
        </w:tc>
        <w:tc>
          <w:tcPr>
            <w:tcW w:w="1627" w:type="pct"/>
            <w:gridSpan w:val="2"/>
            <w:vMerge/>
            <w:hideMark/>
          </w:tcPr>
          <w:p w:rsidR="00C51297" w:rsidRPr="00D360B4" w:rsidRDefault="00C51297" w:rsidP="00B16816">
            <w:pPr>
              <w:rPr>
                <w:b/>
                <w:bCs/>
                <w:color w:val="000000" w:themeColor="text1"/>
                <w:szCs w:val="24"/>
              </w:rPr>
            </w:pPr>
          </w:p>
        </w:tc>
        <w:tc>
          <w:tcPr>
            <w:tcW w:w="1832" w:type="pct"/>
            <w:gridSpan w:val="2"/>
            <w:vMerge/>
            <w:hideMark/>
          </w:tcPr>
          <w:p w:rsidR="00C51297" w:rsidRPr="00D360B4" w:rsidRDefault="00C51297" w:rsidP="00B16816">
            <w:pPr>
              <w:rPr>
                <w:b/>
                <w:bCs/>
                <w:color w:val="000000" w:themeColor="text1"/>
                <w:szCs w:val="24"/>
              </w:rPr>
            </w:pPr>
          </w:p>
        </w:tc>
      </w:tr>
      <w:tr w:rsidR="00C51297" w:rsidRPr="00D360B4" w:rsidTr="00B16816">
        <w:trPr>
          <w:trHeight w:val="315"/>
        </w:trPr>
        <w:tc>
          <w:tcPr>
            <w:tcW w:w="1541" w:type="pct"/>
            <w:vMerge/>
            <w:hideMark/>
          </w:tcPr>
          <w:p w:rsidR="00C51297" w:rsidRPr="00D360B4" w:rsidRDefault="00C51297" w:rsidP="00B16816">
            <w:pPr>
              <w:rPr>
                <w:b/>
                <w:bCs/>
                <w:color w:val="000000" w:themeColor="text1"/>
                <w:szCs w:val="24"/>
              </w:rPr>
            </w:pPr>
          </w:p>
        </w:tc>
        <w:tc>
          <w:tcPr>
            <w:tcW w:w="733" w:type="pct"/>
            <w:hideMark/>
          </w:tcPr>
          <w:p w:rsidR="00C51297" w:rsidRPr="00D360B4" w:rsidRDefault="00C51297" w:rsidP="00B16816">
            <w:pPr>
              <w:jc w:val="center"/>
              <w:rPr>
                <w:b/>
                <w:bCs/>
                <w:color w:val="000000" w:themeColor="text1"/>
                <w:szCs w:val="24"/>
              </w:rPr>
            </w:pPr>
            <w:r w:rsidRPr="00D360B4">
              <w:rPr>
                <w:b/>
                <w:color w:val="000000" w:themeColor="text1"/>
              </w:rPr>
              <w:t>Broj</w:t>
            </w:r>
          </w:p>
        </w:tc>
        <w:tc>
          <w:tcPr>
            <w:tcW w:w="894" w:type="pct"/>
            <w:hideMark/>
          </w:tcPr>
          <w:p w:rsidR="00C51297" w:rsidRPr="00D360B4" w:rsidRDefault="00C51297" w:rsidP="00B16816">
            <w:pPr>
              <w:jc w:val="center"/>
              <w:rPr>
                <w:b/>
                <w:bCs/>
                <w:color w:val="000000" w:themeColor="text1"/>
                <w:szCs w:val="24"/>
              </w:rPr>
            </w:pPr>
            <w:r w:rsidRPr="00D360B4">
              <w:rPr>
                <w:b/>
                <w:color w:val="000000" w:themeColor="text1"/>
              </w:rPr>
              <w:t>Postotak</w:t>
            </w:r>
          </w:p>
        </w:tc>
        <w:tc>
          <w:tcPr>
            <w:tcW w:w="926" w:type="pct"/>
            <w:hideMark/>
          </w:tcPr>
          <w:p w:rsidR="00C51297" w:rsidRPr="00D360B4" w:rsidRDefault="00C51297" w:rsidP="00B16816">
            <w:pPr>
              <w:jc w:val="center"/>
              <w:rPr>
                <w:b/>
                <w:bCs/>
                <w:color w:val="000000" w:themeColor="text1"/>
                <w:szCs w:val="24"/>
              </w:rPr>
            </w:pPr>
            <w:r w:rsidRPr="00D360B4">
              <w:rPr>
                <w:b/>
                <w:color w:val="000000" w:themeColor="text1"/>
              </w:rPr>
              <w:t>Broj</w:t>
            </w:r>
          </w:p>
        </w:tc>
        <w:tc>
          <w:tcPr>
            <w:tcW w:w="906" w:type="pct"/>
            <w:hideMark/>
          </w:tcPr>
          <w:p w:rsidR="00C51297" w:rsidRPr="00D360B4" w:rsidRDefault="00C51297" w:rsidP="00B16816">
            <w:pPr>
              <w:jc w:val="center"/>
              <w:rPr>
                <w:b/>
                <w:bCs/>
                <w:color w:val="000000" w:themeColor="text1"/>
                <w:szCs w:val="24"/>
              </w:rPr>
            </w:pPr>
            <w:r w:rsidRPr="00D360B4">
              <w:rPr>
                <w:b/>
                <w:color w:val="000000" w:themeColor="text1"/>
              </w:rPr>
              <w:t>Postotak</w:t>
            </w:r>
          </w:p>
        </w:tc>
      </w:tr>
      <w:tr w:rsidR="00C51297" w:rsidRPr="00D360B4" w:rsidTr="00B16816">
        <w:trPr>
          <w:trHeight w:val="300"/>
        </w:trPr>
        <w:tc>
          <w:tcPr>
            <w:tcW w:w="1541" w:type="pct"/>
            <w:hideMark/>
          </w:tcPr>
          <w:p w:rsidR="00C51297" w:rsidRPr="00D360B4" w:rsidRDefault="00C51297" w:rsidP="00B16816">
            <w:pPr>
              <w:rPr>
                <w:color w:val="000000" w:themeColor="text1"/>
                <w:szCs w:val="24"/>
              </w:rPr>
            </w:pPr>
            <w:r w:rsidRPr="00D360B4">
              <w:rPr>
                <w:color w:val="000000" w:themeColor="text1"/>
              </w:rPr>
              <w:t> </w:t>
            </w:r>
          </w:p>
        </w:tc>
        <w:tc>
          <w:tcPr>
            <w:tcW w:w="733" w:type="pct"/>
            <w:hideMark/>
          </w:tcPr>
          <w:p w:rsidR="00C51297" w:rsidRPr="00D360B4" w:rsidRDefault="00C51297" w:rsidP="00B16816">
            <w:pPr>
              <w:rPr>
                <w:color w:val="000000" w:themeColor="text1"/>
                <w:szCs w:val="24"/>
              </w:rPr>
            </w:pPr>
            <w:r w:rsidRPr="00D360B4">
              <w:rPr>
                <w:color w:val="000000" w:themeColor="text1"/>
              </w:rPr>
              <w:t> </w:t>
            </w:r>
          </w:p>
        </w:tc>
        <w:tc>
          <w:tcPr>
            <w:tcW w:w="894" w:type="pct"/>
            <w:hideMark/>
          </w:tcPr>
          <w:p w:rsidR="00C51297" w:rsidRPr="00D360B4" w:rsidRDefault="00C51297" w:rsidP="00B16816">
            <w:pPr>
              <w:rPr>
                <w:color w:val="000000" w:themeColor="text1"/>
                <w:szCs w:val="24"/>
              </w:rPr>
            </w:pPr>
            <w:r w:rsidRPr="00D360B4">
              <w:rPr>
                <w:color w:val="000000" w:themeColor="text1"/>
              </w:rPr>
              <w:t> </w:t>
            </w:r>
          </w:p>
        </w:tc>
        <w:tc>
          <w:tcPr>
            <w:tcW w:w="926" w:type="pct"/>
            <w:hideMark/>
          </w:tcPr>
          <w:p w:rsidR="00C51297" w:rsidRPr="00D360B4" w:rsidRDefault="00C51297" w:rsidP="00B16816">
            <w:pPr>
              <w:rPr>
                <w:color w:val="000000" w:themeColor="text1"/>
                <w:szCs w:val="24"/>
              </w:rPr>
            </w:pPr>
            <w:r w:rsidRPr="00D360B4">
              <w:rPr>
                <w:color w:val="000000" w:themeColor="text1"/>
              </w:rPr>
              <w:t> </w:t>
            </w:r>
          </w:p>
        </w:tc>
        <w:tc>
          <w:tcPr>
            <w:tcW w:w="906" w:type="pct"/>
            <w:hideMark/>
          </w:tcPr>
          <w:p w:rsidR="00C51297" w:rsidRPr="00D360B4" w:rsidRDefault="00C51297" w:rsidP="00B16816">
            <w:pPr>
              <w:rPr>
                <w:color w:val="000000" w:themeColor="text1"/>
                <w:szCs w:val="24"/>
              </w:rPr>
            </w:pPr>
            <w:r w:rsidRPr="00D360B4">
              <w:rPr>
                <w:color w:val="000000" w:themeColor="text1"/>
              </w:rPr>
              <w:t> </w:t>
            </w:r>
          </w:p>
        </w:tc>
      </w:tr>
      <w:tr w:rsidR="00C51297" w:rsidRPr="00D360B4" w:rsidTr="00B16816">
        <w:trPr>
          <w:trHeight w:val="300"/>
        </w:trPr>
        <w:tc>
          <w:tcPr>
            <w:tcW w:w="1541" w:type="pct"/>
            <w:hideMark/>
          </w:tcPr>
          <w:p w:rsidR="00C51297" w:rsidRPr="00D360B4" w:rsidRDefault="00C51297" w:rsidP="00B16816">
            <w:pPr>
              <w:ind w:firstLineChars="100" w:firstLine="240"/>
              <w:rPr>
                <w:color w:val="000000" w:themeColor="text1"/>
                <w:szCs w:val="24"/>
              </w:rPr>
            </w:pPr>
            <w:r w:rsidRPr="00D360B4">
              <w:rPr>
                <w:color w:val="000000" w:themeColor="text1"/>
              </w:rPr>
              <w:t>Otvoreni postupak</w:t>
            </w:r>
          </w:p>
        </w:tc>
        <w:tc>
          <w:tcPr>
            <w:tcW w:w="733" w:type="pct"/>
            <w:hideMark/>
          </w:tcPr>
          <w:p w:rsidR="00C51297" w:rsidRPr="00D360B4" w:rsidRDefault="00C51297" w:rsidP="00B16816">
            <w:pPr>
              <w:jc w:val="center"/>
              <w:rPr>
                <w:color w:val="000000" w:themeColor="text1"/>
                <w:szCs w:val="24"/>
              </w:rPr>
            </w:pPr>
            <w:r w:rsidRPr="00D360B4">
              <w:rPr>
                <w:color w:val="000000" w:themeColor="text1"/>
              </w:rPr>
              <w:t>78</w:t>
            </w:r>
          </w:p>
        </w:tc>
        <w:tc>
          <w:tcPr>
            <w:tcW w:w="894" w:type="pct"/>
            <w:hideMark/>
          </w:tcPr>
          <w:p w:rsidR="00C51297" w:rsidRPr="00D360B4" w:rsidRDefault="00C51297" w:rsidP="00B16816">
            <w:pPr>
              <w:jc w:val="center"/>
              <w:rPr>
                <w:color w:val="000000" w:themeColor="text1"/>
                <w:szCs w:val="24"/>
              </w:rPr>
            </w:pPr>
            <w:r w:rsidRPr="00D360B4">
              <w:rPr>
                <w:color w:val="000000" w:themeColor="text1"/>
              </w:rPr>
              <w:t>35 %</w:t>
            </w:r>
          </w:p>
        </w:tc>
        <w:tc>
          <w:tcPr>
            <w:tcW w:w="926" w:type="pct"/>
          </w:tcPr>
          <w:p w:rsidR="00C51297" w:rsidRPr="00D360B4" w:rsidRDefault="00C51297" w:rsidP="00B16816">
            <w:pPr>
              <w:jc w:val="center"/>
              <w:rPr>
                <w:color w:val="000000" w:themeColor="text1"/>
                <w:szCs w:val="24"/>
              </w:rPr>
            </w:pPr>
            <w:r w:rsidRPr="00D360B4">
              <w:rPr>
                <w:color w:val="000000" w:themeColor="text1"/>
              </w:rPr>
              <w:t>63</w:t>
            </w:r>
          </w:p>
        </w:tc>
        <w:tc>
          <w:tcPr>
            <w:tcW w:w="906" w:type="pct"/>
          </w:tcPr>
          <w:p w:rsidR="00C51297" w:rsidRPr="00D360B4" w:rsidRDefault="00C51297" w:rsidP="00B16816">
            <w:pPr>
              <w:jc w:val="center"/>
              <w:rPr>
                <w:color w:val="000000" w:themeColor="text1"/>
                <w:szCs w:val="24"/>
              </w:rPr>
            </w:pPr>
            <w:r w:rsidRPr="00D360B4">
              <w:rPr>
                <w:color w:val="000000" w:themeColor="text1"/>
              </w:rPr>
              <w:t>32,5 %</w:t>
            </w:r>
          </w:p>
        </w:tc>
      </w:tr>
      <w:tr w:rsidR="00C51297" w:rsidRPr="00D360B4" w:rsidTr="00B16816">
        <w:trPr>
          <w:trHeight w:val="300"/>
        </w:trPr>
        <w:tc>
          <w:tcPr>
            <w:tcW w:w="1541" w:type="pct"/>
            <w:hideMark/>
          </w:tcPr>
          <w:p w:rsidR="00C51297" w:rsidRPr="00D360B4" w:rsidRDefault="00C51297" w:rsidP="00B16816">
            <w:pPr>
              <w:ind w:firstLineChars="100" w:firstLine="240"/>
              <w:rPr>
                <w:color w:val="000000" w:themeColor="text1"/>
                <w:szCs w:val="24"/>
              </w:rPr>
            </w:pPr>
            <w:r w:rsidRPr="00D360B4">
              <w:rPr>
                <w:color w:val="000000" w:themeColor="text1"/>
              </w:rPr>
              <w:t>Pregovarački postupak</w:t>
            </w:r>
          </w:p>
        </w:tc>
        <w:tc>
          <w:tcPr>
            <w:tcW w:w="733" w:type="pct"/>
            <w:hideMark/>
          </w:tcPr>
          <w:p w:rsidR="00C51297" w:rsidRPr="00D360B4" w:rsidRDefault="00C51297" w:rsidP="00B16816">
            <w:pPr>
              <w:jc w:val="center"/>
              <w:rPr>
                <w:color w:val="000000" w:themeColor="text1"/>
                <w:szCs w:val="24"/>
              </w:rPr>
            </w:pPr>
            <w:r w:rsidRPr="00D360B4">
              <w:rPr>
                <w:color w:val="000000" w:themeColor="text1"/>
              </w:rPr>
              <w:t>135</w:t>
            </w:r>
          </w:p>
        </w:tc>
        <w:tc>
          <w:tcPr>
            <w:tcW w:w="894" w:type="pct"/>
            <w:hideMark/>
          </w:tcPr>
          <w:p w:rsidR="00C51297" w:rsidRPr="00D360B4" w:rsidRDefault="00C51297" w:rsidP="00B16816">
            <w:pPr>
              <w:jc w:val="center"/>
              <w:rPr>
                <w:color w:val="000000" w:themeColor="text1"/>
                <w:szCs w:val="24"/>
              </w:rPr>
            </w:pPr>
            <w:r w:rsidRPr="00D360B4">
              <w:rPr>
                <w:color w:val="000000" w:themeColor="text1"/>
              </w:rPr>
              <w:t>61 %</w:t>
            </w:r>
          </w:p>
        </w:tc>
        <w:tc>
          <w:tcPr>
            <w:tcW w:w="926" w:type="pct"/>
          </w:tcPr>
          <w:p w:rsidR="00C51297" w:rsidRPr="00D360B4" w:rsidRDefault="00C51297" w:rsidP="00B16816">
            <w:pPr>
              <w:jc w:val="center"/>
              <w:rPr>
                <w:color w:val="000000" w:themeColor="text1"/>
                <w:szCs w:val="24"/>
              </w:rPr>
            </w:pPr>
            <w:r w:rsidRPr="00D360B4">
              <w:rPr>
                <w:color w:val="000000" w:themeColor="text1"/>
              </w:rPr>
              <w:t>126</w:t>
            </w:r>
          </w:p>
        </w:tc>
        <w:tc>
          <w:tcPr>
            <w:tcW w:w="906" w:type="pct"/>
          </w:tcPr>
          <w:p w:rsidR="00C51297" w:rsidRPr="00D360B4" w:rsidRDefault="00C51297" w:rsidP="00B16816">
            <w:pPr>
              <w:jc w:val="center"/>
              <w:rPr>
                <w:color w:val="000000" w:themeColor="text1"/>
                <w:szCs w:val="24"/>
              </w:rPr>
            </w:pPr>
            <w:r w:rsidRPr="00D360B4">
              <w:rPr>
                <w:color w:val="000000" w:themeColor="text1"/>
              </w:rPr>
              <w:t>65 %</w:t>
            </w:r>
          </w:p>
        </w:tc>
      </w:tr>
      <w:tr w:rsidR="00C51297" w:rsidRPr="00D360B4" w:rsidTr="00B16816">
        <w:trPr>
          <w:trHeight w:val="300"/>
        </w:trPr>
        <w:tc>
          <w:tcPr>
            <w:tcW w:w="1541" w:type="pct"/>
            <w:hideMark/>
          </w:tcPr>
          <w:p w:rsidR="00C51297" w:rsidRPr="00D360B4" w:rsidRDefault="00C51297" w:rsidP="00B16816">
            <w:pPr>
              <w:ind w:firstLineChars="100" w:firstLine="240"/>
              <w:rPr>
                <w:color w:val="000000" w:themeColor="text1"/>
                <w:szCs w:val="24"/>
              </w:rPr>
            </w:pPr>
            <w:r w:rsidRPr="00D360B4">
              <w:rPr>
                <w:color w:val="000000" w:themeColor="text1"/>
              </w:rPr>
              <w:t>Ograničeni postupak</w:t>
            </w:r>
          </w:p>
        </w:tc>
        <w:tc>
          <w:tcPr>
            <w:tcW w:w="733" w:type="pct"/>
            <w:hideMark/>
          </w:tcPr>
          <w:p w:rsidR="00C51297" w:rsidRPr="00D360B4" w:rsidRDefault="00C51297" w:rsidP="00B16816">
            <w:pPr>
              <w:jc w:val="center"/>
              <w:rPr>
                <w:color w:val="000000" w:themeColor="text1"/>
                <w:szCs w:val="24"/>
              </w:rPr>
            </w:pPr>
            <w:r w:rsidRPr="00D360B4">
              <w:rPr>
                <w:color w:val="000000" w:themeColor="text1"/>
              </w:rPr>
              <w:t>2</w:t>
            </w:r>
          </w:p>
        </w:tc>
        <w:tc>
          <w:tcPr>
            <w:tcW w:w="894" w:type="pct"/>
            <w:hideMark/>
          </w:tcPr>
          <w:p w:rsidR="00C51297" w:rsidRPr="00D360B4" w:rsidRDefault="00C51297" w:rsidP="00B16816">
            <w:pPr>
              <w:jc w:val="center"/>
              <w:rPr>
                <w:color w:val="000000" w:themeColor="text1"/>
                <w:szCs w:val="24"/>
              </w:rPr>
            </w:pPr>
            <w:r w:rsidRPr="00D360B4">
              <w:rPr>
                <w:color w:val="000000" w:themeColor="text1"/>
              </w:rPr>
              <w:t>1 %</w:t>
            </w:r>
          </w:p>
        </w:tc>
        <w:tc>
          <w:tcPr>
            <w:tcW w:w="926" w:type="pct"/>
          </w:tcPr>
          <w:p w:rsidR="00C51297" w:rsidRPr="00D360B4" w:rsidRDefault="00C51297" w:rsidP="00B16816">
            <w:pPr>
              <w:jc w:val="center"/>
              <w:rPr>
                <w:color w:val="000000" w:themeColor="text1"/>
                <w:szCs w:val="24"/>
              </w:rPr>
            </w:pPr>
            <w:r w:rsidRPr="00D360B4">
              <w:rPr>
                <w:color w:val="000000" w:themeColor="text1"/>
              </w:rPr>
              <w:t>1</w:t>
            </w:r>
          </w:p>
        </w:tc>
        <w:tc>
          <w:tcPr>
            <w:tcW w:w="906" w:type="pct"/>
          </w:tcPr>
          <w:p w:rsidR="00C51297" w:rsidRPr="00D360B4" w:rsidRDefault="00C51297" w:rsidP="00B16816">
            <w:pPr>
              <w:jc w:val="center"/>
              <w:rPr>
                <w:color w:val="000000" w:themeColor="text1"/>
                <w:szCs w:val="24"/>
              </w:rPr>
            </w:pPr>
            <w:r w:rsidRPr="00D360B4">
              <w:rPr>
                <w:color w:val="000000" w:themeColor="text1"/>
              </w:rPr>
              <w:t>0,5 %</w:t>
            </w:r>
          </w:p>
        </w:tc>
      </w:tr>
      <w:tr w:rsidR="00C51297" w:rsidRPr="00D360B4" w:rsidTr="00B16816">
        <w:trPr>
          <w:trHeight w:val="300"/>
        </w:trPr>
        <w:tc>
          <w:tcPr>
            <w:tcW w:w="1541" w:type="pct"/>
            <w:hideMark/>
          </w:tcPr>
          <w:p w:rsidR="00C51297" w:rsidRPr="00D360B4" w:rsidRDefault="00C51297" w:rsidP="00B16816">
            <w:pPr>
              <w:ind w:firstLineChars="100" w:firstLine="240"/>
              <w:rPr>
                <w:color w:val="000000" w:themeColor="text1"/>
                <w:szCs w:val="24"/>
              </w:rPr>
            </w:pPr>
            <w:r w:rsidRPr="00D360B4">
              <w:rPr>
                <w:color w:val="000000" w:themeColor="text1"/>
              </w:rPr>
              <w:t>Iznimka</w:t>
            </w:r>
          </w:p>
        </w:tc>
        <w:tc>
          <w:tcPr>
            <w:tcW w:w="733" w:type="pct"/>
            <w:hideMark/>
          </w:tcPr>
          <w:p w:rsidR="00C51297" w:rsidRPr="00D360B4" w:rsidRDefault="00C51297" w:rsidP="00B16816">
            <w:pPr>
              <w:jc w:val="center"/>
              <w:rPr>
                <w:color w:val="000000" w:themeColor="text1"/>
                <w:szCs w:val="24"/>
              </w:rPr>
            </w:pPr>
            <w:r w:rsidRPr="00D360B4">
              <w:rPr>
                <w:color w:val="000000" w:themeColor="text1"/>
              </w:rPr>
              <w:t>2</w:t>
            </w:r>
          </w:p>
        </w:tc>
        <w:tc>
          <w:tcPr>
            <w:tcW w:w="894" w:type="pct"/>
            <w:hideMark/>
          </w:tcPr>
          <w:p w:rsidR="00C51297" w:rsidRPr="00D360B4" w:rsidRDefault="00C51297" w:rsidP="00B16816">
            <w:pPr>
              <w:jc w:val="center"/>
              <w:rPr>
                <w:color w:val="000000" w:themeColor="text1"/>
                <w:szCs w:val="24"/>
              </w:rPr>
            </w:pPr>
            <w:r w:rsidRPr="00D360B4">
              <w:rPr>
                <w:color w:val="000000" w:themeColor="text1"/>
              </w:rPr>
              <w:t>1 %</w:t>
            </w:r>
          </w:p>
        </w:tc>
        <w:tc>
          <w:tcPr>
            <w:tcW w:w="926" w:type="pct"/>
          </w:tcPr>
          <w:p w:rsidR="00C51297" w:rsidRPr="00D360B4" w:rsidRDefault="00C51297" w:rsidP="00B16816">
            <w:pPr>
              <w:jc w:val="center"/>
              <w:rPr>
                <w:color w:val="000000" w:themeColor="text1"/>
                <w:szCs w:val="24"/>
              </w:rPr>
            </w:pPr>
            <w:r w:rsidRPr="00D360B4">
              <w:rPr>
                <w:color w:val="000000" w:themeColor="text1"/>
              </w:rPr>
              <w:t>1</w:t>
            </w:r>
          </w:p>
        </w:tc>
        <w:tc>
          <w:tcPr>
            <w:tcW w:w="906" w:type="pct"/>
          </w:tcPr>
          <w:p w:rsidR="00C51297" w:rsidRPr="00D360B4" w:rsidRDefault="00C51297" w:rsidP="00B16816">
            <w:pPr>
              <w:jc w:val="center"/>
              <w:rPr>
                <w:color w:val="000000" w:themeColor="text1"/>
                <w:szCs w:val="24"/>
              </w:rPr>
            </w:pPr>
            <w:r w:rsidRPr="00D360B4">
              <w:rPr>
                <w:color w:val="000000" w:themeColor="text1"/>
              </w:rPr>
              <w:t>0,5 %</w:t>
            </w:r>
          </w:p>
        </w:tc>
      </w:tr>
      <w:tr w:rsidR="00C51297" w:rsidRPr="00D360B4" w:rsidTr="00B16816">
        <w:trPr>
          <w:trHeight w:val="300"/>
        </w:trPr>
        <w:tc>
          <w:tcPr>
            <w:tcW w:w="1541" w:type="pct"/>
            <w:hideMark/>
          </w:tcPr>
          <w:p w:rsidR="00C51297" w:rsidRPr="00D360B4" w:rsidRDefault="00C51297" w:rsidP="00B16816">
            <w:pPr>
              <w:ind w:firstLineChars="100" w:firstLine="240"/>
              <w:rPr>
                <w:color w:val="000000" w:themeColor="text1"/>
                <w:szCs w:val="24"/>
              </w:rPr>
            </w:pPr>
            <w:r w:rsidRPr="00D360B4">
              <w:rPr>
                <w:color w:val="000000" w:themeColor="text1"/>
              </w:rPr>
              <w:t>Popis sastavljen na temelju poziva na iskaz interesa</w:t>
            </w:r>
          </w:p>
        </w:tc>
        <w:tc>
          <w:tcPr>
            <w:tcW w:w="733" w:type="pct"/>
            <w:hideMark/>
          </w:tcPr>
          <w:p w:rsidR="00C51297" w:rsidRPr="00D360B4" w:rsidRDefault="00C51297" w:rsidP="00B16816">
            <w:pPr>
              <w:jc w:val="center"/>
              <w:rPr>
                <w:color w:val="000000" w:themeColor="text1"/>
                <w:szCs w:val="24"/>
              </w:rPr>
            </w:pPr>
            <w:r w:rsidRPr="00D360B4">
              <w:rPr>
                <w:color w:val="000000" w:themeColor="text1"/>
              </w:rPr>
              <w:t>2</w:t>
            </w:r>
          </w:p>
        </w:tc>
        <w:tc>
          <w:tcPr>
            <w:tcW w:w="894" w:type="pct"/>
            <w:hideMark/>
          </w:tcPr>
          <w:p w:rsidR="00C51297" w:rsidRPr="00D360B4" w:rsidRDefault="00C51297" w:rsidP="00B16816">
            <w:pPr>
              <w:jc w:val="center"/>
              <w:rPr>
                <w:color w:val="000000" w:themeColor="text1"/>
                <w:szCs w:val="24"/>
              </w:rPr>
            </w:pPr>
            <w:r w:rsidRPr="00D360B4">
              <w:rPr>
                <w:color w:val="000000" w:themeColor="text1"/>
              </w:rPr>
              <w:t>1 %</w:t>
            </w:r>
          </w:p>
        </w:tc>
        <w:tc>
          <w:tcPr>
            <w:tcW w:w="926" w:type="pct"/>
          </w:tcPr>
          <w:p w:rsidR="00C51297" w:rsidRPr="00D360B4" w:rsidRDefault="00C51297" w:rsidP="00B16816">
            <w:pPr>
              <w:jc w:val="center"/>
              <w:rPr>
                <w:color w:val="000000" w:themeColor="text1"/>
                <w:szCs w:val="24"/>
              </w:rPr>
            </w:pPr>
            <w:r w:rsidRPr="00D360B4">
              <w:rPr>
                <w:color w:val="000000" w:themeColor="text1"/>
              </w:rPr>
              <w:t>1</w:t>
            </w:r>
          </w:p>
        </w:tc>
        <w:tc>
          <w:tcPr>
            <w:tcW w:w="906" w:type="pct"/>
          </w:tcPr>
          <w:p w:rsidR="00C51297" w:rsidRPr="00D360B4" w:rsidRDefault="00C51297" w:rsidP="00B16816">
            <w:pPr>
              <w:jc w:val="center"/>
              <w:rPr>
                <w:color w:val="000000" w:themeColor="text1"/>
                <w:szCs w:val="24"/>
              </w:rPr>
            </w:pPr>
            <w:r w:rsidRPr="00D360B4">
              <w:rPr>
                <w:color w:val="000000" w:themeColor="text1"/>
              </w:rPr>
              <w:t>0,5 %</w:t>
            </w:r>
          </w:p>
        </w:tc>
      </w:tr>
      <w:tr w:rsidR="00C51297" w:rsidRPr="00D360B4" w:rsidTr="00B16816">
        <w:trPr>
          <w:trHeight w:val="300"/>
        </w:trPr>
        <w:tc>
          <w:tcPr>
            <w:tcW w:w="1541" w:type="pct"/>
            <w:hideMark/>
          </w:tcPr>
          <w:p w:rsidR="00C51297" w:rsidRPr="00D360B4" w:rsidRDefault="00C51297" w:rsidP="00B16816">
            <w:pPr>
              <w:ind w:firstLineChars="100" w:firstLine="240"/>
              <w:rPr>
                <w:color w:val="000000" w:themeColor="text1"/>
                <w:szCs w:val="24"/>
              </w:rPr>
            </w:pPr>
            <w:r w:rsidRPr="00D360B4">
              <w:rPr>
                <w:color w:val="000000" w:themeColor="text1"/>
              </w:rPr>
              <w:t>Dinamički sustav nabave</w:t>
            </w:r>
          </w:p>
        </w:tc>
        <w:tc>
          <w:tcPr>
            <w:tcW w:w="733" w:type="pct"/>
            <w:hideMark/>
          </w:tcPr>
          <w:p w:rsidR="00C51297" w:rsidRPr="00D360B4" w:rsidRDefault="00C51297" w:rsidP="00B16816">
            <w:pPr>
              <w:jc w:val="center"/>
              <w:rPr>
                <w:color w:val="000000" w:themeColor="text1"/>
                <w:szCs w:val="24"/>
              </w:rPr>
            </w:pPr>
            <w:r w:rsidRPr="00D360B4">
              <w:rPr>
                <w:color w:val="000000" w:themeColor="text1"/>
              </w:rPr>
              <w:t>1</w:t>
            </w:r>
          </w:p>
        </w:tc>
        <w:tc>
          <w:tcPr>
            <w:tcW w:w="894" w:type="pct"/>
            <w:hideMark/>
          </w:tcPr>
          <w:p w:rsidR="00C51297" w:rsidRPr="00D360B4" w:rsidRDefault="00C51297" w:rsidP="00B16816">
            <w:pPr>
              <w:jc w:val="center"/>
              <w:rPr>
                <w:color w:val="000000" w:themeColor="text1"/>
                <w:szCs w:val="24"/>
              </w:rPr>
            </w:pPr>
            <w:r w:rsidRPr="00D360B4">
              <w:rPr>
                <w:color w:val="000000" w:themeColor="text1"/>
              </w:rPr>
              <w:t>0,5 %</w:t>
            </w:r>
          </w:p>
        </w:tc>
        <w:tc>
          <w:tcPr>
            <w:tcW w:w="926" w:type="pct"/>
          </w:tcPr>
          <w:p w:rsidR="00C51297" w:rsidRPr="00D360B4" w:rsidRDefault="00C51297" w:rsidP="00B16816">
            <w:pPr>
              <w:jc w:val="center"/>
              <w:rPr>
                <w:color w:val="000000" w:themeColor="text1"/>
                <w:szCs w:val="24"/>
              </w:rPr>
            </w:pPr>
            <w:r w:rsidRPr="00D360B4">
              <w:rPr>
                <w:color w:val="000000" w:themeColor="text1"/>
              </w:rPr>
              <w:t>0</w:t>
            </w:r>
          </w:p>
        </w:tc>
        <w:tc>
          <w:tcPr>
            <w:tcW w:w="906" w:type="pct"/>
          </w:tcPr>
          <w:p w:rsidR="00C51297" w:rsidRPr="00D360B4" w:rsidRDefault="00C51297" w:rsidP="00B16816">
            <w:pPr>
              <w:jc w:val="center"/>
              <w:rPr>
                <w:color w:val="000000" w:themeColor="text1"/>
                <w:szCs w:val="24"/>
              </w:rPr>
            </w:pPr>
            <w:r w:rsidRPr="00D360B4">
              <w:rPr>
                <w:color w:val="000000" w:themeColor="text1"/>
              </w:rPr>
              <w:t>0 %</w:t>
            </w:r>
          </w:p>
        </w:tc>
      </w:tr>
      <w:tr w:rsidR="00C51297" w:rsidRPr="00D360B4" w:rsidTr="00B16816">
        <w:trPr>
          <w:trHeight w:val="300"/>
        </w:trPr>
        <w:tc>
          <w:tcPr>
            <w:tcW w:w="1541" w:type="pct"/>
            <w:hideMark/>
          </w:tcPr>
          <w:p w:rsidR="00C51297" w:rsidRPr="00D360B4" w:rsidRDefault="00C51297" w:rsidP="00B16816">
            <w:pPr>
              <w:ind w:firstLineChars="100" w:firstLine="240"/>
              <w:rPr>
                <w:color w:val="000000" w:themeColor="text1"/>
                <w:szCs w:val="24"/>
              </w:rPr>
            </w:pPr>
            <w:r w:rsidRPr="00D360B4">
              <w:rPr>
                <w:color w:val="000000" w:themeColor="text1"/>
              </w:rPr>
              <w:t>Partnerstvo za inovacije</w:t>
            </w:r>
          </w:p>
        </w:tc>
        <w:tc>
          <w:tcPr>
            <w:tcW w:w="733" w:type="pct"/>
            <w:hideMark/>
          </w:tcPr>
          <w:p w:rsidR="00C51297" w:rsidRPr="00D360B4" w:rsidRDefault="00C51297" w:rsidP="00B16816">
            <w:pPr>
              <w:jc w:val="center"/>
              <w:rPr>
                <w:color w:val="000000" w:themeColor="text1"/>
                <w:szCs w:val="24"/>
              </w:rPr>
            </w:pPr>
            <w:r w:rsidRPr="00D360B4">
              <w:rPr>
                <w:color w:val="000000" w:themeColor="text1"/>
              </w:rPr>
              <w:t>0</w:t>
            </w:r>
          </w:p>
        </w:tc>
        <w:tc>
          <w:tcPr>
            <w:tcW w:w="894" w:type="pct"/>
            <w:hideMark/>
          </w:tcPr>
          <w:p w:rsidR="00C51297" w:rsidRPr="00D360B4" w:rsidRDefault="00C51297" w:rsidP="00B16816">
            <w:pPr>
              <w:jc w:val="center"/>
              <w:rPr>
                <w:color w:val="000000" w:themeColor="text1"/>
                <w:szCs w:val="24"/>
              </w:rPr>
            </w:pPr>
            <w:r w:rsidRPr="00D360B4">
              <w:rPr>
                <w:color w:val="000000" w:themeColor="text1"/>
              </w:rPr>
              <w:t>0 %</w:t>
            </w:r>
          </w:p>
        </w:tc>
        <w:tc>
          <w:tcPr>
            <w:tcW w:w="926" w:type="pct"/>
          </w:tcPr>
          <w:p w:rsidR="00C51297" w:rsidRPr="00D360B4" w:rsidRDefault="00C51297" w:rsidP="00B16816">
            <w:pPr>
              <w:jc w:val="center"/>
              <w:rPr>
                <w:color w:val="000000" w:themeColor="text1"/>
                <w:szCs w:val="24"/>
              </w:rPr>
            </w:pPr>
            <w:r w:rsidRPr="00D360B4">
              <w:rPr>
                <w:color w:val="000000" w:themeColor="text1"/>
              </w:rPr>
              <w:t>0</w:t>
            </w:r>
          </w:p>
        </w:tc>
        <w:tc>
          <w:tcPr>
            <w:tcW w:w="906" w:type="pct"/>
          </w:tcPr>
          <w:p w:rsidR="00C51297" w:rsidRPr="00D360B4" w:rsidRDefault="00C51297" w:rsidP="00B16816">
            <w:pPr>
              <w:jc w:val="center"/>
              <w:rPr>
                <w:color w:val="000000" w:themeColor="text1"/>
                <w:szCs w:val="24"/>
              </w:rPr>
            </w:pPr>
            <w:r w:rsidRPr="00D360B4">
              <w:rPr>
                <w:color w:val="000000" w:themeColor="text1"/>
              </w:rPr>
              <w:t>0 %</w:t>
            </w:r>
          </w:p>
        </w:tc>
      </w:tr>
      <w:tr w:rsidR="00C51297" w:rsidRPr="00D360B4" w:rsidTr="00B16816">
        <w:trPr>
          <w:trHeight w:val="300"/>
        </w:trPr>
        <w:tc>
          <w:tcPr>
            <w:tcW w:w="1541" w:type="pct"/>
            <w:hideMark/>
          </w:tcPr>
          <w:p w:rsidR="00C51297" w:rsidRPr="00D360B4" w:rsidRDefault="00C51297" w:rsidP="00B16816">
            <w:pPr>
              <w:ind w:firstLineChars="100" w:firstLine="240"/>
              <w:rPr>
                <w:color w:val="000000" w:themeColor="text1"/>
                <w:szCs w:val="24"/>
              </w:rPr>
            </w:pPr>
            <w:r w:rsidRPr="00D360B4">
              <w:rPr>
                <w:color w:val="000000" w:themeColor="text1"/>
              </w:rPr>
              <w:t>Ubrzani otvoreni postupak</w:t>
            </w:r>
          </w:p>
        </w:tc>
        <w:tc>
          <w:tcPr>
            <w:tcW w:w="733" w:type="pct"/>
            <w:hideMark/>
          </w:tcPr>
          <w:p w:rsidR="00C51297" w:rsidRPr="00D360B4" w:rsidRDefault="00C51297" w:rsidP="00B16816">
            <w:pPr>
              <w:jc w:val="center"/>
              <w:rPr>
                <w:color w:val="000000" w:themeColor="text1"/>
                <w:szCs w:val="24"/>
              </w:rPr>
            </w:pPr>
            <w:r w:rsidRPr="00D360B4">
              <w:rPr>
                <w:color w:val="000000" w:themeColor="text1"/>
              </w:rPr>
              <w:t>1</w:t>
            </w:r>
          </w:p>
        </w:tc>
        <w:tc>
          <w:tcPr>
            <w:tcW w:w="894" w:type="pct"/>
            <w:hideMark/>
          </w:tcPr>
          <w:p w:rsidR="00C51297" w:rsidRPr="00D360B4" w:rsidRDefault="00C51297" w:rsidP="00B16816">
            <w:pPr>
              <w:jc w:val="center"/>
              <w:rPr>
                <w:color w:val="000000" w:themeColor="text1"/>
                <w:szCs w:val="24"/>
              </w:rPr>
            </w:pPr>
            <w:r w:rsidRPr="00D360B4">
              <w:rPr>
                <w:color w:val="000000" w:themeColor="text1"/>
              </w:rPr>
              <w:t>0,5 %</w:t>
            </w:r>
          </w:p>
        </w:tc>
        <w:tc>
          <w:tcPr>
            <w:tcW w:w="926" w:type="pct"/>
          </w:tcPr>
          <w:p w:rsidR="00C51297" w:rsidRPr="00D360B4" w:rsidRDefault="00C51297" w:rsidP="00B16816">
            <w:pPr>
              <w:jc w:val="center"/>
              <w:rPr>
                <w:color w:val="000000" w:themeColor="text1"/>
                <w:szCs w:val="24"/>
              </w:rPr>
            </w:pPr>
            <w:r w:rsidRPr="00D360B4">
              <w:rPr>
                <w:color w:val="000000" w:themeColor="text1"/>
              </w:rPr>
              <w:t>1</w:t>
            </w:r>
          </w:p>
        </w:tc>
        <w:tc>
          <w:tcPr>
            <w:tcW w:w="906" w:type="pct"/>
          </w:tcPr>
          <w:p w:rsidR="00C51297" w:rsidRPr="00D360B4" w:rsidRDefault="00C51297" w:rsidP="00B16816">
            <w:pPr>
              <w:jc w:val="center"/>
              <w:rPr>
                <w:color w:val="000000" w:themeColor="text1"/>
                <w:szCs w:val="24"/>
              </w:rPr>
            </w:pPr>
            <w:r w:rsidRPr="00D360B4">
              <w:rPr>
                <w:color w:val="000000" w:themeColor="text1"/>
              </w:rPr>
              <w:t>0,5 %</w:t>
            </w:r>
          </w:p>
        </w:tc>
      </w:tr>
      <w:tr w:rsidR="00C51297" w:rsidRPr="00D360B4" w:rsidTr="00B16816">
        <w:trPr>
          <w:trHeight w:val="315"/>
        </w:trPr>
        <w:tc>
          <w:tcPr>
            <w:tcW w:w="1541" w:type="pct"/>
            <w:hideMark/>
          </w:tcPr>
          <w:p w:rsidR="00C51297" w:rsidRPr="00D360B4" w:rsidRDefault="00C51297" w:rsidP="00B16816">
            <w:pPr>
              <w:rPr>
                <w:color w:val="000000" w:themeColor="text1"/>
                <w:szCs w:val="24"/>
              </w:rPr>
            </w:pPr>
            <w:r w:rsidRPr="00D360B4">
              <w:rPr>
                <w:color w:val="000000" w:themeColor="text1"/>
              </w:rPr>
              <w:t xml:space="preserve">    Projektni natječaji</w:t>
            </w:r>
          </w:p>
        </w:tc>
        <w:tc>
          <w:tcPr>
            <w:tcW w:w="733" w:type="pct"/>
            <w:hideMark/>
          </w:tcPr>
          <w:p w:rsidR="00C51297" w:rsidRPr="00D360B4" w:rsidRDefault="00C51297" w:rsidP="00B16816">
            <w:pPr>
              <w:jc w:val="center"/>
              <w:rPr>
                <w:color w:val="000000" w:themeColor="text1"/>
                <w:szCs w:val="24"/>
              </w:rPr>
            </w:pPr>
            <w:r w:rsidRPr="00D360B4">
              <w:rPr>
                <w:color w:val="000000" w:themeColor="text1"/>
              </w:rPr>
              <w:t>0</w:t>
            </w:r>
          </w:p>
        </w:tc>
        <w:tc>
          <w:tcPr>
            <w:tcW w:w="894" w:type="pct"/>
            <w:hideMark/>
          </w:tcPr>
          <w:p w:rsidR="00C51297" w:rsidRPr="00D360B4" w:rsidRDefault="00C51297" w:rsidP="00B16816">
            <w:pPr>
              <w:jc w:val="center"/>
              <w:rPr>
                <w:color w:val="000000" w:themeColor="text1"/>
                <w:szCs w:val="24"/>
              </w:rPr>
            </w:pPr>
            <w:r w:rsidRPr="00D360B4">
              <w:rPr>
                <w:color w:val="000000" w:themeColor="text1"/>
              </w:rPr>
              <w:t>0 %</w:t>
            </w:r>
          </w:p>
        </w:tc>
        <w:tc>
          <w:tcPr>
            <w:tcW w:w="926" w:type="pct"/>
          </w:tcPr>
          <w:p w:rsidR="00C51297" w:rsidRPr="00D360B4" w:rsidRDefault="00C51297" w:rsidP="00B16816">
            <w:pPr>
              <w:jc w:val="center"/>
              <w:rPr>
                <w:color w:val="000000" w:themeColor="text1"/>
                <w:szCs w:val="24"/>
              </w:rPr>
            </w:pPr>
            <w:r w:rsidRPr="00D360B4">
              <w:rPr>
                <w:color w:val="000000" w:themeColor="text1"/>
              </w:rPr>
              <w:t>1</w:t>
            </w:r>
          </w:p>
        </w:tc>
        <w:tc>
          <w:tcPr>
            <w:tcW w:w="906" w:type="pct"/>
          </w:tcPr>
          <w:p w:rsidR="00C51297" w:rsidRPr="00D360B4" w:rsidRDefault="00C51297" w:rsidP="00B16816">
            <w:pPr>
              <w:jc w:val="center"/>
              <w:rPr>
                <w:color w:val="000000" w:themeColor="text1"/>
                <w:szCs w:val="24"/>
              </w:rPr>
            </w:pPr>
            <w:r w:rsidRPr="00D360B4">
              <w:rPr>
                <w:color w:val="000000" w:themeColor="text1"/>
              </w:rPr>
              <w:t>0,5 %</w:t>
            </w:r>
          </w:p>
        </w:tc>
      </w:tr>
      <w:tr w:rsidR="00C51297" w:rsidRPr="00D360B4" w:rsidTr="00B16816">
        <w:trPr>
          <w:trHeight w:val="600"/>
        </w:trPr>
        <w:tc>
          <w:tcPr>
            <w:tcW w:w="1541" w:type="pct"/>
            <w:hideMark/>
          </w:tcPr>
          <w:p w:rsidR="00C51297" w:rsidRPr="00D360B4" w:rsidRDefault="00C51297" w:rsidP="00B16816">
            <w:pPr>
              <w:rPr>
                <w:b/>
                <w:bCs/>
                <w:color w:val="000000" w:themeColor="text1"/>
                <w:szCs w:val="24"/>
              </w:rPr>
            </w:pPr>
            <w:r w:rsidRPr="00D360B4">
              <w:rPr>
                <w:b/>
                <w:color w:val="000000" w:themeColor="text1"/>
              </w:rPr>
              <w:t xml:space="preserve">   Ukupno</w:t>
            </w:r>
          </w:p>
        </w:tc>
        <w:tc>
          <w:tcPr>
            <w:tcW w:w="733" w:type="pct"/>
            <w:hideMark/>
          </w:tcPr>
          <w:p w:rsidR="00C51297" w:rsidRPr="00D360B4" w:rsidRDefault="00C51297" w:rsidP="00B16816">
            <w:pPr>
              <w:jc w:val="center"/>
              <w:rPr>
                <w:b/>
                <w:bCs/>
                <w:color w:val="000000" w:themeColor="text1"/>
                <w:szCs w:val="24"/>
              </w:rPr>
            </w:pPr>
            <w:r w:rsidRPr="00D360B4">
              <w:rPr>
                <w:b/>
                <w:color w:val="000000" w:themeColor="text1"/>
              </w:rPr>
              <w:t>221</w:t>
            </w:r>
          </w:p>
        </w:tc>
        <w:tc>
          <w:tcPr>
            <w:tcW w:w="894" w:type="pct"/>
            <w:hideMark/>
          </w:tcPr>
          <w:p w:rsidR="00C51297" w:rsidRPr="00D360B4" w:rsidRDefault="00C51297" w:rsidP="00B16816">
            <w:pPr>
              <w:jc w:val="center"/>
              <w:rPr>
                <w:b/>
                <w:bCs/>
                <w:color w:val="000000" w:themeColor="text1"/>
                <w:szCs w:val="24"/>
              </w:rPr>
            </w:pPr>
            <w:r w:rsidRPr="00D360B4">
              <w:rPr>
                <w:b/>
                <w:color w:val="000000" w:themeColor="text1"/>
              </w:rPr>
              <w:t>100 %</w:t>
            </w:r>
          </w:p>
        </w:tc>
        <w:tc>
          <w:tcPr>
            <w:tcW w:w="926" w:type="pct"/>
          </w:tcPr>
          <w:p w:rsidR="00C51297" w:rsidRPr="00D360B4" w:rsidRDefault="00C51297" w:rsidP="00B16816">
            <w:pPr>
              <w:jc w:val="center"/>
              <w:rPr>
                <w:b/>
                <w:bCs/>
                <w:color w:val="000000" w:themeColor="text1"/>
                <w:szCs w:val="24"/>
              </w:rPr>
            </w:pPr>
            <w:r w:rsidRPr="00D360B4">
              <w:rPr>
                <w:b/>
                <w:color w:val="000000" w:themeColor="text1"/>
              </w:rPr>
              <w:t>194</w:t>
            </w:r>
          </w:p>
        </w:tc>
        <w:tc>
          <w:tcPr>
            <w:tcW w:w="906" w:type="pct"/>
          </w:tcPr>
          <w:p w:rsidR="00C51297" w:rsidRPr="00D360B4" w:rsidRDefault="00C51297" w:rsidP="00B16816">
            <w:pPr>
              <w:jc w:val="center"/>
              <w:rPr>
                <w:b/>
                <w:bCs/>
                <w:color w:val="000000" w:themeColor="text1"/>
                <w:szCs w:val="24"/>
              </w:rPr>
            </w:pPr>
            <w:r w:rsidRPr="00D360B4">
              <w:rPr>
                <w:b/>
                <w:color w:val="000000" w:themeColor="text1"/>
              </w:rPr>
              <w:t>100 %</w:t>
            </w:r>
          </w:p>
        </w:tc>
      </w:tr>
    </w:tbl>
    <w:p w:rsidR="00C51297" w:rsidRPr="00D360B4" w:rsidRDefault="00C51297" w:rsidP="00C51297">
      <w:pPr>
        <w:rPr>
          <w:noProof/>
        </w:rPr>
      </w:pPr>
    </w:p>
    <w:p w:rsidR="00C51297" w:rsidRPr="00D360B4" w:rsidRDefault="00C51297" w:rsidP="00C51297">
      <w:pPr>
        <w:spacing w:after="240"/>
        <w:jc w:val="both"/>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Klubovi zastupnika (proračunska stavka 400)</w:t>
      </w:r>
    </w:p>
    <w:p w:rsidR="00C51297" w:rsidRPr="00D360B4" w:rsidRDefault="003830A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172</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su 2022. odobrena sredstva unesena u proračunsku stavku 400, koja se odnosi na klubove zastupnika i nezavisne zastupnike, korištena kako slijedi</w:t>
      </w:r>
      <w:r w:rsidR="00C51297" w:rsidRPr="00D360B4">
        <w:rPr>
          <w:rStyle w:val="FootnoteReference"/>
          <w:szCs w:val="24"/>
        </w:rPr>
        <w:footnoteReference w:id="14"/>
      </w:r>
      <w:r w:rsidR="00C51297" w:rsidRPr="00D360B4">
        <w:rPr>
          <w14:textOutline w14:w="0" w14:cap="flat" w14:cmpd="sng" w14:algn="ctr">
            <w14:noFill/>
            <w14:prstDash w14:val="solid"/>
            <w14:bevel/>
          </w14:textOutline>
        </w:rPr>
        <w:t>:</w:t>
      </w:r>
    </w:p>
    <w:p w:rsidR="00C51297" w:rsidRPr="00D360B4" w:rsidRDefault="00C51297" w:rsidP="00C51297">
      <w:pPr>
        <w:widowControl/>
        <w:rPr>
          <w:noProof/>
        </w:rPr>
      </w:pPr>
      <w:r w:rsidRPr="00D360B4">
        <w:br w:type="page"/>
      </w:r>
    </w:p>
    <w:p w:rsidR="00C51297" w:rsidRPr="00D360B4" w:rsidRDefault="00C51297" w:rsidP="00C51297">
      <w:pPr>
        <w:rPr>
          <w:noProof/>
        </w:rPr>
        <w:sectPr w:rsidR="00C51297" w:rsidRPr="00D360B4" w:rsidSect="00D360B4">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504"/>
        <w:gridCol w:w="1175"/>
        <w:gridCol w:w="1175"/>
        <w:gridCol w:w="1176"/>
        <w:gridCol w:w="1176"/>
        <w:gridCol w:w="1178"/>
        <w:gridCol w:w="1176"/>
        <w:gridCol w:w="1176"/>
        <w:gridCol w:w="1176"/>
        <w:gridCol w:w="1176"/>
        <w:gridCol w:w="1178"/>
      </w:tblGrid>
      <w:tr w:rsidR="00C51297" w:rsidRPr="00D360B4" w:rsidTr="00B16816">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51297" w:rsidRPr="00D360B4" w:rsidRDefault="00C51297" w:rsidP="00B16816">
            <w:pPr>
              <w:widowControl/>
              <w:jc w:val="center"/>
              <w:rPr>
                <w:color w:val="000000"/>
                <w:sz w:val="18"/>
                <w:szCs w:val="18"/>
              </w:rPr>
            </w:pPr>
            <w:r w:rsidRPr="00D360B4">
              <w:rPr>
                <w:color w:val="000000"/>
                <w:sz w:val="18"/>
              </w:rPr>
              <w:lastRenderedPageBreak/>
              <w:t>Klub zastupnika</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C51297" w:rsidRPr="00D360B4" w:rsidRDefault="00C51297" w:rsidP="00B16816">
            <w:pPr>
              <w:widowControl/>
              <w:jc w:val="center"/>
              <w:rPr>
                <w:color w:val="000000"/>
                <w:sz w:val="18"/>
                <w:szCs w:val="18"/>
              </w:rPr>
            </w:pPr>
            <w:r w:rsidRPr="00D360B4">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C51297" w:rsidRPr="00D360B4" w:rsidRDefault="00C51297" w:rsidP="00B16816">
            <w:pPr>
              <w:widowControl/>
              <w:jc w:val="center"/>
              <w:rPr>
                <w:color w:val="000000"/>
                <w:sz w:val="18"/>
                <w:szCs w:val="18"/>
              </w:rPr>
            </w:pPr>
            <w:r w:rsidRPr="00D360B4">
              <w:rPr>
                <w:color w:val="000000"/>
                <w:sz w:val="18"/>
              </w:rPr>
              <w:t>2021.</w:t>
            </w:r>
          </w:p>
        </w:tc>
      </w:tr>
      <w:tr w:rsidR="00C51297" w:rsidRPr="00D360B4" w:rsidTr="00B16816">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rsidR="00C51297" w:rsidRPr="00D360B4" w:rsidRDefault="00C51297" w:rsidP="00B16816">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rsidR="00C51297" w:rsidRPr="00D360B4" w:rsidRDefault="00C51297" w:rsidP="00B16816">
            <w:pPr>
              <w:widowControl/>
              <w:jc w:val="center"/>
              <w:rPr>
                <w:color w:val="000000"/>
                <w:sz w:val="18"/>
                <w:szCs w:val="18"/>
              </w:rPr>
            </w:pPr>
            <w:r w:rsidRPr="00D360B4">
              <w:rPr>
                <w:color w:val="000000"/>
                <w:sz w:val="18"/>
              </w:rPr>
              <w:t>Godišnja odobrena sredstva</w:t>
            </w:r>
          </w:p>
        </w:tc>
        <w:tc>
          <w:tcPr>
            <w:tcW w:w="412" w:type="pct"/>
            <w:tcBorders>
              <w:top w:val="nil"/>
              <w:left w:val="nil"/>
              <w:bottom w:val="single" w:sz="8" w:space="0" w:color="auto"/>
              <w:right w:val="single" w:sz="8" w:space="0" w:color="auto"/>
            </w:tcBorders>
            <w:shd w:val="clear" w:color="auto" w:fill="auto"/>
            <w:vAlign w:val="center"/>
            <w:hideMark/>
          </w:tcPr>
          <w:p w:rsidR="00C51297" w:rsidRPr="00D360B4" w:rsidRDefault="00C51297" w:rsidP="00B16816">
            <w:pPr>
              <w:widowControl/>
              <w:jc w:val="center"/>
              <w:rPr>
                <w:color w:val="000000"/>
                <w:sz w:val="18"/>
                <w:szCs w:val="18"/>
              </w:rPr>
            </w:pPr>
            <w:r w:rsidRPr="00D360B4">
              <w:rPr>
                <w:color w:val="000000"/>
                <w:sz w:val="18"/>
              </w:rPr>
              <w:t>Vlastita sredstva i prenesena odobrena sredstva</w:t>
            </w:r>
          </w:p>
        </w:tc>
        <w:tc>
          <w:tcPr>
            <w:tcW w:w="412" w:type="pct"/>
            <w:tcBorders>
              <w:top w:val="nil"/>
              <w:left w:val="nil"/>
              <w:bottom w:val="single" w:sz="8" w:space="0" w:color="auto"/>
              <w:right w:val="single" w:sz="8" w:space="0" w:color="auto"/>
            </w:tcBorders>
            <w:shd w:val="clear" w:color="auto" w:fill="auto"/>
            <w:vAlign w:val="center"/>
            <w:hideMark/>
          </w:tcPr>
          <w:p w:rsidR="00C51297" w:rsidRPr="00D360B4" w:rsidRDefault="00C51297" w:rsidP="00B16816">
            <w:pPr>
              <w:widowControl/>
              <w:jc w:val="center"/>
              <w:rPr>
                <w:color w:val="000000"/>
                <w:sz w:val="18"/>
                <w:szCs w:val="18"/>
              </w:rPr>
            </w:pPr>
            <w:r w:rsidRPr="00D360B4">
              <w:rPr>
                <w:color w:val="000000"/>
                <w:sz w:val="18"/>
              </w:rPr>
              <w:t>Rashodi</w:t>
            </w:r>
          </w:p>
        </w:tc>
        <w:tc>
          <w:tcPr>
            <w:tcW w:w="412" w:type="pct"/>
            <w:tcBorders>
              <w:top w:val="nil"/>
              <w:left w:val="nil"/>
              <w:bottom w:val="single" w:sz="8" w:space="0" w:color="auto"/>
              <w:right w:val="single" w:sz="8" w:space="0" w:color="auto"/>
            </w:tcBorders>
            <w:shd w:val="clear" w:color="auto" w:fill="auto"/>
            <w:vAlign w:val="center"/>
            <w:hideMark/>
          </w:tcPr>
          <w:p w:rsidR="00C51297" w:rsidRPr="00D360B4" w:rsidRDefault="00C51297" w:rsidP="00B16816">
            <w:pPr>
              <w:widowControl/>
              <w:jc w:val="center"/>
              <w:rPr>
                <w:color w:val="000000"/>
                <w:sz w:val="18"/>
                <w:szCs w:val="18"/>
              </w:rPr>
            </w:pPr>
            <w:r w:rsidRPr="00D360B4">
              <w:rPr>
                <w:color w:val="000000"/>
                <w:sz w:val="18"/>
              </w:rPr>
              <w:t>Stopa korištenja godišnjih odobrenih sredstava</w:t>
            </w:r>
          </w:p>
        </w:tc>
        <w:tc>
          <w:tcPr>
            <w:tcW w:w="412" w:type="pct"/>
            <w:tcBorders>
              <w:top w:val="nil"/>
              <w:left w:val="nil"/>
              <w:bottom w:val="single" w:sz="8" w:space="0" w:color="auto"/>
              <w:right w:val="single" w:sz="8" w:space="0" w:color="auto"/>
            </w:tcBorders>
            <w:shd w:val="clear" w:color="auto" w:fill="auto"/>
            <w:vAlign w:val="center"/>
            <w:hideMark/>
          </w:tcPr>
          <w:p w:rsidR="00C51297" w:rsidRPr="00D360B4" w:rsidRDefault="00C51297" w:rsidP="00B16816">
            <w:pPr>
              <w:widowControl/>
              <w:jc w:val="center"/>
              <w:rPr>
                <w:color w:val="000000"/>
                <w:sz w:val="18"/>
                <w:szCs w:val="18"/>
              </w:rPr>
            </w:pPr>
            <w:r w:rsidRPr="00D360B4">
              <w:rPr>
                <w:color w:val="000000"/>
                <w:sz w:val="18"/>
              </w:rPr>
              <w:t>Iznos prenesen u iduće razdoblje</w:t>
            </w:r>
          </w:p>
        </w:tc>
        <w:tc>
          <w:tcPr>
            <w:tcW w:w="412" w:type="pct"/>
            <w:tcBorders>
              <w:top w:val="nil"/>
              <w:left w:val="nil"/>
              <w:bottom w:val="single" w:sz="8" w:space="0" w:color="auto"/>
              <w:right w:val="single" w:sz="8" w:space="0" w:color="auto"/>
            </w:tcBorders>
            <w:shd w:val="clear" w:color="auto" w:fill="auto"/>
            <w:vAlign w:val="center"/>
            <w:hideMark/>
          </w:tcPr>
          <w:p w:rsidR="00C51297" w:rsidRPr="00D360B4" w:rsidRDefault="00C51297" w:rsidP="00B16816">
            <w:pPr>
              <w:widowControl/>
              <w:jc w:val="center"/>
              <w:rPr>
                <w:color w:val="000000"/>
                <w:sz w:val="18"/>
                <w:szCs w:val="18"/>
              </w:rPr>
            </w:pPr>
            <w:r w:rsidRPr="00D360B4">
              <w:rPr>
                <w:color w:val="000000"/>
                <w:sz w:val="18"/>
              </w:rPr>
              <w:t>Godišnja odobrena sredstva</w:t>
            </w:r>
          </w:p>
        </w:tc>
        <w:tc>
          <w:tcPr>
            <w:tcW w:w="412" w:type="pct"/>
            <w:tcBorders>
              <w:top w:val="nil"/>
              <w:left w:val="nil"/>
              <w:bottom w:val="single" w:sz="8" w:space="0" w:color="auto"/>
              <w:right w:val="single" w:sz="8" w:space="0" w:color="auto"/>
            </w:tcBorders>
            <w:shd w:val="clear" w:color="auto" w:fill="auto"/>
            <w:vAlign w:val="center"/>
            <w:hideMark/>
          </w:tcPr>
          <w:p w:rsidR="00C51297" w:rsidRPr="00D360B4" w:rsidRDefault="00C51297" w:rsidP="00B16816">
            <w:pPr>
              <w:widowControl/>
              <w:jc w:val="center"/>
              <w:rPr>
                <w:color w:val="000000"/>
                <w:sz w:val="18"/>
                <w:szCs w:val="18"/>
              </w:rPr>
            </w:pPr>
            <w:r w:rsidRPr="00D360B4">
              <w:rPr>
                <w:color w:val="000000"/>
                <w:sz w:val="18"/>
              </w:rPr>
              <w:t>Vlastita sredstva i prenesena odobrena sredstva</w:t>
            </w:r>
          </w:p>
        </w:tc>
        <w:tc>
          <w:tcPr>
            <w:tcW w:w="412" w:type="pct"/>
            <w:tcBorders>
              <w:top w:val="nil"/>
              <w:left w:val="nil"/>
              <w:bottom w:val="single" w:sz="8" w:space="0" w:color="auto"/>
              <w:right w:val="single" w:sz="8" w:space="0" w:color="auto"/>
            </w:tcBorders>
            <w:shd w:val="clear" w:color="auto" w:fill="auto"/>
            <w:vAlign w:val="center"/>
            <w:hideMark/>
          </w:tcPr>
          <w:p w:rsidR="00C51297" w:rsidRPr="00D360B4" w:rsidRDefault="00C51297" w:rsidP="00B16816">
            <w:pPr>
              <w:widowControl/>
              <w:jc w:val="center"/>
              <w:rPr>
                <w:color w:val="000000"/>
                <w:sz w:val="18"/>
                <w:szCs w:val="18"/>
              </w:rPr>
            </w:pPr>
            <w:r w:rsidRPr="00D360B4">
              <w:rPr>
                <w:color w:val="000000"/>
                <w:sz w:val="18"/>
              </w:rPr>
              <w:t>Rashodi</w:t>
            </w:r>
          </w:p>
        </w:tc>
        <w:tc>
          <w:tcPr>
            <w:tcW w:w="412" w:type="pct"/>
            <w:tcBorders>
              <w:top w:val="nil"/>
              <w:left w:val="nil"/>
              <w:bottom w:val="single" w:sz="8" w:space="0" w:color="auto"/>
              <w:right w:val="single" w:sz="8" w:space="0" w:color="auto"/>
            </w:tcBorders>
            <w:shd w:val="clear" w:color="auto" w:fill="auto"/>
            <w:vAlign w:val="center"/>
            <w:hideMark/>
          </w:tcPr>
          <w:p w:rsidR="00C51297" w:rsidRPr="00D360B4" w:rsidRDefault="00C51297" w:rsidP="00B16816">
            <w:pPr>
              <w:widowControl/>
              <w:jc w:val="center"/>
              <w:rPr>
                <w:color w:val="000000"/>
                <w:sz w:val="18"/>
                <w:szCs w:val="18"/>
              </w:rPr>
            </w:pPr>
            <w:r w:rsidRPr="00D360B4">
              <w:rPr>
                <w:color w:val="000000"/>
                <w:sz w:val="18"/>
              </w:rPr>
              <w:t>Stopa korištenja godišnjih odobrenih sredstava</w:t>
            </w:r>
          </w:p>
        </w:tc>
        <w:tc>
          <w:tcPr>
            <w:tcW w:w="412" w:type="pct"/>
            <w:tcBorders>
              <w:top w:val="nil"/>
              <w:left w:val="nil"/>
              <w:bottom w:val="single" w:sz="8" w:space="0" w:color="auto"/>
              <w:right w:val="single" w:sz="8" w:space="0" w:color="auto"/>
            </w:tcBorders>
            <w:shd w:val="clear" w:color="auto" w:fill="auto"/>
            <w:vAlign w:val="center"/>
            <w:hideMark/>
          </w:tcPr>
          <w:p w:rsidR="00C51297" w:rsidRPr="00D360B4" w:rsidRDefault="00C51297" w:rsidP="00B16816">
            <w:pPr>
              <w:widowControl/>
              <w:jc w:val="center"/>
              <w:rPr>
                <w:color w:val="000000"/>
                <w:sz w:val="18"/>
                <w:szCs w:val="18"/>
              </w:rPr>
            </w:pPr>
            <w:r w:rsidRPr="00D360B4">
              <w:rPr>
                <w:color w:val="000000"/>
                <w:sz w:val="18"/>
              </w:rPr>
              <w:t>Iznos prenesen u iduće razdoblje</w:t>
            </w:r>
          </w:p>
        </w:tc>
      </w:tr>
      <w:tr w:rsidR="00C51297" w:rsidRPr="00D360B4" w:rsidTr="00B16816">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297" w:rsidRPr="00D360B4" w:rsidRDefault="00C51297" w:rsidP="00B16816">
            <w:pPr>
              <w:widowControl/>
              <w:rPr>
                <w:b/>
                <w:bCs/>
                <w:color w:val="000000"/>
                <w:sz w:val="18"/>
                <w:szCs w:val="18"/>
              </w:rPr>
            </w:pPr>
            <w:r w:rsidRPr="00D360B4">
              <w:rPr>
                <w:b/>
                <w:color w:val="000000"/>
                <w:sz w:val="18"/>
              </w:rPr>
              <w:t>Europska pučka stranka (EPP)</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16.739</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12.640</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18.651</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111,42 %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10.729</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16.750</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10.229</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13.646</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81,47 %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12.562</w:t>
            </w:r>
          </w:p>
        </w:tc>
      </w:tr>
      <w:tr w:rsidR="00C51297" w:rsidRPr="00D360B4" w:rsidTr="00B16816">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297" w:rsidRPr="00D360B4" w:rsidRDefault="00C51297" w:rsidP="00B16816">
            <w:pPr>
              <w:widowControl/>
              <w:rPr>
                <w:b/>
                <w:bCs/>
                <w:color w:val="000000"/>
                <w:sz w:val="18"/>
                <w:szCs w:val="18"/>
              </w:rPr>
            </w:pPr>
            <w:r w:rsidRPr="00D360B4">
              <w:rPr>
                <w:b/>
                <w:color w:val="000000"/>
                <w:sz w:val="18"/>
              </w:rPr>
              <w:t>Progresivni savez socijalista i demokrata (S&amp;D)</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13.804</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10.258</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15.016</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108,78 %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9.046</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13.584</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9.829</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12.295</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90,51 %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10.188</w:t>
            </w:r>
          </w:p>
        </w:tc>
      </w:tr>
      <w:tr w:rsidR="00C51297" w:rsidRPr="00D360B4" w:rsidTr="00B16816">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297" w:rsidRPr="00D360B4" w:rsidRDefault="00C51297" w:rsidP="00B16816">
            <w:pPr>
              <w:widowControl/>
              <w:rPr>
                <w:b/>
                <w:bCs/>
                <w:color w:val="000000"/>
                <w:sz w:val="18"/>
                <w:szCs w:val="18"/>
              </w:rPr>
            </w:pPr>
            <w:proofErr w:type="spellStart"/>
            <w:r w:rsidRPr="00D360B4">
              <w:rPr>
                <w:b/>
                <w:color w:val="000000"/>
                <w:sz w:val="18"/>
              </w:rPr>
              <w:t>Renew</w:t>
            </w:r>
            <w:proofErr w:type="spellEnd"/>
            <w:r w:rsidRPr="00D360B4">
              <w:rPr>
                <w:b/>
                <w:color w:val="000000"/>
                <w:sz w:val="18"/>
              </w:rPr>
              <w:t xml:space="preserve"> Europe (bivši Savez liberala i demokrata za Europu (ALDE))</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9.799</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6.950</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11.384</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116,18 %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5.365</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9.192</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6.948</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6.997</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76,12 %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6.894</w:t>
            </w:r>
          </w:p>
        </w:tc>
      </w:tr>
      <w:tr w:rsidR="00C51297" w:rsidRPr="00D360B4" w:rsidTr="00B16816">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297" w:rsidRPr="00D360B4" w:rsidRDefault="00C51297" w:rsidP="00B16816">
            <w:pPr>
              <w:widowControl/>
              <w:rPr>
                <w:b/>
                <w:bCs/>
                <w:color w:val="000000"/>
                <w:sz w:val="18"/>
                <w:szCs w:val="18"/>
              </w:rPr>
            </w:pPr>
            <w:r w:rsidRPr="00D360B4">
              <w:rPr>
                <w:b/>
                <w:color w:val="000000"/>
                <w:sz w:val="18"/>
              </w:rPr>
              <w:t>Zeleni / Europski slobodni savez (</w:t>
            </w:r>
            <w:proofErr w:type="spellStart"/>
            <w:r w:rsidRPr="00D360B4">
              <w:rPr>
                <w:b/>
                <w:color w:val="000000"/>
                <w:sz w:val="18"/>
              </w:rPr>
              <w:t>Verts</w:t>
            </w:r>
            <w:proofErr w:type="spellEnd"/>
            <w:r w:rsidRPr="00D360B4">
              <w:rPr>
                <w:b/>
                <w:color w:val="000000"/>
                <w:sz w:val="18"/>
              </w:rPr>
              <w:t>/ALE)</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6.941</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5.196</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7.964</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114,74 %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4.173</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6.927</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4.891</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6.126</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88,43 %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5.196</w:t>
            </w:r>
          </w:p>
        </w:tc>
      </w:tr>
      <w:tr w:rsidR="00C51297" w:rsidRPr="00D360B4" w:rsidTr="00B16816">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297" w:rsidRPr="00D360B4" w:rsidRDefault="00C51297" w:rsidP="00B16816">
            <w:pPr>
              <w:widowControl/>
              <w:rPr>
                <w:b/>
                <w:bCs/>
                <w:color w:val="000000"/>
                <w:sz w:val="18"/>
                <w:szCs w:val="18"/>
              </w:rPr>
            </w:pPr>
            <w:r w:rsidRPr="00D360B4">
              <w:rPr>
                <w:b/>
                <w:color w:val="000000"/>
                <w:sz w:val="18"/>
              </w:rPr>
              <w:t xml:space="preserve">Identitet i demokracija (ID)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6.348</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5.157</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6.958</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109,61 %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4.547</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6.874</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4.762</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5.940</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86,42 %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5.155</w:t>
            </w:r>
          </w:p>
        </w:tc>
      </w:tr>
      <w:tr w:rsidR="00C51297" w:rsidRPr="00D360B4" w:rsidTr="00B16816">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297" w:rsidRPr="00D360B4" w:rsidRDefault="00C51297" w:rsidP="00B16816">
            <w:pPr>
              <w:widowControl/>
              <w:rPr>
                <w:b/>
                <w:bCs/>
                <w:color w:val="000000"/>
                <w:sz w:val="18"/>
                <w:szCs w:val="18"/>
              </w:rPr>
            </w:pPr>
            <w:r w:rsidRPr="00D360B4">
              <w:rPr>
                <w:b/>
                <w:color w:val="000000"/>
                <w:sz w:val="18"/>
              </w:rPr>
              <w:t>Europski konzervativci i reformisti (ECR)</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6.184</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3.847</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6.960</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112,55 %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3.071</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6.005</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3.982</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6.269</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104,39 %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3.718</w:t>
            </w:r>
          </w:p>
        </w:tc>
      </w:tr>
      <w:tr w:rsidR="00C51297" w:rsidRPr="00D360B4" w:rsidTr="00B16816">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297" w:rsidRPr="00D360B4" w:rsidRDefault="00C51297" w:rsidP="00B16816">
            <w:pPr>
              <w:widowControl/>
              <w:rPr>
                <w:b/>
                <w:bCs/>
                <w:color w:val="000000"/>
                <w:sz w:val="18"/>
                <w:szCs w:val="18"/>
              </w:rPr>
            </w:pPr>
            <w:r w:rsidRPr="00D360B4">
              <w:rPr>
                <w:b/>
                <w:color w:val="000000"/>
                <w:sz w:val="18"/>
              </w:rPr>
              <w:t>Ljevica – Ujedinjena europska ljevica / Nordijska zelena ljevica (GUE/NGL)</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3.858</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2.036</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4.498</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116,59 %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1.396</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3.806</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2.266</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4.036</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106,05 %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2.036</w:t>
            </w:r>
          </w:p>
        </w:tc>
      </w:tr>
      <w:tr w:rsidR="00C51297" w:rsidRPr="00D360B4" w:rsidTr="00B16816">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C51297" w:rsidRPr="00D360B4" w:rsidRDefault="00C51297" w:rsidP="00B16816">
            <w:pPr>
              <w:widowControl/>
              <w:rPr>
                <w:b/>
                <w:bCs/>
                <w:color w:val="000000"/>
                <w:sz w:val="18"/>
                <w:szCs w:val="18"/>
              </w:rPr>
            </w:pPr>
            <w:r w:rsidRPr="00D360B4">
              <w:rPr>
                <w:b/>
                <w:color w:val="000000"/>
                <w:sz w:val="18"/>
              </w:rPr>
              <w:t xml:space="preserve">Nezavisni zastupnici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2.326</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42,72 %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1.520</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1.862</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31,94 %</w:t>
            </w:r>
          </w:p>
        </w:tc>
        <w:tc>
          <w:tcPr>
            <w:tcW w:w="412" w:type="pct"/>
            <w:tcBorders>
              <w:top w:val="nil"/>
              <w:left w:val="nil"/>
              <w:bottom w:val="single" w:sz="8" w:space="0" w:color="auto"/>
              <w:right w:val="single" w:sz="8" w:space="0" w:color="auto"/>
            </w:tcBorders>
            <w:shd w:val="clear" w:color="auto" w:fill="auto"/>
            <w:noWrap/>
            <w:vAlign w:val="center"/>
            <w:hideMark/>
          </w:tcPr>
          <w:p w:rsidR="00C51297" w:rsidRPr="00D360B4" w:rsidRDefault="00C51297" w:rsidP="00B16816">
            <w:pPr>
              <w:widowControl/>
              <w:jc w:val="right"/>
              <w:rPr>
                <w:color w:val="000000"/>
                <w:sz w:val="18"/>
                <w:szCs w:val="18"/>
              </w:rPr>
            </w:pPr>
            <w:r w:rsidRPr="00D360B4">
              <w:rPr>
                <w:color w:val="000000"/>
                <w:sz w:val="18"/>
              </w:rPr>
              <w:t>861</w:t>
            </w:r>
          </w:p>
        </w:tc>
      </w:tr>
      <w:tr w:rsidR="00C51297" w:rsidRPr="00D360B4" w:rsidTr="00B16816">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rsidR="00C51297" w:rsidRPr="00D360B4" w:rsidRDefault="00C51297" w:rsidP="00B16816">
            <w:pPr>
              <w:widowControl/>
              <w:jc w:val="right"/>
              <w:rPr>
                <w:b/>
                <w:bCs/>
                <w:color w:val="000000"/>
                <w:sz w:val="18"/>
                <w:szCs w:val="18"/>
              </w:rPr>
            </w:pPr>
            <w:r w:rsidRPr="00D360B4">
              <w:rPr>
                <w:b/>
                <w:color w:val="000000"/>
                <w:sz w:val="18"/>
              </w:rPr>
              <w:t>Ukupno</w:t>
            </w:r>
          </w:p>
        </w:tc>
        <w:tc>
          <w:tcPr>
            <w:tcW w:w="412" w:type="pct"/>
            <w:tcBorders>
              <w:top w:val="nil"/>
              <w:left w:val="nil"/>
              <w:bottom w:val="single" w:sz="8" w:space="0" w:color="auto"/>
              <w:right w:val="single" w:sz="8" w:space="0" w:color="auto"/>
            </w:tcBorders>
            <w:shd w:val="clear" w:color="000000" w:fill="E2EFD9"/>
            <w:noWrap/>
            <w:vAlign w:val="center"/>
            <w:hideMark/>
          </w:tcPr>
          <w:p w:rsidR="00C51297" w:rsidRPr="00D360B4" w:rsidRDefault="00C51297" w:rsidP="00B16816">
            <w:pPr>
              <w:widowControl/>
              <w:jc w:val="right"/>
              <w:rPr>
                <w:b/>
                <w:bCs/>
                <w:color w:val="000000"/>
                <w:sz w:val="18"/>
                <w:szCs w:val="18"/>
              </w:rPr>
            </w:pPr>
            <w:r w:rsidRPr="00D360B4">
              <w:rPr>
                <w:b/>
                <w:color w:val="000000"/>
                <w:sz w:val="18"/>
              </w:rPr>
              <w:t>66.000</w:t>
            </w:r>
          </w:p>
        </w:tc>
        <w:tc>
          <w:tcPr>
            <w:tcW w:w="412" w:type="pct"/>
            <w:tcBorders>
              <w:top w:val="nil"/>
              <w:left w:val="nil"/>
              <w:bottom w:val="single" w:sz="8" w:space="0" w:color="auto"/>
              <w:right w:val="single" w:sz="8" w:space="0" w:color="auto"/>
            </w:tcBorders>
            <w:shd w:val="clear" w:color="000000" w:fill="E2EFD9"/>
            <w:noWrap/>
            <w:vAlign w:val="center"/>
            <w:hideMark/>
          </w:tcPr>
          <w:p w:rsidR="00C51297" w:rsidRPr="00D360B4" w:rsidRDefault="00C51297" w:rsidP="00B16816">
            <w:pPr>
              <w:widowControl/>
              <w:jc w:val="right"/>
              <w:rPr>
                <w:b/>
                <w:bCs/>
                <w:color w:val="000000"/>
                <w:sz w:val="18"/>
                <w:szCs w:val="18"/>
              </w:rPr>
            </w:pPr>
            <w:r w:rsidRPr="00D360B4">
              <w:rPr>
                <w:b/>
                <w:color w:val="000000"/>
                <w:sz w:val="18"/>
              </w:rPr>
              <w:t>46.945</w:t>
            </w:r>
          </w:p>
        </w:tc>
        <w:tc>
          <w:tcPr>
            <w:tcW w:w="412" w:type="pct"/>
            <w:tcBorders>
              <w:top w:val="nil"/>
              <w:left w:val="nil"/>
              <w:bottom w:val="single" w:sz="8" w:space="0" w:color="auto"/>
              <w:right w:val="single" w:sz="8" w:space="0" w:color="auto"/>
            </w:tcBorders>
            <w:shd w:val="clear" w:color="000000" w:fill="E2EFD9"/>
            <w:noWrap/>
            <w:vAlign w:val="center"/>
            <w:hideMark/>
          </w:tcPr>
          <w:p w:rsidR="00C51297" w:rsidRPr="00D360B4" w:rsidRDefault="00C51297" w:rsidP="00B16816">
            <w:pPr>
              <w:widowControl/>
              <w:jc w:val="right"/>
              <w:rPr>
                <w:b/>
                <w:bCs/>
                <w:color w:val="000000"/>
                <w:sz w:val="18"/>
                <w:szCs w:val="18"/>
              </w:rPr>
            </w:pPr>
            <w:r w:rsidRPr="00D360B4">
              <w:rPr>
                <w:b/>
                <w:color w:val="000000"/>
                <w:sz w:val="18"/>
              </w:rPr>
              <w:t>72.426</w:t>
            </w:r>
          </w:p>
        </w:tc>
        <w:tc>
          <w:tcPr>
            <w:tcW w:w="412" w:type="pct"/>
            <w:tcBorders>
              <w:top w:val="nil"/>
              <w:left w:val="nil"/>
              <w:bottom w:val="single" w:sz="8" w:space="0" w:color="auto"/>
              <w:right w:val="single" w:sz="8" w:space="0" w:color="auto"/>
            </w:tcBorders>
            <w:shd w:val="clear" w:color="000000" w:fill="E2EFD9"/>
            <w:noWrap/>
            <w:vAlign w:val="center"/>
            <w:hideMark/>
          </w:tcPr>
          <w:p w:rsidR="00C51297" w:rsidRPr="00D360B4" w:rsidRDefault="00C51297" w:rsidP="00B16816">
            <w:pPr>
              <w:widowControl/>
              <w:jc w:val="right"/>
              <w:rPr>
                <w:b/>
                <w:bCs/>
                <w:color w:val="000000"/>
                <w:sz w:val="18"/>
                <w:szCs w:val="18"/>
              </w:rPr>
            </w:pPr>
            <w:r w:rsidRPr="00D360B4">
              <w:rPr>
                <w:b/>
                <w:color w:val="000000"/>
                <w:sz w:val="18"/>
              </w:rPr>
              <w:t>109,74 %</w:t>
            </w:r>
          </w:p>
        </w:tc>
        <w:tc>
          <w:tcPr>
            <w:tcW w:w="412" w:type="pct"/>
            <w:tcBorders>
              <w:top w:val="nil"/>
              <w:left w:val="nil"/>
              <w:bottom w:val="single" w:sz="8" w:space="0" w:color="auto"/>
              <w:right w:val="single" w:sz="8" w:space="0" w:color="auto"/>
            </w:tcBorders>
            <w:shd w:val="clear" w:color="000000" w:fill="E2EFD9"/>
            <w:noWrap/>
            <w:vAlign w:val="center"/>
            <w:hideMark/>
          </w:tcPr>
          <w:p w:rsidR="00C51297" w:rsidRPr="00D360B4" w:rsidRDefault="00C51297" w:rsidP="00B16816">
            <w:pPr>
              <w:widowControl/>
              <w:jc w:val="right"/>
              <w:rPr>
                <w:b/>
                <w:bCs/>
                <w:color w:val="000000"/>
                <w:sz w:val="18"/>
                <w:szCs w:val="18"/>
              </w:rPr>
            </w:pPr>
            <w:r w:rsidRPr="00D360B4">
              <w:rPr>
                <w:b/>
                <w:color w:val="000000"/>
                <w:sz w:val="18"/>
              </w:rPr>
              <w:t>39.846</w:t>
            </w:r>
          </w:p>
        </w:tc>
        <w:tc>
          <w:tcPr>
            <w:tcW w:w="412" w:type="pct"/>
            <w:tcBorders>
              <w:top w:val="nil"/>
              <w:left w:val="nil"/>
              <w:bottom w:val="single" w:sz="8" w:space="0" w:color="auto"/>
              <w:right w:val="single" w:sz="8" w:space="0" w:color="auto"/>
            </w:tcBorders>
            <w:shd w:val="clear" w:color="000000" w:fill="E2EFD9"/>
            <w:noWrap/>
            <w:vAlign w:val="center"/>
            <w:hideMark/>
          </w:tcPr>
          <w:p w:rsidR="00C51297" w:rsidRPr="00D360B4" w:rsidRDefault="00C51297" w:rsidP="00B16816">
            <w:pPr>
              <w:widowControl/>
              <w:jc w:val="right"/>
              <w:rPr>
                <w:b/>
                <w:bCs/>
                <w:color w:val="000000"/>
                <w:sz w:val="18"/>
                <w:szCs w:val="18"/>
              </w:rPr>
            </w:pPr>
            <w:r w:rsidRPr="00D360B4">
              <w:rPr>
                <w:b/>
                <w:color w:val="000000"/>
                <w:sz w:val="18"/>
              </w:rPr>
              <w:t>65.000</w:t>
            </w:r>
          </w:p>
        </w:tc>
        <w:tc>
          <w:tcPr>
            <w:tcW w:w="412" w:type="pct"/>
            <w:tcBorders>
              <w:top w:val="nil"/>
              <w:left w:val="nil"/>
              <w:bottom w:val="single" w:sz="8" w:space="0" w:color="auto"/>
              <w:right w:val="single" w:sz="8" w:space="0" w:color="auto"/>
            </w:tcBorders>
            <w:shd w:val="clear" w:color="000000" w:fill="E2EFD9"/>
            <w:noWrap/>
            <w:vAlign w:val="center"/>
            <w:hideMark/>
          </w:tcPr>
          <w:p w:rsidR="00C51297" w:rsidRPr="00D360B4" w:rsidRDefault="00C51297" w:rsidP="00B16816">
            <w:pPr>
              <w:widowControl/>
              <w:jc w:val="right"/>
              <w:rPr>
                <w:b/>
                <w:bCs/>
                <w:color w:val="000000"/>
                <w:sz w:val="18"/>
                <w:szCs w:val="18"/>
              </w:rPr>
            </w:pPr>
            <w:r w:rsidRPr="00D360B4">
              <w:rPr>
                <w:b/>
                <w:color w:val="000000"/>
                <w:sz w:val="18"/>
              </w:rPr>
              <w:t>43.948</w:t>
            </w:r>
          </w:p>
        </w:tc>
        <w:tc>
          <w:tcPr>
            <w:tcW w:w="412" w:type="pct"/>
            <w:tcBorders>
              <w:top w:val="nil"/>
              <w:left w:val="nil"/>
              <w:bottom w:val="single" w:sz="8" w:space="0" w:color="auto"/>
              <w:right w:val="single" w:sz="8" w:space="0" w:color="auto"/>
            </w:tcBorders>
            <w:shd w:val="clear" w:color="000000" w:fill="E2EFD9"/>
            <w:noWrap/>
            <w:vAlign w:val="center"/>
            <w:hideMark/>
          </w:tcPr>
          <w:p w:rsidR="00C51297" w:rsidRPr="00D360B4" w:rsidRDefault="00C51297" w:rsidP="00B16816">
            <w:pPr>
              <w:widowControl/>
              <w:jc w:val="right"/>
              <w:rPr>
                <w:b/>
                <w:bCs/>
                <w:color w:val="000000"/>
                <w:sz w:val="18"/>
                <w:szCs w:val="18"/>
              </w:rPr>
            </w:pPr>
            <w:r w:rsidRPr="00D360B4">
              <w:rPr>
                <w:b/>
                <w:color w:val="000000"/>
                <w:sz w:val="18"/>
              </w:rPr>
              <w:t>55.904</w:t>
            </w:r>
          </w:p>
        </w:tc>
        <w:tc>
          <w:tcPr>
            <w:tcW w:w="412" w:type="pct"/>
            <w:tcBorders>
              <w:top w:val="nil"/>
              <w:left w:val="nil"/>
              <w:bottom w:val="single" w:sz="8" w:space="0" w:color="auto"/>
              <w:right w:val="single" w:sz="8" w:space="0" w:color="auto"/>
            </w:tcBorders>
            <w:shd w:val="clear" w:color="000000" w:fill="E2EFD9"/>
            <w:noWrap/>
            <w:vAlign w:val="center"/>
            <w:hideMark/>
          </w:tcPr>
          <w:p w:rsidR="00C51297" w:rsidRPr="00D360B4" w:rsidRDefault="00C51297" w:rsidP="00B16816">
            <w:pPr>
              <w:widowControl/>
              <w:jc w:val="right"/>
              <w:rPr>
                <w:b/>
                <w:bCs/>
                <w:color w:val="000000"/>
                <w:sz w:val="18"/>
                <w:szCs w:val="18"/>
              </w:rPr>
            </w:pPr>
            <w:r w:rsidRPr="00D360B4">
              <w:rPr>
                <w:b/>
                <w:color w:val="000000"/>
                <w:sz w:val="18"/>
              </w:rPr>
              <w:t>86,01 %</w:t>
            </w:r>
          </w:p>
        </w:tc>
        <w:tc>
          <w:tcPr>
            <w:tcW w:w="412" w:type="pct"/>
            <w:tcBorders>
              <w:top w:val="nil"/>
              <w:left w:val="nil"/>
              <w:bottom w:val="single" w:sz="8" w:space="0" w:color="auto"/>
              <w:right w:val="single" w:sz="8" w:space="0" w:color="auto"/>
            </w:tcBorders>
            <w:shd w:val="clear" w:color="000000" w:fill="E2EFD9"/>
            <w:noWrap/>
            <w:vAlign w:val="center"/>
            <w:hideMark/>
          </w:tcPr>
          <w:p w:rsidR="00C51297" w:rsidRPr="00D360B4" w:rsidRDefault="00C51297" w:rsidP="00B16816">
            <w:pPr>
              <w:widowControl/>
              <w:jc w:val="right"/>
              <w:rPr>
                <w:b/>
                <w:bCs/>
                <w:color w:val="000000"/>
                <w:sz w:val="18"/>
                <w:szCs w:val="18"/>
              </w:rPr>
            </w:pPr>
            <w:r w:rsidRPr="00D360B4">
              <w:rPr>
                <w:b/>
                <w:color w:val="000000"/>
                <w:sz w:val="18"/>
              </w:rPr>
              <w:t>46.611</w:t>
            </w:r>
          </w:p>
        </w:tc>
      </w:tr>
    </w:tbl>
    <w:p w:rsidR="00C51297" w:rsidRPr="00D360B4" w:rsidRDefault="00C51297" w:rsidP="00C51297">
      <w:pPr>
        <w:rPr>
          <w:noProof/>
        </w:rPr>
      </w:pPr>
    </w:p>
    <w:p w:rsidR="00C51297" w:rsidRPr="00D360B4" w:rsidRDefault="00C51297" w:rsidP="00C51297">
      <w:pPr>
        <w:widowControl/>
        <w:rPr>
          <w:noProof/>
        </w:rPr>
      </w:pPr>
      <w:r w:rsidRPr="00D360B4">
        <w:br w:type="page"/>
      </w:r>
    </w:p>
    <w:p w:rsidR="00C51297" w:rsidRPr="00D360B4" w:rsidRDefault="00C51297" w:rsidP="00C51297">
      <w:pPr>
        <w:rPr>
          <w:noProof/>
        </w:rPr>
        <w:sectPr w:rsidR="00C51297" w:rsidRPr="00D360B4" w:rsidSect="00D360B4">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rsidR="00C51297" w:rsidRPr="00D360B4" w:rsidRDefault="003830A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173</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pozdravlja činjenicu da su neovisni vanjski revizori klubova zastupnika objavili samo bezuvjetna mišljenja za financijsku godinu 2022.;</w:t>
      </w:r>
    </w:p>
    <w:p w:rsidR="00C51297" w:rsidRPr="00D360B4" w:rsidRDefault="003830A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174</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podsjeća na to da su ta odobrena sredstva namijenjena pokrivanju aktivnosti povezanih s političkim aktivnostima Unije i da su klubovi zastupnika odgovorni Parlamentu za njihovo korištenje;</w:t>
      </w:r>
    </w:p>
    <w:p w:rsidR="00C51297" w:rsidRPr="00D360B4" w:rsidRDefault="00C51297" w:rsidP="00C51297">
      <w:pPr>
        <w:spacing w:after="240"/>
        <w:rPr>
          <w:b/>
          <w:bCs/>
          <w:i/>
          <w:iCs/>
          <w:szCs w:val="24"/>
          <w14:textOutline w14:w="0" w14:cap="flat" w14:cmpd="sng" w14:algn="ctr">
            <w14:noFill/>
            <w14:prstDash w14:val="solid"/>
            <w14:bevel/>
          </w14:textOutline>
        </w:rPr>
      </w:pPr>
      <w:r w:rsidRPr="00D360B4">
        <w:rPr>
          <w:b/>
          <w:i/>
          <w14:textOutline w14:w="0" w14:cap="flat" w14:cmpd="sng" w14:algn="ctr">
            <w14:noFill/>
            <w14:prstDash w14:val="solid"/>
            <w14:bevel/>
          </w14:textOutline>
        </w:rPr>
        <w:t>Europske političke stranke i europske političke zaklade</w:t>
      </w:r>
    </w:p>
    <w:p w:rsidR="00C51297" w:rsidRPr="00D360B4" w:rsidRDefault="003830A8" w:rsidP="00C51297">
      <w:pPr>
        <w:pStyle w:val="NormalHanging12a"/>
      </w:pPr>
      <w:r>
        <w:t>175</w:t>
      </w:r>
      <w:r w:rsidR="00C51297" w:rsidRPr="00D360B4">
        <w:t>.</w:t>
      </w:r>
      <w:r w:rsidR="00C51297" w:rsidRPr="00D360B4">
        <w:tab/>
        <w:t>napominje da je Tijelo 2022. europskim političkim strankama i europskim političkim zakladama dalo pravo na saslušanje, kao i priliku za korektivne mjere u devet slučajeva; nadalje napominje da se radilo o slučajevima povezanima sa zahtjevima za izvješćivanje, pravilima o prihodima i zajedničkim aktivnostima; ističe da rani nadzor Tijela upućuje na to da su predmetne europske političke stranke i zaklade odmah provele relevantne korektivne mjere u svim tim slučajevima; prima na znanje da će Tijelo nastaviti pratiti hoće li se korektivnim mjerama s dugoročnim učinkom osigurati trajna usklađenost u dotičnim područjima; pozdravlja činjenicu da tijekom 2022. nije bilo potrebe za izricanjem sankcija;</w:t>
      </w:r>
    </w:p>
    <w:p w:rsidR="00C51297" w:rsidRPr="00D360B4" w:rsidRDefault="003830A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176</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pozdravlja činjenicu da Tijelo u okviru priprema za europske izbore 2024. aktivno jača mreže suradnje istraživanjem daljnjih partnerstava u obrani demokratskog integriteta;</w:t>
      </w:r>
    </w:p>
    <w:p w:rsidR="00C51297" w:rsidRPr="00D360B4" w:rsidRDefault="003830A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177</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sa zabrinutošću napominje navode Tijela da se suočava s ograničenim ljudskim resursima; ističe da se očekuje da će to pitanje postati hitnije zbog novih izazova uoči europskih izbora 2024., uključujući posebno potrebu za zaštitom demokratskog integriteta od novih oblika vanjskog upletanja, kao i nužnu administrativnu provedbu svih novih zadaća koje bi za Tijelo proizašle iz aktualnih pregovora o preinaci Uredbe (EU, Euratom) br. 1141/2014;</w:t>
      </w:r>
    </w:p>
    <w:p w:rsidR="00C51297" w:rsidRPr="00D360B4" w:rsidRDefault="003830A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178</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 xml:space="preserve">podsjeća na ključnu ulogu vitalne i otporne europske demokracije poduprte pluralizmom političkih stranaka na razini Unije; stoga naglašava da se moraju osigurati jednaki uvjeti i da se sukladnost mora kontrolirati uz potpuno poštovanje </w:t>
      </w:r>
      <w:proofErr w:type="spellStart"/>
      <w:r w:rsidR="00C51297" w:rsidRPr="00D360B4">
        <w:rPr>
          <w14:textOutline w14:w="0" w14:cap="flat" w14:cmpd="sng" w14:algn="ctr">
            <w14:noFill/>
            <w14:prstDash w14:val="solid"/>
            <w14:bevel/>
          </w14:textOutline>
        </w:rPr>
        <w:t>postupovnih</w:t>
      </w:r>
      <w:proofErr w:type="spellEnd"/>
      <w:r w:rsidR="00C51297" w:rsidRPr="00D360B4">
        <w:rPr>
          <w14:textOutline w14:w="0" w14:cap="flat" w14:cmpd="sng" w14:algn="ctr">
            <w14:noFill/>
            <w14:prstDash w14:val="solid"/>
            <w14:bevel/>
          </w14:textOutline>
        </w:rPr>
        <w:t xml:space="preserve"> prava; u tom pogledu pozdravlja bitan rad Tijela koje neovisno i u bliskoj suradnji s Parlamentom osigurava sukladnost europskih političkih stranaka i zaklada s pravnim okvirom, osigurava transparentnost za građane i pridonosi integritetu izbora u Parlamentu; </w:t>
      </w:r>
    </w:p>
    <w:p w:rsidR="00C51297" w:rsidRPr="00D360B4" w:rsidRDefault="003830A8"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179</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su 2022. odobrena sredstva unesena u proračunsku stavku 402 korištena kako slijedi</w:t>
      </w:r>
      <w:r w:rsidR="00C51297" w:rsidRPr="00D360B4">
        <w:rPr>
          <w:rStyle w:val="FootnoteReference"/>
          <w:szCs w:val="24"/>
        </w:rPr>
        <w:footnoteReference w:id="15"/>
      </w:r>
      <w:r w:rsidR="00C51297" w:rsidRPr="00D360B4">
        <w:rPr>
          <w14:textOutline w14:w="0" w14:cap="flat" w14:cmpd="sng" w14:algn="ctr">
            <w14:noFill/>
            <w14:prstDash w14:val="solid"/>
            <w14:bevel/>
          </w14:textOutline>
        </w:rPr>
        <w:t>:</w:t>
      </w:r>
    </w:p>
    <w:p w:rsidR="00C51297" w:rsidRPr="00D360B4" w:rsidRDefault="00C51297" w:rsidP="00C51297">
      <w:pPr>
        <w:widowControl/>
        <w:rPr>
          <w:noProof/>
        </w:rPr>
      </w:pPr>
      <w:r w:rsidRPr="00D360B4">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C51297" w:rsidRPr="00D360B4" w:rsidTr="00B16816">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lastRenderedPageBreak/>
              <w:t>Stranka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t>Pokrata ili skraćeni naziv</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t>Vlastita sredstva</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t xml:space="preserve">Konačni doprinos EP-a </w:t>
            </w:r>
            <w:r w:rsidRPr="00D360B4">
              <w:rPr>
                <w:sz w:val="20"/>
                <w:vertAlign w:val="superscript"/>
                <w14:textOutline w14:w="0" w14:cap="flat" w14:cmpd="sng" w14:algn="ctr">
                  <w14:noFill/>
                  <w14:prstDash w14:val="solid"/>
                  <w14:bevel/>
                </w14:textOutline>
              </w:rPr>
              <w:t>(</w:t>
            </w:r>
            <w:r w:rsidRPr="00D360B4">
              <w:rPr>
                <w:rStyle w:val="FootnoteReference"/>
                <w:sz w:val="20"/>
              </w:rPr>
              <w:footnoteReference w:id="16"/>
            </w:r>
            <w:r w:rsidRPr="00D360B4">
              <w:rPr>
                <w:sz w:val="20"/>
                <w:vertAlign w:val="superscript"/>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t>Ukupni prihodi</w:t>
            </w:r>
            <w:r w:rsidRPr="00D360B4">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t>Doprinos EP-a izražen kao postotak nadoknadivih troškova (do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t>Višak prihoda (prijenos u pričuve ili gubitak)</w:t>
            </w:r>
          </w:p>
        </w:tc>
      </w:tr>
      <w:tr w:rsidR="00C51297" w:rsidRPr="00D360B4" w:rsidTr="00B168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14:textOutline w14:w="0" w14:cap="flat" w14:cmpd="sng" w14:algn="ctr">
                  <w14:noFill/>
                  <w14:prstDash w14:val="solid"/>
                  <w14:bevel/>
                </w14:textOutline>
              </w:rPr>
              <w:t>Europska pučka stranka</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18"/>
                <w14:textOutline w14:w="0" w14:cap="flat" w14:cmpd="sng" w14:algn="ctr">
                  <w14:noFill/>
                  <w14:prstDash w14:val="solid"/>
                  <w14:bevel/>
                </w14:textOutline>
              </w:rPr>
              <w:t>EPP</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14:textOutline w14:w="0" w14:cap="flat" w14:cmpd="sng" w14:algn="ctr">
                  <w14:noFill/>
                  <w14:prstDash w14:val="solid"/>
                  <w14:bevel/>
                </w14:textOutline>
              </w:rPr>
              <w:t>1.655.732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10.720.235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12.375.967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448.128</w:t>
            </w:r>
          </w:p>
        </w:tc>
      </w:tr>
      <w:tr w:rsidR="00C51297" w:rsidRPr="00D360B4" w:rsidTr="00B168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14:textOutline w14:w="0" w14:cap="flat" w14:cmpd="sng" w14:algn="ctr">
                  <w14:noFill/>
                  <w14:prstDash w14:val="solid"/>
                  <w14:bevel/>
                </w14:textOutline>
              </w:rPr>
              <w:t>Stranka europskih socijalista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18"/>
                <w14:textOutline w14:w="0" w14:cap="flat" w14:cmpd="sng" w14:algn="ctr">
                  <w14:noFill/>
                  <w14:prstDash w14:val="solid"/>
                  <w14:bevel/>
                </w14:textOutline>
              </w:rPr>
              <w:t>PES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1.010.502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7.204.815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8.215.317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675.194</w:t>
            </w:r>
          </w:p>
        </w:tc>
      </w:tr>
      <w:tr w:rsidR="00C51297" w:rsidRPr="00D360B4" w:rsidTr="00B168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14:textOutline w14:w="0" w14:cap="flat" w14:cmpd="sng" w14:algn="ctr">
                  <w14:noFill/>
                  <w14:prstDash w14:val="solid"/>
                  <w14:bevel/>
                </w14:textOutline>
              </w:rPr>
              <w:t>Savez liberala i demokrata za Europu</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1.177.316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6.448.482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7.625.798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 xml:space="preserve"> 560.139</w:t>
            </w:r>
          </w:p>
        </w:tc>
      </w:tr>
      <w:tr w:rsidR="00C51297" w:rsidRPr="00D360B4" w:rsidTr="00B168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14:textOutline w14:w="0" w14:cap="flat" w14:cmpd="sng" w14:algn="ctr">
                  <w14:noFill/>
                  <w14:prstDash w14:val="solid"/>
                  <w14:bevel/>
                </w14:textOutline>
              </w:rPr>
              <w:t>Europska stranka zelenih</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proofErr w:type="spellStart"/>
            <w:r w:rsidRPr="00D360B4">
              <w:rPr>
                <w:sz w:val="18"/>
                <w14:textOutline w14:w="0" w14:cap="flat" w14:cmpd="sng" w14:algn="ctr">
                  <w14:noFill/>
                  <w14:prstDash w14:val="solid"/>
                  <w14:bevel/>
                </w14:textOutline>
              </w:rPr>
              <w:t>Verts</w:t>
            </w:r>
            <w:proofErr w:type="spellEnd"/>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661.160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5.384.834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6.045.994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 xml:space="preserve"> 846.993</w:t>
            </w:r>
          </w:p>
        </w:tc>
      </w:tr>
      <w:tr w:rsidR="00C51297" w:rsidRPr="00D360B4" w:rsidTr="00B168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14:textOutline w14:w="0" w14:cap="flat" w14:cmpd="sng" w14:algn="ctr">
                  <w14:noFill/>
                  <w14:prstDash w14:val="solid"/>
                  <w14:bevel/>
                </w14:textOutline>
              </w:rPr>
              <w:t>Stranka europske ljevice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18"/>
                <w14:textOutline w14:w="0" w14:cap="flat" w14:cmpd="sng" w14:algn="ctr">
                  <w14:noFill/>
                  <w14:prstDash w14:val="solid"/>
                  <w14:bevel/>
                </w14:textOutline>
              </w:rPr>
              <w:t>PGE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290.086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2.336.264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2.626.350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 xml:space="preserve"> 40.396</w:t>
            </w:r>
          </w:p>
        </w:tc>
      </w:tr>
      <w:tr w:rsidR="00C51297" w:rsidRPr="00D360B4" w:rsidTr="00B168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14:textOutline w14:w="0" w14:cap="flat" w14:cmpd="sng" w14:algn="ctr">
                  <w14:noFill/>
                  <w14:prstDash w14:val="solid"/>
                  <w14:bevel/>
                </w14:textOutline>
              </w:rPr>
              <w:t>Europska demokratska stranka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18"/>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176.754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1.257.070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1.433.824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 xml:space="preserve"> 127.134</w:t>
            </w:r>
          </w:p>
        </w:tc>
      </w:tr>
      <w:tr w:rsidR="00C51297" w:rsidRPr="00D360B4" w:rsidTr="00B168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14:textOutline w14:w="0" w14:cap="flat" w14:cmpd="sng" w14:algn="ctr">
                  <w14:noFill/>
                  <w14:prstDash w14:val="solid"/>
                  <w14:bevel/>
                </w14:textOutline>
              </w:rPr>
              <w:t>Europski slobodni savez</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18"/>
                <w14:textOutline w14:w="0" w14:cap="flat" w14:cmpd="sng" w14:algn="ctr">
                  <w14:noFill/>
                  <w14:prstDash w14:val="solid"/>
                  <w14:bevel/>
                </w14:textOutline>
              </w:rPr>
              <w:t xml:space="preserve">ALE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112.712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928.957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1.041.669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 xml:space="preserve"> 100.217</w:t>
            </w:r>
          </w:p>
        </w:tc>
      </w:tr>
      <w:tr w:rsidR="00C51297" w:rsidRPr="00D360B4" w:rsidTr="00B168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14:textOutline w14:w="0" w14:cap="flat" w14:cmpd="sng" w14:algn="ctr">
                  <w14:noFill/>
                  <w14:prstDash w14:val="solid"/>
                  <w14:bevel/>
                </w14:textOutline>
              </w:rPr>
              <w:t>Stranka Europskih konzervativaca i reformista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18"/>
                <w14:textOutline w14:w="0" w14:cap="flat" w14:cmpd="sng" w14:algn="ctr">
                  <w14:noFill/>
                  <w14:prstDash w14:val="solid"/>
                  <w14:bevel/>
                </w14:textOutline>
              </w:rPr>
              <w:t>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515.571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1.958.597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2.474.168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 xml:space="preserve"> -</w:t>
            </w:r>
          </w:p>
        </w:tc>
      </w:tr>
      <w:tr w:rsidR="00C51297" w:rsidRPr="00D360B4" w:rsidTr="00B168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14:textOutline w14:w="0" w14:cap="flat" w14:cmpd="sng" w14:algn="ctr">
                  <w14:noFill/>
                  <w14:prstDash w14:val="solid"/>
                  <w14:bevel/>
                </w14:textOutline>
              </w:rPr>
              <w:t>Europski kršćanski politički pokret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18"/>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72.331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615.809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688.140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 xml:space="preserve"> - </w:t>
            </w:r>
          </w:p>
        </w:tc>
      </w:tr>
      <w:tr w:rsidR="00C51297" w:rsidRPr="00D360B4" w:rsidTr="00B16816">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14:textOutline w14:w="0" w14:cap="flat" w14:cmpd="sng" w14:algn="ctr">
                  <w14:noFill/>
                  <w14:prstDash w14:val="solid"/>
                  <w14:bevel/>
                </w14:textOutline>
              </w:rPr>
              <w:t>Stranka Identitet i demokracija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18"/>
                <w14:textOutline w14:w="0" w14:cap="flat" w14:cmpd="sng" w14:algn="ctr">
                  <w14:noFill/>
                  <w14:prstDash w14:val="solid"/>
                  <w14:bevel/>
                </w14:textOutline>
              </w:rPr>
              <w:t>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 xml:space="preserve">331.742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 xml:space="preserve">618.311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950.053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74 %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right"/>
              <w:rPr>
                <w:sz w:val="20"/>
                <w14:textOutline w14:w="0" w14:cap="flat" w14:cmpd="sng" w14:algn="ctr">
                  <w14:noFill/>
                  <w14:prstDash w14:val="solid"/>
                  <w14:bevel/>
                </w14:textOutline>
              </w:rPr>
            </w:pPr>
            <w:r w:rsidRPr="00D360B4">
              <w:rPr>
                <w:sz w:val="20"/>
              </w:rPr>
              <w:t xml:space="preserve"> - </w:t>
            </w:r>
          </w:p>
        </w:tc>
      </w:tr>
      <w:tr w:rsidR="00C51297" w:rsidRPr="00D360B4" w:rsidTr="00B16816">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right"/>
              <w:rPr>
                <w:sz w:val="20"/>
                <w14:textOutline w14:w="0" w14:cap="flat" w14:cmpd="sng" w14:algn="ctr">
                  <w14:noFill/>
                  <w14:prstDash w14:val="solid"/>
                  <w14:bevel/>
                </w14:textOutline>
              </w:rPr>
            </w:pPr>
            <w:r w:rsidRPr="00D360B4">
              <w:rPr>
                <w:b/>
                <w:sz w:val="20"/>
                <w14:textOutline w14:w="0" w14:cap="flat" w14:cmpd="sng" w14:algn="ctr">
                  <w14:noFill/>
                  <w14:prstDash w14:val="solid"/>
                  <w14:bevel/>
                </w14:textOutline>
              </w:rPr>
              <w:t>UKUPNO</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C51297" w:rsidRPr="00D360B4" w:rsidRDefault="00C51297" w:rsidP="00B16816">
            <w:pPr>
              <w:jc w:val="right"/>
              <w:rPr>
                <w:b/>
                <w:bCs/>
                <w:sz w:val="20"/>
              </w:rPr>
            </w:pPr>
            <w:r w:rsidRPr="00D360B4">
              <w:rPr>
                <w:b/>
                <w:sz w:val="20"/>
              </w:rPr>
              <w:t>6.003.906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C51297" w:rsidRPr="00D360B4" w:rsidRDefault="00C51297" w:rsidP="00B16816">
            <w:pPr>
              <w:jc w:val="right"/>
              <w:rPr>
                <w:b/>
                <w:bCs/>
                <w:sz w:val="20"/>
              </w:rPr>
            </w:pPr>
            <w:r w:rsidRPr="00D360B4">
              <w:rPr>
                <w:b/>
                <w:sz w:val="20"/>
              </w:rPr>
              <w:t>37.473.375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C51297" w:rsidRPr="00D360B4" w:rsidRDefault="00C51297" w:rsidP="00B16816">
            <w:pPr>
              <w:jc w:val="right"/>
              <w:rPr>
                <w:b/>
                <w:bCs/>
                <w:sz w:val="20"/>
              </w:rPr>
            </w:pPr>
            <w:r w:rsidRPr="00D360B4">
              <w:rPr>
                <w:b/>
                <w:sz w:val="20"/>
              </w:rPr>
              <w:t>43.477.281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C51297" w:rsidRPr="00D360B4" w:rsidRDefault="00C51297" w:rsidP="00B16816">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C51297" w:rsidRPr="00D360B4" w:rsidRDefault="00C51297" w:rsidP="00B16816">
            <w:pPr>
              <w:jc w:val="right"/>
              <w:rPr>
                <w:b/>
                <w:sz w:val="20"/>
              </w:rPr>
            </w:pPr>
            <w:r w:rsidRPr="00D360B4">
              <w:rPr>
                <w:b/>
                <w:sz w:val="20"/>
              </w:rPr>
              <w:t>2.798.201</w:t>
            </w:r>
          </w:p>
        </w:tc>
      </w:tr>
    </w:tbl>
    <w:p w:rsidR="00C51297" w:rsidRPr="00D360B4" w:rsidRDefault="00C51297" w:rsidP="00C51297">
      <w:pPr>
        <w:rPr>
          <w:noProof/>
        </w:rPr>
      </w:pPr>
    </w:p>
    <w:p w:rsidR="00C51297" w:rsidRPr="00D360B4" w:rsidRDefault="0005169F" w:rsidP="00C5129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180</w:t>
      </w:r>
      <w:r w:rsidR="00C51297" w:rsidRPr="00D360B4">
        <w:rPr>
          <w14:textOutline w14:w="0" w14:cap="flat" w14:cmpd="sng" w14:algn="ctr">
            <w14:noFill/>
            <w14:prstDash w14:val="solid"/>
            <w14:bevel/>
          </w14:textOutline>
        </w:rPr>
        <w:t>.</w:t>
      </w:r>
      <w:r w:rsidR="00C51297" w:rsidRPr="00D360B4">
        <w:rPr>
          <w14:textOutline w14:w="0" w14:cap="flat" w14:cmpd="sng" w14:algn="ctr">
            <w14:noFill/>
            <w14:prstDash w14:val="solid"/>
            <w14:bevel/>
          </w14:textOutline>
        </w:rPr>
        <w:tab/>
        <w:t>napominje da su 2022. odobrena sredstva unesena u proračunsku stavku 403 korištena kako slijedi</w:t>
      </w:r>
      <w:r w:rsidR="00C51297" w:rsidRPr="00D360B4">
        <w:rPr>
          <w:rStyle w:val="FootnoteReference"/>
          <w:szCs w:val="24"/>
        </w:rPr>
        <w:footnoteReference w:id="17"/>
      </w:r>
      <w:r w:rsidR="00C51297" w:rsidRPr="00D360B4">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C51297" w:rsidRPr="00D360B4" w:rsidTr="00B16816">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t>Zaklada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t>Pokrata ili skraćeni naziv</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t>Stranka kojoj je pridružena</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t>Vlastita sredstva</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t>Konačna bespovratna sredstva EP-a</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t>Ukupni prihodi</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t>Bespovratna sredstva EP-a izražena kao postotak prihvatljivih troškova (do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center"/>
              <w:rPr>
                <w:szCs w:val="24"/>
                <w14:textOutline w14:w="0" w14:cap="flat" w14:cmpd="sng" w14:algn="ctr">
                  <w14:noFill/>
                  <w14:prstDash w14:val="solid"/>
                  <w14:bevel/>
                </w14:textOutline>
              </w:rPr>
            </w:pPr>
            <w:r w:rsidRPr="00D360B4">
              <w:rPr>
                <w:sz w:val="20"/>
                <w14:textOutline w14:w="0" w14:cap="flat" w14:cmpd="sng" w14:algn="ctr">
                  <w14:noFill/>
                  <w14:prstDash w14:val="solid"/>
                  <w14:bevel/>
                </w14:textOutline>
              </w:rPr>
              <w:t>Višak prihoda (prijenos u pričuve ili gubitak)</w:t>
            </w:r>
          </w:p>
        </w:tc>
      </w:tr>
      <w:tr w:rsidR="00C51297" w:rsidRPr="00D360B4" w:rsidTr="00B168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rPr>
              <w:lastRenderedPageBreak/>
              <w:t xml:space="preserve">Centar za europske studije </w:t>
            </w:r>
            <w:proofErr w:type="spellStart"/>
            <w:r w:rsidRPr="00D360B4">
              <w:rPr>
                <w:sz w:val="20"/>
              </w:rPr>
              <w:t>Wilfried</w:t>
            </w:r>
            <w:proofErr w:type="spellEnd"/>
            <w:r w:rsidRPr="00D360B4">
              <w:rPr>
                <w:sz w:val="20"/>
              </w:rPr>
              <w:t xml:space="preserve"> </w:t>
            </w:r>
            <w:proofErr w:type="spellStart"/>
            <w:r w:rsidRPr="00D360B4">
              <w:rPr>
                <w:sz w:val="20"/>
              </w:rPr>
              <w:t>Martens</w:t>
            </w:r>
            <w:proofErr w:type="spellEnd"/>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EPP</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643.606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5.963.141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6.606.747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235.689</w:t>
            </w:r>
          </w:p>
        </w:tc>
      </w:tr>
      <w:tr w:rsidR="00C51297" w:rsidRPr="00D360B4" w:rsidTr="00B16816">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rPr>
              <w:t>Zaklada za europske napredne studije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613.626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4.959.360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5.572.986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288.687</w:t>
            </w:r>
          </w:p>
        </w:tc>
      </w:tr>
      <w:tr w:rsidR="00C51297" w:rsidRPr="00D360B4" w:rsidTr="00B168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rPr>
              <w:t>Europski liberalni forum</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306.991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2.636.977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2.943.968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 xml:space="preserve"> - </w:t>
            </w:r>
          </w:p>
        </w:tc>
      </w:tr>
      <w:tr w:rsidR="00C51297" w:rsidRPr="00D360B4" w:rsidTr="00B168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rPr>
              <w:t>Zelena europska zaklada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proofErr w:type="spellStart"/>
            <w:r w:rsidRPr="00D360B4">
              <w:rPr>
                <w:sz w:val="20"/>
              </w:rPr>
              <w:t>Verts</w:t>
            </w:r>
            <w:proofErr w:type="spellEnd"/>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182.933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2.088.792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2.271.726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 xml:space="preserve"> - </w:t>
            </w:r>
          </w:p>
        </w:tc>
      </w:tr>
      <w:tr w:rsidR="00C51297" w:rsidRPr="00D360B4" w:rsidTr="00B168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rPr>
              <w:t>Preobrazimo Europu</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PGE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77.965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1.191.366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1.269.331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 xml:space="preserve"> 3.696 </w:t>
            </w:r>
          </w:p>
        </w:tc>
      </w:tr>
      <w:tr w:rsidR="00C51297" w:rsidRPr="00D360B4" w:rsidTr="00B168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rPr>
              <w:t>Institut europskih demokrata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42.791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502.109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544.899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 xml:space="preserve"> - </w:t>
            </w:r>
          </w:p>
        </w:tc>
      </w:tr>
      <w:tr w:rsidR="00C51297" w:rsidRPr="00D360B4" w:rsidTr="00B168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rPr>
              <w:t xml:space="preserve">Zaklada </w:t>
            </w:r>
            <w:proofErr w:type="spellStart"/>
            <w:r w:rsidRPr="00D360B4">
              <w:rPr>
                <w:sz w:val="20"/>
              </w:rPr>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proofErr w:type="spellStart"/>
            <w:r w:rsidRPr="00D360B4">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77.009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561.149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638.158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 xml:space="preserve"> 23.981 </w:t>
            </w:r>
          </w:p>
        </w:tc>
      </w:tr>
      <w:tr w:rsidR="00C51297" w:rsidRPr="00D360B4" w:rsidTr="00B168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rPr>
              <w:t>Novi smjer – Zaklada za europsku reformu</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384.557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2.052.425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2.436.982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 xml:space="preserve"> - </w:t>
            </w:r>
          </w:p>
        </w:tc>
      </w:tr>
      <w:tr w:rsidR="00C51297" w:rsidRPr="00D360B4" w:rsidTr="00B168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297" w:rsidRPr="00D360B4" w:rsidRDefault="00C51297" w:rsidP="00B16816">
            <w:pPr>
              <w:widowControl/>
              <w:jc w:val="center"/>
              <w:rPr>
                <w:sz w:val="20"/>
                <w14:textOutline w14:w="0" w14:cap="flat" w14:cmpd="sng" w14:algn="ctr">
                  <w14:noFill/>
                  <w14:prstDash w14:val="solid"/>
                  <w14:bevel/>
                </w14:textOutline>
              </w:rPr>
            </w:pPr>
            <w:proofErr w:type="spellStart"/>
            <w:r w:rsidRPr="00D360B4">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21.233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401.927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423.160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 xml:space="preserve"> - </w:t>
            </w:r>
          </w:p>
        </w:tc>
      </w:tr>
      <w:tr w:rsidR="00C51297" w:rsidRPr="00D360B4" w:rsidTr="00B16816">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1297" w:rsidRPr="00D360B4" w:rsidRDefault="00C51297" w:rsidP="00B16816">
            <w:pPr>
              <w:widowControl/>
              <w:jc w:val="center"/>
              <w:rPr>
                <w:sz w:val="20"/>
                <w14:textOutline w14:w="0" w14:cap="flat" w14:cmpd="sng" w14:algn="ctr">
                  <w14:noFill/>
                  <w14:prstDash w14:val="solid"/>
                  <w14:bevel/>
                </w14:textOutline>
              </w:rPr>
            </w:pPr>
            <w:r w:rsidRPr="00D360B4">
              <w:rPr>
                <w:sz w:val="20"/>
              </w:rPr>
              <w:t>Zaklada Udruženja za identitet i demokraciju</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Zaklada ID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center"/>
              <w:rPr>
                <w:sz w:val="20"/>
              </w:rPr>
            </w:pPr>
            <w:r w:rsidRPr="00D360B4">
              <w:rPr>
                <w:sz w:val="20"/>
              </w:rPr>
              <w:t>ID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46.893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577.027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623.920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C51297" w:rsidRPr="00D360B4" w:rsidRDefault="00C51297" w:rsidP="00B16816">
            <w:pPr>
              <w:jc w:val="right"/>
              <w:rPr>
                <w:sz w:val="20"/>
              </w:rPr>
            </w:pPr>
            <w:r w:rsidRPr="00D360B4">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C51297" w:rsidRPr="00D360B4" w:rsidRDefault="00C51297" w:rsidP="00B16816">
            <w:pPr>
              <w:jc w:val="right"/>
              <w:rPr>
                <w:sz w:val="20"/>
              </w:rPr>
            </w:pPr>
            <w:r w:rsidRPr="00D360B4">
              <w:rPr>
                <w:sz w:val="20"/>
              </w:rPr>
              <w:t xml:space="preserve"> - </w:t>
            </w:r>
          </w:p>
        </w:tc>
      </w:tr>
      <w:tr w:rsidR="00C51297" w:rsidRPr="00D360B4" w:rsidTr="00B16816">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widowControl/>
              <w:jc w:val="right"/>
              <w:rPr>
                <w:b/>
                <w:szCs w:val="24"/>
                <w14:textOutline w14:w="0" w14:cap="flat" w14:cmpd="sng" w14:algn="ctr">
                  <w14:noFill/>
                  <w14:prstDash w14:val="solid"/>
                  <w14:bevel/>
                </w14:textOutline>
              </w:rPr>
            </w:pPr>
            <w:r w:rsidRPr="00D360B4">
              <w:rPr>
                <w:b/>
                <w:sz w:val="20"/>
                <w14:textOutline w14:w="0" w14:cap="flat" w14:cmpd="sng" w14:algn="ctr">
                  <w14:noFill/>
                  <w14:prstDash w14:val="solid"/>
                  <w14:bevel/>
                </w14:textOutline>
              </w:rPr>
              <w:t>UKUPNO</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C51297" w:rsidRPr="00D360B4" w:rsidRDefault="00C51297" w:rsidP="00B16816">
            <w:pPr>
              <w:rPr>
                <w:szCs w:val="24"/>
                <w14:textOutline w14:w="0" w14:cap="flat" w14:cmpd="sng" w14:algn="ctr">
                  <w14:noFill/>
                  <w14:prstDash w14:val="solid"/>
                  <w14:bevel/>
                </w14:textOutline>
              </w:rPr>
            </w:pPr>
            <w:r w:rsidRPr="00D360B4">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C51297" w:rsidRPr="00D360B4" w:rsidRDefault="00C51297" w:rsidP="00B16816">
            <w:pPr>
              <w:jc w:val="right"/>
              <w:rPr>
                <w:b/>
                <w:sz w:val="20"/>
              </w:rPr>
            </w:pPr>
            <w:r w:rsidRPr="00D360B4">
              <w:rPr>
                <w:b/>
                <w:sz w:val="20"/>
              </w:rPr>
              <w:t>2.397.604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C51297" w:rsidRPr="00D360B4" w:rsidRDefault="00C51297" w:rsidP="00B16816">
            <w:pPr>
              <w:jc w:val="right"/>
              <w:rPr>
                <w:b/>
                <w:sz w:val="20"/>
              </w:rPr>
            </w:pPr>
            <w:r w:rsidRPr="00D360B4">
              <w:rPr>
                <w:b/>
                <w:sz w:val="20"/>
              </w:rPr>
              <w:t>20.934.273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C51297" w:rsidRPr="00D360B4" w:rsidRDefault="00C51297" w:rsidP="00B16816">
            <w:pPr>
              <w:jc w:val="right"/>
              <w:rPr>
                <w:b/>
                <w:sz w:val="20"/>
              </w:rPr>
            </w:pPr>
            <w:r w:rsidRPr="00D360B4">
              <w:rPr>
                <w:b/>
                <w:sz w:val="20"/>
              </w:rPr>
              <w:t>23.331.877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C51297" w:rsidRPr="00D360B4" w:rsidRDefault="00C51297" w:rsidP="00B16816">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C51297" w:rsidRPr="00D360B4" w:rsidRDefault="00C51297" w:rsidP="00B16816">
            <w:pPr>
              <w:jc w:val="right"/>
              <w:rPr>
                <w:b/>
                <w:sz w:val="20"/>
              </w:rPr>
            </w:pPr>
            <w:r w:rsidRPr="00D360B4">
              <w:rPr>
                <w:b/>
                <w:sz w:val="20"/>
              </w:rPr>
              <w:t>552.053</w:t>
            </w:r>
          </w:p>
        </w:tc>
      </w:tr>
    </w:tbl>
    <w:p w:rsidR="00E365E1" w:rsidRPr="00D360B4" w:rsidRDefault="00E365E1" w:rsidP="00B16816">
      <w:pPr>
        <w:pStyle w:val="PageHeading"/>
      </w:pPr>
    </w:p>
    <w:sectPr w:rsidR="00E365E1" w:rsidRPr="00D360B4" w:rsidSect="00B1681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B04" w:rsidRPr="00D360B4" w:rsidRDefault="00DF7B04">
      <w:r w:rsidRPr="00D360B4">
        <w:separator/>
      </w:r>
    </w:p>
  </w:endnote>
  <w:endnote w:type="continuationSeparator" w:id="0">
    <w:p w:rsidR="00DF7B04" w:rsidRPr="00D360B4" w:rsidRDefault="00DF7B04">
      <w:r w:rsidRPr="00D360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B04" w:rsidRPr="00D360B4" w:rsidRDefault="00DF7B04" w:rsidP="00B16816">
    <w:pPr>
      <w:pStyle w:val="EPFooter"/>
    </w:pPr>
    <w:r w:rsidRPr="00D360B4">
      <w:t>PE</w:t>
    </w:r>
    <w:r w:rsidRPr="00D360B4">
      <w:rPr>
        <w:rStyle w:val="HideTWBExt"/>
      </w:rPr>
      <w:t>&lt;NoPE&gt;</w:t>
    </w:r>
    <w:r w:rsidRPr="00D360B4">
      <w:t>753.634</w:t>
    </w:r>
    <w:r w:rsidRPr="00D360B4">
      <w:rPr>
        <w:rStyle w:val="HideTWBExt"/>
      </w:rPr>
      <w:t>&lt;/NoPE&gt;&lt;Version&gt;</w:t>
    </w:r>
    <w:r w:rsidRPr="00D360B4">
      <w:t>v02-00</w:t>
    </w:r>
    <w:r w:rsidRPr="00D360B4">
      <w:rPr>
        <w:rStyle w:val="HideTWBExt"/>
      </w:rPr>
      <w:t>&lt;/Version&gt;</w:t>
    </w:r>
    <w:r w:rsidRPr="00D360B4">
      <w:tab/>
    </w:r>
    <w:r w:rsidRPr="00D360B4">
      <w:fldChar w:fldCharType="begin"/>
    </w:r>
    <w:r w:rsidRPr="00D360B4">
      <w:instrText xml:space="preserve"> PAGE  \* MERGEFORMAT </w:instrText>
    </w:r>
    <w:r w:rsidRPr="00D360B4">
      <w:fldChar w:fldCharType="separate"/>
    </w:r>
    <w:r w:rsidRPr="00D360B4">
      <w:rPr>
        <w:noProof/>
      </w:rPr>
      <w:t>2</w:t>
    </w:r>
    <w:r w:rsidRPr="00D360B4">
      <w:fldChar w:fldCharType="end"/>
    </w:r>
    <w:r w:rsidRPr="00D360B4">
      <w:t>/</w:t>
    </w:r>
    <w:r w:rsidR="002B322D">
      <w:fldChar w:fldCharType="begin"/>
    </w:r>
    <w:r w:rsidR="002B322D">
      <w:instrText xml:space="preserve"> NUMPAGES  \* MERGEFORMAT </w:instrText>
    </w:r>
    <w:r w:rsidR="002B322D">
      <w:fldChar w:fldCharType="separate"/>
    </w:r>
    <w:r w:rsidRPr="00D360B4">
      <w:rPr>
        <w:noProof/>
      </w:rPr>
      <w:t>3</w:t>
    </w:r>
    <w:r w:rsidR="002B322D">
      <w:rPr>
        <w:noProof/>
      </w:rPr>
      <w:fldChar w:fldCharType="end"/>
    </w:r>
    <w:r w:rsidRPr="00D360B4">
      <w:tab/>
    </w:r>
    <w:r w:rsidRPr="00D360B4">
      <w:rPr>
        <w:rStyle w:val="HideTWBExt"/>
      </w:rPr>
      <w:t>&lt;PathFdR&gt;</w:t>
    </w:r>
    <w:r w:rsidRPr="00D360B4">
      <w:t>RR\1298085HR.docx</w:t>
    </w:r>
    <w:r w:rsidRPr="00D360B4">
      <w:rPr>
        <w:rStyle w:val="HideTWBExt"/>
      </w:rPr>
      <w:t>&lt;/PathFdR&gt;</w:t>
    </w:r>
  </w:p>
  <w:p w:rsidR="00DF7B04" w:rsidRPr="00D360B4" w:rsidRDefault="00DF7B04" w:rsidP="00B16816">
    <w:pPr>
      <w:pStyle w:val="EPFooter2"/>
    </w:pPr>
    <w:r w:rsidRPr="00D360B4">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B04" w:rsidRPr="00D360B4" w:rsidRDefault="00DF7B04" w:rsidP="00B16816">
    <w:pPr>
      <w:pStyle w:val="EPFooter"/>
    </w:pPr>
    <w:r w:rsidRPr="00D360B4">
      <w:rPr>
        <w:rStyle w:val="HideTWBExt"/>
      </w:rPr>
      <w:t>&lt;PathFdR&gt;</w:t>
    </w:r>
    <w:r w:rsidRPr="00D360B4">
      <w:t>RR\1298085HR.docx</w:t>
    </w:r>
    <w:r w:rsidRPr="00D360B4">
      <w:rPr>
        <w:rStyle w:val="HideTWBExt"/>
      </w:rPr>
      <w:t>&lt;/PathFdR&gt;</w:t>
    </w:r>
    <w:r w:rsidRPr="00D360B4">
      <w:tab/>
    </w:r>
    <w:r w:rsidRPr="00D360B4">
      <w:tab/>
      <w:t>PE</w:t>
    </w:r>
    <w:r w:rsidRPr="00D360B4">
      <w:rPr>
        <w:rStyle w:val="HideTWBExt"/>
      </w:rPr>
      <w:t>&lt;NoPE&gt;</w:t>
    </w:r>
    <w:r w:rsidRPr="00D360B4">
      <w:t>753.634</w:t>
    </w:r>
    <w:r w:rsidRPr="00D360B4">
      <w:rPr>
        <w:rStyle w:val="HideTWBExt"/>
      </w:rPr>
      <w:t>&lt;/NoPE&gt;&lt;Version&gt;</w:t>
    </w:r>
    <w:r w:rsidRPr="00D360B4">
      <w:t>v02-00</w:t>
    </w:r>
    <w:r w:rsidRPr="00D360B4">
      <w:rPr>
        <w:rStyle w:val="HideTWBExt"/>
      </w:rPr>
      <w:t>&lt;/Version&gt;</w:t>
    </w:r>
  </w:p>
  <w:p w:rsidR="00DF7B04" w:rsidRPr="00D360B4" w:rsidRDefault="00DF7B04" w:rsidP="00B16816">
    <w:pPr>
      <w:pStyle w:val="EPFooter2"/>
    </w:pPr>
    <w:r w:rsidRPr="00D360B4">
      <w:t>HR</w:t>
    </w:r>
    <w:r w:rsidRPr="00D360B4">
      <w:tab/>
    </w:r>
    <w:r w:rsidRPr="00D360B4">
      <w:rPr>
        <w:b w:val="0"/>
        <w:i/>
        <w:color w:val="C0C0C0"/>
        <w:sz w:val="22"/>
      </w:rPr>
      <w:t>Ujedinjena u raznolikosti</w:t>
    </w:r>
    <w:r w:rsidRPr="00D360B4">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B04" w:rsidRPr="00D360B4" w:rsidRDefault="00DF7B0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B04" w:rsidRPr="00D360B4" w:rsidRDefault="00DF7B04"/>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B04" w:rsidRPr="00D360B4" w:rsidRDefault="00DF7B0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B04" w:rsidRPr="00D360B4" w:rsidRDefault="00DF7B04">
      <w:r w:rsidRPr="00D360B4">
        <w:separator/>
      </w:r>
    </w:p>
  </w:footnote>
  <w:footnote w:type="continuationSeparator" w:id="0">
    <w:p w:rsidR="00DF7B04" w:rsidRPr="00D360B4" w:rsidRDefault="00DF7B04">
      <w:r w:rsidRPr="00D360B4">
        <w:continuationSeparator/>
      </w:r>
    </w:p>
  </w:footnote>
  <w:footnote w:id="1">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SL L 45, 24.2.2022., str. 1.</w:t>
      </w:r>
    </w:p>
  </w:footnote>
  <w:footnote w:id="2">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SL C C/2023/2, 12.10.2023.</w:t>
      </w:r>
    </w:p>
  </w:footnote>
  <w:footnote w:id="3">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SL C 210, 15.6.2023., str. 1.</w:t>
      </w:r>
    </w:p>
  </w:footnote>
  <w:footnote w:id="4">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SL C C/2023/103, 4.10.2023.</w:t>
      </w:r>
    </w:p>
  </w:footnote>
  <w:footnote w:id="5">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SL C C/2023/112, 12.10.2023.</w:t>
      </w:r>
    </w:p>
  </w:footnote>
  <w:footnote w:id="6">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SL L 193, 30.7.2018., str. 1.</w:t>
      </w:r>
    </w:p>
  </w:footnote>
  <w:footnote w:id="7">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Uredba Vijeća (EU, Euratom) 2020/2093 od 17. prosinca 2020. kojom se utvrđuje višegodišnji financijski okvir za razdoblje 2021. – 2027. (SL L 433 I, 22.12.2020., str. 11.).</w:t>
      </w:r>
    </w:p>
  </w:footnote>
  <w:footnote w:id="8">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r>
      <w:proofErr w:type="spellStart"/>
      <w:r w:rsidRPr="00D360B4">
        <w:rPr>
          <w:sz w:val="24"/>
          <w:lang w:val="hr-HR"/>
        </w:rPr>
        <w:t>Međuinstitucijski</w:t>
      </w:r>
      <w:proofErr w:type="spellEnd"/>
      <w:r w:rsidRPr="00D360B4">
        <w:rPr>
          <w:sz w:val="24"/>
          <w:lang w:val="hr-HR"/>
        </w:rPr>
        <w:t xml:space="preserve"> sporazum od 20. svibnja 2021. Europskog parlamenta, Vijeća Europske unije i Europske komisije o obveznom registru transparentnosti (SL L 207, 11.6.2021., str. 1.).</w:t>
      </w:r>
    </w:p>
  </w:footnote>
  <w:footnote w:id="9">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P9_TA(2024)0036.</w:t>
      </w:r>
    </w:p>
  </w:footnote>
  <w:footnote w:id="10">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https://www.eca.europa.eu/other%20publications/pl1407_letter/pl1407_letter_hr.pdf</w:t>
      </w:r>
    </w:p>
  </w:footnote>
  <w:footnote w:id="11">
    <w:p w:rsidR="00DF7B04" w:rsidRPr="0005169F" w:rsidRDefault="00DF7B04" w:rsidP="0005169F">
      <w:pPr>
        <w:pStyle w:val="FootnoteText"/>
        <w:ind w:left="567" w:hanging="567"/>
        <w:rPr>
          <w:lang w:val="sl-SI"/>
        </w:rPr>
      </w:pPr>
      <w:r>
        <w:rPr>
          <w:rStyle w:val="FootnoteReference"/>
        </w:rPr>
        <w:footnoteRef/>
      </w:r>
      <w:r w:rsidRPr="002519A1">
        <w:rPr>
          <w:lang w:val="pl-PL"/>
        </w:rPr>
        <w:t xml:space="preserve"> </w:t>
      </w:r>
      <w:r w:rsidRPr="002519A1">
        <w:rPr>
          <w:lang w:val="pl-PL"/>
        </w:rPr>
        <w:tab/>
      </w:r>
      <w:proofErr w:type="spellStart"/>
      <w:r w:rsidRPr="002519A1">
        <w:rPr>
          <w:sz w:val="24"/>
          <w:szCs w:val="24"/>
          <w:lang w:val="pl-PL"/>
        </w:rPr>
        <w:t>Dopis</w:t>
      </w:r>
      <w:proofErr w:type="spellEnd"/>
      <w:r w:rsidRPr="002519A1">
        <w:rPr>
          <w:sz w:val="24"/>
          <w:szCs w:val="24"/>
          <w:lang w:val="pl-PL"/>
        </w:rPr>
        <w:t xml:space="preserve"> Radne </w:t>
      </w:r>
      <w:proofErr w:type="spellStart"/>
      <w:r w:rsidRPr="002519A1">
        <w:rPr>
          <w:sz w:val="24"/>
          <w:szCs w:val="24"/>
          <w:lang w:val="pl-PL"/>
        </w:rPr>
        <w:t>skupine</w:t>
      </w:r>
      <w:proofErr w:type="spellEnd"/>
      <w:r w:rsidRPr="002519A1">
        <w:rPr>
          <w:sz w:val="24"/>
          <w:szCs w:val="24"/>
          <w:lang w:val="pl-PL"/>
        </w:rPr>
        <w:t xml:space="preserve"> za </w:t>
      </w:r>
      <w:proofErr w:type="spellStart"/>
      <w:r w:rsidRPr="002519A1">
        <w:rPr>
          <w:sz w:val="24"/>
          <w:szCs w:val="24"/>
          <w:lang w:val="pl-PL"/>
        </w:rPr>
        <w:t>zgrade</w:t>
      </w:r>
      <w:proofErr w:type="spellEnd"/>
      <w:r w:rsidRPr="002519A1">
        <w:rPr>
          <w:sz w:val="24"/>
          <w:szCs w:val="24"/>
          <w:lang w:val="pl-PL"/>
        </w:rPr>
        <w:t xml:space="preserve">, promet i </w:t>
      </w:r>
      <w:proofErr w:type="spellStart"/>
      <w:r w:rsidRPr="002519A1">
        <w:rPr>
          <w:sz w:val="24"/>
          <w:szCs w:val="24"/>
          <w:lang w:val="pl-PL"/>
        </w:rPr>
        <w:t>zeleni</w:t>
      </w:r>
      <w:proofErr w:type="spellEnd"/>
      <w:r w:rsidRPr="002519A1">
        <w:rPr>
          <w:sz w:val="24"/>
          <w:szCs w:val="24"/>
          <w:lang w:val="pl-PL"/>
        </w:rPr>
        <w:t xml:space="preserve"> Parlament </w:t>
      </w:r>
      <w:proofErr w:type="spellStart"/>
      <w:r w:rsidRPr="002519A1">
        <w:rPr>
          <w:sz w:val="24"/>
          <w:szCs w:val="24"/>
          <w:lang w:val="pl-PL"/>
        </w:rPr>
        <w:t>Predsjedništvu</w:t>
      </w:r>
      <w:proofErr w:type="spellEnd"/>
      <w:r w:rsidRPr="002519A1">
        <w:rPr>
          <w:sz w:val="24"/>
          <w:szCs w:val="24"/>
          <w:lang w:val="pl-PL"/>
        </w:rPr>
        <w:t xml:space="preserve"> (2023)10939, § 16)</w:t>
      </w:r>
    </w:p>
  </w:footnote>
  <w:footnote w:id="12">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Uredba br. </w:t>
      </w:r>
      <w:r w:rsidRPr="00D360B4">
        <w:rPr>
          <w:sz w:val="24"/>
          <w:lang w:val="hr-HR"/>
        </w:rPr>
        <w:t>1 o određivanju jezika koji se koriste u Euro</w:t>
      </w:r>
      <w:r w:rsidR="002519A1">
        <w:rPr>
          <w:sz w:val="24"/>
          <w:lang w:val="hr-HR"/>
        </w:rPr>
        <w:t>pskoj ekonomskoj zajednici (SL </w:t>
      </w:r>
      <w:r w:rsidR="002B322D">
        <w:rPr>
          <w:sz w:val="24"/>
          <w:lang w:val="hr-HR"/>
        </w:rPr>
        <w:t xml:space="preserve">P </w:t>
      </w:r>
      <w:bookmarkStart w:id="9" w:name="_GoBack"/>
      <w:bookmarkEnd w:id="9"/>
      <w:r w:rsidR="002519A1">
        <w:rPr>
          <w:sz w:val="24"/>
          <w:lang w:val="hr-HR"/>
        </w:rPr>
        <w:t>17, 6.10.1958</w:t>
      </w:r>
      <w:r w:rsidRPr="00D360B4">
        <w:rPr>
          <w:sz w:val="24"/>
          <w:lang w:val="hr-HR"/>
        </w:rPr>
        <w:t>., str. 385</w:t>
      </w:r>
      <w:r w:rsidR="002519A1">
        <w:rPr>
          <w:sz w:val="24"/>
          <w:lang w:val="hr-HR"/>
        </w:rPr>
        <w:t>.</w:t>
      </w:r>
      <w:r w:rsidRPr="00D360B4">
        <w:rPr>
          <w:sz w:val="24"/>
          <w:lang w:val="hr-HR"/>
        </w:rPr>
        <w:t>).</w:t>
      </w:r>
    </w:p>
  </w:footnote>
  <w:footnote w:id="13">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SL L 317, 4.11.2014., str. 1.</w:t>
      </w:r>
    </w:p>
  </w:footnote>
  <w:footnote w:id="14">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Svi iznosi izraženi su u tisućama EUR.</w:t>
      </w:r>
    </w:p>
  </w:footnote>
  <w:footnote w:id="15">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Svi iznosi izraženi su u tisućama EUR.</w:t>
      </w:r>
    </w:p>
  </w:footnote>
  <w:footnote w:id="16">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Sastoji se od drugog dijela konačnih sredstava za 2021. i prvog dijela konačnih sredstava za 2022. u skladu s Odlukom Predsjedništva od 26. veljače 2024.</w:t>
      </w:r>
    </w:p>
  </w:footnote>
  <w:footnote w:id="17">
    <w:p w:rsidR="00DF7B04" w:rsidRPr="00D360B4" w:rsidRDefault="00DF7B04" w:rsidP="00D360B4">
      <w:pPr>
        <w:pStyle w:val="FootnoteText"/>
        <w:ind w:left="567" w:hanging="567"/>
        <w:rPr>
          <w:sz w:val="24"/>
          <w:lang w:val="hr-HR"/>
        </w:rPr>
      </w:pPr>
      <w:r w:rsidRPr="00D360B4">
        <w:rPr>
          <w:rStyle w:val="FootnoteReference"/>
          <w:sz w:val="24"/>
          <w:lang w:val="hr-HR"/>
        </w:rPr>
        <w:footnoteRef/>
      </w:r>
      <w:r w:rsidRPr="00D360B4">
        <w:rPr>
          <w:sz w:val="24"/>
          <w:lang w:val="hr-HR"/>
        </w:rPr>
        <w:t xml:space="preserve"> </w:t>
      </w:r>
      <w:r w:rsidRPr="00D360B4">
        <w:rPr>
          <w:sz w:val="24"/>
          <w:lang w:val="hr-HR"/>
        </w:rPr>
        <w:tab/>
        <w:t>Svi iznosi izraženi su u tisućama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B04" w:rsidRPr="00D360B4" w:rsidRDefault="00DF7B0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B04" w:rsidRPr="00D360B4" w:rsidRDefault="00DF7B0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B04" w:rsidRPr="00D360B4" w:rsidRDefault="00DF7B0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HR"/>
    <w:docVar w:name="dvnumam" w:val="0"/>
    <w:docVar w:name="dvpe" w:val="753.634"/>
    <w:docVar w:name="dvrapporteur" w:val="Izvjestitelj: "/>
    <w:docVar w:name="dvtitre" w:val="Odluka Europskog parlamenta od .... 2024. o razrješnici za izvršenje općeg proračuna Europske unije za financijsku godinu 2022., dio I. – Europski parlament(2023/2130(DEC))"/>
  </w:docVars>
  <w:rsids>
    <w:rsidRoot w:val="000C40E4"/>
    <w:rsid w:val="00002272"/>
    <w:rsid w:val="0005169F"/>
    <w:rsid w:val="00064002"/>
    <w:rsid w:val="000677B9"/>
    <w:rsid w:val="000831BA"/>
    <w:rsid w:val="000A42CC"/>
    <w:rsid w:val="000C40E4"/>
    <w:rsid w:val="000C6EE0"/>
    <w:rsid w:val="000D5C70"/>
    <w:rsid w:val="000E7DD9"/>
    <w:rsid w:val="0010095E"/>
    <w:rsid w:val="00125B37"/>
    <w:rsid w:val="00187494"/>
    <w:rsid w:val="001F32AE"/>
    <w:rsid w:val="001F78F4"/>
    <w:rsid w:val="00246F70"/>
    <w:rsid w:val="002519A1"/>
    <w:rsid w:val="002767FF"/>
    <w:rsid w:val="002B18FE"/>
    <w:rsid w:val="002B322D"/>
    <w:rsid w:val="002B5493"/>
    <w:rsid w:val="00343214"/>
    <w:rsid w:val="00361C00"/>
    <w:rsid w:val="003830A8"/>
    <w:rsid w:val="0038390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4184"/>
    <w:rsid w:val="0065165D"/>
    <w:rsid w:val="006631B6"/>
    <w:rsid w:val="00680577"/>
    <w:rsid w:val="006F74FA"/>
    <w:rsid w:val="00731ADD"/>
    <w:rsid w:val="00734777"/>
    <w:rsid w:val="00747932"/>
    <w:rsid w:val="00751A4A"/>
    <w:rsid w:val="00756632"/>
    <w:rsid w:val="00762C74"/>
    <w:rsid w:val="00782C38"/>
    <w:rsid w:val="00786EC0"/>
    <w:rsid w:val="007D1690"/>
    <w:rsid w:val="007E22AD"/>
    <w:rsid w:val="00817416"/>
    <w:rsid w:val="0084000C"/>
    <w:rsid w:val="00842779"/>
    <w:rsid w:val="00865F67"/>
    <w:rsid w:val="00881A7B"/>
    <w:rsid w:val="008840E5"/>
    <w:rsid w:val="00887B3E"/>
    <w:rsid w:val="008A4FA4"/>
    <w:rsid w:val="008C2AC6"/>
    <w:rsid w:val="008E6F36"/>
    <w:rsid w:val="0090024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816"/>
    <w:rsid w:val="00B22876"/>
    <w:rsid w:val="00B26782"/>
    <w:rsid w:val="00B558F0"/>
    <w:rsid w:val="00B77A72"/>
    <w:rsid w:val="00BD0FC8"/>
    <w:rsid w:val="00BD48FE"/>
    <w:rsid w:val="00BD7BD8"/>
    <w:rsid w:val="00BE1985"/>
    <w:rsid w:val="00BE6ADC"/>
    <w:rsid w:val="00C05BFE"/>
    <w:rsid w:val="00C23CD4"/>
    <w:rsid w:val="00C51297"/>
    <w:rsid w:val="00C61C0C"/>
    <w:rsid w:val="00C80D0C"/>
    <w:rsid w:val="00C941CB"/>
    <w:rsid w:val="00CC2357"/>
    <w:rsid w:val="00CE0FE9"/>
    <w:rsid w:val="00CF071A"/>
    <w:rsid w:val="00D058B8"/>
    <w:rsid w:val="00D3067A"/>
    <w:rsid w:val="00D360B4"/>
    <w:rsid w:val="00D56C11"/>
    <w:rsid w:val="00D834A0"/>
    <w:rsid w:val="00D872DF"/>
    <w:rsid w:val="00D91E21"/>
    <w:rsid w:val="00DA7FCD"/>
    <w:rsid w:val="00DF498A"/>
    <w:rsid w:val="00DF7B04"/>
    <w:rsid w:val="00E07D18"/>
    <w:rsid w:val="00E22F39"/>
    <w:rsid w:val="00E2795B"/>
    <w:rsid w:val="00E365E1"/>
    <w:rsid w:val="00E820A4"/>
    <w:rsid w:val="00EB006A"/>
    <w:rsid w:val="00EB4772"/>
    <w:rsid w:val="00EC153F"/>
    <w:rsid w:val="00ED169E"/>
    <w:rsid w:val="00ED4235"/>
    <w:rsid w:val="00F04346"/>
    <w:rsid w:val="00F075DC"/>
    <w:rsid w:val="00F149E9"/>
    <w:rsid w:val="00F5134D"/>
    <w:rsid w:val="00F65C55"/>
    <w:rsid w:val="00F6669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62190"/>
  <w15:chartTrackingRefBased/>
  <w15:docId w15:val="{2BE4DFB4-ACB5-4D6B-AEE0-A222E53E4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51297"/>
    <w:rPr>
      <w:b/>
      <w:kern w:val="28"/>
      <w:sz w:val="28"/>
      <w:lang w:val="fr-FR" w:eastAsia="fr-FR"/>
    </w:rPr>
  </w:style>
  <w:style w:type="character" w:customStyle="1" w:styleId="Heading2Char">
    <w:name w:val="Heading 2 Char"/>
    <w:basedOn w:val="DefaultParagraphFont"/>
    <w:link w:val="Heading2"/>
    <w:semiHidden/>
    <w:rsid w:val="00C51297"/>
    <w:rPr>
      <w:sz w:val="24"/>
      <w:lang w:val="fr-FR" w:eastAsia="fr-FR"/>
    </w:rPr>
  </w:style>
  <w:style w:type="character" w:customStyle="1" w:styleId="Heading3Char">
    <w:name w:val="Heading 3 Char"/>
    <w:basedOn w:val="DefaultParagraphFont"/>
    <w:link w:val="Heading3"/>
    <w:semiHidden/>
    <w:rsid w:val="00C51297"/>
    <w:rPr>
      <w:rFonts w:ascii="Arial" w:hAnsi="Arial"/>
      <w:sz w:val="24"/>
      <w:lang w:val="fr-FR" w:eastAsia="fr-FR"/>
    </w:rPr>
  </w:style>
  <w:style w:type="character" w:customStyle="1" w:styleId="Heading4Char">
    <w:name w:val="Heading 4 Char"/>
    <w:basedOn w:val="DefaultParagraphFont"/>
    <w:link w:val="Heading4"/>
    <w:semiHidden/>
    <w:rsid w:val="00C51297"/>
    <w:rPr>
      <w:sz w:val="24"/>
      <w:lang w:val="en-US" w:eastAsia="fr-FR"/>
    </w:rPr>
  </w:style>
  <w:style w:type="character" w:customStyle="1" w:styleId="Heading5Char">
    <w:name w:val="Heading 5 Char"/>
    <w:basedOn w:val="DefaultParagraphFont"/>
    <w:link w:val="Heading5"/>
    <w:semiHidden/>
    <w:rsid w:val="00C51297"/>
    <w:rPr>
      <w:sz w:val="24"/>
      <w:lang w:val="en-US" w:eastAsia="fr-FR"/>
    </w:rPr>
  </w:style>
  <w:style w:type="character" w:customStyle="1" w:styleId="Heading6Char">
    <w:name w:val="Heading 6 Char"/>
    <w:basedOn w:val="DefaultParagraphFont"/>
    <w:link w:val="Heading6"/>
    <w:semiHidden/>
    <w:rsid w:val="00C51297"/>
    <w:rPr>
      <w:i/>
      <w:sz w:val="22"/>
      <w:lang w:val="hr-HR"/>
    </w:rPr>
  </w:style>
  <w:style w:type="character" w:customStyle="1" w:styleId="Heading7Char">
    <w:name w:val="Heading 7 Char"/>
    <w:basedOn w:val="DefaultParagraphFont"/>
    <w:link w:val="Heading7"/>
    <w:semiHidden/>
    <w:rsid w:val="00C51297"/>
    <w:rPr>
      <w:rFonts w:ascii="Arial" w:hAnsi="Arial"/>
      <w:sz w:val="24"/>
      <w:lang w:val="hr-HR"/>
    </w:rPr>
  </w:style>
  <w:style w:type="character" w:customStyle="1" w:styleId="Heading8Char">
    <w:name w:val="Heading 8 Char"/>
    <w:basedOn w:val="DefaultParagraphFont"/>
    <w:link w:val="Heading8"/>
    <w:semiHidden/>
    <w:rsid w:val="00C51297"/>
    <w:rPr>
      <w:rFonts w:ascii="Arial" w:hAnsi="Arial"/>
      <w:i/>
      <w:sz w:val="24"/>
      <w:lang w:val="hr-HR"/>
    </w:rPr>
  </w:style>
  <w:style w:type="character" w:customStyle="1" w:styleId="Heading9Char">
    <w:name w:val="Heading 9 Char"/>
    <w:basedOn w:val="DefaultParagraphFont"/>
    <w:link w:val="Heading9"/>
    <w:semiHidden/>
    <w:rsid w:val="00C51297"/>
    <w:rPr>
      <w:rFonts w:ascii="Arial" w:hAnsi="Arial"/>
      <w:b/>
      <w:i/>
      <w:sz w:val="18"/>
      <w:lang w:val="hr-HR"/>
    </w:rPr>
  </w:style>
  <w:style w:type="paragraph" w:styleId="TOCHeading">
    <w:name w:val="TOC Heading"/>
    <w:basedOn w:val="Normal"/>
    <w:next w:val="Normal"/>
    <w:unhideWhenUsed/>
    <w:qFormat/>
    <w:rsid w:val="00C51297"/>
    <w:pPr>
      <w:widowControl/>
      <w:spacing w:after="240"/>
    </w:pPr>
    <w:rPr>
      <w:lang w:val="en-GB"/>
    </w:rPr>
  </w:style>
  <w:style w:type="paragraph" w:customStyle="1" w:styleId="EPFooter2">
    <w:name w:val="EPFooter2"/>
    <w:basedOn w:val="Normal"/>
    <w:next w:val="Normal"/>
    <w:rsid w:val="00C5129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51297"/>
    <w:pPr>
      <w:spacing w:before="480" w:after="240"/>
    </w:pPr>
  </w:style>
  <w:style w:type="paragraph" w:customStyle="1" w:styleId="TOCPage">
    <w:name w:val="TOC Page"/>
    <w:basedOn w:val="Normal"/>
    <w:next w:val="TOC1"/>
    <w:rsid w:val="00C51297"/>
    <w:pPr>
      <w:keepNext/>
      <w:spacing w:after="240"/>
      <w:jc w:val="right"/>
    </w:pPr>
    <w:rPr>
      <w:rFonts w:ascii="Arial" w:hAnsi="Arial"/>
      <w:b/>
    </w:rPr>
  </w:style>
  <w:style w:type="paragraph" w:customStyle="1" w:styleId="PageHeading">
    <w:name w:val="PageHeading"/>
    <w:basedOn w:val="Normal"/>
    <w:rsid w:val="00C51297"/>
    <w:pPr>
      <w:keepNext/>
      <w:spacing w:after="480"/>
      <w:jc w:val="center"/>
    </w:pPr>
    <w:rPr>
      <w:rFonts w:ascii="Arial" w:hAnsi="Arial" w:cs="Arial"/>
      <w:b/>
    </w:rPr>
  </w:style>
  <w:style w:type="paragraph" w:customStyle="1" w:styleId="NormalBold">
    <w:name w:val="NormalBold"/>
    <w:basedOn w:val="Normal"/>
    <w:rsid w:val="00C51297"/>
    <w:rPr>
      <w:b/>
    </w:rPr>
  </w:style>
  <w:style w:type="paragraph" w:customStyle="1" w:styleId="NormalHanging12a">
    <w:name w:val="NormalHanging12a"/>
    <w:basedOn w:val="Normal"/>
    <w:link w:val="NormalHanging12aChar"/>
    <w:rsid w:val="00C51297"/>
    <w:pPr>
      <w:spacing w:after="240"/>
      <w:ind w:left="567" w:hanging="567"/>
    </w:pPr>
  </w:style>
  <w:style w:type="paragraph" w:customStyle="1" w:styleId="CoverNormal24a">
    <w:name w:val="CoverNormal24a"/>
    <w:basedOn w:val="Normal"/>
    <w:rsid w:val="00C51297"/>
    <w:pPr>
      <w:spacing w:after="480"/>
      <w:ind w:left="1417"/>
    </w:pPr>
  </w:style>
  <w:style w:type="paragraph" w:customStyle="1" w:styleId="CoverNormal">
    <w:name w:val="CoverNormal"/>
    <w:basedOn w:val="Normal"/>
    <w:rsid w:val="00C51297"/>
    <w:pPr>
      <w:ind w:left="1418"/>
    </w:pPr>
  </w:style>
  <w:style w:type="paragraph" w:customStyle="1" w:styleId="CoverReference">
    <w:name w:val="CoverReference"/>
    <w:basedOn w:val="Normal"/>
    <w:rsid w:val="00C51297"/>
    <w:pPr>
      <w:spacing w:before="1080"/>
      <w:jc w:val="right"/>
    </w:pPr>
    <w:rPr>
      <w:rFonts w:ascii="Arial" w:hAnsi="Arial" w:cs="Arial"/>
      <w:b/>
    </w:rPr>
  </w:style>
  <w:style w:type="paragraph" w:customStyle="1" w:styleId="CoverDocType24a">
    <w:name w:val="CoverDocType24a"/>
    <w:basedOn w:val="Normal"/>
    <w:rsid w:val="00C51297"/>
    <w:pPr>
      <w:spacing w:after="480"/>
      <w:ind w:left="1418"/>
    </w:pPr>
    <w:rPr>
      <w:rFonts w:ascii="Arial" w:hAnsi="Arial"/>
      <w:b/>
      <w:sz w:val="48"/>
    </w:rPr>
  </w:style>
  <w:style w:type="paragraph" w:customStyle="1" w:styleId="CoverDate">
    <w:name w:val="CoverDate"/>
    <w:basedOn w:val="Normal"/>
    <w:rsid w:val="00C51297"/>
    <w:pPr>
      <w:spacing w:before="240" w:after="1200"/>
    </w:pPr>
  </w:style>
  <w:style w:type="paragraph" w:customStyle="1" w:styleId="EPBody">
    <w:name w:val="EPBody"/>
    <w:basedOn w:val="Normal"/>
    <w:rsid w:val="00C51297"/>
    <w:pPr>
      <w:jc w:val="center"/>
    </w:pPr>
    <w:rPr>
      <w:rFonts w:ascii="Arial" w:hAnsi="Arial" w:cs="Arial"/>
      <w:i/>
      <w:sz w:val="22"/>
      <w:szCs w:val="22"/>
    </w:rPr>
  </w:style>
  <w:style w:type="paragraph" w:customStyle="1" w:styleId="EPFooter">
    <w:name w:val="EPFooter"/>
    <w:basedOn w:val="Normal"/>
    <w:rsid w:val="00C51297"/>
    <w:pPr>
      <w:tabs>
        <w:tab w:val="center" w:pos="4535"/>
        <w:tab w:val="right" w:pos="9071"/>
      </w:tabs>
      <w:spacing w:before="240" w:after="240"/>
    </w:pPr>
    <w:rPr>
      <w:color w:val="010000"/>
      <w:sz w:val="22"/>
    </w:rPr>
  </w:style>
  <w:style w:type="paragraph" w:styleId="Header">
    <w:name w:val="header"/>
    <w:basedOn w:val="Normal"/>
    <w:link w:val="HeaderChar"/>
    <w:rsid w:val="00C51297"/>
    <w:pPr>
      <w:tabs>
        <w:tab w:val="center" w:pos="4513"/>
        <w:tab w:val="right" w:pos="9026"/>
      </w:tabs>
    </w:pPr>
  </w:style>
  <w:style w:type="character" w:customStyle="1" w:styleId="HeaderChar">
    <w:name w:val="Header Char"/>
    <w:basedOn w:val="DefaultParagraphFont"/>
    <w:link w:val="Header"/>
    <w:rsid w:val="00C51297"/>
    <w:rPr>
      <w:sz w:val="24"/>
      <w:lang w:val="hr-HR"/>
    </w:rPr>
  </w:style>
  <w:style w:type="character" w:customStyle="1" w:styleId="NormalHanging12aChar">
    <w:name w:val="NormalHanging12a Char"/>
    <w:basedOn w:val="DefaultParagraphFont"/>
    <w:link w:val="NormalHanging12a"/>
    <w:locked/>
    <w:rsid w:val="00C51297"/>
    <w:rPr>
      <w:sz w:val="24"/>
      <w:lang w:val="hr-HR"/>
    </w:rPr>
  </w:style>
  <w:style w:type="character" w:styleId="CommentReference">
    <w:name w:val="annotation reference"/>
    <w:basedOn w:val="DefaultParagraphFont"/>
    <w:uiPriority w:val="99"/>
    <w:rsid w:val="00C51297"/>
    <w:rPr>
      <w:sz w:val="16"/>
      <w:szCs w:val="16"/>
    </w:rPr>
  </w:style>
  <w:style w:type="paragraph" w:styleId="CommentText">
    <w:name w:val="annotation text"/>
    <w:basedOn w:val="Normal"/>
    <w:link w:val="CommentTextChar"/>
    <w:uiPriority w:val="99"/>
    <w:rsid w:val="00C51297"/>
    <w:rPr>
      <w:sz w:val="20"/>
    </w:rPr>
  </w:style>
  <w:style w:type="character" w:customStyle="1" w:styleId="CommentTextChar">
    <w:name w:val="Comment Text Char"/>
    <w:basedOn w:val="DefaultParagraphFont"/>
    <w:link w:val="CommentText"/>
    <w:uiPriority w:val="99"/>
    <w:rsid w:val="00C51297"/>
    <w:rPr>
      <w:lang w:val="hr-HR"/>
    </w:rPr>
  </w:style>
  <w:style w:type="paragraph" w:styleId="CommentSubject">
    <w:name w:val="annotation subject"/>
    <w:basedOn w:val="CommentText"/>
    <w:next w:val="CommentText"/>
    <w:link w:val="CommentSubjectChar"/>
    <w:unhideWhenUsed/>
    <w:rsid w:val="00C51297"/>
    <w:rPr>
      <w:b/>
      <w:bCs/>
    </w:rPr>
  </w:style>
  <w:style w:type="character" w:customStyle="1" w:styleId="CommentSubjectChar">
    <w:name w:val="Comment Subject Char"/>
    <w:basedOn w:val="CommentTextChar"/>
    <w:link w:val="CommentSubject"/>
    <w:rsid w:val="00C51297"/>
    <w:rPr>
      <w:b/>
      <w:bCs/>
      <w:lang w:val="hr-HR"/>
    </w:rPr>
  </w:style>
  <w:style w:type="paragraph" w:styleId="BalloonText">
    <w:name w:val="Balloon Text"/>
    <w:basedOn w:val="Normal"/>
    <w:link w:val="BalloonTextChar"/>
    <w:unhideWhenUsed/>
    <w:rsid w:val="00C51297"/>
    <w:rPr>
      <w:rFonts w:ascii="Segoe UI" w:hAnsi="Segoe UI" w:cs="Segoe UI"/>
      <w:sz w:val="18"/>
      <w:szCs w:val="18"/>
    </w:rPr>
  </w:style>
  <w:style w:type="character" w:customStyle="1" w:styleId="BalloonTextChar">
    <w:name w:val="Balloon Text Char"/>
    <w:basedOn w:val="DefaultParagraphFont"/>
    <w:link w:val="BalloonText"/>
    <w:rsid w:val="00C51297"/>
    <w:rPr>
      <w:rFonts w:ascii="Segoe UI" w:hAnsi="Segoe UI" w:cs="Segoe UI"/>
      <w:sz w:val="18"/>
      <w:szCs w:val="18"/>
      <w:lang w:val="hr-HR"/>
    </w:rPr>
  </w:style>
  <w:style w:type="paragraph" w:customStyle="1" w:styleId="Body">
    <w:name w:val="Body"/>
    <w:rsid w:val="00C51297"/>
    <w:pPr>
      <w:widowControl w:val="0"/>
    </w:pPr>
    <w:rPr>
      <w:color w:val="000000"/>
      <w:sz w:val="24"/>
      <w:szCs w:val="24"/>
      <w:u w:color="000000"/>
      <w:lang w:val="hr-HR"/>
      <w14:textOutline w14:w="0" w14:cap="flat" w14:cmpd="sng" w14:algn="ctr">
        <w14:noFill/>
        <w14:prstDash w14:val="solid"/>
        <w14:bevel/>
      </w14:textOutline>
    </w:rPr>
  </w:style>
  <w:style w:type="paragraph" w:styleId="ListParagraph">
    <w:name w:val="List Paragraph"/>
    <w:qFormat/>
    <w:rsid w:val="00C51297"/>
    <w:pPr>
      <w:widowControl w:val="0"/>
      <w:ind w:left="720"/>
    </w:pPr>
    <w:rPr>
      <w:rFonts w:eastAsia="Arial Unicode MS" w:cs="Arial Unicode MS"/>
      <w:color w:val="000000"/>
      <w:sz w:val="24"/>
      <w:szCs w:val="24"/>
      <w:u w:color="000000"/>
      <w:lang w:val="hr-HR"/>
    </w:rPr>
  </w:style>
  <w:style w:type="paragraph" w:customStyle="1" w:styleId="Normal12Hanging">
    <w:name w:val="Normal12Hanging"/>
    <w:basedOn w:val="Normal"/>
    <w:rsid w:val="00C51297"/>
    <w:pPr>
      <w:spacing w:after="240"/>
      <w:ind w:left="567" w:hanging="567"/>
    </w:pPr>
  </w:style>
  <w:style w:type="character" w:styleId="Hyperlink">
    <w:name w:val="Hyperlink"/>
    <w:basedOn w:val="DefaultParagraphFont"/>
    <w:rsid w:val="00C51297"/>
    <w:rPr>
      <w:color w:val="0563C1" w:themeColor="hyperlink"/>
      <w:u w:val="single"/>
    </w:rPr>
  </w:style>
  <w:style w:type="character" w:customStyle="1" w:styleId="HRtextbodyChar">
    <w:name w:val="HR_text body_ Char"/>
    <w:basedOn w:val="DefaultParagraphFont"/>
    <w:link w:val="HRtextbody"/>
    <w:locked/>
    <w:rsid w:val="00C51297"/>
    <w:rPr>
      <w:rFonts w:ascii="Arial" w:hAnsi="Arial" w:cs="Arial"/>
      <w:color w:val="595959"/>
    </w:rPr>
  </w:style>
  <w:style w:type="paragraph" w:customStyle="1" w:styleId="HRtextbody">
    <w:name w:val="HR_text body_"/>
    <w:basedOn w:val="Normal"/>
    <w:link w:val="HRtextbodyChar"/>
    <w:rsid w:val="00C51297"/>
    <w:pPr>
      <w:widowControl/>
      <w:jc w:val="both"/>
    </w:pPr>
    <w:rPr>
      <w:rFonts w:ascii="Arial" w:hAnsi="Arial" w:cs="Arial"/>
      <w:color w:val="595959"/>
      <w:sz w:val="20"/>
      <w:lang w:val="en-GB"/>
    </w:rPr>
  </w:style>
  <w:style w:type="character" w:styleId="Strong">
    <w:name w:val="Strong"/>
    <w:basedOn w:val="DefaultParagraphFont"/>
    <w:uiPriority w:val="22"/>
    <w:qFormat/>
    <w:rsid w:val="00C51297"/>
    <w:rPr>
      <w:b/>
      <w:bCs/>
    </w:rPr>
  </w:style>
  <w:style w:type="paragraph" w:styleId="Revision">
    <w:name w:val="Revision"/>
    <w:hidden/>
    <w:uiPriority w:val="99"/>
    <w:semiHidden/>
    <w:rsid w:val="00C51297"/>
    <w:rPr>
      <w:sz w:val="24"/>
      <w:lang w:val="hr-HR"/>
    </w:rPr>
  </w:style>
  <w:style w:type="character" w:customStyle="1" w:styleId="ui-provider">
    <w:name w:val="ui-provider"/>
    <w:basedOn w:val="DefaultParagraphFont"/>
    <w:rsid w:val="00C51297"/>
  </w:style>
  <w:style w:type="paragraph" w:styleId="Footer">
    <w:name w:val="footer"/>
    <w:basedOn w:val="Normal"/>
    <w:link w:val="FooterChar"/>
    <w:rsid w:val="00C51297"/>
    <w:pPr>
      <w:tabs>
        <w:tab w:val="center" w:pos="4513"/>
        <w:tab w:val="right" w:pos="9026"/>
      </w:tabs>
    </w:pPr>
  </w:style>
  <w:style w:type="character" w:customStyle="1" w:styleId="FooterChar">
    <w:name w:val="Footer Char"/>
    <w:basedOn w:val="DefaultParagraphFont"/>
    <w:link w:val="Footer"/>
    <w:rsid w:val="00C51297"/>
    <w:rPr>
      <w:sz w:val="24"/>
      <w:lang w:val="hr-HR"/>
    </w:rPr>
  </w:style>
  <w:style w:type="paragraph" w:customStyle="1" w:styleId="title-article-norm">
    <w:name w:val="title-article-norm"/>
    <w:basedOn w:val="Normal"/>
    <w:rsid w:val="00C51297"/>
    <w:pPr>
      <w:widowControl/>
      <w:spacing w:before="100" w:beforeAutospacing="1" w:after="100" w:afterAutospacing="1"/>
    </w:pPr>
    <w:rPr>
      <w:szCs w:val="24"/>
    </w:rPr>
  </w:style>
  <w:style w:type="character" w:styleId="FollowedHyperlink">
    <w:name w:val="FollowedHyperlink"/>
    <w:basedOn w:val="DefaultParagraphFont"/>
    <w:unhideWhenUsed/>
    <w:rsid w:val="00C51297"/>
    <w:rPr>
      <w:color w:val="954F72" w:themeColor="followedHyperlink"/>
      <w:u w:val="single"/>
    </w:rPr>
  </w:style>
  <w:style w:type="paragraph" w:customStyle="1" w:styleId="Normal24a">
    <w:name w:val="Normal24a"/>
    <w:basedOn w:val="Normal"/>
    <w:rsid w:val="00C51297"/>
    <w:pPr>
      <w:spacing w:after="480"/>
    </w:pPr>
  </w:style>
  <w:style w:type="paragraph" w:customStyle="1" w:styleId="NormalBoldCenter">
    <w:name w:val="NormalBoldCenter"/>
    <w:basedOn w:val="Normal"/>
    <w:rsid w:val="00C51297"/>
    <w:pPr>
      <w:jc w:val="center"/>
    </w:pPr>
    <w:rPr>
      <w:b/>
    </w:rPr>
  </w:style>
  <w:style w:type="paragraph" w:customStyle="1" w:styleId="Normal12a">
    <w:name w:val="Normal12a"/>
    <w:basedOn w:val="Normal"/>
    <w:rsid w:val="00C51297"/>
    <w:pPr>
      <w:spacing w:after="240"/>
    </w:pPr>
  </w:style>
  <w:style w:type="paragraph" w:customStyle="1" w:styleId="PageHeadingNotTOC">
    <w:name w:val="PageHeadingNotTOC"/>
    <w:basedOn w:val="Normal"/>
    <w:rsid w:val="00C51297"/>
    <w:pPr>
      <w:keepNext/>
      <w:spacing w:after="480"/>
      <w:jc w:val="center"/>
    </w:pPr>
    <w:rPr>
      <w:rFonts w:ascii="Arial" w:hAnsi="Arial" w:cs="Arial"/>
      <w:b/>
    </w:rPr>
  </w:style>
  <w:style w:type="paragraph" w:customStyle="1" w:styleId="NumPar1">
    <w:name w:val="NumPar 1"/>
    <w:basedOn w:val="Normal"/>
    <w:rsid w:val="00C51297"/>
    <w:pPr>
      <w:numPr>
        <w:numId w:val="3"/>
      </w:numPr>
    </w:pPr>
  </w:style>
  <w:style w:type="paragraph" w:customStyle="1" w:styleId="NumPar2">
    <w:name w:val="NumPar 2"/>
    <w:basedOn w:val="Normal"/>
    <w:rsid w:val="00C51297"/>
    <w:pPr>
      <w:numPr>
        <w:ilvl w:val="1"/>
        <w:numId w:val="3"/>
      </w:numPr>
    </w:pPr>
  </w:style>
  <w:style w:type="paragraph" w:customStyle="1" w:styleId="NumPar3">
    <w:name w:val="NumPar 3"/>
    <w:basedOn w:val="Normal"/>
    <w:rsid w:val="00C51297"/>
    <w:pPr>
      <w:numPr>
        <w:ilvl w:val="2"/>
        <w:numId w:val="3"/>
      </w:numPr>
    </w:pPr>
  </w:style>
  <w:style w:type="paragraph" w:customStyle="1" w:styleId="NumPar4">
    <w:name w:val="NumPar 4"/>
    <w:basedOn w:val="Normal"/>
    <w:rsid w:val="00C51297"/>
    <w:pPr>
      <w:numPr>
        <w:ilvl w:val="3"/>
        <w:numId w:val="3"/>
      </w:numPr>
    </w:pPr>
  </w:style>
  <w:style w:type="paragraph" w:customStyle="1" w:styleId="NumPar5">
    <w:name w:val="NumPar 5"/>
    <w:basedOn w:val="Normal"/>
    <w:rsid w:val="00C51297"/>
    <w:pPr>
      <w:numPr>
        <w:ilvl w:val="4"/>
        <w:numId w:val="3"/>
      </w:numPr>
    </w:pPr>
  </w:style>
  <w:style w:type="paragraph" w:customStyle="1" w:styleId="NumPar6">
    <w:name w:val="NumPar 6"/>
    <w:basedOn w:val="Normal"/>
    <w:rsid w:val="00C51297"/>
    <w:pPr>
      <w:numPr>
        <w:ilvl w:val="5"/>
        <w:numId w:val="3"/>
      </w:numPr>
    </w:pPr>
  </w:style>
  <w:style w:type="paragraph" w:customStyle="1" w:styleId="NumPar7">
    <w:name w:val="NumPar 7"/>
    <w:basedOn w:val="Normal"/>
    <w:rsid w:val="00C51297"/>
    <w:pPr>
      <w:numPr>
        <w:ilvl w:val="6"/>
        <w:numId w:val="3"/>
      </w:numPr>
    </w:pPr>
  </w:style>
  <w:style w:type="paragraph" w:customStyle="1" w:styleId="RollCallSymbols14pt">
    <w:name w:val="RollCallSymbols14pt"/>
    <w:basedOn w:val="Normal"/>
    <w:rsid w:val="00C5129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51297"/>
    <w:pPr>
      <w:tabs>
        <w:tab w:val="center" w:pos="284"/>
        <w:tab w:val="left" w:pos="426"/>
      </w:tabs>
    </w:pPr>
    <w:rPr>
      <w:snapToGrid w:val="0"/>
      <w:lang w:eastAsia="en-US"/>
    </w:rPr>
  </w:style>
  <w:style w:type="paragraph" w:customStyle="1" w:styleId="RollCallVotes">
    <w:name w:val="RollCallVotes"/>
    <w:basedOn w:val="Normal"/>
    <w:rsid w:val="00C51297"/>
    <w:pPr>
      <w:spacing w:before="120" w:after="120"/>
      <w:jc w:val="center"/>
    </w:pPr>
    <w:rPr>
      <w:b/>
      <w:bCs/>
      <w:snapToGrid w:val="0"/>
      <w:sz w:val="16"/>
      <w:lang w:eastAsia="en-US"/>
    </w:rPr>
  </w:style>
  <w:style w:type="paragraph" w:customStyle="1" w:styleId="RollCallTable">
    <w:name w:val="RollCallTable"/>
    <w:basedOn w:val="Normal"/>
    <w:rsid w:val="00C51297"/>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4545D-35A6-4F2B-9A91-231814492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16126</Words>
  <Characters>91922</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Karina Pesa</cp:lastModifiedBy>
  <cp:revision>3</cp:revision>
  <cp:lastPrinted>2004-11-19T15:42:00Z</cp:lastPrinted>
  <dcterms:created xsi:type="dcterms:W3CDTF">2024-05-22T14:53:00Z</dcterms:created>
  <dcterms:modified xsi:type="dcterms:W3CDTF">2024-10-31T10:47:00Z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P9_TA(2024)0229_</vt:lpwstr>
  </property>
  <property fmtid="{D5CDD505-2E9C-101B-9397-08002B2CF9AE}" pid="4" name="&lt;Type&gt;">
    <vt:lpwstr>RR</vt:lpwstr>
  </property>
</Properties>
</file>