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7A5" w:rsidTr="0010095E">
        <w:trPr>
          <w:trHeight w:hRule="exact" w:val="1418"/>
        </w:trPr>
        <w:tc>
          <w:tcPr>
            <w:tcW w:w="6804" w:type="dxa"/>
            <w:shd w:val="clear" w:color="auto" w:fill="auto"/>
            <w:vAlign w:val="center"/>
          </w:tcPr>
          <w:p w:rsidR="00751A4A" w:rsidRPr="00D277A5" w:rsidRDefault="00D932F5" w:rsidP="0010095E">
            <w:pPr>
              <w:pStyle w:val="EPName"/>
            </w:pPr>
            <w:r w:rsidRPr="00D277A5">
              <w:t>Europos Parlamentas</w:t>
            </w:r>
          </w:p>
          <w:p w:rsidR="00751A4A" w:rsidRPr="00D277A5" w:rsidRDefault="00817416" w:rsidP="00756632">
            <w:pPr>
              <w:pStyle w:val="EPTerm"/>
              <w:rPr>
                <w:rStyle w:val="HideTWBExt"/>
                <w:noProof w:val="0"/>
                <w:vanish w:val="0"/>
                <w:color w:val="auto"/>
              </w:rPr>
            </w:pPr>
            <w:r w:rsidRPr="00D277A5">
              <w:t>2019-2024</w:t>
            </w:r>
          </w:p>
        </w:tc>
        <w:tc>
          <w:tcPr>
            <w:tcW w:w="2268" w:type="dxa"/>
            <w:shd w:val="clear" w:color="auto" w:fill="auto"/>
          </w:tcPr>
          <w:p w:rsidR="00751A4A" w:rsidRPr="00D277A5" w:rsidRDefault="00187494" w:rsidP="0010095E">
            <w:pPr>
              <w:pStyle w:val="EPLogo"/>
            </w:pPr>
            <w:r w:rsidRPr="00D277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77A5" w:rsidRDefault="00D058B8" w:rsidP="004C5D52">
      <w:pPr>
        <w:pStyle w:val="LineTop"/>
      </w:pPr>
    </w:p>
    <w:p w:rsidR="00680577" w:rsidRPr="00D277A5" w:rsidRDefault="00D932F5" w:rsidP="00680577">
      <w:pPr>
        <w:pStyle w:val="EPBodyTA1"/>
      </w:pPr>
      <w:r w:rsidRPr="00D277A5">
        <w:t>PRIIMTI TEKSTAI</w:t>
      </w:r>
    </w:p>
    <w:p w:rsidR="00D058B8" w:rsidRPr="00D277A5" w:rsidRDefault="00D058B8" w:rsidP="00D058B8">
      <w:pPr>
        <w:pStyle w:val="LineBottom"/>
      </w:pPr>
    </w:p>
    <w:p w:rsidR="00D932F5" w:rsidRPr="00D277A5" w:rsidRDefault="00D932F5" w:rsidP="00D932F5">
      <w:pPr>
        <w:pStyle w:val="ATHeading1"/>
      </w:pPr>
      <w:bookmarkStart w:id="0" w:name="TANumber"/>
      <w:r w:rsidRPr="00D277A5">
        <w:t>P9_TA(2024)0</w:t>
      </w:r>
      <w:r w:rsidR="00F956A8">
        <w:t>229</w:t>
      </w:r>
      <w:bookmarkEnd w:id="0"/>
    </w:p>
    <w:p w:rsidR="00D932F5" w:rsidRPr="00D277A5" w:rsidRDefault="00D932F5" w:rsidP="00D932F5">
      <w:pPr>
        <w:pStyle w:val="ATHeading2"/>
      </w:pPr>
      <w:bookmarkStart w:id="1" w:name="title"/>
      <w:r w:rsidRPr="00D277A5">
        <w:t>2022 m. biudžeto įvykdymo patvirtinimas: ES bendrasis biudžetas – Europos Parlamentas</w:t>
      </w:r>
      <w:bookmarkEnd w:id="1"/>
    </w:p>
    <w:p w:rsidR="00D932F5" w:rsidRPr="00D277A5" w:rsidRDefault="00D932F5" w:rsidP="00D932F5">
      <w:pPr>
        <w:rPr>
          <w:i/>
          <w:vanish/>
        </w:rPr>
      </w:pPr>
      <w:r w:rsidRPr="00D277A5">
        <w:rPr>
          <w:i/>
        </w:rPr>
        <w:fldChar w:fldCharType="begin"/>
      </w:r>
      <w:r w:rsidRPr="00D277A5">
        <w:rPr>
          <w:i/>
        </w:rPr>
        <w:instrText xml:space="preserve"> TC"(</w:instrText>
      </w:r>
      <w:bookmarkStart w:id="2" w:name="DocNumber"/>
      <w:r w:rsidRPr="00D277A5">
        <w:rPr>
          <w:i/>
        </w:rPr>
        <w:instrText>A9-0067/2024</w:instrText>
      </w:r>
      <w:bookmarkEnd w:id="2"/>
      <w:r w:rsidRPr="00D277A5">
        <w:rPr>
          <w:i/>
        </w:rPr>
        <w:instrText xml:space="preserve"> - Pranešėjas: Andrey Novakov)"\l3 \n&gt; \* MERGEFORMAT </w:instrText>
      </w:r>
      <w:r w:rsidRPr="00D277A5">
        <w:rPr>
          <w:i/>
        </w:rPr>
        <w:fldChar w:fldCharType="end"/>
      </w:r>
    </w:p>
    <w:p w:rsidR="00D932F5" w:rsidRPr="00D277A5" w:rsidRDefault="00D932F5" w:rsidP="00D932F5">
      <w:pPr>
        <w:rPr>
          <w:vanish/>
        </w:rPr>
      </w:pPr>
      <w:bookmarkStart w:id="3" w:name="Commission"/>
      <w:r w:rsidRPr="00D277A5">
        <w:rPr>
          <w:vanish/>
        </w:rPr>
        <w:t>Biudžeto kontrolės komitetas</w:t>
      </w:r>
      <w:bookmarkEnd w:id="3"/>
    </w:p>
    <w:p w:rsidR="00D932F5" w:rsidRPr="00D277A5" w:rsidRDefault="00D932F5" w:rsidP="00D932F5">
      <w:pPr>
        <w:rPr>
          <w:vanish/>
        </w:rPr>
      </w:pPr>
      <w:bookmarkStart w:id="4" w:name="PE"/>
      <w:r w:rsidRPr="00D277A5">
        <w:rPr>
          <w:vanish/>
        </w:rPr>
        <w:t>PE753.634</w:t>
      </w:r>
      <w:bookmarkEnd w:id="4"/>
    </w:p>
    <w:p w:rsidR="00D932F5" w:rsidRPr="00D277A5" w:rsidRDefault="00B46BFC" w:rsidP="00137A47">
      <w:pPr>
        <w:pStyle w:val="ATHeading3"/>
      </w:pPr>
      <w:bookmarkStart w:id="5" w:name="Sujet"/>
      <w:r>
        <w:t xml:space="preserve">1. 2024 m. balandžio 11 d. </w:t>
      </w:r>
      <w:r w:rsidR="00D932F5" w:rsidRPr="00D277A5">
        <w:t>Europos Parlamento sprendimas dėl Europos Sąjungos 2022 finansinių metų bendrojo biudžeto įvykdymo patvirtinimo, I skirsnis – Europos Parlamentas</w:t>
      </w:r>
      <w:bookmarkEnd w:id="5"/>
      <w:r w:rsidR="00D932F5" w:rsidRPr="00D277A5">
        <w:t xml:space="preserve"> </w:t>
      </w:r>
      <w:bookmarkStart w:id="6" w:name="References"/>
      <w:r w:rsidR="00D932F5" w:rsidRPr="00D277A5">
        <w:t>(2023/2130(DEC))</w:t>
      </w:r>
      <w:bookmarkEnd w:id="6"/>
    </w:p>
    <w:p w:rsidR="00F61E5D" w:rsidRPr="00D277A5" w:rsidRDefault="00F61E5D" w:rsidP="00F61E5D">
      <w:pPr>
        <w:pStyle w:val="EPComma"/>
        <w:rPr>
          <w:noProof/>
        </w:rPr>
      </w:pPr>
      <w:bookmarkStart w:id="7" w:name="TextBodyBegin"/>
      <w:bookmarkEnd w:id="7"/>
      <w:r w:rsidRPr="00D277A5">
        <w:rPr>
          <w:i/>
        </w:rPr>
        <w:t>Europos Parlamentas</w:t>
      </w:r>
      <w:r w:rsidRPr="00D277A5">
        <w:t>,</w:t>
      </w:r>
    </w:p>
    <w:p w:rsidR="00F61E5D" w:rsidRPr="00D277A5" w:rsidRDefault="00F61E5D" w:rsidP="00F61E5D">
      <w:pPr>
        <w:pStyle w:val="NormalHanging12a"/>
        <w:rPr>
          <w:noProof/>
        </w:rPr>
      </w:pPr>
      <w:r w:rsidRPr="00D277A5">
        <w:t>–</w:t>
      </w:r>
      <w:r w:rsidRPr="00D277A5">
        <w:tab/>
        <w:t>atsižvelgdamas į 2022 finansinių metų Europos Sąjungos bendrąjį biudžetą</w:t>
      </w:r>
      <w:r w:rsidRPr="00D277A5">
        <w:rPr>
          <w:rStyle w:val="FootnoteReference"/>
          <w:noProof/>
        </w:rPr>
        <w:footnoteReference w:id="1"/>
      </w:r>
      <w:r w:rsidRPr="00D277A5">
        <w:t>,</w:t>
      </w:r>
    </w:p>
    <w:p w:rsidR="00F61E5D" w:rsidRPr="00D277A5" w:rsidRDefault="00F61E5D" w:rsidP="00F61E5D">
      <w:pPr>
        <w:pStyle w:val="NormalHanging12a"/>
        <w:rPr>
          <w:noProof/>
        </w:rPr>
      </w:pPr>
      <w:r w:rsidRPr="00D277A5">
        <w:t>–</w:t>
      </w:r>
      <w:r w:rsidRPr="00D277A5">
        <w:tab/>
        <w:t>atsižvelgdamas į 2022 finansinių metų Europos Sąjungos konsoliduotąsias metines ataskaitas (COM(2023)0391 – C9</w:t>
      </w:r>
      <w:r w:rsidRPr="00D277A5">
        <w:noBreakHyphen/>
        <w:t>0248/2023)</w:t>
      </w:r>
      <w:r w:rsidRPr="00D277A5">
        <w:rPr>
          <w:rStyle w:val="FootnoteReference"/>
          <w:noProof/>
        </w:rPr>
        <w:footnoteReference w:id="2"/>
      </w:r>
      <w:r w:rsidRPr="00D277A5">
        <w:t>,</w:t>
      </w:r>
    </w:p>
    <w:p w:rsidR="00F61E5D" w:rsidRPr="00D277A5" w:rsidRDefault="00F61E5D" w:rsidP="00F61E5D">
      <w:pPr>
        <w:pStyle w:val="NormalHanging12a"/>
        <w:rPr>
          <w:noProof/>
        </w:rPr>
      </w:pPr>
      <w:r w:rsidRPr="00D277A5">
        <w:t>–</w:t>
      </w:r>
      <w:r w:rsidRPr="00D277A5">
        <w:tab/>
        <w:t>atsižvelgdamas į 2022 finansinių metų biudžeto ir finansų valdymo ataskaitą, I skirsnis – Europos Parlamentas</w:t>
      </w:r>
      <w:r w:rsidRPr="00D277A5">
        <w:rPr>
          <w:rStyle w:val="FootnoteReference"/>
          <w:noProof/>
        </w:rPr>
        <w:footnoteReference w:id="3"/>
      </w:r>
      <w:r w:rsidRPr="00D277A5">
        <w:t>,</w:t>
      </w:r>
    </w:p>
    <w:p w:rsidR="00F61E5D" w:rsidRPr="00D277A5" w:rsidRDefault="00F61E5D" w:rsidP="00F61E5D">
      <w:pPr>
        <w:pStyle w:val="NormalHanging12a"/>
        <w:rPr>
          <w:noProof/>
        </w:rPr>
      </w:pPr>
      <w:r w:rsidRPr="00D277A5">
        <w:t>–</w:t>
      </w:r>
      <w:r w:rsidRPr="00D277A5">
        <w:tab/>
        <w:t>atsižvelgdamas į vidaus auditoriaus 2022 finansinių metų metinę ataskaitą,</w:t>
      </w:r>
    </w:p>
    <w:p w:rsidR="00F61E5D" w:rsidRPr="00D277A5" w:rsidRDefault="00F61E5D" w:rsidP="00F61E5D">
      <w:pPr>
        <w:pStyle w:val="NormalHanging12a"/>
        <w:rPr>
          <w:noProof/>
        </w:rPr>
      </w:pPr>
      <w:r w:rsidRPr="00D277A5">
        <w:t>–</w:t>
      </w:r>
      <w:r w:rsidRPr="00D277A5">
        <w:tab/>
        <w:t>atsižvelgdamas į Audito Rūmų 2022 finansinių metų metinę biudžeto vykdymo ataskaitą kartu su institucijų atsakymais</w:t>
      </w:r>
      <w:r w:rsidRPr="00D277A5">
        <w:rPr>
          <w:rStyle w:val="FootnoteReference"/>
          <w:noProof/>
        </w:rPr>
        <w:footnoteReference w:id="4"/>
      </w:r>
      <w:r w:rsidRPr="00D277A5">
        <w:t>,</w:t>
      </w:r>
    </w:p>
    <w:p w:rsidR="00F61E5D" w:rsidRPr="00D277A5" w:rsidRDefault="00F61E5D" w:rsidP="00F61E5D">
      <w:pPr>
        <w:pStyle w:val="NormalHanging12a"/>
        <w:rPr>
          <w:noProof/>
        </w:rPr>
      </w:pPr>
      <w:r w:rsidRPr="00D277A5">
        <w:t>–</w:t>
      </w:r>
      <w:r w:rsidRPr="00D277A5">
        <w:tab/>
        <w:t>atsižvelgdamas į Audito Rūmų pagal Sutarties dėl Europos Sąjungos veikimo 287 straipsnį pateiktą sąskaitų patikimumo ir pagal jas atliktų operacijų teisėtumo ir tvarkingumo patikinimo pareiškimą</w:t>
      </w:r>
      <w:r w:rsidRPr="00D277A5">
        <w:rPr>
          <w:rStyle w:val="FootnoteReference"/>
          <w:noProof/>
        </w:rPr>
        <w:footnoteReference w:id="5"/>
      </w:r>
      <w:r w:rsidRPr="00D277A5">
        <w:t>,</w:t>
      </w:r>
    </w:p>
    <w:p w:rsidR="00F61E5D" w:rsidRPr="00D277A5" w:rsidRDefault="00F61E5D" w:rsidP="00F61E5D">
      <w:pPr>
        <w:pStyle w:val="NormalHanging12a"/>
        <w:rPr>
          <w:noProof/>
        </w:rPr>
      </w:pPr>
      <w:r w:rsidRPr="00D277A5">
        <w:t>–</w:t>
      </w:r>
      <w:r w:rsidRPr="00D277A5">
        <w:tab/>
        <w:t>atsižvelgdamas į Sutarties dėl Europos Sąjungos veikimo 314 straipsnio 10 dalį ir 318 straipsnį,</w:t>
      </w:r>
    </w:p>
    <w:p w:rsidR="00F61E5D" w:rsidRPr="00D277A5" w:rsidRDefault="00F61E5D" w:rsidP="00F61E5D">
      <w:pPr>
        <w:pStyle w:val="NormalHanging12a"/>
        <w:rPr>
          <w:noProof/>
        </w:rPr>
      </w:pPr>
      <w:r w:rsidRPr="00D277A5">
        <w:t>–</w:t>
      </w:r>
      <w:r w:rsidRPr="00D277A5">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D277A5">
        <w:lastRenderedPageBreak/>
        <w:t>Reglamentas (ES, Euratomas) Nr. 966/2012</w:t>
      </w:r>
      <w:r w:rsidRPr="00D277A5">
        <w:rPr>
          <w:rStyle w:val="FootnoteReference"/>
          <w:noProof/>
        </w:rPr>
        <w:footnoteReference w:id="6"/>
      </w:r>
      <w:r w:rsidRPr="00D277A5">
        <w:t>, ypač į jo 260, 261 ir 262 straipsnius,</w:t>
      </w:r>
    </w:p>
    <w:p w:rsidR="00F61E5D" w:rsidRPr="00D277A5" w:rsidRDefault="00F61E5D" w:rsidP="00F61E5D">
      <w:pPr>
        <w:pStyle w:val="NormalHanging12a"/>
        <w:rPr>
          <w:noProof/>
        </w:rPr>
      </w:pPr>
      <w:r w:rsidRPr="00D277A5">
        <w:t>–</w:t>
      </w:r>
      <w:r w:rsidRPr="00D277A5">
        <w:tab/>
        <w:t>atsižvelgdamas į 2018 m. gruodžio 10 d. Biuro sprendimą dėl Europos Parlamento biudžeto vykdymo vidaus taisyklių, ypač į jo 34 straipsnį,</w:t>
      </w:r>
    </w:p>
    <w:p w:rsidR="00F61E5D" w:rsidRPr="00D277A5" w:rsidRDefault="00F61E5D" w:rsidP="00F61E5D">
      <w:pPr>
        <w:pStyle w:val="NormalHanging12a"/>
        <w:rPr>
          <w:noProof/>
        </w:rPr>
      </w:pPr>
      <w:r w:rsidRPr="00D277A5">
        <w:t>–</w:t>
      </w:r>
      <w:r w:rsidRPr="00D277A5">
        <w:tab/>
        <w:t>atsižvelgdamas į Darbo tvarkos taisyklių 100 straipsnį, 104 straipsnio 3 dalį ir V priedą,</w:t>
      </w:r>
    </w:p>
    <w:p w:rsidR="00F61E5D" w:rsidRPr="00D277A5" w:rsidRDefault="00F61E5D" w:rsidP="00F61E5D">
      <w:pPr>
        <w:pStyle w:val="NormalHanging12a"/>
        <w:rPr>
          <w:noProof/>
        </w:rPr>
      </w:pPr>
      <w:r w:rsidRPr="00D277A5">
        <w:t>–</w:t>
      </w:r>
      <w:r w:rsidRPr="00D277A5">
        <w:tab/>
        <w:t>atsižvelgdamas į Teisės reikalų komiteto nuomonę,</w:t>
      </w:r>
    </w:p>
    <w:p w:rsidR="00F61E5D" w:rsidRPr="00D277A5" w:rsidRDefault="00F61E5D" w:rsidP="00F61E5D">
      <w:pPr>
        <w:pStyle w:val="NormalHanging12a"/>
      </w:pPr>
      <w:r w:rsidRPr="00D277A5">
        <w:t>–</w:t>
      </w:r>
      <w:r w:rsidRPr="00D277A5">
        <w:tab/>
        <w:t>atsižvelgdamas į Biudžeto kontrolės komiteto pranešimą (A9-0067/2024),</w:t>
      </w:r>
    </w:p>
    <w:p w:rsidR="00F61E5D" w:rsidRPr="00D277A5" w:rsidRDefault="00F61E5D" w:rsidP="00F61E5D">
      <w:pPr>
        <w:pStyle w:val="NormalHanging12a"/>
        <w:widowControl/>
      </w:pPr>
      <w:r w:rsidRPr="00D277A5">
        <w:t>A.</w:t>
      </w:r>
      <w:r w:rsidRPr="00D277A5">
        <w:tab/>
        <w:t>kadangi 2023 m. birželio 22 d. Pirmininkė patvirtino Parlamento 2022 finansinių metų finansines ataskaitas;</w:t>
      </w:r>
    </w:p>
    <w:p w:rsidR="00F61E5D" w:rsidRPr="00D277A5" w:rsidRDefault="00F61E5D" w:rsidP="00F61E5D">
      <w:pPr>
        <w:pStyle w:val="NormalHanging12a"/>
        <w:widowControl/>
      </w:pPr>
      <w:r w:rsidRPr="00D277A5">
        <w:t>B.</w:t>
      </w:r>
      <w:r w:rsidRPr="00D277A5">
        <w:tab/>
        <w:t>kadangi generalinis sekretorius, kaip vyriausiasis įgaliotasis leidimus suteikiantis pareigūnas, 2023 m. birželio 26 d. pateikė pagrįstą patikinimą, kad Parlamento biudžetui skirti ištekliai buvo naudoti pagal numatytą paskirtį ir vadovaujantis patikimo finansų valdymo principais ir kad nustatytos kontrolės procedūros suteikia būtinas garantijas dėl atliktų operacijų teisėtumo ir tvarkingumo;</w:t>
      </w:r>
    </w:p>
    <w:p w:rsidR="00F8500C" w:rsidRPr="00EE305B" w:rsidRDefault="00F61E5D" w:rsidP="00F61E5D">
      <w:pPr>
        <w:pStyle w:val="NormalHanging12a"/>
        <w:widowControl/>
      </w:pPr>
      <w:r w:rsidRPr="00D277A5">
        <w:t>C.</w:t>
      </w:r>
      <w:r w:rsidRPr="00D277A5">
        <w:tab/>
        <w:t>kadangi, atlikę auditą, Audito Rūmai pareiškė, jog pagal jų atliktą specialųjį 2022 m. administracinių ir kitų išlaidų įvertinimą jų tikrintose institucijų ir įstaigų metinėse veiklos ataskaitose, kurias būtina parengti pagal Reglamentą (ES, Euratomas) 2018/1046, nenustatyta jokių rimtų trūkumų;</w:t>
      </w:r>
    </w:p>
    <w:p w:rsidR="00F61E5D" w:rsidRPr="00D277A5" w:rsidRDefault="00F61E5D" w:rsidP="00F61E5D">
      <w:pPr>
        <w:pStyle w:val="NormalHanging12a"/>
        <w:widowControl/>
      </w:pPr>
      <w:r w:rsidRPr="00D277A5">
        <w:t>D.</w:t>
      </w:r>
      <w:r w:rsidRPr="00D277A5">
        <w:tab/>
        <w:t>kadangi Reglamento (ES, Euratomas) 2018/1046 262 straipsnio 1 dalyje reikalaujama, kad kiekviena Sąjungos institucija imtųsi visų deramų priemonių dėl pastabų, pateiktų kartu su Parlamento sprendimu dėl biudžeto įvykdymo patvirtinimo;</w:t>
      </w:r>
    </w:p>
    <w:p w:rsidR="00F61E5D" w:rsidRPr="00D277A5" w:rsidRDefault="00F61E5D" w:rsidP="00F61E5D">
      <w:pPr>
        <w:pStyle w:val="NormalHanging12a"/>
        <w:rPr>
          <w:noProof/>
        </w:rPr>
      </w:pPr>
      <w:r w:rsidRPr="00D277A5">
        <w:t>1.</w:t>
      </w:r>
      <w:r w:rsidRPr="00D277A5">
        <w:tab/>
        <w:t>patvirtina Pirmininkei, kad Europos Parlamento 2022 finansinių metų biudžetas įvykdytas;</w:t>
      </w:r>
    </w:p>
    <w:p w:rsidR="00F61E5D" w:rsidRPr="00D277A5" w:rsidRDefault="00F61E5D" w:rsidP="00F61E5D">
      <w:pPr>
        <w:pStyle w:val="NormalHanging12a"/>
        <w:rPr>
          <w:noProof/>
        </w:rPr>
      </w:pPr>
      <w:r w:rsidRPr="00D277A5">
        <w:t>2.</w:t>
      </w:r>
      <w:r w:rsidRPr="00D277A5">
        <w:tab/>
        <w:t>išdėsto savo pastabas toliau pateikiamoje rezoliucijoje;</w:t>
      </w:r>
    </w:p>
    <w:p w:rsidR="00137A47" w:rsidRDefault="00F61E5D" w:rsidP="00A22D6D">
      <w:pPr>
        <w:pStyle w:val="NormalHanging12a"/>
        <w:rPr>
          <w:rFonts w:ascii="Arial Narrow" w:hAnsi="Arial Narrow" w:cs="Arial"/>
          <w:b/>
          <w:sz w:val="32"/>
          <w:szCs w:val="22"/>
        </w:rPr>
      </w:pPr>
      <w:r w:rsidRPr="00D277A5">
        <w:t>3.</w:t>
      </w:r>
      <w:r w:rsidRPr="00D277A5">
        <w:tab/>
        <w:t xml:space="preserve">paveda Pirmininkei perduoti šį sprendimą ir rezoliuciją, kuri yra neatskiriama jo dalis, Tarybai, Komisijai ir Audito Rūmams ir pasirūpinti, kad jie būtų paskelbti </w:t>
      </w:r>
      <w:r w:rsidRPr="00D277A5">
        <w:rPr>
          <w:i/>
        </w:rPr>
        <w:t>Europos Sąjungos oficialiajame leidinyje</w:t>
      </w:r>
      <w:r w:rsidRPr="00D277A5">
        <w:t xml:space="preserve"> (L serijoje).</w:t>
      </w:r>
      <w:r w:rsidR="00137A47">
        <w:br w:type="page"/>
      </w:r>
    </w:p>
    <w:p w:rsidR="00F61E5D" w:rsidRPr="00B22A52" w:rsidRDefault="00137A47" w:rsidP="00B22A52">
      <w:pPr>
        <w:pStyle w:val="ATHeading3"/>
      </w:pPr>
      <w:r w:rsidRPr="00B22A52">
        <w:lastRenderedPageBreak/>
        <w:t>2</w:t>
      </w:r>
      <w:r w:rsidR="00B46BFC" w:rsidRPr="00B22A52">
        <w:t xml:space="preserve">. 2024 m. balandžio 11 d. Europos Parlamento rezoliucija </w:t>
      </w:r>
      <w:r w:rsidR="00F61E5D" w:rsidRPr="00B22A52">
        <w:t>su pastabomis, sudarančiomis neatskiriamą sprendimo dėl 2022 m. finansinių metų Europos Sąjungos bendrojo biudžeto įvykdymo patvirtinimo, I skirsnis – Europos Parlamentas, dalį</w:t>
      </w:r>
      <w:r w:rsidR="00B46BFC" w:rsidRPr="00B22A52">
        <w:t xml:space="preserve"> </w:t>
      </w:r>
      <w:r w:rsidR="00F61E5D" w:rsidRPr="00B22A52">
        <w:t>(2023/2130(DEC))</w:t>
      </w:r>
    </w:p>
    <w:p w:rsidR="00F61E5D" w:rsidRPr="00D277A5" w:rsidRDefault="00F61E5D" w:rsidP="00F61E5D">
      <w:pPr>
        <w:pStyle w:val="EPComma"/>
        <w:rPr>
          <w:noProof/>
        </w:rPr>
      </w:pPr>
      <w:r w:rsidRPr="00D277A5">
        <w:rPr>
          <w:i/>
        </w:rPr>
        <w:t>Europos Parlamentas</w:t>
      </w:r>
      <w:r w:rsidRPr="00D277A5">
        <w:t>,</w:t>
      </w:r>
    </w:p>
    <w:p w:rsidR="00F61E5D" w:rsidRPr="00D277A5" w:rsidRDefault="00F61E5D" w:rsidP="00F61E5D">
      <w:pPr>
        <w:pStyle w:val="NormalHanging12a"/>
        <w:rPr>
          <w:noProof/>
        </w:rPr>
      </w:pPr>
      <w:r w:rsidRPr="00D277A5">
        <w:t>–</w:t>
      </w:r>
      <w:r w:rsidRPr="00D277A5">
        <w:tab/>
        <w:t>atsižvelgdamas į savo sprendimą dėl 2022 finansinių metų Europos Sąjungos bendrojo biudžeto įvykdymo patvirtinimo, I skirsnis – Europos Parlamentas,</w:t>
      </w:r>
    </w:p>
    <w:p w:rsidR="00F61E5D" w:rsidRPr="00D277A5" w:rsidRDefault="00F61E5D" w:rsidP="00F61E5D">
      <w:pPr>
        <w:pStyle w:val="NormalHanging12a"/>
        <w:rPr>
          <w:noProof/>
        </w:rPr>
      </w:pPr>
      <w:r w:rsidRPr="00D277A5">
        <w:t>–</w:t>
      </w:r>
      <w:r w:rsidRPr="00D277A5">
        <w:tab/>
        <w:t>atsižvelgdamas į Darbo tvarkos taisyklių 100 straipsnį, 104 straipsnio 3 dalį ir V priedą,</w:t>
      </w:r>
    </w:p>
    <w:p w:rsidR="00F61E5D" w:rsidRPr="00D277A5" w:rsidRDefault="00F61E5D" w:rsidP="00F61E5D">
      <w:pPr>
        <w:pStyle w:val="NormalHanging12a"/>
        <w:rPr>
          <w:noProof/>
        </w:rPr>
      </w:pPr>
      <w:r w:rsidRPr="00D277A5">
        <w:t>–</w:t>
      </w:r>
      <w:r w:rsidRPr="00D277A5">
        <w:tab/>
        <w:t>atsižvelgdamas į Teisės reikalų komiteto nuomonę,</w:t>
      </w:r>
    </w:p>
    <w:p w:rsidR="00F61E5D" w:rsidRPr="00D277A5" w:rsidRDefault="00F61E5D" w:rsidP="00F61E5D">
      <w:pPr>
        <w:pStyle w:val="NormalHanging12a"/>
      </w:pPr>
      <w:r w:rsidRPr="00D277A5">
        <w:t>–</w:t>
      </w:r>
      <w:r w:rsidRPr="00D277A5">
        <w:tab/>
        <w:t>atsižvelgdamas į Biudžeto kontrolės komiteto pranešimą (A9-0067/2024),</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A.</w:t>
      </w:r>
      <w:r w:rsidRPr="00D277A5">
        <w:rPr>
          <w14:textOutline w14:w="0" w14:cap="flat" w14:cmpd="sng" w14:algn="ctr">
            <w14:noFill/>
            <w14:prstDash w14:val="solid"/>
            <w14:bevel/>
          </w14:textOutline>
        </w:rPr>
        <w:tab/>
        <w:t>kadangi tvirtindamas galutines ataskaitas Europos Parlamento (toliau – Parlamentas) apskaitos pareigūnas pateikė pagrįstą patikinimą, kad jose visais reikšmingais aspektais teisingai parodyta Parlamento finansinė būklė, operacijų rezultatai ir pinigų srautai;</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B.</w:t>
      </w:r>
      <w:r w:rsidRPr="00D277A5">
        <w:rPr>
          <w14:textOutline w14:w="0" w14:cap="flat" w14:cmpd="sng" w14:algn="ctr">
            <w14:noFill/>
            <w14:prstDash w14:val="solid"/>
            <w14:bevel/>
          </w14:textOutline>
        </w:rPr>
        <w:tab/>
        <w:t>kadangi pagal įprastą procedūrą Parlamento administracijai buvo pateikti 60 klausimų ir gauti atsakymai raštu, jie 2023 m. gruodžio 4 d. buvo viešai aptarti Parlamento Biudžeto kontrolės komitete dalyvaujant generaliniam sekretoriui, Europos politinių partijų ir Europos politinių fondų institucijos (toliau – Institucija) direktoriui ir vidaus auditoriui;</w:t>
      </w:r>
    </w:p>
    <w:p w:rsidR="00F61E5D" w:rsidRDefault="00F61E5D" w:rsidP="00F61E5D">
      <w:pPr>
        <w:pStyle w:val="NormalHanging12a"/>
      </w:pPr>
      <w:r w:rsidRPr="00D277A5">
        <w:t>C.</w:t>
      </w:r>
      <w:r w:rsidRPr="00D277A5">
        <w:tab/>
        <w:t>kadangi visada galima didinti viešųjų finansų valdymo kokybę, efektyvumą, veiksmingumą ir skaidrumą; kadangi išsamus tikrinimas būtinas siekiant užtikrinti, kad politiniai lyderiai ir Parlamento administracija būtų atskaitingi Sąjungos piliečiams; kadangi Parlamento sąžiningumas yra labai svarbus Europos demokratijos veikimui ir didina piliečių pasitikėjimą Europos institucijomis;</w:t>
      </w:r>
    </w:p>
    <w:p w:rsidR="004772A1" w:rsidRPr="004772A1" w:rsidRDefault="004772A1" w:rsidP="004772A1">
      <w:pPr>
        <w:pStyle w:val="NormalHanging12a"/>
        <w:widowControl/>
      </w:pPr>
      <w:r w:rsidRPr="004772A1">
        <w:t>D.</w:t>
      </w:r>
      <w:r w:rsidRPr="00EE305B">
        <w:tab/>
      </w:r>
      <w:r w:rsidRPr="004772A1">
        <w:t>kadangi užsienio šalių kišimasis, manipuliavimas informacija ir dezinformacijos skleidimas yra rimtas vertybių, kuriomis grindžiama</w:t>
      </w:r>
      <w:r>
        <w:t xml:space="preserve"> Sąjunga</w:t>
      </w:r>
      <w:r w:rsidRPr="004772A1">
        <w:t>, pažeidimas; kadangi 2022 m. birželio mėn. įsteigtas Parlamento Specialusis komitetas užsienio šalių kišimosi į visus demokratinius procesus Sąjungoje, įskaitant dezinformaciją, klausimais (INGE) išsamiai atskleidė trečiųjų valstybių pastangas ir veiksmus turint tikslą įsiskverbti į demokratines Europos valstybes ir Sąjungos institucijas, daryti joms įtaką ir kištis į jų veiklą;</w:t>
      </w:r>
    </w:p>
    <w:p w:rsidR="004772A1" w:rsidRPr="00EE305B" w:rsidRDefault="004772A1" w:rsidP="004772A1">
      <w:pPr>
        <w:pStyle w:val="NormalHanging12a"/>
        <w:widowControl/>
      </w:pPr>
      <w:r w:rsidRPr="004772A1">
        <w:t>E.</w:t>
      </w:r>
      <w:r w:rsidRPr="00EE305B">
        <w:tab/>
      </w:r>
      <w:r w:rsidRPr="004772A1">
        <w:t>kadangi esama įtarimų, kad Parlamento nariams buvo mokama už Rusijos propagandos sklaidą;</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Parlamento biudžeto ir finansų valdymas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Pr="00D277A5">
        <w:rPr>
          <w14:textOutline w14:w="0" w14:cap="flat" w14:cmpd="sng" w14:algn="ctr">
            <w14:noFill/>
            <w14:prstDash w14:val="solid"/>
            <w14:bevel/>
          </w14:textOutline>
        </w:rPr>
        <w:tab/>
        <w:t>pažymi, kad galutiniai Parlamento asignavimai 2022 m. iš viso sudarė 2 161 mln. EUR arba 19,55 proc. daugiametės finansinės programos</w:t>
      </w:r>
      <w:r w:rsidRPr="00D277A5">
        <w:rPr>
          <w:rStyle w:val="FootnoteReference"/>
          <w:szCs w:val="24"/>
        </w:rPr>
        <w:footnoteReference w:id="7"/>
      </w:r>
      <w:r w:rsidRPr="00D277A5">
        <w:rPr>
          <w14:textOutline w14:w="0" w14:cap="flat" w14:cmpd="sng" w14:algn="ctr">
            <w14:noFill/>
            <w14:prstDash w14:val="solid"/>
            <w14:bevel/>
          </w14:textOutline>
        </w:rPr>
        <w:t xml:space="preserve"> pagal 7 išlaidų kategoriją visų 2022 m. Sąjungos institucijų administracinėms išlaidoms numatytų lėšų, ir, palyginti su </w:t>
      </w:r>
      <w:r w:rsidRPr="00D277A5">
        <w:rPr>
          <w14:textOutline w14:w="0" w14:cap="flat" w14:cmpd="sng" w14:algn="ctr">
            <w14:noFill/>
            <w14:prstDash w14:val="solid"/>
            <w14:bevel/>
          </w14:textOutline>
        </w:rPr>
        <w:lastRenderedPageBreak/>
        <w:t>2021 m. biudžetu (2 064 mln. EUR), ši suma yra 4,76 proc. didesnė;</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2.</w:t>
      </w:r>
      <w:r w:rsidRPr="00D277A5">
        <w:rPr>
          <w14:textOutline w14:w="0" w14:cap="flat" w14:cmpd="sng" w14:algn="ctr">
            <w14:noFill/>
            <w14:prstDash w14:val="solid"/>
            <w14:bevel/>
          </w14:textOutline>
        </w:rPr>
        <w:tab/>
        <w:t>pažymi, kad 2022 m. gruodžio 31 d. bendra apskaitytų pajamų suma buvo 250 473 772 EUR (2021 m. – 215 332 108 EUR ); pažymi, kad 2022 m. turimos asignuotosios pajamos sudarė 61 267 620 EUR (2021 m. – 37 150 962 EUR 2021 m.);</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3.</w:t>
      </w:r>
      <w:r w:rsidRPr="00D277A5">
        <w:rPr>
          <w14:textOutline w14:w="0" w14:cap="flat" w14:cmpd="sng" w14:algn="ctr">
            <w14:noFill/>
            <w14:prstDash w14:val="solid"/>
            <w14:bevel/>
          </w14:textOutline>
        </w:rPr>
        <w:tab/>
        <w:t>pabrėžia, kad 76,5 proc. visų įsipareigojimų sudaro penkių skyrių – 10 skyriaus „Institucijos nariai“, 12 skyriaus „Pareigūnai ir laikinieji darbuotojai“, 14 skyriaus „Kiti darbuotojai ir išorės paslaugos“, 20 skyriaus „Pastatai ir su jais susijusios išlaidos“ ir 42 skyriaus „Parlamento narių padėjėjų išlaidos“ – įsipareigojimai;</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4.</w:t>
      </w:r>
      <w:r w:rsidRPr="00D277A5">
        <w:rPr>
          <w14:textOutline w14:w="0" w14:cap="flat" w14:cmpd="sng" w14:algn="ctr">
            <w14:noFill/>
            <w14:prstDash w14:val="solid"/>
            <w14:bevel/>
          </w14:textOutline>
        </w:rPr>
        <w:tab/>
        <w:t>atkreipia dėmesį į skaičius, kuriais remiantis buvo uždarytos 2022 finansinių metų Parlamento sąskaitos, t. y.:</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F61E5D" w:rsidRPr="00D277A5" w:rsidTr="00924CBE">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F61E5D" w:rsidRPr="00D277A5" w:rsidRDefault="00F61E5D" w:rsidP="00924CBE">
            <w:pPr>
              <w:autoSpaceDE w:val="0"/>
              <w:autoSpaceDN w:val="0"/>
              <w:adjustRightInd w:val="0"/>
            </w:pPr>
            <w:r w:rsidRPr="00D277A5">
              <w:rPr>
                <w:b/>
              </w:rPr>
              <w:t>a) Turimi asignavimai (EUR)</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2022 m. asignavimai: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2 161 651 286,00</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Neautomatiniai perkėlimai iš 2021 finansinių metų: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22 007 230,00</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Automatiniai perkėlimai iš 2021 finansinių metų: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380 099 194,75</w:t>
            </w:r>
          </w:p>
        </w:tc>
      </w:tr>
      <w:tr w:rsidR="00F61E5D" w:rsidRPr="00D277A5" w:rsidTr="00924CBE">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Asignavimai, atitinkantys 2022 m. asignuotąsias pajamas: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61 267 620,37</w:t>
            </w:r>
          </w:p>
        </w:tc>
      </w:tr>
      <w:tr w:rsidR="00F61E5D" w:rsidRPr="00D277A5" w:rsidTr="00924CBE">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Perkėlimai, atitinkantys 2021 m. asignuotąsias pajamas: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39 603 266,73</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F61E5D" w:rsidRPr="00D277A5" w:rsidRDefault="00F61E5D" w:rsidP="00924CBE">
            <w:pPr>
              <w:autoSpaceDE w:val="0"/>
              <w:autoSpaceDN w:val="0"/>
              <w:adjustRightInd w:val="0"/>
            </w:pPr>
            <w:r w:rsidRPr="00D277A5">
              <w:t xml:space="preserve">Iš viso: </w:t>
            </w:r>
          </w:p>
        </w:tc>
        <w:tc>
          <w:tcPr>
            <w:tcW w:w="2702" w:type="dxa"/>
            <w:tcBorders>
              <w:top w:val="single" w:sz="4" w:space="0" w:color="auto"/>
              <w:left w:val="single" w:sz="4" w:space="0" w:color="auto"/>
              <w:bottom w:val="single" w:sz="4" w:space="0" w:color="auto"/>
              <w:right w:val="single" w:sz="4" w:space="0" w:color="auto"/>
            </w:tcBorders>
            <w:vAlign w:val="bottom"/>
            <w:hideMark/>
          </w:tcPr>
          <w:p w:rsidR="00F61E5D" w:rsidRPr="00D277A5" w:rsidRDefault="00F61E5D" w:rsidP="00924CBE">
            <w:pPr>
              <w:autoSpaceDE w:val="0"/>
              <w:autoSpaceDN w:val="0"/>
              <w:adjustRightInd w:val="0"/>
              <w:jc w:val="right"/>
            </w:pPr>
            <w:r w:rsidRPr="00D277A5">
              <w:t>2 664 628 597,85</w:t>
            </w:r>
          </w:p>
        </w:tc>
      </w:tr>
      <w:tr w:rsidR="00F61E5D" w:rsidRPr="00D277A5" w:rsidTr="00924CBE">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rPr>
                <w:b/>
              </w:rPr>
            </w:pPr>
            <w:r w:rsidRPr="00D277A5">
              <w:rPr>
                <w:b/>
              </w:rPr>
              <w:t>b) 2022 finansinių metų asignavimų panaudojimas (EUR)</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Įsipareigojimai: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2 607 456 700,15</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Atlikti mokėjimai: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2 186 635 235,75</w:t>
            </w:r>
          </w:p>
        </w:tc>
      </w:tr>
      <w:tr w:rsidR="00F61E5D" w:rsidRPr="00D277A5" w:rsidTr="00924CBE">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Automatiškai į kitus metus perkelti asignavimai, įskaitant asignuotųjų pajamų asignavimus: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p>
          <w:p w:rsidR="00F61E5D" w:rsidRPr="00D277A5" w:rsidRDefault="00F61E5D" w:rsidP="00924CBE">
            <w:pPr>
              <w:autoSpaceDE w:val="0"/>
              <w:autoSpaceDN w:val="0"/>
              <w:adjustRightInd w:val="0"/>
              <w:jc w:val="right"/>
            </w:pPr>
            <w:r w:rsidRPr="00D277A5">
              <w:t>428 826 276,81</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Neautomatiškai į kitus metus perkelti asignavimai: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0</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Panaikinti asignavimai: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49 167 085,50</w:t>
            </w:r>
          </w:p>
        </w:tc>
      </w:tr>
      <w:tr w:rsidR="00F61E5D" w:rsidRPr="00D277A5" w:rsidTr="00924CBE">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rPr>
                <w:b/>
              </w:rPr>
            </w:pPr>
            <w:r w:rsidRPr="00D277A5">
              <w:rPr>
                <w:b/>
              </w:rPr>
              <w:t>c) Biudžeto pajamos (EUR)</w:t>
            </w:r>
          </w:p>
        </w:tc>
      </w:tr>
      <w:tr w:rsidR="00F61E5D" w:rsidRPr="00D277A5" w:rsidTr="00924CBE">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pPr>
            <w:r w:rsidRPr="00D277A5">
              <w:t xml:space="preserve">Gauta 2022 m.: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250 473 772,00</w:t>
            </w:r>
          </w:p>
        </w:tc>
      </w:tr>
      <w:tr w:rsidR="00F61E5D" w:rsidRPr="00D277A5" w:rsidTr="00924CBE">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F61E5D" w:rsidRPr="00D277A5" w:rsidRDefault="00F61E5D" w:rsidP="00924CBE">
            <w:pPr>
              <w:autoSpaceDE w:val="0"/>
              <w:autoSpaceDN w:val="0"/>
              <w:adjustRightInd w:val="0"/>
            </w:pPr>
            <w:r w:rsidRPr="00D277A5">
              <w:rPr>
                <w:b/>
              </w:rPr>
              <w:t>d) Bendras 2022 m. gruodžio 31 d. balansas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F61E5D" w:rsidRPr="00D277A5" w:rsidRDefault="00F61E5D" w:rsidP="00924CBE">
            <w:pPr>
              <w:autoSpaceDE w:val="0"/>
              <w:autoSpaceDN w:val="0"/>
              <w:adjustRightInd w:val="0"/>
              <w:jc w:val="right"/>
            </w:pPr>
            <w:r w:rsidRPr="00D277A5">
              <w:t>1 735 834 446,00</w:t>
            </w:r>
          </w:p>
        </w:tc>
      </w:tr>
    </w:tbl>
    <w:p w:rsidR="00F61E5D" w:rsidRPr="00D277A5" w:rsidRDefault="00F61E5D" w:rsidP="00F61E5D">
      <w:pPr>
        <w:pStyle w:val="NormalHanging12a"/>
        <w:spacing w:before="240"/>
      </w:pPr>
      <w:r w:rsidRPr="00D277A5">
        <w:t>5.</w:t>
      </w:r>
      <w:r w:rsidRPr="00D277A5">
        <w:tab/>
        <w:t>pažymi, kad 2022 finansiniais metais Parlamento Biudžeto komitetas patvirtino 21 perkėlimą (C perkėlimai) pagal Finansinio reglamento 31 ir 49 straipsnius, jie sudarė 88 449 115 EUR sumą arba 4,09 proc. galutinių asignavimų; pažymi, kad Pirmininkė leido atlikti 11 perkėlimų (P perkėlimai), jie sudarė 34 246 879 EUR sumą arba 1,6 proc. 2022 m. biudžeto; teiraujasi, kuriose biudžeto eilutėse įvyko šie P perkėlimai; ragina vadovybę aktyviai informuoti Biudžeto kontrolės komitetą apie atitinkamas sumas ir biudžeto eilutes;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6.</w:t>
      </w:r>
      <w:r w:rsidRPr="00D277A5">
        <w:rPr>
          <w14:textOutline w14:w="0" w14:cap="flat" w14:cmpd="sng" w14:algn="ctr">
            <w14:noFill/>
            <w14:prstDash w14:val="solid"/>
            <w14:bevel/>
          </w14:textOutline>
        </w:rPr>
        <w:tab/>
        <w:t>pažymi, kad apskaičiuota, jog dėl COVID-19 pandemijos susidarė nedidelis 16 417 325 EUR perteklius, kuris buvo perkeltas iš punktų, susijusių, pavyzdžiui, su kelionės išlaidomis, lankytojų grupių organizavimu ir priėmimu, Parlamento lankytojų centrų veikla, išorės asmeniniais mokymais, dokumentacija ir (arba) leidiniais, vietiniais Parlamento narių padėjėjais ir stažuotojais; pažymi, kad tuo pačiu metu dėl COVID-19 pandemijos reikėjo iš viso 7 549 000 EUR suma padidinti kitų biudžeto eilučių asignavimus; pabrėžia, kad šios eilutės daugiausia susijusios su finansinės paramos teikimu namuose dirbantiems darbuotojams, sveikata ir prevencija ir papildomomis išlaidomis vertimui žodžiu, siekiant remti nuotolinį darbą ir daugiakalbius nuotolinius bei mišrius posėdžius.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lastRenderedPageBreak/>
        <w:t>7.</w:t>
      </w:r>
      <w:r w:rsidRPr="00D277A5">
        <w:rPr>
          <w14:textOutline w14:w="0" w14:cap="flat" w14:cmpd="sng" w14:algn="ctr">
            <w14:noFill/>
            <w14:prstDash w14:val="solid"/>
            <w14:bevel/>
          </w14:textOutline>
        </w:rPr>
        <w:tab/>
        <w:t xml:space="preserve">atkreipia dėmesį į tai, kad 2022-ieji Sąjungos institucijoms, įskaitant Parlamentą, buvo pereinamojo laikotarpio metai; pažymi, kad priemonių, nustatytų dėl COVID-19 pandemijos, taikymas nutrauktas 2022 m. birželio mėn.; palankiai vertina visų generalinių direktoratų ir generalinio sekretoriaus pastangas įdiegti reikiamas priemones, kad būtų atnaujintas parlamentinis darbas ir veikla būtų vykdoma taip pat, kaip ir prieš COVID-19 pandemiją; palankiai vertina tai, kad nuo 2022 m. kovo mėn. vėl sėkmingai rengiamos plenarinės sesijos dalyvaujant fiziškai; pažymi, kad tai įvyko po dvejų metų laikotarpio, per kurį turėjo būti surengta daugiau kaip 12 000 balsavimų nuotoliniu būdu per ne mažiau kaip 175 balsavimo sesijas, paskirstytas per 30 mėnesinių sesijų; </w:t>
      </w:r>
    </w:p>
    <w:p w:rsidR="00F61E5D" w:rsidRPr="00D277A5" w:rsidRDefault="00F61E5D" w:rsidP="00F61E5D">
      <w:pPr>
        <w:pStyle w:val="NormalHanging12a"/>
      </w:pPr>
      <w:r w:rsidRPr="00D277A5">
        <w:t>8.</w:t>
      </w:r>
      <w:r w:rsidRPr="00D277A5">
        <w:tab/>
        <w:t>pažymi, kad Rusijos agresijos karas prieš Ukrainą ir išskirtinai aukštas infliacijos lygis – 2022 m. pabaigoje Sąjungos metinis lygis vis dar siekė 10,4 proc. – padarė didelį poveikį 2022 finansiniams metams; pripažįsta, kad Parlamento administracija įdėjo daug pastangų vykdydama Parlamento biudžetą ir siekdama patenkinti neatidėliotinus dėl krizės kylančius poreikius; palankiai vertina Parlamento Ukrainai padovanotą techninę įrangą, kad paremtų ją sunkiais karo laikais;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Europos Audito Rūmų nuomonės dėl 2022 m. sąskaitų patikimumo ir pagal jas atliktų operacijų teisėtumo ir tvarkingumo</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9.</w:t>
      </w:r>
      <w:r w:rsidRPr="00D277A5">
        <w:rPr>
          <w14:textOutline w14:w="0" w14:cap="flat" w14:cmpd="sng" w14:algn="ctr">
            <w14:noFill/>
            <w14:prstDash w14:val="solid"/>
            <w14:bevel/>
          </w14:textOutline>
        </w:rPr>
        <w:tab/>
        <w:t>primena, kad Europos Audito Rūmai (toliau – Audito Rūmai) atlieka specialųjį visų Sąjungos institucijų administracinių ir kitų išlaidų, kaip vienos politikos grupės, vertinimą; pabrėžia, kad administracinės išlaidos – tai išlaidos žmogiškiesiems ištekliams, įskaitant pensijas, kurios 2022 m. sudarė apie 70 proc. bendros administracinių išlaidų sumos, ir išlaidos pastatams, įrangai, energijai, komunikacijoms ir informacinėms technologijoms. pažymi, kad iš Audito Rūmų daugelį metų atliekamo darbo rezultatų matyti, kad apskritai šios išlaidos yra mažos rizikos;</w:t>
      </w:r>
    </w:p>
    <w:p w:rsidR="00F61E5D" w:rsidRPr="00D277A5" w:rsidRDefault="00F61E5D" w:rsidP="00F61E5D">
      <w:pPr>
        <w:pStyle w:val="NormalHanging12a"/>
      </w:pPr>
      <w:r w:rsidRPr="00D277A5">
        <w:t>10.</w:t>
      </w:r>
      <w:r w:rsidRPr="00D277A5">
        <w:tab/>
        <w:t>pažymi, kad daugiametės finansinės programos 7 išlaidų kategorijai „Europos viešasis administravimas“ 2022 m. skirta 11,6 mlrd. EUR arba 5,9 proc. Sąjungos biudžeto, iš jų Parlamentui teko 2,2 mlrd. EUR arba 18,9 proc.; teigiamai vertina tai, kad Audito Rūmai nustatė, kad kategorijos „Europos viešasis administravimas“ išlaidose klaidų lygis nebuvo reikšmingas; ragina Parlamentą patikrinti ir nustatyti, kokio tipo operacijose buvo daug klaidų, nors jos nesiekė reikšmingumo ribos, ir išnagrinėti procedūros pakeitimus, kurių reikia siekiant ateityje išvengti panašių klaidų ir jas aptikti;</w:t>
      </w:r>
    </w:p>
    <w:p w:rsidR="00F61E5D" w:rsidRPr="00D277A5" w:rsidRDefault="00F61E5D" w:rsidP="00F61E5D">
      <w:pPr>
        <w:pStyle w:val="NormalHanging12a"/>
      </w:pPr>
      <w:r w:rsidRPr="00D277A5">
        <w:t>11.</w:t>
      </w:r>
      <w:r w:rsidRPr="00D277A5">
        <w:tab/>
        <w:t>atkreipia dėmesį į tai, kad Audito Rūmai metinėje ataskaitoje dėl 2022 finansinių metų biudžeto vykdymo pateikė konkretų pastebėjimą dėl Parlamento; atkreipia dėmesį į Audito Rūmų rekomendaciją Parlamento administracijai sugriežtinti savo gaires dėl frakcijų biudžeto asignavimų vykdymo ir toliau siekti tobulinti vidaus taisykles bei užtikrinti, kad būtų laikomasi viešųjų pirkimų taisyklių ir procedūrų;</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12.</w:t>
      </w:r>
      <w:r w:rsidRPr="00D277A5">
        <w:rPr>
          <w14:textOutline w14:w="0" w14:cap="flat" w14:cmpd="sng" w14:algn="ctr">
            <w14:noFill/>
            <w14:prstDash w14:val="solid"/>
            <w14:bevel/>
          </w14:textOutline>
        </w:rPr>
        <w:tab/>
        <w:t>pažymi, kad Audito Rūmai atrinko 13 Parlamento operacijų imtį ir kad trijose iš jų nustatė kiekybiškai įvertinamų klaidų; pažymi, kad viešieji pirkimai buvo vienas iš Audito Rūmų iškeltų klausimų; pabrėžia, kad tokio pobūdžio pastebėjimas taip pat buvo pateiktas praeityje;</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13.</w:t>
      </w:r>
      <w:r w:rsidRPr="00D277A5">
        <w:rPr>
          <w14:textOutline w14:w="0" w14:cap="flat" w14:cmpd="sng" w14:algn="ctr">
            <w14:noFill/>
            <w14:prstDash w14:val="solid"/>
            <w14:bevel/>
          </w14:textOutline>
        </w:rPr>
        <w:tab/>
        <w:t xml:space="preserve">atkreipia dėmesį į Audito Rūmų pastabas dėl Parlamento vidaus taisyklių; primena, kad frakcijos valdo joms skirtas lėšas pagal netiesioginio lėšų valdymo principus, analogiškai taikant Finansinio reglamento 62 straipsnio 1 dalies c punktą; mano, kad </w:t>
      </w:r>
      <w:r w:rsidRPr="00D277A5">
        <w:rPr>
          <w14:textOutline w14:w="0" w14:cap="flat" w14:cmpd="sng" w14:algn="ctr">
            <w14:noFill/>
            <w14:prstDash w14:val="solid"/>
            <w14:bevel/>
          </w14:textOutline>
        </w:rPr>
        <w:lastRenderedPageBreak/>
        <w:t>būtent šios taisyklės pakeičia susitarimus dėl įnašo (kaip nurodyta Finansinio reglamento 155 straipsnio 6 dalyje);</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14.</w:t>
      </w:r>
      <w:r w:rsidRPr="00D277A5">
        <w:rPr>
          <w14:textOutline w14:w="0" w14:cap="flat" w14:cmpd="sng" w14:algn="ctr">
            <w14:noFill/>
            <w14:prstDash w14:val="solid"/>
            <w14:bevel/>
          </w14:textOutline>
        </w:rPr>
        <w:tab/>
        <w:t>primena, kad pagal Parlamento vidaus taisykles frakcijos yra atsakingos institucijai už asignavimų valdymą, neviršijant Biuro joms suteiktų įgaliojimų; atkreipia dėmesį į tai, kad asignavimai turi būti valdomi laikantis šių taisyklių ir reikėtų imtis atitinkamų veiksmų siekiant užkirsti kelią bet kokiam reikalavimų nesilaikymui;</w:t>
      </w:r>
    </w:p>
    <w:p w:rsidR="00F61E5D" w:rsidRPr="00D277A5" w:rsidRDefault="00F61E5D" w:rsidP="00F61E5D">
      <w:pPr>
        <w:pStyle w:val="NormalHanging12a"/>
      </w:pPr>
      <w:r w:rsidRPr="00D277A5">
        <w:t>15.</w:t>
      </w:r>
      <w:r w:rsidRPr="00D277A5">
        <w:tab/>
        <w:t>frakcijos gauna Parlamento pagalbą ir konsultacijas, kai jos to prašo; pažymi, kad 2022 m. frakcijų finansų skyriai ir nacionalinės delegacijos aktyviau vykdo pasirašymo procesą, kad būtų užtikrintas patikimas 400 eilutės asignavimų valdymas;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16.</w:t>
      </w:r>
      <w:r w:rsidRPr="00D277A5">
        <w:rPr>
          <w14:textOutline w14:w="0" w14:cap="flat" w14:cmpd="sng" w14:algn="ctr">
            <w14:noFill/>
            <w14:prstDash w14:val="solid"/>
            <w14:bevel/>
          </w14:textOutline>
        </w:rPr>
        <w:tab/>
        <w:t>palankiai vertina administracijos įsipareigojimą teikti daugiau informacijos frakcijoms apie tinkamą Parlamento vidaus taisyklių įgyvendinimą ir padėti joms gerinti savo vidaus finansų valdymą; palankiai vertina tai, kad ji išsamiau patikslins frakcijų vykdomų viešųjų pirkimų gaires;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Vidaus auditoriaus metinė ataskaita</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17.</w:t>
      </w:r>
      <w:r w:rsidRPr="00D277A5">
        <w:rPr>
          <w14:textOutline w14:w="0" w14:cap="flat" w14:cmpd="sng" w14:algn="ctr">
            <w14:noFill/>
            <w14:prstDash w14:val="solid"/>
            <w14:bevel/>
          </w14:textOutline>
        </w:rPr>
        <w:tab/>
        <w:t>pažymi, kad 2023 m. gruodžio 4 d. surengtame atsakingo komiteto ir vidaus auditoriaus posėdyje vidaus auditorius pristatė savo metinę ataskaitą ir apibūdino savo atliktus patikinimo auditus bei suteiktas konsultavimo paslaugas, taip pat pranešė apie aktualios padėties rezultatus, apimančius, kalbant apie 2022 m., horizontalius tolesnius veiksmus dėl nebaigtų vykdyti veiksmų pagal vidaus audito ataskaitas, darbuotojų komandiruočių auditą, Parlamento rizikos valdymo sistemos peržiūrą, INLO GD viešųjų pirkimų proceso auditą, SAFE GD saugumo įrangos ir paslaugų pirkimo ir naudojimo auditą, Europos politinių partijų ir Europos politinių fondų finansavimo auditą (antroji užduotis) ir ADENAUER 2 pastato projekto periodinės peržiūros trečiąjį etapą (rytinio priestato pabaigimas);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18.</w:t>
      </w:r>
      <w:r w:rsidRPr="00D277A5">
        <w:rPr>
          <w14:textOutline w14:w="0" w14:cap="flat" w14:cmpd="sng" w14:algn="ctr">
            <w14:noFill/>
            <w14:prstDash w14:val="solid"/>
            <w14:bevel/>
          </w14:textOutline>
        </w:rPr>
        <w:tab/>
        <w:t>palankiai vertina ir remia veiksmus, dėl kurių, atsižvelgdami į patikinimo užduotis, susitarė vidaus auditorius ir atsakingi generaliniai direktoratai, susijusius su darbuotojų komandiruočių auditu, Parlamento rizikos valdymo sistemos peržiūra ir INLO GD viešųjų pirkimų proceso auditu;</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19.</w:t>
      </w:r>
      <w:r w:rsidRPr="00D277A5">
        <w:rPr>
          <w14:textOutline w14:w="0" w14:cap="flat" w14:cmpd="sng" w14:algn="ctr">
            <w14:noFill/>
            <w14:prstDash w14:val="solid"/>
            <w14:bevel/>
          </w14:textOutline>
        </w:rPr>
        <w:tab/>
        <w:t>atkreipia dėmesį į patikinimo užduotis, ryšium su kuriomis šiuo metu rengiamos preliminarios išvados arba dėl kurių vis dar vyksta darbas vietoje ir kurios šiuo metu vykdomos pagal Vidaus audito nuostatuose numatytą procesą;</w:t>
      </w:r>
    </w:p>
    <w:p w:rsidR="00F61E5D" w:rsidRPr="00D277A5" w:rsidRDefault="00F61E5D" w:rsidP="00F61E5D">
      <w:pPr>
        <w:pStyle w:val="NormalHanging12a"/>
      </w:pPr>
      <w:r w:rsidRPr="00D277A5">
        <w:t>20.</w:t>
      </w:r>
      <w:r w:rsidRPr="00D277A5">
        <w:tab/>
        <w:t>pažymi, kad 2022 m. vykdant tolesnių veiksmų procesą buvo užbaigti 38 iš 92 nebaigtų veiksmų, kurių sutarti įgyvendinimo terminai buvo pasibaigę; yra susirūpinęs dėl to, kad, remiantis 2022 m. gruodžio 31 d. duomenimis, 29 nebaigtus veiksmus buvo pavėluota vykdyti daugiau kaip 12 mėnesių; tikisi, kad įvairūs generaliniai direktoratai užtikrins, kad likę veiksmai bus nedelsiant baigti įgyvendinti ir kad sutarti veiksmai bus įgyvendinami laikantis vidaus auditoriaus metinėje ataskaitoje nustatytų terminų;</w:t>
      </w:r>
    </w:p>
    <w:p w:rsidR="00F61E5D" w:rsidRPr="00D277A5" w:rsidRDefault="00F61E5D" w:rsidP="00F61E5D">
      <w:pPr>
        <w:pStyle w:val="NormalHanging12a"/>
      </w:pPr>
      <w:r w:rsidRPr="00D277A5">
        <w:t>21.</w:t>
      </w:r>
      <w:r w:rsidRPr="00D277A5">
        <w:tab/>
      </w:r>
      <w:r w:rsidR="00EA6CCD" w:rsidRPr="002E41C7">
        <w:t>pažymi, kad pagal Finansinio reglamento 118 straipsnio 9 dalį su vidaus auditoriaus ataskaitomis ir nustatytais faktais, taip pat atitinkamos Sąjungos institucijos ataskaita visuomenė gali susipažinti po to, kai vidaus auditorius patvirtina veiksmus, kurių imtasi siekiant jas įgyvendinti; pažymi, kad praktiškai ataskaitos ir nustatyti faktai skelbiami tik tuomet, kai įgyvendinamos visos rekomendacijo</w:t>
      </w:r>
      <w:r w:rsidR="00EA6CCD" w:rsidRPr="004772A1">
        <w:t xml:space="preserve">s, ir dėl to de facto paskelbimas nusitęsia ne vieniems metams; ragina Biurą viešai paskelbti visas turimas vidaus audito </w:t>
      </w:r>
      <w:r w:rsidR="00EA6CCD" w:rsidRPr="004772A1">
        <w:lastRenderedPageBreak/>
        <w:t xml:space="preserve">ataskaitas praėjus metams po jų užbaigimo, kai vidaus auditorius patvirtina veiksmus, kurių imtasi siekiant įgyvendinti praėjusių metų rekomendaciją; </w:t>
      </w:r>
      <w:r w:rsidR="00EA6CCD" w:rsidRPr="002E41C7">
        <w:t>primena, kad pagal Biuro taisykles Parlamento nariai gali susipažinti su konfidencialiais dokumentais tik pagal būtinybės žinoti principą; primena, kad visi Biudžeto kontrolės komiteto nariai turi teisę prašyti konfidencialios prieigos prie vidaus audito ataskaitos, susijusios su biudžeto įvykdymo patvirtinimo procedūra; teigiamai vertina tai, kad vidaus auditorius Biudžeto kontrolės komitetui teikia ataskaitas dėl atliktos metinės audito veiklos</w:t>
      </w:r>
      <w:r w:rsidRPr="00D277A5">
        <w:t>;</w:t>
      </w:r>
    </w:p>
    <w:p w:rsidR="00F61E5D" w:rsidRPr="00D277A5" w:rsidRDefault="00F61E5D" w:rsidP="00F61E5D">
      <w:pPr>
        <w:pStyle w:val="NormalHanging12a"/>
      </w:pPr>
      <w:r w:rsidRPr="00D277A5">
        <w:t>22.</w:t>
      </w:r>
      <w:r w:rsidRPr="00D277A5">
        <w:tab/>
        <w:t>pažymi, kad dėl to, kad visus metus buvo neužpildyta darbo vieta, numatyta informacinių sistemų auditoriui, 2022 m. negalėjo būti atliktas vienas planuotas informacinių technologijų (IT) srities auditas (darbuotojų informuotumas apie kibernetinį saugumą); atkreipia dėmesį į tai, kad sunku rasti konkrečių profilių audito darbuotojų, be kita ko, IT srityje, kad jie galėtų atlikti planuotus auditus pagal reikalavimus; ragina Vidaus audito tarnybą spręsti šį klausimą siekiant užtikrinti, kad likęs auditas būtų užbaigtas laiku iki kito biudžeto įvykdymo patvirtinimo ciklo;</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23.</w:t>
      </w:r>
      <w:r w:rsidRPr="00D277A5">
        <w:rPr>
          <w14:textOutline w14:w="0" w14:cap="flat" w14:cmpd="sng" w14:algn="ctr">
            <w14:noFill/>
            <w14:prstDash w14:val="solid"/>
            <w14:bevel/>
          </w14:textOutline>
        </w:rPr>
        <w:tab/>
        <w:t>palankiai vertina tai, kad Vidaus audito tarnyba, įgyvendindama savo 2022 m. kokybės užtikrinimo ir gerinimo programą, toliau siekė stiprinti savo veiklą teikdama objektyvų patikinimą sprendimus priimančioms ir priežiūros institucijoms, leidimus suteikiantiems pareigūnams ir vadovybei; atkreipia dėmesį į tai, kad vidaus auditorius pareiškė, jog negavo nurodymų ar rekomendacijų iš jokio šaltinio, kuris galėtų pakenkti jo nepriklausomumui;</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Tolesnės priemonės, kurių imtasi priėmus 2021 m. rezoliuciją dėl biudžeto įvykdymo patvirtinimo</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24.</w:t>
      </w:r>
      <w:r w:rsidRPr="00D277A5">
        <w:rPr>
          <w14:textOutline w14:w="0" w14:cap="flat" w14:cmpd="sng" w14:algn="ctr">
            <w14:noFill/>
            <w14:prstDash w14:val="solid"/>
            <w14:bevel/>
          </w14:textOutline>
        </w:rPr>
        <w:tab/>
        <w:t>atkreipia dėmesį į Parlamento Biudžeto kontrolės komitetui 2023 m. rugsėjo 13 d. pateiktus atsakymus raštu dėl rezoliucijos dėl 2021 m. biudžeto įvykdymo patvirtinimo ir generalinio sekretoriaus pranešimą, kuriame atsižvelgta į klausimus, nurodytus Parlamento rezoliucijoje dėl 2021 m. biudžeto įvykdymo patvirtinimo, ir po to įvykusį keitimąsi nuomonėmis su Parlamento nariais;</w:t>
      </w:r>
    </w:p>
    <w:p w:rsidR="00F61E5D" w:rsidRPr="00D277A5" w:rsidRDefault="00F61E5D" w:rsidP="00F61E5D">
      <w:pPr>
        <w:pStyle w:val="NormalHanging12a"/>
      </w:pPr>
      <w:r w:rsidRPr="00D277A5">
        <w:t>25.</w:t>
      </w:r>
      <w:r w:rsidRPr="00D277A5">
        <w:tab/>
        <w:t>primena, kad kai plenariniame posėdyje raginama, kad Parlamentas įgyvendintų skirtingas taisykles ar priemones, Biuras aptaria siūlomas taisykles ar priemones ir dėl jų balsuoja; atsižvelgdamas į Darbo tvarkos taisyklių 25 straipsnį primena, kad Biuras yra atsakingas už sprendimų dėl finansinių, organizacinių ir administracinių klausimų, susijusių su Parlamento nariais, priėmimą; primena, kad Biurą sudaro Europos Parlamento pirmininkas, 14 Parlamento pirmininko pavaduotojų ir penki kvestoriai (balsavimo teisės neturintys nariai), kuriuos demokratiškai išrinko Parlamentas; pažymi, kad Biuro nariai svarsto Parlamento sąmatos projektą; primena, kad biudžeto įvykdymo patvirtinimas yra demokratinės kontrolės vykdymas ir kad konkretūs reikalavimai, kurie plenariniame posėdyje buvo priimti rezoliucijose dėl biudžeto įvykdymo patvirtinimo, turi atsispindėti Biuro diskusijose;</w:t>
      </w:r>
    </w:p>
    <w:p w:rsidR="00F61E5D" w:rsidRPr="00D277A5" w:rsidRDefault="00F61E5D" w:rsidP="00F61E5D">
      <w:pPr>
        <w:pStyle w:val="NormalHanging12a"/>
      </w:pPr>
      <w:r w:rsidRPr="00D277A5">
        <w:t>26.</w:t>
      </w:r>
      <w:r w:rsidRPr="00D277A5">
        <w:tab/>
        <w:t>žino, kad nuo COVID-19 pandemijos protrūkio 2020 m. kovo mėn. ir iki laipsniško sanitarinių apribojimų panaikinimo 2022 m. pradžioje Biuro svarstymuose daugiausia dėmesio buvo skiriama sprendimams, kuriais buvo siekiama apsaugoti Parlamento narių ir darbuotojų sveikatą, sykiu užtikrinant veiklos tęstinumą ir įgyvendinant praktines solidarumo priemones trijų priimančiųjų valstybių narių, kuriose yra Parlamento darbo vietos, atžvilgiu;</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Vadovybės generalinis direktoratas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lastRenderedPageBreak/>
        <w:t>27.</w:t>
      </w:r>
      <w:r w:rsidRPr="00D277A5">
        <w:rPr>
          <w14:textOutline w14:w="0" w14:cap="flat" w14:cmpd="sng" w14:algn="ctr">
            <w14:noFill/>
            <w14:prstDash w14:val="solid"/>
            <w14:bevel/>
          </w14:textOutline>
        </w:rPr>
        <w:tab/>
        <w:t xml:space="preserve">primena, kad Vadovybės generalinis direktoratas (PRES GD) teikia ekspertines žinias ir palengvina Pirmininko, plenarinių posėdžių ir Parlamento valdymo organų bei narių teisėkūros ir parlamentinį darbą kiekvienu parlamentinio ir teisėkūros proceso etapu; primena, kad jis taip pat yra atsakingas už tarpinstitucinius santykius, pagalbą protokolo klausimais Pirmininko remiamiems oficialiems vizitams ir renginiams, Sąjungos įslaptintos informacijos valdymą ir oficialaus bei registruoto pašto tvarkymą ir kad jis iki 2022 m. lapkričio mėn. buvo atsakingas už tarpparlamentinius santykius; pažymi, kad iki 2022 m. gruodžio 31 d. jame dirbo 364 darbuotojai, iš kurių 307 buvo pareigūnai, 19 laikinieji darbuotojai, 37 sutartininkai ir 1 per agentūrą įdarbintas darbuotojas; </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28.</w:t>
      </w:r>
      <w:r w:rsidRPr="00D277A5">
        <w:rPr>
          <w14:textOutline w14:w="0" w14:cap="flat" w14:cmpd="sng" w14:algn="ctr">
            <w14:noFill/>
            <w14:prstDash w14:val="solid"/>
            <w14:bevel/>
          </w14:textOutline>
        </w:rPr>
        <w:tab/>
        <w:t>pažymi, kad 2022 m. galutiniai PRES GD asignavimai sudarė 1 275 565 EUR, t. y. 0,1 proc. Parlamento biudžeto; pabrėžia, kad iš šios sumos iš viso įsipareigota skirti 1 169 055,78 EUR; palankiai vertina didelį asignavimų panaudojimo lygį;</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29.</w:t>
      </w:r>
      <w:r w:rsidRPr="00D277A5">
        <w:rPr>
          <w14:textOutline w14:w="0" w14:cap="flat" w14:cmpd="sng" w14:algn="ctr">
            <w14:noFill/>
            <w14:prstDash w14:val="solid"/>
            <w14:bevel/>
          </w14:textOutline>
        </w:rPr>
        <w:tab/>
        <w:t>palankiai vertina pažangą, padarytą įgyvendinant įvairius programos „eLegislate“ komponentus naudojant XML technologiją, siekiant paspartinti ir palengvinti tiek pasiūlymų dėl teisėkūros procedūra priimamų aktų pakeitimų, tiek tarpinstitucinių derybų dėl teisėkūros procedūra priimamų aktų parengiamųjų dokumentų rengimą; ragina įvairias susijusias tarnybas toliau intensyvinti pastangas ir užtikrinti, kad nuo 10-osios Parlamento kadencijos teisėkūros proceso pradžios visais parlamentinio teisėkūros proceso etapais būtų taikomos „eLegislate“ priemonės;</w:t>
      </w:r>
    </w:p>
    <w:p w:rsidR="00F61E5D" w:rsidRPr="00D277A5" w:rsidRDefault="00F61E5D" w:rsidP="00F61E5D">
      <w:pPr>
        <w:pStyle w:val="NormalHanging12a"/>
        <w:rPr>
          <w:iCs/>
        </w:rPr>
      </w:pPr>
      <w:r w:rsidRPr="00D277A5">
        <w:t>30.</w:t>
      </w:r>
      <w:r w:rsidRPr="00D277A5">
        <w:tab/>
        <w:t>pabrėžia, kad skaidrumas, atskaitomybė ir sąžiningumas yra esminiai etikos principai Sąjungos institucijose, ypač Parlamente, Europos demokratijos namuose; palankiai vertina skubius veiksmus, kurių 2022 m. gruodžio mėn. ėmėsi Parlamentas dėl įvykių ryšium su įtariamos korupcijos bylomis, susijusiomis su Parlamento nariais ir darbuotojais; palankiai vertina PRES GD indėlį į Pirmininkės pasiūlytą 14 punktų veiksmų planą ir pastangas įgyvendinant naujas sąžiningumo ir skaidrumo taisykles; taip pat palankiai vertina Parlamento politinių institucijų pastangas Parlamente didinti skaidrumą, sąžiningumą ir atskaitomybę; ragina administraciją stebėti šių priemonių poveikį biudžetui ir finansinį poveikį; pažymi, kad Parlamentas dar kartą patvirtina pasitikėjimą Sąjungos sprendimų priėmimo procesu ir savo veiksmais didina skaidrumą, etiką ir stiprina gerą elgesį reprezentatyviausioje Sąjungos institucijoje;</w:t>
      </w:r>
      <w:r w:rsidR="004772A1">
        <w:t xml:space="preserve"> </w:t>
      </w:r>
      <w:r w:rsidRPr="00D277A5">
        <w:t>primena, kad minėti įvykiai paprastai vadinami „Katargeitu“;</w:t>
      </w:r>
    </w:p>
    <w:p w:rsidR="00F61E5D" w:rsidRPr="00D277A5" w:rsidRDefault="00F61E5D" w:rsidP="00F61E5D">
      <w:pPr>
        <w:pStyle w:val="NormalHanging12a"/>
      </w:pPr>
      <w:r w:rsidRPr="00D277A5">
        <w:t>3</w:t>
      </w:r>
      <w:r w:rsidR="004772A1">
        <w:t>1</w:t>
      </w:r>
      <w:r w:rsidRPr="00D277A5">
        <w:t>.</w:t>
      </w:r>
      <w:r w:rsidRPr="00D277A5">
        <w:tab/>
        <w:t>pažymi, kad 2022 m. buvo pirmieji metai, kai pagal persvarstytą Tarpinstitucinį susitarimą (TIS), kurį Parlamentas, Komisija ir Taryba priėmė 2021 m. liepos mėn.</w:t>
      </w:r>
      <w:r w:rsidRPr="00D277A5">
        <w:rPr>
          <w:rStyle w:val="FootnoteReference"/>
        </w:rPr>
        <w:footnoteReference w:id="8"/>
      </w:r>
      <w:r w:rsidRPr="00D277A5">
        <w:t>, buvo visapusiškai įdiegtas privalomas Skaidrumo registras; pažymi, kad, nors Tarpinstituciniame susitarime nustatyti tam tikri principai, kuriais siekiama stiprinti bendrą skaidrumo kultūrą, trys jį pasirašiusios šalys gali įgyvendinti sąlygas ir tolesnes papildomas priemones taip, kaip joms atrodo tinkama; atkreipia dėmesį į tai, kad Parlamentas pagerino sąlygas, o Tarybos dalyvavimas tebėra ribotas;</w:t>
      </w:r>
    </w:p>
    <w:p w:rsidR="00F61E5D" w:rsidRPr="00D277A5" w:rsidRDefault="00F61E5D" w:rsidP="00F61E5D">
      <w:pPr>
        <w:pStyle w:val="NormalHanging12a"/>
      </w:pPr>
      <w:r w:rsidRPr="00D277A5">
        <w:t>3</w:t>
      </w:r>
      <w:r w:rsidR="004772A1">
        <w:t>2</w:t>
      </w:r>
      <w:r w:rsidRPr="00D277A5">
        <w:t>.</w:t>
      </w:r>
      <w:r w:rsidRPr="00D277A5">
        <w:tab/>
        <w:t xml:space="preserve">primena šio registro, kaip pagrindinės priemonės skatinant skaidrų ir etišką atstovavimą interesams Sąjungos lygmeniu, svarbą, nustatant privalomą registraciją kaip būtiną sąlygą, kad interesų grupių atstovai galėtų dalyvauti konkrečioje veikloje su Sąjungos institucijomis, įskaitant Parlamentą; ragina skirti visus išteklius, kurių reikia siekiant </w:t>
      </w:r>
      <w:r w:rsidRPr="00D277A5">
        <w:lastRenderedPageBreak/>
        <w:t>užtikrinti veiksmingą vidaus taisyklių, susijusių su Skaidrumo registru, vykdymą, įskaitant prireikus tinkamų sankcijų taikymą;</w:t>
      </w:r>
    </w:p>
    <w:p w:rsidR="00F61E5D" w:rsidRDefault="00F61E5D" w:rsidP="00F61E5D">
      <w:pPr>
        <w:pStyle w:val="NormalHanging12a"/>
      </w:pPr>
      <w:r w:rsidRPr="00D277A5">
        <w:t>3</w:t>
      </w:r>
      <w:r w:rsidR="004772A1">
        <w:t>3</w:t>
      </w:r>
      <w:r w:rsidRPr="00D277A5">
        <w:t>.</w:t>
      </w:r>
      <w:r w:rsidRPr="00D277A5">
        <w:tab/>
        <w:t>palankiai vertina tai, kad Skaidrumo registras vis dažniau naudojamas kaip informacinė ir orientacinė interesų atstovavimo veiklos Sąjungos lygmeniu priemonė, ir tai rodo, didesnis registracijos paraiškų ir apsilankymų interneto svetainėje skaičius, palyginti su ankstesniais metais; palankiai vertina sekretoriato vykdomą reguliarią komunikacijos, pagalbos tarnybos ir informuotumo didinimo veiklą, skirtą suinteresuotiesiems subjektams institucijose ir už jų ribų, taip pat IT sprendimų, kuriais siekiama patobulinti Skaidrumo registrą, kūrimą; primena, kad būtina toliau stiprinti naujų pareiškėjų duomenų kokybės patikras; pažymi, kad įrašų skaidrumo registre kokybė pastaraisiais metais pagerėjo dėl aktyvesnės tikslinės kokybės stebėsenos ir dėl sekretoriato atliktų skundais pagrįstų tyrimų arba tyrimų savo iniciatyva, ir palankiai vertina jungtinio sekretoriato vaidmenį užtikrinant šį pagerėjimą, nepaisant ribotų išteklių; pažymi, kad 2022 m. sekretoriatui atlikus tikslines 4 238 įrašų kokybės patikras nustatyta, kad 44 proc. duomenų kokybė nuo pat pradžių buvo patenkinama (panašus rodiklis kaip ir 2021 m., + 4 proc.), o dar 35,2 proc. interesų grupių atstovų pagerino informaciją po tikslinių patikrų ir 13,6 proc. po patikrų buvo pašalinti dėl netinkamumo arba neatnaujinimo; pabrėžia, kad reikia skirti papildomų išteklių sekretoriatui, kad būtų galima patikrinti Skaidrumo registrą ir taip būtų užtikrinta duomenų kokybė; ragina išplėsti jo taikymo sritį, kad jis apimtų ES nepriklausančių šalių atstovus; rekomenduoja naudoti IT sprendimus, kad Skaidrumo registras būtų integruotas į visą Parlamento veiklą, kurioje dalyvauja išorės subjektai, kad jų dalyvavimas būtų registruojamas ir stebimas atitinkamose duomenų bazėse;</w:t>
      </w:r>
    </w:p>
    <w:p w:rsidR="00EA6CCD" w:rsidRPr="00E849F9" w:rsidRDefault="00EA6CCD" w:rsidP="00F61E5D">
      <w:pPr>
        <w:pStyle w:val="NormalHanging12a"/>
      </w:pPr>
      <w:r w:rsidRPr="005B2630">
        <w:t>3</w:t>
      </w:r>
      <w:r w:rsidR="004772A1">
        <w:t>4</w:t>
      </w:r>
      <w:r w:rsidRPr="005B2630">
        <w:t>.</w:t>
      </w:r>
      <w:r w:rsidRPr="00E849F9">
        <w:tab/>
      </w:r>
      <w:r w:rsidRPr="005B2630">
        <w:t>pakartoja, kad yra susirūpinęs dėl didelio masto užsienio kišimosi ir dezinformacijos kampanijų, nukreiptų prieš Sąjungą, ypač Rusijos vykdomų kompanijų; pabrėžia, kad reikia stiprinti saugumo kultūrą Parlamente; ragina rengti Parlamento nariams ir darbuotojams skirtus privalomus ir reguliarius saugumo ir sąžiningumo mokymus, taikyti tinkamą patikimumo patikrinimo tvarką ir atlikti griežtesnį darbuotojų, ypač dalyvaujančių uždaruose posėdžiuose, tikrinimą; ragina griežčiau tikrinti organizuojamus renginius, į Parlamentą kviečiamus išorės svečius ir prieigą prie Parlamento komunikacijos platformų; ragina skubiai ištirti įtarimus dėl Rusijos įtakos Parlamente;</w:t>
      </w:r>
    </w:p>
    <w:p w:rsidR="00F61E5D" w:rsidRPr="00D277A5" w:rsidRDefault="00F61E5D" w:rsidP="00F61E5D">
      <w:pPr>
        <w:pStyle w:val="NormalHanging12a"/>
      </w:pPr>
      <w:r w:rsidRPr="00D277A5">
        <w:t>35.</w:t>
      </w:r>
      <w:r w:rsidRPr="00D277A5">
        <w:tab/>
        <w:t>ragina, reaguojant į 2022 m. pabaigos Europos Parlamente su įtariama korupcija susijusius įvykius, nustatyti griežtus skaidrumo ir į Skaidrumo registrą įtrauktų subjektų, įskaitant NVO, patekimo į sąjungos institucijas standartus; pažymi, kad šiuo atveju NVO, kaip įtariama, buvo naudojamos kaip užsienio kišimosi į Parlamento sprendimų priėmimo procesus vektoriai; atsižvelgdamas į tai, pakartoja, kad prieš įtraukiant subjektus į Skaidrumo registrą būtina atlikti išsamią išankstinę jų finansinę patikrą, per kurią būtų atskleisti visi finansavimo šaltiniai; primena pareigą užsiregistruoti Skaidrumo registre prieš dalyvaujant renginių ir konferencijų Parlamento patalpose organizavimo procesuose;</w:t>
      </w:r>
    </w:p>
    <w:p w:rsidR="00F61E5D" w:rsidRPr="00D277A5" w:rsidRDefault="00F61E5D" w:rsidP="00F61E5D">
      <w:pPr>
        <w:pStyle w:val="NormalHanging12a"/>
      </w:pPr>
      <w:r w:rsidRPr="00D277A5">
        <w:t>36.</w:t>
      </w:r>
      <w:r w:rsidRPr="00D277A5">
        <w:tab/>
        <w:t>ragina Komisiją užtikrinti, kad visos Sąjungos lėšos būtų veiksmingai atsekamos nuo tiesioginio gavėjo iki galutinio paramos gavėjo, kai lėšos perduodamos grandinėje, kaip nurodyta pasiūlyme dėl Finansinio reglamento išdėstymo nauja redakcija ir kaip reikalaujama 2024 m. sausio 17 d. priimtame pranešime savo iniciatyva dėl iš ES biudžeto finansuojamų nevyriausybinių organizacijų skaidrumo ir atskaitomybės</w:t>
      </w:r>
      <w:r w:rsidRPr="00D277A5">
        <w:rPr>
          <w:rStyle w:val="FootnoteReference"/>
        </w:rPr>
        <w:footnoteReference w:id="9"/>
      </w:r>
      <w:r w:rsidRPr="00D277A5">
        <w:t xml:space="preserve">; </w:t>
      </w:r>
      <w:r w:rsidRPr="00D277A5">
        <w:lastRenderedPageBreak/>
        <w:t>ragina atlikti registracijos Skaidrumo registre gairių peržiūrą, kad būtų galima atskleisti visas gaunamas ir siunčiamas lėšas, įskaitant lėšų pervedimą iš vienos NVO ir suinteresuotojo subjekto į kitą; pabrėžia, kad visi įregistruotieji subjektai ar subjektai, gaunantys pinigų iš trečiųjų asmenų, kurių nereikalaujama registruoti Skaidrumo registre, turi atskleisti savo finansavimo šaltinį;</w:t>
      </w:r>
    </w:p>
    <w:p w:rsidR="004772A1" w:rsidRDefault="00F61E5D" w:rsidP="00F61E5D">
      <w:pPr>
        <w:pStyle w:val="NormalHanging12a"/>
      </w:pPr>
      <w:r w:rsidRPr="00D277A5">
        <w:t>37.</w:t>
      </w:r>
      <w:r w:rsidRPr="00D277A5">
        <w:tab/>
        <w:t>primena, kad pagal Darbo tvarkos taisyklių 11 straipsnį Parlamento nariai įpareigojami skelbti savo susitikimus su interesų grupių atstovais; su dideliu susirūpinimu pažymi, kad laikotarpiu iki 2023 m. sausio 26 d. 261 dabartinis Parlamento narys Parlamento interneto svetainėje nepaskelbė nė vieno susitikimo su interesų grupių atstovu; primena, kad visiems Parlamento nariams turėtų būti reguliariai siunčiama informacija ir priminimo pranešimai apie pareigą paskelbti apie susitikimus;</w:t>
      </w:r>
    </w:p>
    <w:p w:rsidR="00EA6CCD" w:rsidRPr="00E849F9" w:rsidRDefault="00E849F9" w:rsidP="00F61E5D">
      <w:pPr>
        <w:pStyle w:val="NormalHanging12a"/>
      </w:pPr>
      <w:r w:rsidRPr="005B2630">
        <w:t>3</w:t>
      </w:r>
      <w:r w:rsidR="004772A1">
        <w:t>8</w:t>
      </w:r>
      <w:r w:rsidR="00EA6CCD" w:rsidRPr="005B2630">
        <w:t>.</w:t>
      </w:r>
      <w:r w:rsidR="00EA6CCD" w:rsidRPr="00E849F9">
        <w:tab/>
      </w:r>
      <w:r w:rsidR="00EA6CCD" w:rsidRPr="005B2630">
        <w:t>atkreipia dėmesį į peržiūrėtą Parlamento narių elgesio kodeksą ir tai, kad daugiau dėmesio skiriama Parlamento narių finansinių interesų deklaracijų sąžiningumui ir skaidrumui, galimam interesų konfliktui, susitikimams su atstovais ir deklaracijoms dėl gautos informacijos; pabrėžia, kad naujos taisyklės vertinamos palankiai, tačiau dėl jų aiškinimo kilo daug klausimų, todėl Parlamento administracija ir Elgesio kodekso komitetas turi imtis veiksmų; pabrėžia, jog tam, kad Parlamento nariai laikytųsi naujų taisyklių, būtinas aiškus ir patikimas aiškinimas, kad būtų užtikrintas aukščiausio lygio teisinis tikrumas; ragina reguliariai teikti naujausią informaciją Parlamento narių biurams, kad būtų užtikrintas didesnis matomumas ir prieinamumas;</w:t>
      </w:r>
    </w:p>
    <w:p w:rsidR="00F61E5D" w:rsidRPr="00D277A5" w:rsidRDefault="004772A1" w:rsidP="00F61E5D">
      <w:pPr>
        <w:pStyle w:val="NormalHanging12a"/>
      </w:pPr>
      <w:r>
        <w:t>39</w:t>
      </w:r>
      <w:r w:rsidR="00F61E5D" w:rsidRPr="00D277A5">
        <w:t>.</w:t>
      </w:r>
      <w:r w:rsidR="00F61E5D" w:rsidRPr="00D277A5">
        <w:tab/>
        <w:t>mano, kad vardinis balsavimas – tai pagrindinė skaidrumo ir atskaitomybės Sąjungos piliečiams priemonė; ragina taikyti automatinį vardinį balsavimą visais galutinio balsavimo atvejais, išskyrus slaptą balsavimą, ir padidinti prašymų dėl vardinio balsavimo, kuriuos kiekviena frakcija gali pateikti per vieną mėnesinę sesiją, skaičių, numatytą Darbo tvarkos taisyklių 190 straipsnio 2 dalyje, arba netaikyti šio apribojimo teisėkūros dokumentams;</w:t>
      </w:r>
    </w:p>
    <w:p w:rsidR="00F61E5D" w:rsidRPr="00D277A5" w:rsidRDefault="004772A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su pasitenkinimu pažymi, kad 2022 m. sėkmingai organizuoti Parlamento pirmininko, pirmininko pavaduotojų ir kvestorių kadencijos vidurio rinkimai nuotoliniu būdu, remiantis Pirmininkų sueigos sprendimu; pripažįsta nuotolinio balsavimo plenariniame posėdyje sistemos svarbą užtikrinant sėkmingą tokį jautraus pobūdžio ir sudėtingą slaptą balsavimą;</w:t>
      </w:r>
    </w:p>
    <w:p w:rsidR="00F61E5D" w:rsidRPr="00D277A5" w:rsidRDefault="00002258" w:rsidP="00F61E5D">
      <w:pPr>
        <w:pStyle w:val="NormalHanging12a"/>
      </w:pPr>
      <w:r>
        <w:t>4</w:t>
      </w:r>
      <w:r w:rsidR="004772A1">
        <w:t>1</w:t>
      </w:r>
      <w:r w:rsidR="00F61E5D" w:rsidRPr="00D277A5">
        <w:t>.</w:t>
      </w:r>
      <w:r w:rsidR="00F61E5D" w:rsidRPr="00D277A5">
        <w:tab/>
        <w:t xml:space="preserve">primena 2020 m. gruodžio 20 d. Parlamento darbo tvarkos taisyklių pakeitimus, pagal kuriuos leidžiama balsuoti nuotoliniu būdu, ir tai, kad šiuo metu neleidžiama balsuoti nuotoliniu būdu komitete, nebent Pirmininkas nustatytų, kad esama ypatingų aplinkybių; pakartoja Biurui savo keletą kartų plenariniame posėdyje patvirtintą prašymą sudaryti sąlygas Parlamento nariams naudotis savo teise balsuoti nuotoliniu būdu, kai jie yra motinystės ar tėvystės atostogose, ilgalaikės ligos arba </w:t>
      </w:r>
      <w:r w:rsidR="00F61E5D" w:rsidRPr="00D277A5">
        <w:rPr>
          <w:i/>
          <w:iCs/>
        </w:rPr>
        <w:t>force majeure</w:t>
      </w:r>
      <w:r w:rsidR="00F61E5D" w:rsidRPr="00D277A5">
        <w:t xml:space="preserve"> atvejais, turint omenyje dideles Parlamento dėtas administracines pastangas ir padarytas finansines investicijas plėtojant techninius sprendimus, kad būtų galima balsuoti nuotoliniu būdu;</w:t>
      </w:r>
    </w:p>
    <w:p w:rsidR="00F61E5D" w:rsidRPr="00D277A5" w:rsidRDefault="00002258"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w:t>
      </w:r>
      <w:r w:rsidR="004772A1">
        <w:rPr>
          <w14:textOutline w14:w="0" w14:cap="flat" w14:cmpd="sng" w14:algn="ctr">
            <w14:noFill/>
            <w14:prstDash w14:val="solid"/>
            <w14:bevel/>
          </w14:textOutline>
        </w:rPr>
        <w:t>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PRES GD sugebėjo patenkinti poreikius, atsiradusius parengus 2022 m. sąmatas, nepaisant nepastovios sveikatos padėties ir jos poveikio Parlamento veiklai; pažymi, kad dėl jos taip pat susidarė perteklius, kuris galėtų būti panaudotas kitų generalinių direktoratų poreikiams, atsiradusiems dėl didelės 2022 m. infliacijos, finansuoti;</w:t>
      </w:r>
    </w:p>
    <w:p w:rsidR="00F61E5D" w:rsidRPr="00D277A5" w:rsidRDefault="00002258" w:rsidP="00F61E5D">
      <w:pPr>
        <w:pStyle w:val="NormalHanging12a"/>
      </w:pPr>
      <w:r>
        <w:lastRenderedPageBreak/>
        <w:t>4</w:t>
      </w:r>
      <w:r w:rsidR="004772A1">
        <w:t>3</w:t>
      </w:r>
      <w:r w:rsidR="00F61E5D" w:rsidRPr="00D277A5">
        <w:t>.</w:t>
      </w:r>
      <w:r w:rsidR="00F61E5D" w:rsidRPr="00D277A5">
        <w:tab/>
        <w:t>primena, kad pagal Europos Sąjungos sutartį ir, visų pirma, prie Sutarčių pridėtą Protokolą Nr. 6, Europos Parlamento būstinė yra Strasbūre, kur vyksta 12 mėnesinių plenarinių sesijų, įskaitant biudžeto sesiją; pabrėžia, kad sesijų sustabdymas Strasbūre ir nuotolinis dalyvavimas yra susiję su išskirtinėmis COVID-19 pandemijos aplinkybėmis; primena, kad bet kokiems Sutarčių pakeitimams būtinas vieningas valstybių narių pritarimas; primena, kad Parlamentas didele balsų dauguma pritarė vienai būstinei, kad būtų užtikrintas veiksmingas Sąjungos mokesčių mokėtojų lėšų panaudojimas, ir tam, kad Parlamentas prisiimtų institucinę atsakomybę mažinti savo anglies dioksido išmetimo rodiklį; pažymi, kad siekiant įdiegti nuolatinius pakeitimus reikėtų keisti Sutartį;</w:t>
      </w:r>
    </w:p>
    <w:p w:rsidR="00F61E5D" w:rsidRPr="00D277A5" w:rsidRDefault="00002258" w:rsidP="00F61E5D">
      <w:pPr>
        <w:pStyle w:val="NormalHanging12a"/>
      </w:pPr>
      <w:r>
        <w:t>4</w:t>
      </w:r>
      <w:r w:rsidR="004772A1">
        <w:t>4</w:t>
      </w:r>
      <w:r w:rsidR="00F61E5D" w:rsidRPr="00D277A5">
        <w:t>.</w:t>
      </w:r>
      <w:r w:rsidR="00F61E5D" w:rsidRPr="00D277A5">
        <w:tab/>
        <w:t>pažymi, kad, kaip nurodo Parlamento sekretoriatas, sustabdžius mėnesines sesijas Strasbūre per COVID-19 pandemiją, iš viso sutaupyta 26 260 608 EUR, taip pat gerokai sumažintas Parlamento anglies dioksido išmetimo rodiklis; pabrėžia, kad Audito Rūmai įvertino, kad „persikėlus [...] iš Strasbūro į Briuselį būtų galima gauti 114 milijonų eurų metinę ekonomiją bei 616 milijonų eurų vienkartinę ekonomiją, jei Strasbūro pastatai būtų sėkmingai realizuoti, arba patirti vienkartines 40 milijonų eurų išlaidas, jei jie nebūtų realizuoti“</w:t>
      </w:r>
      <w:r w:rsidR="00F61E5D" w:rsidRPr="00D277A5">
        <w:rPr>
          <w:vertAlign w:val="superscript"/>
        </w:rPr>
        <w:footnoteReference w:id="10"/>
      </w:r>
      <w:r w:rsidR="00F61E5D" w:rsidRPr="00D277A5">
        <w:t>; mano, kad, atsižvelgiant į dabartinę klimato krizę, būstinės Strasbūre išlaikymas yra neatsakingas; ragina Tarybą atsižvelgti į Parlamento poziciją ir skubiai imtis veiksmų dėl jos;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Komunikacijos generalinis direktoratas</w:t>
      </w:r>
    </w:p>
    <w:p w:rsidR="00F61E5D" w:rsidRPr="00D277A5" w:rsidRDefault="0074217D"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Komunikacijos generalinis direktoratas (COMM GD) – daugelyje vietų veikiantis generalinis direktoratas, turintis darbuotojų Briuselyje, Strasbūre ir kiekvienos iš 27 valstybių narių ryšių biuruose, taip pat Londone, Vašingtone (iki 2022 m. lapkričio 1 d., kai abu EP ryšių biurai buvo perkelti į naują Parlamentinės demokratijos partnerysčių generalinį direktoratą) ir Jeano Monnet name Bazoches-sur-Guyonne miestelyje (Prancūzija);</w:t>
      </w:r>
    </w:p>
    <w:p w:rsidR="00F61E5D" w:rsidRDefault="0074217D" w:rsidP="00F61E5D">
      <w:pPr>
        <w:pStyle w:val="NormalHanging12a"/>
      </w:pPr>
      <w:r>
        <w:t>46</w:t>
      </w:r>
      <w:r w:rsidR="00F61E5D" w:rsidRPr="00D277A5">
        <w:t>.</w:t>
      </w:r>
      <w:r w:rsidR="00F61E5D" w:rsidRPr="00D277A5">
        <w:tab/>
        <w:t>pažymi, kad pagrindinės COMM GD užduotys yra šios: bendradarbiauti su žiniasklaida, informuoti apie Parlamento darbą, jį paaiškinti ir didinti jo matomumą, didinti piliečių, suinteresuotųjų subjektų ir nuomonės formuotojų informuotumą apie Parlamentą per valstybėse narėse esančius Europos Parlamento ryšių biurus, skatinti bendravimą su piliečiais intensyviau įgyvendinant lankytojų projektus, renginius ir informacines kampanijas bei dalyvaujant socialiniuose tinkluose, teikti Parlamento nariams ir frakcijoms ekspertines žinias tokiais klausimais kaip žiniasklaidos stebėsena bei strateginė analizė ir viešosios nuomonės stebėsena, taip pat visomis priemonėmis kovoti su dezinformacija, ypač rengiantis rinkimams;</w:t>
      </w:r>
    </w:p>
    <w:p w:rsidR="00EA6CCD" w:rsidRPr="00002258" w:rsidRDefault="00964071" w:rsidP="00F61E5D">
      <w:pPr>
        <w:pStyle w:val="NormalHanging12a"/>
      </w:pPr>
      <w:r>
        <w:t>47</w:t>
      </w:r>
      <w:r w:rsidR="00EA6CCD" w:rsidRPr="005B2630">
        <w:t>.</w:t>
      </w:r>
      <w:r w:rsidR="00EA6CCD" w:rsidRPr="00002258">
        <w:tab/>
      </w:r>
      <w:r w:rsidR="00EA6CCD" w:rsidRPr="005B2630">
        <w:t>pabrėžia, kad Parlamentui ir kitoms Sąjungos institucijoms turi būti skiriama pakankamai išteklių jų informacinei erdvei apsaugoti nuo manipuliavimo informacija kampanijų, sykiu visapusiškai paisant Sąjungos vertybių;</w:t>
      </w:r>
    </w:p>
    <w:p w:rsidR="00F61E5D" w:rsidRPr="00D277A5" w:rsidRDefault="0096407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galutiniai COMM GD asignavimai sudarė 121 235 650 EUR, t. y. 5,6 proc. Parlamento biudžeto; pabrėžia, kad iš šios sumos iš viso įsipareigota skirti 121 146 177 EUR; palankiai vertina didelį asignavimų panaudojimo lygį;</w:t>
      </w:r>
    </w:p>
    <w:p w:rsidR="00F61E5D" w:rsidRPr="00D277A5" w:rsidRDefault="00964071" w:rsidP="00F61E5D">
      <w:pPr>
        <w:pStyle w:val="NormalHanging12a"/>
      </w:pPr>
      <w:r>
        <w:t>49</w:t>
      </w:r>
      <w:r w:rsidR="00F61E5D" w:rsidRPr="00D277A5">
        <w:t>.</w:t>
      </w:r>
      <w:r w:rsidR="00F61E5D" w:rsidRPr="00D277A5">
        <w:tab/>
        <w:t xml:space="preserve">atkreipia dėmesį į COMM GD veiklos sudėtingumą; pažymi, kad reikia didinti Parlamento darbo matomumą ir didinti piliečių pasitikėjimą Parlamento institucija, </w:t>
      </w:r>
      <w:r w:rsidR="00F61E5D" w:rsidRPr="00D277A5">
        <w:lastRenderedPageBreak/>
        <w:t>todėl reikėtų padidinti COMM GD biudžetą;</w:t>
      </w:r>
    </w:p>
    <w:p w:rsidR="00F61E5D" w:rsidRPr="00D277A5" w:rsidRDefault="0096407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per pirmuosius keturis 2022 m. mėnesius COMM GD biudžeto vykdymui poveikį vis dar darė COVID-19 pandemija, visų pirma kiek tai susiję su lankytojų grupėmis ir lankytojų infrastruktūra; pažymi, kad didelė dalis pertekliaus, susidariusio dėl veiklos sustabdymo, buvo perskirstyta kitoms Parlamento tarnyboms, siekiant finansuoti kitus prioritetus bei mažinti infliacijos poveikį personalo išlaidoms; pažymi, kad tam tikrai COMM GD veiklai, pvz., audiovizualinėms paslaugoms, didelį poveikį taip pat padarė labai išaugusios kainos;</w:t>
      </w:r>
    </w:p>
    <w:p w:rsidR="00F61E5D" w:rsidRPr="00D277A5" w:rsidRDefault="00964071" w:rsidP="00F61E5D">
      <w:pPr>
        <w:pStyle w:val="NormalHanging12a"/>
      </w:pPr>
      <w:r>
        <w:t>51</w:t>
      </w:r>
      <w:r w:rsidR="00F61E5D" w:rsidRPr="00D277A5">
        <w:t>.</w:t>
      </w:r>
      <w:r w:rsidR="00F61E5D" w:rsidRPr="00D277A5">
        <w:tab/>
        <w:t>pažymi, kad 2022 m. kovo 10 d. Pirmininkė paskelbė persvarstytą sprendimą dėl saugumo priemonių COVID-19 plitimui apriboti, kuriuo buvo vėl numatomas fizinis dalyvavimas keliose veiklos srityse, be kita ko, vėl priimant lankytojų grupes; palankiai vertina sprendimą 2022 m. 10 proc. padidinti finansinius kelionės, apgyvendinimo, maitinimo ir smulkių išlaidų vietoje įnašus, mokamus remiamoms lankytojų grupėms; ragina Biurą peržiūrėti sprendimą sumažinti metinę remiamų lankytojų kvotą vienam nariui nuo 110 iki 100, o rinkimų metais – nuo 55 iki 50; pabrėžia, kad sprendimas perkelti nepanaudotą kvotą iš 2020 m. į 2022, 2023 ir 2024 m. nebuvo pakeistas; primygtinai ragina Biurą išbraukti akredituotus Parlamento narių padėjėjus iš leidžiamų grupių vadovų sąrašo ir palikti tik remiamos grupės narį arba specialistą, pvz., mokėjimų tarpininkus ar kelionių agentūras, vykdyti šią funkciją, kad akredituoti padėjėjai nebūtų priversti prisiimti finansinės atsakomybės, kuri gali susijusi su didelėmis pinigų sumomis;</w:t>
      </w:r>
    </w:p>
    <w:p w:rsidR="00F61E5D" w:rsidRPr="00D277A5" w:rsidRDefault="0096407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kilus energetikos krizei Sąjungoje labai padidėjo kelionių ir maitinimo kainos; atkreipia dėmesį į planuojamą taisyklių dėl subsidijų mokėjimo remiamoms lankytojų grupėms peržiūrą;</w:t>
      </w:r>
    </w:p>
    <w:p w:rsidR="00F61E5D" w:rsidRPr="00D277A5" w:rsidRDefault="0096407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53</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tai, kad laipsniškas COVID-19 pandemijos apribojimų panaikinimas valstybėse narėse sudarė sąlygas EP ryšių biurams atnaujinti veiklą įprastomis sąlygomis sistemingai įtraukiant hibridinius elementus; pabrėžia, kad EP ryšių biuruose buvo surengti įvairūs renginiai, susiję su Europos jaunimo metais; pažymi, kad valstybėse narėse Parlamento nariai yra sistemingai kviečiami dalyvauti renginiuose ir veikloje kartu su žiniasklaidos atstovais, suinteresuotaisiais subjektais, pilietinės visuomenės organizacijomis ir jaunimo bendruomene; pažymi, kad ryšių biurai taip pat skatina Parlamento narius dalyvauti trečiųjų šalių renginiuose ir veikloje;</w:t>
      </w:r>
    </w:p>
    <w:p w:rsidR="00F61E5D" w:rsidRPr="00D277A5" w:rsidRDefault="00964071" w:rsidP="00F61E5D">
      <w:pPr>
        <w:pStyle w:val="NormalHanging12a"/>
      </w:pPr>
      <w:r>
        <w:t>54</w:t>
      </w:r>
      <w:r w:rsidR="00F61E5D" w:rsidRPr="00D277A5">
        <w:t>.</w:t>
      </w:r>
      <w:r w:rsidR="00F61E5D" w:rsidRPr="00D277A5">
        <w:tab/>
        <w:t>pažymi, kad pandemijos metu taikant išskirtines priemones Parlamento nariams buvo suteikta galimybė dalyvauti plenarinių posėdžių diskusijose iš valstybėse narėse, kuriose jie išrinkti, esančių EP ryšių biurų, o COMM GD savo veiksmais padėjo sudaryti šias sąlygas; palankiai vertina didesnes COMM GD pastangas pasinaudoti naujomis technologijomis siekiant palengvinti Parlamento narių darbą COVID-19 pandemijos metu; pripažįsta, kad nacionalinei žiniasklaidai suteikta nuotolinė prieiga prie Parlamento komunikacijos veiklos atvėrė galimybes bendrauti su Sąjungos piliečiais;</w:t>
      </w:r>
    </w:p>
    <w:p w:rsidR="00F61E5D" w:rsidRDefault="00964071" w:rsidP="00F61E5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tai, kad 2022 m. COMM GD užbaigė didžiąją dalį savo parengiamojo darbo prieš 2024 m. Europos Parlamento rinkimus; pažymi, kad 2022 m. Biuras patvirtino 2024 m. rinkimų komunikacijos strategiją; pažymi, kad 2022 m. viduryje buvo paskelbtas visos Europos masto kvietimas teikti pasiūlymus, pagal kurį skirta 19 dotacijų, kuriomis finansuojami gebėjimų stiprinimo veiksmai ir (arba) piliečių dalyvavimo veikla remiant Europos Parlamento rinkimus;</w:t>
      </w:r>
    </w:p>
    <w:p w:rsidR="00EA6CCD" w:rsidRPr="003F4BE9" w:rsidRDefault="00964071" w:rsidP="00F61E5D">
      <w:pPr>
        <w:spacing w:after="240"/>
        <w:ind w:left="567" w:hanging="567"/>
        <w:rPr>
          <w:szCs w:val="24"/>
          <w14:textOutline w14:w="0" w14:cap="flat" w14:cmpd="sng" w14:algn="ctr">
            <w14:noFill/>
            <w14:prstDash w14:val="solid"/>
            <w14:bevel/>
          </w14:textOutline>
        </w:rPr>
      </w:pPr>
      <w:r>
        <w:lastRenderedPageBreak/>
        <w:t>56</w:t>
      </w:r>
      <w:r w:rsidR="00EA6CCD" w:rsidRPr="005B2630">
        <w:t>.</w:t>
      </w:r>
      <w:r w:rsidR="00EA6CCD" w:rsidRPr="003F4BE9">
        <w:tab/>
      </w:r>
      <w:r w:rsidR="00EA6CCD" w:rsidRPr="005B2630">
        <w:t>palankiai vertina Europos žiniasklaidos laisvės akto (EŽLA), kuriuo siekiama nustatyti naujas taisykles žiniasklaidos pliuralizmui ir nepriklausomumui visoje Sąjungoje skatinti</w:t>
      </w:r>
      <w:r w:rsidR="00E47EDE">
        <w:t>, priėmimą</w:t>
      </w:r>
      <w:r w:rsidR="00EA6CCD" w:rsidRPr="005B2630">
        <w:t>; laikosi nuomonės, kad tai yra papildoma priemonė Sąjungai tęsiant kovą su sistemingomis užsienio vykdomo manipuliavimo informacija ir kišimosi kampanijomis, kuriomis Sąjungą siekiama destabilizuoti;</w:t>
      </w:r>
    </w:p>
    <w:p w:rsidR="00F61E5D" w:rsidRPr="00D277A5" w:rsidRDefault="0096407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centrai „Europa Experience“ – tai pozityvūs veiksmai, kuriais skatinamas Sąjungos darbas ir piliečiams paaiškinama Sąjungos politika; su pasitenkinimu pažymi, kad per pastaruosius dvejus metus padaugėjo vizitų į centrus „Europa Experience“; pažymi, kad kasmet centruose „Europa Experience“ apsilanko tūkstančiai lankytojų per mėnesį; atkreipia dėmesį į tai, kad 2022 m., nepaisant tebesitęsiančios infliacijos krizės, buvo atidaryti du nauji centrai „Europa Experience“ (Paryžiuje ir Romoje), todėl ryšių biurai galėjo pasinaudoti įvairiomis informavimo galimybėmis ir plėsti savo tinklus; pažymi, kad 2022 m. pabaigoje buvo pasiekta daugiau kaip 80 proc. centrų „Europa Experience“ atidarymo tikslų;</w:t>
      </w:r>
    </w:p>
    <w:p w:rsidR="00F61E5D" w:rsidRDefault="00964071" w:rsidP="00F61E5D">
      <w:pPr>
        <w:pStyle w:val="NormalHanging12a"/>
      </w:pPr>
      <w:r>
        <w:t>58</w:t>
      </w:r>
      <w:r w:rsidR="00F61E5D" w:rsidRPr="00D277A5">
        <w:t>.</w:t>
      </w:r>
      <w:r w:rsidR="00F61E5D" w:rsidRPr="00D277A5">
        <w:tab/>
        <w:t>primena, kad Sąjunga nuolat deda pastangas, kad būtų apsaugotos Europos vertybės ir išlaikytas mūsų demokratinių procesų integralumas; palankiai vertina veiksmus, kurių, siekiant šių tikslų, kovojant su dezinformacija ir manipuliavimu informacija, ėmėsi Parlamentas; ragina stiprinti šiuos veiksmus atsižvelgiant į artėjančius Europos Parlamento rinkimus ir visų pirma ragina COMM GD toliau rengti ir įgyvendinti veiksmingas kovos su dezinformacija ir manipuliavimu informacija strategijas, ypač rinkimų kontekste; pabrėžia, kad viena iš veiksmingiausių kovos su dezinformacija priemonių yra pozityvi faktais pagrįsta komunikacija apie Parlamento veiklą;</w:t>
      </w:r>
    </w:p>
    <w:p w:rsidR="00EA6CCD" w:rsidRPr="003F4BE9" w:rsidRDefault="00964071" w:rsidP="00F61E5D">
      <w:pPr>
        <w:pStyle w:val="NormalHanging12a"/>
      </w:pPr>
      <w:r>
        <w:t>59</w:t>
      </w:r>
      <w:r w:rsidR="00EA6CCD" w:rsidRPr="005B2630">
        <w:t>.</w:t>
      </w:r>
      <w:r w:rsidR="00EA6CCD" w:rsidRPr="003F4BE9">
        <w:tab/>
      </w:r>
      <w:r w:rsidR="00EA6CCD" w:rsidRPr="005B2630">
        <w:t>mano, kad prieiga prie Parlamento išteklių, pvz., vaizdo įrašymo studijų ir kitų komunikacijos platformų, neturi būti naudojamasi siekiant pakenkti Sąjungos vertybėms ar autoritarinių režimų priešiškos informacijos sklaidos tikslais;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Personalo generalinis direktoratas</w:t>
      </w:r>
    </w:p>
    <w:p w:rsidR="00F61E5D" w:rsidRPr="00D277A5" w:rsidRDefault="00E777D3"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Personalo generalinis direktoratas (PERS GD) yra atsakingas už tinkamą ir veiksmingą žmogiškųjų išteklių valdymą Parlamente ir užtikrina, kad Parlamento nariams padėtų aukštos kvalifikacijos personalas, kad jie galėtų tinkamai vykdyti savo įgaliojimus;</w:t>
      </w:r>
    </w:p>
    <w:p w:rsidR="00F61E5D" w:rsidRPr="00D277A5" w:rsidRDefault="00E777D3"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galutiniai PERS GD asignavimai sudarė 1 090 141 584 EUR, t. y. 50,4 proc. Parlamento biudžeto; pabrėžia, kad iš šios sumos iš viso įsipareigota skirti 1 087 939 413 EUR; palankiai vertina didelį asignavimų panaudojimo lygį;</w:t>
      </w:r>
    </w:p>
    <w:p w:rsidR="00F61E5D" w:rsidRPr="00D277A5" w:rsidRDefault="00E777D3"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Parlamentas įdarbino mažiau per Europos personalo atrankos tarnybos (EPSO) rengiamus konkursus (48 pareigūnai) nei per Parlamento vidaus ir viešuosius konkursus (139 pareigūnai) atrinktų pareigūnų; apgailestauja, kad EPSO susidūrė su įvairiomis problemomis, susijusiomis su internetinių testų laikymo stebėjimu ir kalbų vartojimo tvarka; pripažįsta PERS GD ir kitų generalinių direktoratų bendro pobūdžio sunkumus siekiant pritraukti ir išlaikyti specialistus, o tai daro poveikį Parlamento darbo jėgos veiklos rezultatams; ragina taikyti veiksmingesnes, tikslingesnes ir trumpesnes atrankos procedūras, kurios padidintų Parlamento, kaip darbdavio, patrauklumą ir leistų generaliniams direktoratams greitai įdarbinti specialistus į tokias pareigas, kurių reikia jų darbui paremti;</w:t>
      </w:r>
    </w:p>
    <w:p w:rsidR="00F61E5D" w:rsidRPr="00D277A5" w:rsidRDefault="00E777D3" w:rsidP="00F61E5D">
      <w:pPr>
        <w:pStyle w:val="NormalHanging12a"/>
      </w:pPr>
      <w:r>
        <w:t>63</w:t>
      </w:r>
      <w:r w:rsidR="00F61E5D" w:rsidRPr="00D277A5">
        <w:t>.</w:t>
      </w:r>
      <w:r w:rsidR="00F61E5D" w:rsidRPr="00D277A5">
        <w:tab/>
        <w:t xml:space="preserve">pabrėžia, kad, siekiant sukurti tikrą Europos viešąją tarnybą, svarbu užtikrinti teisingą </w:t>
      </w:r>
      <w:r w:rsidR="00F61E5D" w:rsidRPr="00D277A5">
        <w:lastRenderedPageBreak/>
        <w:t>geografinę pusiausvyrą, ir pažymi, kad bėgant metams Parlamentas ėmėsi įvairių priemonių šiuo tikslu; pažymi, kad kai ką dar galima gerinti; pažymi, kad Biuras sukūrė su konkrečia pilietybe susijusių konkursų organizavimo teisinę sistemą ir nusprendė surengti pirmąjį iš tokių konkursų; pabrėžia, kad konkursai visada turėtų būti grindžiami asmens profesine kvalifikacija, neatsižvelgiant į amžių, lytį, tikėjimą;</w:t>
      </w:r>
    </w:p>
    <w:p w:rsidR="00F61E5D" w:rsidRPr="00D277A5" w:rsidRDefault="00E777D3" w:rsidP="00F61E5D">
      <w:pPr>
        <w:pStyle w:val="NormalHanging12a"/>
      </w:pPr>
      <w:r>
        <w:t>64</w:t>
      </w:r>
      <w:r w:rsidR="00F61E5D" w:rsidRPr="00D277A5">
        <w:t>.</w:t>
      </w:r>
      <w:r w:rsidR="00F61E5D" w:rsidRPr="00D277A5">
        <w:tab/>
        <w:t>primena, kad 2020 m. sausio 13 d. Biuras patvirtino naujus ir platesnio užmojo tikslus, susijusius su lyčių pusiausvyra Parlamento administracijos vyresniojoje ir vidurinės grandies vadovybėje, įvykdytinus iki 2024 m., t. y. moterys turėtų užimti 50 proc. skyrių vadovų, 50 proc. direktorių ir 40 proc. generalinių direktorių etatų; primena, kad vėliau Biuras parengė ir 2020 m. liepos 6 d. patvirtino 2021–2022 m. lyčių lygybės veiksmų planą, kuriuo siekiama palengvinti šių tikslų įgyvendinimą ir visapusiškai integruoti lyčių aspektą į visą Parlamento veiklą; pažymi, kad 2022 m. moterys užėmė 28,6 proc. generalinių direktorių etatų, ir džiaugiasi, kad jos užėmė 50,8 proc. direktorių ir 43,5 proc. skyrių vadovų etatų;</w:t>
      </w:r>
    </w:p>
    <w:p w:rsidR="00F61E5D" w:rsidRPr="00D277A5" w:rsidRDefault="00E777D3"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pripažįsta, kad keli generaliniai direktoratai išreiškė susirūpinimą dėl talentingų ir specializuoto profilio darbuotojų, kurie yra nepaprastai svarbūs siekiant vykdyti pagrindinę Parlamento veiklą, pritraukimo; pažymi, kad tik esminių paslaugų atveju gali būti svarstoma galimybė jas internalizuoti; pabrėžia, kad kai kurias paslaugas dėl jų specifinio pobūdžio, kuris neatitinka internalizavimo sąlygų, teikia išorės paslaugų teikėjai; todėl mano, kad valdymo organai neturėtų svarstyti tokių sąlygų neatitinkančių paslaugų internalizavimo;</w:t>
      </w:r>
    </w:p>
    <w:p w:rsidR="00F61E5D" w:rsidRPr="00D277A5" w:rsidRDefault="00E777D3"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PERS GD darbą, susijusį su akredituotais Parlamento narių padėjėjais; pabrėžia, kad PERS GD informacijos punktas surengė 85 informacines sesijas pareigūnams, laikiniesiems darbuotojams ir sutartininkams bei akredituotiems Parlamento narių padėjėjams, taip pat šešis internetinius seminarus apie išėjimą į pensiją ir 14 informacinių sesijų naujiems Parlamento narių stažuotojams; palankiai vertina Akredituotų Parlamento narių padėjėjų priimamojo (</w:t>
      </w:r>
      <w:r w:rsidR="00F61E5D" w:rsidRPr="00D277A5">
        <w:rPr>
          <w:i/>
          <w14:textOutline w14:w="0" w14:cap="flat" w14:cmpd="sng" w14:algn="ctr">
            <w14:noFill/>
            <w14:prstDash w14:val="solid"/>
            <w14:bevel/>
          </w14:textOutline>
        </w:rPr>
        <w:t>Front Office</w:t>
      </w:r>
      <w:r w:rsidR="00F61E5D" w:rsidRPr="00D277A5">
        <w:rPr>
          <w14:textOutline w14:w="0" w14:cap="flat" w14:cmpd="sng" w14:algn="ctr">
            <w14:noFill/>
            <w14:prstDash w14:val="solid"/>
            <w14:bevel/>
          </w14:textOutline>
        </w:rPr>
        <w:t>) skyriaus darbą, susijusį su akredituotų Parlamento narių padėjėjų įdarbinimu ir sutarčių tvarkymu, ir jo, kaip kontaktinio punkto visais susijusiais bei procedūrų klausimais, funkciją; pažymi, kad šis skyrius atsakė į 12 405 prašymus suteikti informaciją, be kita ko, įdarbinimo, sutarčių pakeitimų, atnaujinimo, atsisakymo ir nutraukimo klausimais; su pasitenkinimu pažymi, kad 100 proc. akredituotų Parlamento narių padėjėjų sutarčių buvo parengtos per 10 darbo dienų;</w:t>
      </w:r>
    </w:p>
    <w:p w:rsidR="00F61E5D" w:rsidRPr="00D277A5" w:rsidRDefault="00E777D3" w:rsidP="00F61E5D">
      <w:pPr>
        <w:pStyle w:val="NormalHanging12a"/>
      </w:pPr>
      <w:r>
        <w:t>67</w:t>
      </w:r>
      <w:r w:rsidR="00F61E5D" w:rsidRPr="00D277A5">
        <w:t>.</w:t>
      </w:r>
      <w:r w:rsidR="00F61E5D" w:rsidRPr="00D277A5">
        <w:tab/>
        <w:t>su pasitenkinimu pažymi, kad, kaip prašoma rezoliucijoje dėl 2021 m. biudžeto įvykdymo patvirtinimo, 2023 m. liepos 10 d. posėdyje Biuras paprašė numatyti galimybę derybų būdu nutraukti Parlamento nario ir jų akredituotų padėjėjų sutartį tais atvejais, kai būtina nutraukti akredituoto padėjėjo sutartį dėl kitų priežasčių nei pasitikėjimo praradimas;</w:t>
      </w:r>
    </w:p>
    <w:p w:rsidR="00F61E5D" w:rsidRPr="00D277A5" w:rsidRDefault="00E777D3" w:rsidP="00F61E5D">
      <w:pPr>
        <w:pStyle w:val="NormalHanging12a"/>
      </w:pPr>
      <w:r>
        <w:t>68</w:t>
      </w:r>
      <w:r w:rsidR="00F61E5D" w:rsidRPr="00D277A5">
        <w:t>.</w:t>
      </w:r>
      <w:r w:rsidR="00F61E5D" w:rsidRPr="00D277A5">
        <w:tab/>
      </w:r>
      <w:r w:rsidR="00EA6CCD" w:rsidRPr="00D14F2F">
        <w:t>pripažįsta, kad akredituotų Parlamento narių padėjėjų darbas yra neatskiriama Parlamento narių darbo dalis ir jie atlieka svarbų vaidmenį Sąjungos teisėkūros procese; pažymi, kad 2009 m. priėmus Akredituotų Parlamento narių padėjėjų statutą bėgant metams jų</w:t>
      </w:r>
      <w:r w:rsidR="00EA6CCD" w:rsidRPr="00E47EDE">
        <w:t xml:space="preserve"> darbo pripažinimas stiprėjo; atkreipia dėmesį į Parlamento pastangas sukurti paramos akredituotiems Parlamento narių padėjėjams sistemą; ragina </w:t>
      </w:r>
      <w:r w:rsidR="00E47EDE" w:rsidRPr="00E47EDE">
        <w:t>B</w:t>
      </w:r>
      <w:r w:rsidR="00EA6CCD" w:rsidRPr="00E47EDE">
        <w:t>iurą ir Parlamento administraciją reguliariai ir oficialiai konsultuotis su Akredituotų Parlamento narių padėjėjų komitetu dėl peržiūrų ir reformų, darančių tiesioginį poveikį akredituotų Parlamento narių padėjėjų teisėms;</w:t>
      </w:r>
      <w:r w:rsidR="00EA6CCD" w:rsidRPr="00D14F2F">
        <w:t xml:space="preserve"> ragina tinkamai laikytis galiojančių taisyklių; ragina Parlamento administraciją išnagrinėti galimybę akredituotų Parlamento </w:t>
      </w:r>
      <w:r w:rsidR="00EA6CCD" w:rsidRPr="00D14F2F">
        <w:lastRenderedPageBreak/>
        <w:t>narių padėjėjų sutartyse nustatyti įspėjimo laikotarpį netikėto EP nario pasitraukimo atveju, nesvarbu, ar jis būtų savanoriškas, ar ne;</w:t>
      </w:r>
    </w:p>
    <w:p w:rsidR="00F61E5D" w:rsidRPr="00D277A5" w:rsidRDefault="00E777D3" w:rsidP="00F61E5D">
      <w:pPr>
        <w:pStyle w:val="NormalHanging12a"/>
      </w:pPr>
      <w:r>
        <w:t>69</w:t>
      </w:r>
      <w:r w:rsidR="00F61E5D" w:rsidRPr="00D277A5">
        <w:t>.</w:t>
      </w:r>
      <w:r w:rsidR="00F61E5D" w:rsidRPr="00D277A5">
        <w:tab/>
        <w:t xml:space="preserve">pažymi, kad akredituoti Parlamento narių padėjėjai dalyvauja oficialiose komandiruotėse į tris Parlamento darbo vietas; pažymi, kad 2023 m. gruodžio 11 d. Biuras priėmė Kitų Europos Sąjungos tarnautojų įdarbinimo sąlygų VII antraštinės dalies įgyvendinimo taisyklių, reglamentuojančių akredituotų Parlamento narių padėjėjų įdarbinimą, pakeitimus; pažymi, kad pagal šį sprendimą Parlamento pareigūnų ir kitų tarnautojų komandiruotėms taikomos taisyklės akredituotiems padėjėjams bus taikomos </w:t>
      </w:r>
      <w:r w:rsidR="00F61E5D" w:rsidRPr="00D277A5">
        <w:rPr>
          <w:i/>
          <w:iCs/>
        </w:rPr>
        <w:t>mutatis mutandis</w:t>
      </w:r>
      <w:r w:rsidR="00F61E5D" w:rsidRPr="00D277A5">
        <w:t>; pažymi, kad, kai akredituoti padėjėjai turi patvirtintą siuntimą vykti į Strasbūrą per Europos Parlamento plenarines sesijas, jie gali ten keliauti užsakomuoju traukiniu; pažymi, kad tuo atveju, jei užsakomieji „Eurostar“ traukiniai pilni, akredituotiems Parlamento narių padėjėjams siūlomos gerokai blogesnės ir nepatikimesnės kelionės galimybės nei kitiems Parlamento darbuotojams; ragina Parlamentą išnagrinėti papildomo traukinio poreikį; pakartoja, kad akredituotiems Parlamento narių padėjėjams, lydintiems Parlamento narius, vykstančius į mėnesines sesijas Strasbūre, reikalingas siuntimas į komandiruotę ir jiems turi būti kompensuojamos išlaidos pagal taikytinas taisykles;</w:t>
      </w:r>
    </w:p>
    <w:p w:rsidR="00F61E5D" w:rsidRPr="00E47EDE" w:rsidRDefault="00E777D3" w:rsidP="00F61E5D">
      <w:pPr>
        <w:pStyle w:val="NormalHanging12a"/>
      </w:pPr>
      <w:r>
        <w:t>70</w:t>
      </w:r>
      <w:r w:rsidR="00F61E5D" w:rsidRPr="00D277A5">
        <w:t>.</w:t>
      </w:r>
      <w:r w:rsidR="00F61E5D" w:rsidRPr="00D277A5">
        <w:tab/>
      </w:r>
      <w:r w:rsidR="00EA6CCD" w:rsidRPr="002E7F13">
        <w:t>atkreipia dėmesį į tai, kad pagal 2011 m. lapkričio mėn. Biuro sprendimą dėl komitetų komandiruotėms ne į tris darbo vietas taikomų taisyklių, kurios buvo iš dalies pakeistos 2011 m. lapkričio mėn. po diskusijų Pirmininkų sueigoje ir 2011 m. lapkričio mėn. Biuro posėdyje, šiuo metu akredituotiems Parlamento narių padėjėjams draudžiama lydėti Parlamento narius oficialiose Parlamento delegacijose ir komitetų komandiruotėse; pažymi, kad leidimas akredituotiems Parlamento narių padėjėjams neoficialiai dalyvauti EP misijose kelia rimtą pavojų Parlamento reputacijai ir kelia konkrečių problemų, susijusių su jų draudimu; primena, kad Parlamento narius į šias misijas jau lydi frakcijų atstovai</w:t>
      </w:r>
      <w:r w:rsidR="00EA6CCD" w:rsidRPr="00E47EDE">
        <w:rPr>
          <w:bCs/>
          <w:iCs/>
        </w:rPr>
        <w:t>, tačiau sykiu atkreipia dėmesį į tai, kad techninė parama, kurią akredituoti Parlamento narių padėjėjai teikia komandiruočių metu, dalyvaujantiems Parlamento nariams yra labai svarbi</w:t>
      </w:r>
      <w:r w:rsidR="00EA6CCD" w:rsidRPr="00E47EDE">
        <w:t>; pakartoja savo nuo seno teikiamą prašymą leisti akredituotiems Parlamento narių padėjėjams, laikantis tam tikrų sąlygų (jas dar reikia nustatyti), lydėti Parlamento narius į oficialias Parlamento delegacijas ir komandiruotes ne trijose darbo vietose, kaip buvo pakartotinai prašyta plenariniame posėdyje keliose rezoliucijose dėl biudžeto įvykdymo patvirtinimo; primygtinai ragina Biurą ir Pirmininkų sueigą priimti palankų sprendimą dėl šio reikalavimo</w:t>
      </w:r>
      <w:r w:rsidR="00F61E5D" w:rsidRPr="00E47EDE">
        <w:t>;</w:t>
      </w:r>
    </w:p>
    <w:p w:rsidR="00F61E5D" w:rsidRPr="00D277A5" w:rsidRDefault="00E777D3" w:rsidP="00F61E5D">
      <w:pPr>
        <w:pStyle w:val="NormalHanging12a"/>
      </w:pPr>
      <w:r>
        <w:t>71</w:t>
      </w:r>
      <w:r w:rsidR="00F61E5D" w:rsidRPr="00D277A5">
        <w:t>.</w:t>
      </w:r>
      <w:r w:rsidR="00F61E5D" w:rsidRPr="00D277A5">
        <w:tab/>
        <w:t>primena, kad akredituotiems Parlamento narių padėjėjams, neatsižvelgiant į jų patirtį ir kvalifikaciją, neleidžiama dalyvauti Europos Parlamento vidaus konkursuose; ragina Biurą išnagrinėti galimybę suteikti tokias pačias galimybes akredituotiems Parlamento narių padėjėjams, laikantis atitinkamų generalinių direktoratų nustatytų kriterijų, kad akredituotiems Parlamento narių padėjėjams būtų sudarytos sąlygos dalyvauti vidaus konkursuose vienodomis sąlygomis su Europos Parlamento darbuotojais; pažymi, kad akredituoti Parlamento narių padėjėjai dėl per daugelį metų patirties puikiai supranta politinius ir techninius niuansus, susijusius su EP narių įgaliojimų vykdymu, taip pat įvairias Sąjungos teisines procedūras; pabrėžia, kad aktyvesnis akredituotų Parlamento narių padėjėjų dalyvavimas Parlamento vidaus struktūrose galėtų padėti sukurti įtraukesnę, įvairesnę ir geografiniu požiūriu subalansuotą darbo jėgą; pabrėžia žinių, susijusių su vidaus darbo metodais, išsaugojimo ir perdavimo Europos Parlamente svarbą;</w:t>
      </w:r>
    </w:p>
    <w:p w:rsidR="00F61E5D" w:rsidRPr="00D277A5" w:rsidRDefault="00E777D3" w:rsidP="00F61E5D">
      <w:pPr>
        <w:pStyle w:val="NormalHanging12a"/>
      </w:pPr>
      <w:r>
        <w:t>72</w:t>
      </w:r>
      <w:r w:rsidR="00F61E5D" w:rsidRPr="00D277A5">
        <w:t>.</w:t>
      </w:r>
      <w:r w:rsidR="00F61E5D" w:rsidRPr="00D277A5">
        <w:tab/>
        <w:t xml:space="preserve">pažymi, kad akredituotiems Parlamento narių padėjėjams taikomas veiklos pertraukos laikotarpis yra bent du kartus ilgesnis už Parlamento nariams taikomą veiklos </w:t>
      </w:r>
      <w:r w:rsidR="00F61E5D" w:rsidRPr="00D277A5">
        <w:lastRenderedPageBreak/>
        <w:t>pertraukos laikotarpį; ragina surengti diskusiją dėl Europos Parlamento darbuotojų veiklos pertraukos laikotarpio suderinimo;</w:t>
      </w:r>
    </w:p>
    <w:p w:rsidR="00F61E5D" w:rsidRPr="00D277A5" w:rsidRDefault="00E777D3" w:rsidP="00F61E5D">
      <w:pPr>
        <w:pStyle w:val="NormalHanging12a"/>
      </w:pPr>
      <w:r>
        <w:t>73</w:t>
      </w:r>
      <w:r w:rsidR="00F61E5D" w:rsidRPr="00D277A5">
        <w:t>.</w:t>
      </w:r>
      <w:r w:rsidR="00F61E5D" w:rsidRPr="00D277A5">
        <w:tab/>
        <w:t>palankiai vertina pažangą, padarytą peržiūrint akredituotų Parlamento narių padėjėjų įdarbinimo taisykles; palankiai vertina teigiamą suderinimą, kuris šiuo sprendimu užtikrinamas darbuotojams; palankiai vertina pasiektą susitarimą dėl abipusio akredituotų Parlamento narių padėjėjų ir Parlamento narių sutarties nutraukimo; palankiai vertina tai, kad suderintos akredituotų padėjėjų ir darbuotojų komandiruočių išmokų taisyklės; palankiai vertina tai, kad persvarstytas privalomas akredituotų Parlamento narių padėjėjų mokymas pradedant eiti pareigas; palankiai vertina tai, kad persvarstytos akredituotų Parlamento narių padėjėjų motinystės taisyklės, užtikrinant veiksmingesnį Parlamento narių išteklių naudojimą; giria Europos Parlamento biurą už tai, kad jis atsižvelgė į per Europos Parlamento plenarinius posėdžius išsakytus prašymus, ir akredituotų Parlamento narių padėjėjų komiteto pastarųjų metų indėlį; ragina EP biurą tęsti šį konstruktyvų darbą su Akredituotų Parlamento narių padėjėjų komitetu kitais neišspręstais klausimais;</w:t>
      </w:r>
    </w:p>
    <w:p w:rsidR="00EB50A8" w:rsidRDefault="00E777D3" w:rsidP="00F61E5D">
      <w:pPr>
        <w:pStyle w:val="NormalHanging12a"/>
      </w:pPr>
      <w:r>
        <w:t>74</w:t>
      </w:r>
      <w:r w:rsidR="00F61E5D" w:rsidRPr="00D277A5">
        <w:t>.</w:t>
      </w:r>
      <w:r w:rsidR="00F61E5D" w:rsidRPr="00D277A5">
        <w:tab/>
        <w:t xml:space="preserve">siekiant padidinti Europos Parlamento operacijų skaidrumą ir atskaitomybę ir skatinti teisingą išteklių paskirstymą, siūlomi šie pakeitimai, susiję su Parlamento narių padėjėjais, bendromis viršutinėmis ribomis ir biudžetu: </w:t>
      </w:r>
    </w:p>
    <w:p w:rsidR="00EB50A8" w:rsidRDefault="00F61E5D" w:rsidP="00EB50A8">
      <w:pPr>
        <w:pStyle w:val="NormalHanging12a"/>
        <w:ind w:left="1134"/>
      </w:pPr>
      <w:r w:rsidRPr="00D277A5">
        <w:t xml:space="preserve">1. </w:t>
      </w:r>
      <w:r w:rsidR="00EB50A8">
        <w:tab/>
      </w:r>
      <w:r w:rsidRPr="00D277A5">
        <w:t xml:space="preserve">minimali biudžeto asignavimų Parlamento narių padėjėjams (akredituoti Parlamento nario padėjėjai) dalis turi būti ne mažesnė kaip 35 proc.; </w:t>
      </w:r>
    </w:p>
    <w:p w:rsidR="00EB50A8" w:rsidRDefault="00F61E5D" w:rsidP="00EB50A8">
      <w:pPr>
        <w:pStyle w:val="NormalHanging12a"/>
        <w:ind w:left="1134"/>
      </w:pPr>
      <w:r w:rsidRPr="00D277A5">
        <w:t xml:space="preserve">2. </w:t>
      </w:r>
      <w:r w:rsidR="00EB50A8">
        <w:tab/>
      </w:r>
      <w:r w:rsidRPr="00D277A5">
        <w:t xml:space="preserve">didžiausia biudžeto asignavimų kitiems gavėjams dalis negali viršyti 65 proc. ir paskirstoma taip: </w:t>
      </w:r>
    </w:p>
    <w:p w:rsidR="00EB50A8" w:rsidRDefault="00F61E5D" w:rsidP="00EB50A8">
      <w:pPr>
        <w:pStyle w:val="NormalHanging12a"/>
        <w:ind w:left="1985"/>
      </w:pPr>
      <w:r w:rsidRPr="00D277A5">
        <w:t xml:space="preserve">a. </w:t>
      </w:r>
      <w:r w:rsidR="00EB50A8">
        <w:tab/>
      </w:r>
      <w:r w:rsidRPr="00D277A5">
        <w:t xml:space="preserve">paslaugų teikėjams skiriama ne daugiau kaip 25 proc. biudžeto asignavimo; </w:t>
      </w:r>
    </w:p>
    <w:p w:rsidR="00EB50A8" w:rsidRDefault="00F61E5D" w:rsidP="00EB50A8">
      <w:pPr>
        <w:pStyle w:val="NormalHanging12a"/>
        <w:ind w:left="1985"/>
      </w:pPr>
      <w:r w:rsidRPr="00D277A5">
        <w:t xml:space="preserve">b. </w:t>
      </w:r>
      <w:r w:rsidR="00EB50A8">
        <w:tab/>
      </w:r>
      <w:r w:rsidRPr="00D277A5">
        <w:t xml:space="preserve">vietiniams padėjėjams skiriama ne daugiau kaip 25 proc. biudžeto asignavimo; </w:t>
      </w:r>
    </w:p>
    <w:p w:rsidR="00F61E5D" w:rsidRPr="00D277A5" w:rsidRDefault="00F61E5D" w:rsidP="00EB50A8">
      <w:pPr>
        <w:pStyle w:val="NormalHanging12a"/>
        <w:ind w:left="1985"/>
      </w:pPr>
      <w:r w:rsidRPr="00D277A5">
        <w:t xml:space="preserve">c. </w:t>
      </w:r>
      <w:r w:rsidR="00EB50A8">
        <w:tab/>
      </w:r>
      <w:r w:rsidRPr="00D277A5">
        <w:t>stažuotojams skiriama ne daugiau kaip 15 proc. biudžeto asignavimo;</w:t>
      </w:r>
    </w:p>
    <w:p w:rsidR="00F61E5D" w:rsidRPr="00D277A5" w:rsidRDefault="00DC6EAB"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pasibaigus dviem Šumano stažuotojų įdarbinimo ir profesinio tobulėjimo programos laikotarpiams, 2022 m. buvo įdarbinta 16 proc. į rezervą įtrauktų kandidatų; pabrėžia, kad dėl šio veiksmo buvo įdarbinta 50 konkursą laimėjusių kandidatų iš 16 skirtingų valstybių narių; pažymi, kad iš minėtų valstybių narių devynios valstybės narės, kurioms atstovavo nedaug ar vos keli darbuotojai, dabar yra atstovaujamos labiau ir 70 proc. konkursą laimėjusių kandidatų yra iš šių valstybių narių; atkreipia dėmesį į tai, kad sukurtas buvusių Parlamento stažuotojų tinklas, kurį generalinis sekretorius patvirtino 2022 m. pabaigoje;</w:t>
      </w:r>
    </w:p>
    <w:p w:rsidR="00F61E5D" w:rsidRPr="00D277A5" w:rsidRDefault="00E96684"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w:t>
      </w:r>
      <w:r w:rsidR="00DC6EAB">
        <w:rPr>
          <w14:textOutline w14:w="0" w14:cap="flat" w14:cmpd="sng" w14:algn="ctr">
            <w14:noFill/>
            <w14:prstDash w14:val="solid"/>
            <w14:bevel/>
          </w14:textOutline>
        </w:rPr>
        <w:t>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PERS GD įdiegė pozityvių veiksmų sistemą, skirtą kandidatams su negalia, todėl paraiškų pateikta gerokai daugiau nei ankstesniais metais;</w:t>
      </w:r>
    </w:p>
    <w:p w:rsidR="00F61E5D" w:rsidRPr="00D277A5" w:rsidRDefault="00E96684" w:rsidP="00F61E5D">
      <w:pPr>
        <w:pStyle w:val="NormalHanging12a"/>
      </w:pPr>
      <w:r>
        <w:t>7</w:t>
      </w:r>
      <w:r w:rsidR="00DC6EAB">
        <w:t>7</w:t>
      </w:r>
      <w:r w:rsidR="00F61E5D" w:rsidRPr="00D277A5">
        <w:t>.</w:t>
      </w:r>
      <w:r w:rsidR="00F61E5D" w:rsidRPr="00D277A5">
        <w:tab/>
        <w:t xml:space="preserve">primena 2022 m. lapkričio mėn. generalinio sekretoriaus sprendimą dėl naujų nuotolinio darbo Parlamente taisyklių, taikomų Parlamento sekretoriatui; primena, kad Parlamento nariai ir frakcijos taip pat gali nuspręsti taikyti šiame sprendime nustatytas nuotolinio darbo taisykles; pažymi, kad subalansuotas mišrios darbo aplinkos naudojimas yra naudingas ir produktyvus, todėl palankiai vertina sprendimą išlaikyti nuotolinio darbo galimybes; primena, kad fizinis dalyvavimas yra nepaprastai svarbus siekiant </w:t>
      </w:r>
      <w:r w:rsidR="00F61E5D" w:rsidRPr="00D277A5">
        <w:lastRenderedPageBreak/>
        <w:t>veiksmingo ir našaus visų parlamentinių procesų dalyvių bendravimo;</w:t>
      </w:r>
    </w:p>
    <w:p w:rsidR="00F61E5D" w:rsidRPr="00D277A5" w:rsidRDefault="00E96684" w:rsidP="00F61E5D">
      <w:pPr>
        <w:pStyle w:val="NormalHanging12a"/>
      </w:pPr>
      <w:r>
        <w:t>7</w:t>
      </w:r>
      <w:r w:rsidR="00DC6EAB">
        <w:t>8</w:t>
      </w:r>
      <w:r w:rsidR="00F61E5D" w:rsidRPr="00D277A5">
        <w:t>.</w:t>
      </w:r>
      <w:r w:rsidR="00F61E5D" w:rsidRPr="00D277A5">
        <w:tab/>
        <w:t>siūlo, kad toliau būtų atliekama naujų darbo metodų analizė siekiant suderinti Parlamento administracijos poreikius (įskaitant kolektyvinę sanglaudą, vidaus komunikaciją ir naujų darbuotojų įtraukimą į darbą), nes tai turėtų teigiamą poveikį ir Parlamento, kaip darbdavio, patrauklumui; atkreipia dėmesį į tai, kad darbuotojams numatyta galimybė dirbti nuotoliniu būdu iš užsienio penkias dienas per metus; pažymi, kad kai kurios su COVID-19 pandemija susijusios priemonės pakeitė darbo sąlygas konkrečiose tarnybose; ragina aktyviai stebėti ir vertinti naujus darbo metodus, kad nebūtų daromas neigiamas poveikis darbuotojų gerovei ir pasitenkinimui;</w:t>
      </w:r>
    </w:p>
    <w:p w:rsidR="00F61E5D" w:rsidRDefault="00DC6EAB" w:rsidP="00F61E5D">
      <w:pPr>
        <w:pStyle w:val="NormalHanging12a"/>
      </w:pPr>
      <w:r>
        <w:t>79</w:t>
      </w:r>
      <w:r w:rsidR="00F61E5D" w:rsidRPr="00D277A5">
        <w:t>.</w:t>
      </w:r>
      <w:r w:rsidR="00F61E5D" w:rsidRPr="00D277A5">
        <w:tab/>
        <w:t>pažymi, kad iš 459 8-osios Parlamento kadencijos narių, kurie nebuvo pakartotinai išrinkti 2019 m., Parlamentas gavo tik vieną pranešimą apie darbą, vykdomą baigus eiti pareigas (Elgesio kodekso 6 straipsnis); palankiai vertina draudimą buvusiems Parlamento nariams šešis mėnesius nuo jų kadencijos pabaigos užsiimti lobistine veikla ir tai, kad nustatyta procedūra reikalavimų nesilaikymo atveju; palankiai vertina tai, kad per šešis mėnesius nuo jo įgaliojimų pabaigos nebegalima išduoti lobistinio leidimo buvusiam Parlamento nariui ir kad jo ankstesnis Parlamento nario leidimas deaktyvuojamas, jei pasibaigus šiam laikotarpiui buvusiam Parlamento nariui bus išduotas lobistinis leidimas; pažymi, kad 2021 m. iš 199 tarnybą baigusių pareigūnų 65 paprašė leidimo vykdyti veiklą po to, kai baigė tarnybą (Tarnybos nuostatų 16 straipsnis); ragina Parlamentą nustatyti griežtesnes taisykles, kuriomis būtų reglamentuojamas Parlamento narių ir valstybės tarnautojų „sukamųjų durų“ reiškinys;</w:t>
      </w:r>
    </w:p>
    <w:p w:rsidR="00EA6CCD" w:rsidRPr="00E96684" w:rsidRDefault="00E96684" w:rsidP="00F61E5D">
      <w:pPr>
        <w:pStyle w:val="NormalHanging12a"/>
      </w:pPr>
      <w:r w:rsidRPr="005B2630">
        <w:t>8</w:t>
      </w:r>
      <w:r w:rsidR="00DC6EAB">
        <w:t>0</w:t>
      </w:r>
      <w:r w:rsidR="00EA6CCD" w:rsidRPr="005B2630">
        <w:t>.</w:t>
      </w:r>
      <w:r w:rsidR="00EA6CCD" w:rsidRPr="00E96684">
        <w:tab/>
      </w:r>
      <w:r w:rsidR="00EA6CCD" w:rsidRPr="005B2630">
        <w:t>yra tvirtai įsitikinęs, kad renginių ir kelionių finansavimas niekada neturėtų būti naudojamas kaip priemonė pakenkti Sąjungos vertybėms ar skleisti priešišką autoritarinių režimų informaciją; pakartoja savo raginimą nustatyti griežtesnes taisykles dėl Parlamento narių kelionių, kurias apmoka užsienio šalys ir subjektai; mano, kad panašios taisyklės turėtų būti priimtos ir akredituotų Parlamento narių padėjėjų ar frakcijų darbuotojų kelionėms;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Infrastruktūros ir logistikos generalinis direktoratas</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81</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Infrastruktūros ir logistikos generalinis direktoratas (INLO GD) valdo 1,3 mln. m² ploto infrastruktūrą Briuselyje, Liuksemburge ir Strasbūre, taip pat ryšių biurų ir centrų „Europa Experience“ infrastruktūrą valstybėse narėse; pažymi, kad Infrastruktūros ir logistikos GD taip pat teikia maitinimo ir transporto paslaugas ir valdo bei aprūpina Parlamento biurų ir posėdžių erdves; pažymi, kad iki 2022 m. gruodžio 31 d. jame dirbo 652 darbuotojai, iš kurių 267 buvo pareigūnai, 47 laikinieji darbuotojai ir 338 sutartininkai;</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galutiniai INLO GD asignavimai sudarė 271 191 093 EUR, t. y. 12,5 proc. Parlamento biudžeto; pabrėžia, kad iš šios sumos iš viso įsipareigota skirti 269 189 287 EUR; palankiai vertina didelį asignavimų panaudojimo lygį; atkreipia dėmesį į tai, kad biudžeto punktai, pagal kuriuos panaudojimo lygis buvo mažesnis nei 95 proc., buvo susiję su judumu, nesėkmingu kvietimu teikti pasiūlymus dėl transporto priemonių įsigijimo ir mažesne, nei tikėtasi, veikla dėl COVID-19 pandemijos, dėl to sumažėjo vidaus posėdžių išlaidos;</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83</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pažymi, kad Parlamento pastatų strategija po 2019 m. – tai nuoseklus pagrindas būsimiems sprendimams ir padeda konsoliduoti Parlamento nekilnojamojo turto portfelį, kai sykiu pritaikoma infrastruktūra prie posėdžių modelių raidos, imamasi </w:t>
      </w:r>
      <w:r w:rsidR="00F61E5D" w:rsidRPr="00D277A5">
        <w:rPr>
          <w14:textOutline w14:w="0" w14:cap="flat" w14:cmpd="sng" w14:algn="ctr">
            <w14:noFill/>
            <w14:prstDash w14:val="solid"/>
            <w14:bevel/>
          </w14:textOutline>
        </w:rPr>
        <w:lastRenderedPageBreak/>
        <w:t>veiksmų vietos lygmeniu ir arčiau piliečių palaipsniui įrengiant centrus „Europa Experience“, didinamas Parlamento pastatų saugumas ir užtikrinamas centrinių pastatų sujungimas; pažymi, kad dauguma dabartinėje pastatų strategijoje nurodytų politikos priemonių ir veiksmų yra užbaigti arba įgyvendinami;</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reikia užtikrinti veiksmingą ir į rezultatus orientuotą Parlamento pastatų infrastruktūros valdymą; reiškia pasitenkinimą 2022 m. pastatų vertinimo rezultatais, jie 2022 m. birželio mėn. Biurui pristatyti pastatų pasų forma ir pastatų energinio naudingumo, vidaus aplinkos kokybės ir renovacijos (EPIQR) indekso balas buvo tik 0,1, ir tai rodo, kad jų bendra būklė yra puiki, ir liudija, kad atsakingos Parlamento tarnybos vykdo veiksmingą prevencinę ir taisomąją priežiūrą ir programavimą pagal integruotą infrastruktūros valdymo strategiją, kurioje daugiausia dėmesio skiriama Parlamento pastatų portfelio gyvavimo ciklo valdymui ir kurią Biuras patvirtino 2021 m. kovo 8 d.;</w:t>
      </w:r>
    </w:p>
    <w:p w:rsidR="00F61E5D" w:rsidRPr="00D277A5" w:rsidRDefault="00D21B01" w:rsidP="00F61E5D">
      <w:pPr>
        <w:pStyle w:val="NormalHanging12a"/>
      </w:pPr>
      <w:r>
        <w:t>85</w:t>
      </w:r>
      <w:r w:rsidR="00F61E5D" w:rsidRPr="00D277A5">
        <w:t>.</w:t>
      </w:r>
      <w:r w:rsidR="00F61E5D" w:rsidRPr="00D277A5">
        <w:tab/>
        <w:t>palankiai vertina INLO GD įsipareigojimą įgyvendinti aplinkos atžvilgiu tvarius sprendimus; pažymi, kad 2022 m. Parlamentas daugiau kaip 19 proc. savo energijos generavo iš atsinaujinančiųjų išteklių; palankiai vertina 2022 m. Strasbūre atliktą elektros energijos gamybos vietoje tyrimą ir tai, kad pastatuose PFLIMLIN, DE MADARIAGA ir CHURCHILL šiuo metu įrengiama 1 400 m² fotovoltinių plokščių; pabrėžia, kad Parlamentas galėtų dalytis šia energija su Strasbūro miestu tuo metu, kai Parlamento patalpos daugiausia yra tuščios; ragina Biurą taip pat apsvarstyti galimybę nuomoti stogų paviršius išorės naudotojams saulės baterijų plokštėms įrengti ir taip panaudoti juos kaip papildomą Parlamento pajamų šaltinį;</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tai, kad 2022 m. gegužės 10 d. Liuksemburge įvyko pastato ADENAUER rytinio priestato inauguracija ir kad 2024 m. užbaigus vakarinio priestato statybą bus galima disponuoti vienu pastatu, kuriame vienoje vietoje galės būti sutelktos visos Parlamento tarnybos Liuksemburge;</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tai, kad pastate ZWEIG atidaryta 15 lankytojams skirtų seminarų salių, daugiafunkcė agora ir A. Sacharovo holas (</w:t>
      </w:r>
      <w:r w:rsidR="00F61E5D" w:rsidRPr="00D277A5">
        <w:rPr>
          <w:i/>
          <w14:textOutline w14:w="0" w14:cap="flat" w14:cmpd="sng" w14:algn="ctr">
            <w14:noFill/>
            <w14:prstDash w14:val="solid"/>
            <w14:bevel/>
          </w14:textOutline>
        </w:rPr>
        <w:t>Sakharov Lounge</w:t>
      </w:r>
      <w:r w:rsidR="00F61E5D" w:rsidRPr="00D277A5">
        <w:rPr>
          <w14:textOutline w14:w="0" w14:cap="flat" w14:cmpd="sng" w14:algn="ctr">
            <w14:noFill/>
            <w14:prstDash w14:val="solid"/>
            <w14:bevel/>
          </w14:textOutline>
        </w:rPr>
        <w:t>), visa tai padės pagerinti lankytojų vizitus Europos Parlamente Briuselyje; atkreipia dėmesį į tai, kad baigtas statyti pasažas, jungiantis pastatą ZWEIG su Regionų komiteto ir Europos ekonomikos ir socialinių reikalų komiteto pastatais;</w:t>
      </w:r>
    </w:p>
    <w:p w:rsidR="00F61E5D" w:rsidRPr="00D277A5" w:rsidRDefault="00D21B01" w:rsidP="00F61E5D">
      <w:pPr>
        <w:pStyle w:val="NormalHanging12a"/>
      </w:pPr>
      <w:r>
        <w:t>88</w:t>
      </w:r>
      <w:r w:rsidR="00F61E5D" w:rsidRPr="00D277A5">
        <w:t>.</w:t>
      </w:r>
      <w:r w:rsidR="00F61E5D" w:rsidRPr="00D277A5">
        <w:tab/>
        <w:t>palankiai vertina Parlamento pastangas skatinti darbuotojus važinėjant į darbą naudotis tvariomis transporto priemonėmis nemokamai suteikiant jiems daugiau klasikinių ir elektrinių dviračių ir kompensuojant dalį viešojo transporto bilietų kainos mainais už ribotą patekimą į automobilių stovėjimo aikšteles; palankiai vertina naują sistemą, pagal kurią siūloma 90 proc. sumažinta Briuselio sezoninių viešojo transporto bilietų kaina, todėl 26,57 proc. padaugėjo darbuotojų, besinaudojančių sezoniniais bilietais, kuriuos bendrai finansuoja Parlamentas;</w:t>
      </w:r>
    </w:p>
    <w:p w:rsidR="00F61E5D" w:rsidRPr="00D277A5" w:rsidRDefault="00D21B01" w:rsidP="00F61E5D">
      <w:pPr>
        <w:pStyle w:val="NormalHanging12a"/>
      </w:pPr>
      <w:r>
        <w:t>89</w:t>
      </w:r>
      <w:r w:rsidR="00F61E5D" w:rsidRPr="00D277A5">
        <w:t>.</w:t>
      </w:r>
      <w:r w:rsidR="00F61E5D" w:rsidRPr="00D277A5">
        <w:tab/>
        <w:t>palankiai vertina galimybę darbuotojams išsinuomoti ir naudoti standartinius ir elektrinius dviračius per mėnesines sesijas Strasbūre; palankiai vertina dviračių parko plėtrą; apgailestauja, kad praktiškai visi dviračiai rezervuojami kelias dienas iš anksto; ragina Parlamentą, siekiant patenkinti Parlamento narių ir darbuotojų poreikius bei prisidėti prie tvaraus judumo didinimo, išnagrinėti galimybę pasiūlyti daugiau nuomojamų dviračių Strasbūre ir pratęsti jų paėmimo terminus;</w:t>
      </w:r>
    </w:p>
    <w:p w:rsidR="00F61E5D" w:rsidRDefault="00D21B01" w:rsidP="00F61E5D">
      <w:pPr>
        <w:pStyle w:val="NormalHanging12a"/>
      </w:pPr>
      <w:r>
        <w:t>90</w:t>
      </w:r>
      <w:r w:rsidR="00F61E5D" w:rsidRPr="00D277A5">
        <w:t>.</w:t>
      </w:r>
      <w:r w:rsidR="00F61E5D" w:rsidRPr="00D277A5">
        <w:tab/>
        <w:t xml:space="preserve">palankiai vertina tai, kad netaršių arba prie elektros tinklo jungiamų hibridinių </w:t>
      </w:r>
      <w:r w:rsidR="00F61E5D" w:rsidRPr="00D277A5">
        <w:lastRenderedPageBreak/>
        <w:t>automobilių procentinė dalis asmenų transporto paslaugoms skirtame transporto priemonių parke padidėjo nuo 81 proc. 2021 m. iki 97 proc. 2022 m.;</w:t>
      </w:r>
    </w:p>
    <w:p w:rsidR="00EA6CCD" w:rsidRPr="00656E35" w:rsidRDefault="00D21B01" w:rsidP="00F61E5D">
      <w:pPr>
        <w:pStyle w:val="NormalHanging12a"/>
      </w:pPr>
      <w:r>
        <w:t>91</w:t>
      </w:r>
      <w:r w:rsidR="00EA6CCD" w:rsidRPr="00A22D6D">
        <w:t>.</w:t>
      </w:r>
      <w:r w:rsidR="00EA6CCD" w:rsidRPr="00656E35">
        <w:tab/>
      </w:r>
      <w:r w:rsidR="00EA6CCD" w:rsidRPr="00A22D6D">
        <w:t>atkreipia dėmesį į tai, kad 2022 m. didelė dalis vietų transporto priemonėse, važinėjančiose iš Briuselio į Strasbūrą ir atgal dėl plenarinių sesijų, liko neužimtos; pakartoja savo raginimą Parlamento administracijai išplėsti naudotojų grupę ir leisti Parlamento darbuotojams keliauti į Strasbūrą ir iš jo tarnybinėmis transporto priemonėmis, nesant Parlamento nariui, ir kartu užtikrinti, kad Parlamento narių vietos būtų apsaugotos;</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pripažįsta Parlamento EMAS sertifikavimo svarbą ir pridėtinę vertę, atsižvelgiant į tvaria aplinka ir žiedine ekonomika pagrįstą institucinį požiūrį; atkreipia dėmesį į vandens taupymo ir atliekų tvarkymo priemones, kurių šiuo tikslu ėmėsi administracija;</w:t>
      </w:r>
    </w:p>
    <w:p w:rsidR="00F61E5D" w:rsidRPr="00D277A5" w:rsidRDefault="00D21B01" w:rsidP="00F61E5D">
      <w:pPr>
        <w:pStyle w:val="NormalHanging12a"/>
      </w:pPr>
      <w:r>
        <w:t>93</w:t>
      </w:r>
      <w:r w:rsidR="00F61E5D" w:rsidRPr="00D277A5">
        <w:t>.</w:t>
      </w:r>
      <w:r w:rsidR="00F61E5D" w:rsidRPr="00D277A5">
        <w:tab/>
      </w:r>
      <w:r w:rsidR="00EA6CCD" w:rsidRPr="00D21B01">
        <w:t>atkreipia dėmesį į 2019 m. spalio 23 d. Biuro vienbalsiai priimtą sprendimą pritarti laboratorijos „IDEA Lab“ sukūrimui siekiant išbandyti naujus novatoriškus sprendimus biurų ir infrastruktūros valdymo srityje; palankiai vertina tai, kad sukurta nuolatinė inovacijų laboratorija, nes tai galėtų padėti sutaupyti lėšų įgyvendinant būsimus renovacijos projektus, ir ragina sukurti atskirą biudžeto eilutę; pažymi, kad laboratorija „IDEA Lab“ turėtų naudotis Parlamento nariai, ir prašo, kad Parlamento nariai būtų informuojami apie inovacijas ir išbandytus sprendimus, kurie bus diegiami ateityje, ir apie tuos, kurių atsisakyta, ir apie su tuo susijusias priežastis; laikosi nuomonės, kad vienas iš laboratorijos „IDEA Lab“ prioritetų turėtų būti novatoriškas architektūrinis sprendimas siekiant geriau panaudoti Parlamento narių biuruose nenaudojamų dušų užimamą erdvę; ragina B</w:t>
      </w:r>
      <w:r w:rsidR="00EA6CCD" w:rsidRPr="00A43E83">
        <w:t>iuro darbo grupę pastatų klausimais ir Parlamento administraciją užtikrinti didesnį laboratorijos „IDEA Lab“ biudžeto skaidrumą ir reguliariai teikti Biudžeto kontrolės komitetui novatoriškų sprendimų sąrašą, jų sąnaudas ir gautus atsiliepimus, taip pat informaciją apie galimas sutaupytas lėšas, jei jie būtų įgyvendinti</w:t>
      </w:r>
      <w:r w:rsidR="00F61E5D" w:rsidRPr="00D277A5">
        <w:t>;</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įvairius su prieinamumu susijusius projektus ir darbus, įgyvendintus visose trijose darbo vietose, taip pat EP ryšių biuruose ir centruose „Europa Experience“, kuriais siekiama užtikrinti visišką atitiktį taikomai reglamentavimo sistemai, atsižvelgiant į Parlamento įsipareigojimą būti institucija, kuri be kliūčių prieinama visiems;</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pripažįsta, kad dėl Rusijos agresijos karo prieš Ukrainą ir energetikos krizės, tiekimo grandinės sutrikimų ir žaliavų trūkumo INLO GD turėjo peržiūrėti savo projektus ir pakoreguoti savo biudžetą; pažymi, kad dėl su tuo susijusio energijos biudžeto deficito INLO GD turėjo įšaldyti arba sustabdyti kai kuriuos projektus, kad būtų atlaisvinti ištekliai, būtini dėl didelio kainų padidėjimo; </w:t>
      </w:r>
    </w:p>
    <w:p w:rsidR="00F61E5D" w:rsidRPr="00D277A5" w:rsidRDefault="00D21B01" w:rsidP="00F61E5D">
      <w:pPr>
        <w:pStyle w:val="NormalHanging12a"/>
      </w:pPr>
      <w:r>
        <w:t>96</w:t>
      </w:r>
      <w:r w:rsidR="00F61E5D" w:rsidRPr="00D277A5">
        <w:t>.</w:t>
      </w:r>
      <w:r w:rsidR="00F61E5D" w:rsidRPr="00D277A5">
        <w:tab/>
        <w:t>atkreipia dėmesį į priemones, įgyvendintas siekiant sumažinti Parlamento suvartojamos energijos kiekį, pvz., sumažinti maksimalią šildymo temperatūrą biurų patalpose ir padidinti minimalią vėsinimo temperatūrą, išjungti šildymo ir vėsinimo sistemas savaitgaliais ir švenčių dienomis, mažinti pastatų fasadų apšvietimą ir patalpų apšvietimo lygį; pripažįsta, kad, atsižvelgiant į energetikos krizės raidą, priemonės turi būti įvertintos iš naujo ir jos visada turėtų užtikrinti darbuotojų gerovę;</w:t>
      </w:r>
    </w:p>
    <w:p w:rsidR="00F61E5D" w:rsidRPr="00D277A5" w:rsidRDefault="00D21B01"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pripažįsta, kad dėl įvairių priemonių, kurių administracija ėmėsi po atitinkamų 2022 m. gegužės ir spalio mėn. Biuro sprendimų, labai sumažėjo suvartojamos energijos kiekis, taigi nuo 2022 m. gegužės mėn. iki 2023 m. spalio mėn. sutaupyta 10,5 mln. EUR;</w:t>
      </w:r>
    </w:p>
    <w:p w:rsidR="00F61E5D" w:rsidRPr="00D277A5" w:rsidRDefault="00D21B01" w:rsidP="00F61E5D">
      <w:pPr>
        <w:pStyle w:val="NormalHanging12a"/>
      </w:pPr>
      <w:r>
        <w:lastRenderedPageBreak/>
        <w:t>98</w:t>
      </w:r>
      <w:r w:rsidR="00F61E5D" w:rsidRPr="00D277A5">
        <w:t>.</w:t>
      </w:r>
      <w:r w:rsidR="00F61E5D" w:rsidRPr="00D277A5">
        <w:tab/>
        <w:t>pripažįsta, kad 2022 m. INLO GD toliau tęsė Parlamento pastatų strategijos po 2019 m. įgyvendinimą; atkreipia dėmesį į su pastato „Trèves II“ pirkimu susijusį indėlį įgyvendinant šią strategiją ir konsoliduojant Parlamento nekilnojamąjį turtą, ypač siekiant sudaryti sąlygas Parlamento centrinių pastatų Briuselyje sujungimui; prašo nustatyti pastatų „Trèves I“ ir „Trèves II“ sujungimo su pagrindiniais centriniais pastatais Briuselyje tvarkaraštį;</w:t>
      </w:r>
    </w:p>
    <w:p w:rsidR="00F61E5D" w:rsidRPr="00D21B01" w:rsidRDefault="00D21B01" w:rsidP="00F61E5D">
      <w:pPr>
        <w:pStyle w:val="NormalHanging12a"/>
      </w:pPr>
      <w:r>
        <w:t>99</w:t>
      </w:r>
      <w:r w:rsidR="00F61E5D" w:rsidRPr="00D277A5">
        <w:t>.</w:t>
      </w:r>
      <w:r w:rsidR="00F61E5D" w:rsidRPr="00D277A5">
        <w:tab/>
      </w:r>
      <w:r w:rsidR="00EA6CCD" w:rsidRPr="00D21B01">
        <w:t>giria Parlamentą už 2017–2022 m. jo naudojamuose pastatuose Briuselyje atliktus prieinamumo pritaikymo darbus, kurių bendra vertė siekė 3,3 mln. EUR</w:t>
      </w:r>
      <w:r w:rsidR="00EA6CCD" w:rsidRPr="00D21B01">
        <w:rPr>
          <w:rStyle w:val="FootnoteReference"/>
        </w:rPr>
        <w:footnoteReference w:id="11"/>
      </w:r>
      <w:r w:rsidR="00EA6CCD" w:rsidRPr="00D21B01">
        <w:t xml:space="preserve">; palankiai vertina tai, kad pastato SPAAK plenarinių posėdžių salės stebėjimo ložė lankytojams skirtoje erdvėje dabar yra prieinama riboto judumo asmenims; primena, kad Sąjunga pirmauja skatindama visų savo piliečių įtraukumą ir lygybę; primena, kad visiems </w:t>
      </w:r>
      <w:r w:rsidR="00A22D6D">
        <w:t>ES</w:t>
      </w:r>
      <w:r w:rsidR="00EA6CCD" w:rsidRPr="00D21B01">
        <w:t xml:space="preserve"> piliečiams turėtų būti suteiktos vienodos galimybės apsilankyti jos institucijose; ragina Parlamentą atlikti neįgalių lankytojų poreikių analizę ir prašo įgyvendinti atitinkamas priemones</w:t>
      </w:r>
      <w:r w:rsidR="00F61E5D" w:rsidRPr="00D21B01">
        <w:t>;</w:t>
      </w:r>
    </w:p>
    <w:p w:rsidR="00F61E5D" w:rsidRPr="00D277A5" w:rsidRDefault="00D21B01" w:rsidP="00F61E5D">
      <w:pPr>
        <w:pStyle w:val="NormalHanging12a"/>
      </w:pPr>
      <w:r>
        <w:t>100</w:t>
      </w:r>
      <w:r w:rsidR="00F61E5D" w:rsidRPr="00D277A5">
        <w:t>.</w:t>
      </w:r>
      <w:r w:rsidR="00F61E5D" w:rsidRPr="00D277A5">
        <w:tab/>
        <w:t>atkreipia dėmesį į Biuro 2022 m. liepos 6 d. papildomo posėdžio, per kurį Biuras susipažino su tarptautinio architektūros projektavimo konkurso dėl pastato SPAAK atnaujinimo rezultatais ir juos patvirtino, protokolą; pažymi, kad Biuras patvirtino 5 laureatus; pažymi, kad 2022 m. nebuvo priimtas joks kitas sprendimas šia tema, todėl finansinių pasekmių nebuvo, kartu pabrėžia, kad vis skubiau reikia kuo greičiau pradėti atnaujinimo darbus; pabrėžia, kad 2024 m. vasario 14 d., atsižvelgiant į blogėjančią pastato būklę, galutiniai planai pradėti renovacijos darbus buvo greitai patvirtinti komitetų lygmeniu; pabrėžia, kad dabartinio pastato energijos vartojimo efektyvumo reitingas yra labai žemas ir jam trūksta lankstumo, kuris labai reikalingas, kad jis atitiktų savo paskirtį; pabrėžia, kad Europos Parlamentas ir jo pastatai turėtų rodyti pirmavimo pavyzdį energijos vartojimo efektyvumo ir tvarumo srityje, kad būtų užtikrinta piliečių parama žaliojo kurso tikslams; pažymi, kad atlikus renovaciją būtų sutaupyta daug išlaidų (po kelis mln. EUR per metus) ir, be to, būtų lengviau laikytis būsimos Europos energijos vartojimo efektyvumo direktyvos ir Pastatų energinio nau</w:t>
      </w:r>
      <w:r w:rsidR="00386E01">
        <w:t>dingumo direktyvos reikalavimų;</w:t>
      </w:r>
    </w:p>
    <w:p w:rsidR="00F61E5D" w:rsidRPr="00D277A5" w:rsidRDefault="00D21B01" w:rsidP="00F61E5D">
      <w:pPr>
        <w:pStyle w:val="NormalHanging12a"/>
      </w:pPr>
      <w:r>
        <w:t>101</w:t>
      </w:r>
      <w:r w:rsidR="00F61E5D" w:rsidRPr="00D277A5">
        <w:t>.</w:t>
      </w:r>
      <w:r w:rsidR="00F61E5D" w:rsidRPr="00D277A5">
        <w:tab/>
        <w:t>taip pat atkreipia dėmesį į 2022 m. liepos 6 d. Biuro sprendimą dėl Strasbūro pastatų strategijos, kurioje daugiausia dėmesio skiriama prieglobos ir patalpų pajėgumų gerinimui, Parlamento patalpų naudojimo optimizavimui, prieinamumo gerinimui ir darbuotojų funkcionalumo stiprinimui;</w:t>
      </w:r>
    </w:p>
    <w:p w:rsidR="00F61E5D" w:rsidRPr="00D277A5" w:rsidRDefault="00D21B01" w:rsidP="00F61E5D">
      <w:pPr>
        <w:pStyle w:val="NormalHanging12a"/>
      </w:pPr>
      <w:r>
        <w:t>102</w:t>
      </w:r>
      <w:r w:rsidR="00F61E5D" w:rsidRPr="00D277A5">
        <w:t>.</w:t>
      </w:r>
      <w:r w:rsidR="00F61E5D" w:rsidRPr="00D277A5">
        <w:tab/>
        <w:t>pažymi, kad Parlamento savitarnos valgykla, esanti pastato Spinelli -1 aukšte, dažnai yra perpildyta piko valandomis, todėl susidaro ilgos eilės ir reikia ilgai laukti; ragina Biurą apsvarstyti galimybę išorės lankytojams ir lankytojų grupėms taikyti patekimo į Parlamento pagrindinių pastatų valgyklas apribojimus; yra susirūpinęs dėl nepatenkinamo kainų ir kokybės santykio ir ypač dėl to, kad trūksta įperkamų vegetariškų pasiūlymų; prašo administracijos pasiūlyti sprendimus, kaip ištaisyti šią padėtį;</w:t>
      </w:r>
    </w:p>
    <w:p w:rsidR="00F61E5D" w:rsidRPr="00D277A5" w:rsidRDefault="00D21B01" w:rsidP="00F61E5D">
      <w:pPr>
        <w:pStyle w:val="NormalHanging12a"/>
      </w:pPr>
      <w:r>
        <w:t>103</w:t>
      </w:r>
      <w:r w:rsidR="00F61E5D" w:rsidRPr="00D277A5">
        <w:t>.</w:t>
      </w:r>
      <w:r w:rsidR="00F61E5D" w:rsidRPr="00D277A5">
        <w:tab/>
        <w:t xml:space="preserve">pažymi, kad 2022 m., panaikinus su COVID-19 susijusius pajėgumų apribojimus, pirmadieniais iš Briuselio į Strasbūrą važinėjančių tarnybinių transporto priemonių parke buvo 250 vietų ir kad per 2022 m. mėnesinių sesijų savaitę buvo užimtos vidutiniškai 162 vietos arba 65 proc. parke turimų vietų; pakartoja savo raginimą </w:t>
      </w:r>
      <w:r w:rsidR="00F61E5D" w:rsidRPr="00D277A5">
        <w:lastRenderedPageBreak/>
        <w:t>Parlamento administracijai išplėsti vietų naudojimą siekiant išvengti išteklių švaistymo ir kartu užtikrinti, kad Parlamento narių vietos būtų apsaugotos;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Vertimo raštu generalinis direktoratas</w:t>
      </w:r>
    </w:p>
    <w:p w:rsidR="00F61E5D" w:rsidRPr="00D277A5" w:rsidRDefault="003E05F0"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Vertimo raštu generalinis direktoratas (TRAD GD) yra atsakingas už kokybišką teisės aktų vertimą į įvairias kalbas ir kitų kalbinių paslaugų teikimą Europos Parlamentui, Parlamento tarnyboms ir visiems Sąjungos piliečiams, remiantis visapusiškai išteklių požiūriu tausios daugiakalbystės principu; pažymi, kad iki 2022 m. gruodžio 31 d. jame dirbo 1 109 darbuotojai, iš kurių 945 buvo pareigūnai, 97 – laikinieji darbuotojai, 66 – sutartininkai ir 1 per agentūrą įdarbintas darbuotojas;</w:t>
      </w:r>
    </w:p>
    <w:p w:rsidR="00F61E5D" w:rsidRPr="00D277A5" w:rsidRDefault="003E05F0"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galutiniai TRAD GD asignavimai 2022 m. sudarė 17 105 500 EUR, t. y. 0,8 proc. Parlamento biudžeto; pabrėžia, kad iš šios sumos iš viso įsipareigota skirti 16 834 967 EUR; palankiai vertina didelį asignavimų panaudojimo lygį;</w:t>
      </w:r>
    </w:p>
    <w:p w:rsidR="00F61E5D" w:rsidRPr="00D277A5" w:rsidRDefault="003E05F0"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TRAD GD įsipareigojimą laiku teikti kokybiškas kalbos paslaugas; su pasitenkinimu pažymi, kad 2022 m. iš viso buvo išversta daugiau kaip 2,89 mln. puslapių, t. y. 26 proc. daugiau nei 2021 m.; su pasitenkinimu pažymi, kad didžioji dalis darbo buvo atlikta laiku (98,5 proc. įprastomis aplinkybėmis ir 98,6 proc., kai prašymai neatitiko taisyklių);</w:t>
      </w:r>
    </w:p>
    <w:p w:rsidR="00F61E5D" w:rsidRDefault="003E05F0" w:rsidP="00F61E5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107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TRAD GD propaguoja ir kuria turinį vadinamąja piliečių kalba – tai Parlamento požiūris į aiškią kalbą, pritaikytą atsižvelgiant į žmonių poreikius, 24 oficialiosiomis Sąjungos kalbomis; palankiai vertina tai, kad sukurta ukrainiečių kalbos komanda, teikianti lingvistines paslaugas ukrainiečių kalba, įskaitant vertimus, audioproduktus ir subtitrus specialiai interneto svetainei;</w:t>
      </w:r>
    </w:p>
    <w:p w:rsidR="00EA6CCD" w:rsidRPr="00E07538" w:rsidRDefault="003E05F0" w:rsidP="00F61E5D">
      <w:pPr>
        <w:spacing w:after="240"/>
        <w:ind w:left="567" w:hanging="567"/>
        <w:rPr>
          <w:szCs w:val="24"/>
          <w14:textOutline w14:w="0" w14:cap="flat" w14:cmpd="sng" w14:algn="ctr">
            <w14:noFill/>
            <w14:prstDash w14:val="solid"/>
            <w14:bevel/>
          </w14:textOutline>
        </w:rPr>
      </w:pPr>
      <w:r>
        <w:t>108</w:t>
      </w:r>
      <w:r w:rsidR="00EA6CCD" w:rsidRPr="00A22D6D">
        <w:t>.</w:t>
      </w:r>
      <w:r w:rsidR="00EA6CCD" w:rsidRPr="00E07538">
        <w:tab/>
      </w:r>
      <w:r w:rsidR="00EA6CCD" w:rsidRPr="00A22D6D">
        <w:t xml:space="preserve">primena seną (nuo 2016 m. teikiamą) kurčiųjų bendruomenės prašymą sudaryti galimybę teikti peticijas Parlamentui ES nacionalinėmis gestų kalbomis; pabrėžia, kad ši priemonė leistų kurčiųjų bendruomenei pasinaudoti savo teise pateikti peticiją, o tai yra viena iš pagrindinių visų </w:t>
      </w:r>
      <w:r w:rsidR="00A22D6D">
        <w:t>ES</w:t>
      </w:r>
      <w:r w:rsidR="00EA6CCD" w:rsidRPr="00A22D6D">
        <w:t xml:space="preserve"> piliečių teisių, įtvirtintų ir Sutartyje, ir </w:t>
      </w:r>
      <w:r w:rsidR="005E188F">
        <w:t>Europos Sąjungos p</w:t>
      </w:r>
      <w:r w:rsidR="00EA6CCD" w:rsidRPr="00A22D6D">
        <w:t>agrindinių teisių chartijoje; atkreipia dėmesį į LINC GD ir ITEC GD atliktą analizę dėl veiksmingiausio sprendimo patiriant mažiausias sąnaudas, kuri 2020 m. gegužės mėn. buvo nusiųsta Peticijų komitetui; ragina administraciją patvirtinti šį sprendimą ir sudaryti sąlygas per Peticijų portalą teikti peticijas ES nacionalinėmis gestų kalbomis;</w:t>
      </w:r>
    </w:p>
    <w:p w:rsidR="00F61E5D" w:rsidRPr="00D277A5" w:rsidRDefault="003E05F0"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su pasitenkinimu pažymi, kad sėkmingai užbaigtas pirmasis TRAD GD ir PERS GD organizuojamo kalbų ir tarpkultūriškumo specialistų atviro konkurso, apimančio 11 kalbų, etapas; pabrėžia, kad TRAD GD taip pat pradėjo įdarbinti pirmojo atviro konkurso, skirto aiškios kalbos specialistams, laureatus; palankiai vertina tai, kad dėl bendradarbiavimo gerokai paspartintas aukštos kvalifikacijos pareigūnų, turinčių naujausius ir į ateitį orientuotus profilius, įdarbinimas;</w:t>
      </w:r>
    </w:p>
    <w:p w:rsidR="00F61E5D" w:rsidRPr="00D277A5" w:rsidRDefault="003E05F0" w:rsidP="00F61E5D">
      <w:pPr>
        <w:pStyle w:val="NormalHanging12a"/>
      </w:pPr>
      <w:r>
        <w:t>110</w:t>
      </w:r>
      <w:r w:rsidR="00F61E5D" w:rsidRPr="00D277A5">
        <w:t>.</w:t>
      </w:r>
      <w:r w:rsidR="00F61E5D" w:rsidRPr="00D277A5">
        <w:tab/>
        <w:t>primena, kad oficialios kalbos, kurias turi vartoti Sąjungos institucijos, įstaigos ir agentūros, nustatytos Reglamente Nr. 1</w:t>
      </w:r>
      <w:r w:rsidR="00F61E5D" w:rsidRPr="00D277A5">
        <w:rPr>
          <w:vertAlign w:val="superscript"/>
        </w:rPr>
        <w:footnoteReference w:id="12"/>
      </w:r>
      <w:r w:rsidR="00F61E5D" w:rsidRPr="00D277A5">
        <w:t xml:space="preserve">; pripažįsta, kad TRAD GD užtikrina, kad Parlamento procedūrinis turinys būtų prieinamas visomis 24 oficialiosiomis ir darbo Sąjungos kalbomis; palankiai vertina išskirtinį vertėjų žodžiu 2022 m. atliktą darbą – </w:t>
      </w:r>
      <w:r w:rsidR="00F61E5D" w:rsidRPr="00D277A5">
        <w:lastRenderedPageBreak/>
        <w:t>užtikrinama, kiek įmanoma, kad viešos diskusijos būtų verčiamos į visas oficialiąsias Sąjungos kalbas; primena, kad pagal Parlamento darbo tvarkos taisykles Parlamento nariai turi teisę kalbėti pasirinkta viena iš 24 oficialiųjų kalbų, tai atspindi Europos kultūrų ir kalbų įvairovę ir dėl to Sąjungos institucijos tampa prieinamesnės ir skaidresnės visiems Sąjungos piliečiams; pažymi, kad Parlamento darbe ypač dažnai plačiai vartojama viena darbo kalba; ragina gerbti daugiakalbystę, prireikus užtikrinant tinkamą vertimo raštu ir žodžiu darbuotojų skaičių;</w:t>
      </w:r>
    </w:p>
    <w:p w:rsidR="00F61E5D" w:rsidRPr="00D277A5" w:rsidRDefault="003E05F0"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111</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TRAD GD yra Europos Parlamento kalbinė tarnyba, padedanti priimti teisės aktus įvairiomis kalbomis ir prisidedanti vykdant daugiakalbę komunikaciją aiškia kalba su Sąjungos piliečiais, nustatant aiškius kalbos standartus;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Konferencijų logistikos ir vertimo žodžiu generalinis direktoratas</w:t>
      </w:r>
    </w:p>
    <w:p w:rsidR="00F61E5D" w:rsidRPr="00D277A5" w:rsidRDefault="008A0BA6" w:rsidP="00F61E5D">
      <w:pPr>
        <w:pStyle w:val="NormalHanging12a"/>
      </w:pPr>
      <w:r>
        <w:t>112</w:t>
      </w:r>
      <w:r w:rsidR="00F61E5D" w:rsidRPr="00D277A5">
        <w:t>.</w:t>
      </w:r>
      <w:r w:rsidR="00F61E5D" w:rsidRPr="00D277A5">
        <w:tab/>
        <w:t>primena, kad Konferencijų logistikos ir vertimo žodžiu generalinis direktoratas (LINC GD) yra atsakingas už kalbinės, techninės ir logistinės pagalbos teikimą posėdžiams ir konferencijoms; pažymi, kad iki 2022 m. gruodžio 31 d. jame dirbo 554 darbuotojai, iš kurių 443 buvo pareigūnai, 29 – laikinieji darbuotojai ir 82 – sutartininkai; pabrėžia, kad teikiamų vertimo žodžiu paslaugų kokybė daro tiesioginį poveikį Sąjungos piliečiams perduodamai informacijai;</w:t>
      </w:r>
    </w:p>
    <w:p w:rsidR="00F61E5D" w:rsidRPr="00D277A5" w:rsidRDefault="008A0BA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113</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galutiniai LINC GD asignavimai 2022 m. sudarė 79 569 347 EUR, t. y. 3,7 proc. Parlamento biudžeto; pabrėžia, kad iš šios sumos iš viso įsipareigota skirti 79 282 501 EUR; palankiai vertina didelį asignavimų panaudojimo lygį;</w:t>
      </w:r>
    </w:p>
    <w:p w:rsidR="00F61E5D" w:rsidRPr="00D277A5" w:rsidRDefault="008A0BA6" w:rsidP="00F61E5D">
      <w:pPr>
        <w:pStyle w:val="NormalHanging12a"/>
      </w:pPr>
      <w:r>
        <w:t>114</w:t>
      </w:r>
      <w:r w:rsidR="00F61E5D" w:rsidRPr="00D277A5">
        <w:t>.</w:t>
      </w:r>
      <w:r w:rsidR="00F61E5D" w:rsidRPr="00D277A5">
        <w:tab/>
        <w:t>pabrėžia, kad LINC GD paslaugų paklausa pradėjo gerokai didėti nuo 2022 m. pradžios, kai COVID-19 apribojimai vis dar buvo taikomi; pripažįsta, kad dėl to buvo daromas spaudimas ištekliams, nes dėl socialinių kontaktų ribojimo ir kitų apribojimų reikėjo daugiau vertėjų žodžiu, techninės paramos ir sudėtingų planavimo operacijų; atkreipia dėmesį į infliacijos poveikį išorės konferencijų vertėjų žodžiu atlyginimams; pažymi, kad, kalbant apie padidėjusias vertimo žodžiu išlaidas, padėtį iš dalies sušvelnino nuotolinis vertimas žodžiu per Strasbūro plenarines sesijas iš Briuselio; stengtasi pagerinti darbo sąlygas, visų pirma gerinti garso kokybę ir apriboti vertimo žodžiu valandų skaičių ir trukmę nuotoliniu būdu dalyvaujančių pranešėjų atveju;</w:t>
      </w:r>
    </w:p>
    <w:p w:rsidR="00F61E5D" w:rsidRPr="00D277A5" w:rsidRDefault="008A0BA6" w:rsidP="00F61E5D">
      <w:pPr>
        <w:pStyle w:val="NormalHanging12a"/>
      </w:pPr>
      <w:r>
        <w:t>115</w:t>
      </w:r>
      <w:r w:rsidR="00F61E5D" w:rsidRPr="00D277A5">
        <w:t>.</w:t>
      </w:r>
      <w:r w:rsidR="00F61E5D" w:rsidRPr="00D277A5">
        <w:tab/>
        <w:t>atkreipia dėmesį į tai, kad vertėjų žodžiu atstovai užginčijo nuotoliniams dalyviams taikomas vertimo žodžiu darbo sąlygas dėl poveikio vertėjų žodžiu sveikatai ir gerovei, atsiradusio dėl nuotolinio vertimo žodžiu ilgais laikotarpiais, visų pirma dėl praneštų klausos problemų; primena Europos institucijų pareigą rūpintis savo darbuotojais; pabrėžia, kad dėl 2022 m. vasarą ir rudenį vykdytų kolektyvinių veiksmų buvo sustabdytos vertimo žodžiu paslaugos ir tai turėjo poveikį nuotoliniu būdu dalyvaujantiems pranešėjams; pažymi, kad 2022 m. spalio 17 d. įsigaliojo laikinoji vertimo žodžiu darbo tvarka, skirta posėdžiams, kuriuose dalyvaujama nuotoliniu būdu; pažymi, kad pagal šią tvarką buvo sudarytos sąlygos vėl teikti nuotolinių būdu dalyvaujantiems pranešėjams vertimo žodžiu paslaugas, kartu išlaikant sutrumpintą savaitinį vertėjų žodžiu darbo laiką, todėl sumažėjo paslaugų teikimas; pažymi, kad socialinis dialogas, kurio tikslas – sukurti nuolatinę sistemą ir vėl užtikrinti visapusišką vertimo žodžiu paslaugų teikimą, vyko 2022 m. pabaigoje ir buvo baigtas 2023 m.;</w:t>
      </w:r>
    </w:p>
    <w:p w:rsidR="00F61E5D" w:rsidRPr="00D277A5" w:rsidRDefault="008A0BA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palankiai vertina tai, kad 2022 m. LINC GD sugebėjo konsoliduoti vertimo žodžiu paslaugų teikimą, kartu prisitaikant prie sudėtingos reglamentavimo aplinkos; su pasitenkinimu pažymi, kad LINC GD iš viso teikė paslaugas 5 278 Parlamento </w:t>
      </w:r>
      <w:r w:rsidR="00F61E5D" w:rsidRPr="00D277A5">
        <w:rPr>
          <w14:textOutline w14:w="0" w14:cap="flat" w14:cmpd="sng" w14:algn="ctr">
            <w14:noFill/>
            <w14:prstDash w14:val="solid"/>
            <w14:bevel/>
          </w14:textOutline>
        </w:rPr>
        <w:lastRenderedPageBreak/>
        <w:t>posėdžiuose, per kuriuos buvo verčiama žodžiu, ir per darbo savaitę suteikto vertimo žodžiu valandų skaičius vidutiniškai siekė 5 266, palyginti su 4 172 posėdžiais ir 4 039 savaitinio vertimo žodžiu valandomis 2021 m.; pažymi, kad tai vis dar nesiekia 2017 m. ir 2018 m. vidurkio iki COVID-19;</w:t>
      </w:r>
    </w:p>
    <w:p w:rsidR="00F61E5D" w:rsidRPr="008A0BA6" w:rsidRDefault="008A0BA6" w:rsidP="00F61E5D">
      <w:pPr>
        <w:pStyle w:val="NormalHanging12a"/>
      </w:pPr>
      <w:r>
        <w:t>117</w:t>
      </w:r>
      <w:r w:rsidR="00F61E5D" w:rsidRPr="00D277A5">
        <w:t>.</w:t>
      </w:r>
      <w:r w:rsidR="00F61E5D" w:rsidRPr="00D277A5">
        <w:tab/>
      </w:r>
      <w:r w:rsidR="00EA6CCD" w:rsidRPr="008A0BA6">
        <w:t>primena Europos Sąjungos pagrindinių teisių chartijos 26 straipsnį; pakartoja savo jau seniai pateiktą prašymą generaliniam sekretoriui išanalizuoti galimybes visose plenarinių posėdžių diskusijose versti į tarptautinę gestų kalbą ir prašo nedelsiant patenkinti šį prašymą; be to, mano, kad plenarinių sesijų retransliavimas į kiekvienoje valstybėje narėje vartojamas gestų kalbas padidintų neįgaliųjų dalyvavimą ES demokratiniame procese; pabrėžia, kad svarbu naudoti skaitmenines priemones, įskaitant dirbtiniu intelektu grindžiamus pagalbinius prietaisus; taip pat primygtinai ragina užtikrinti visų neįgaliųjų prieigą prie informacijos lengvai skaitomais formatais, naudojantis piktogramomis ir naujomis technologijomis</w:t>
      </w:r>
      <w:r w:rsidR="00F61E5D" w:rsidRPr="008A0BA6">
        <w:t>;</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Finansų generalinis direktoratas</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Finansų generalinis direktoratas (FINS GD) yra administracinis organas, atsakingas už Parlamento biudžeto ir finansų reikalus; pažymi, kad iki 2022 m. gruodžio 31 d. jame dirbo 246 darbuotojai, iš kurių 149 buvo pareigūnai, 27 – laikinieji darbuotojai, 63 – sutartininkai ir 7 – per agentūrą įdarbinti darbuotojai;</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galutiniai FINS GD asignavimai 2022 m. sudarė 396 723 134 EUR, t. y. 18,4 proc. Parlamento biudžeto; pabrėžia, kad iš šios sumos iš viso įsipareigota skirti 395 647 243 EUR; palankiai vertina didelį asignavimų panaudojimo lygį;</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daugelio užduočių, už kurias FINS GD yra atsakingas, atveju daugiau ar mažiau vėl užtikrintas iki pandemijos buvęs lygis; pažymi, kad karas Ukrainoje turėjo apčiuopiamą poveikį FINS GD veiklai, taigi reikėjo pademonstruoti atsparumą ir gebėjimą prisitaikyti, kad būtų užtikrintas tam tikros Parlamento veiklos tęstinumas sutelkiant ir perskirstant finansinius išteklius, kurių reikia infliaciniam sukrėtimui įveikti;</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121</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reaguodamas į didelį infliacijos ir palūkanų normų padidėjimą, taip pat į pasaulinę energetikos krizę, FINS GD sugriežtino biudžeto asignavimų panaudojimo lygio priežiūrą ir turėjo imtis išskirtinių priemonių, kad užtikrintų Parlamento veiklos tęstinumą, ir, be kita ko, tuo tikslu vykdė daug biudžetinių perskirstymų ir 2022 m. lapkričio mėn. pateikė prašymą dėl taisomojo biudžeto;</w:t>
      </w:r>
    </w:p>
    <w:p w:rsidR="00F61E5D" w:rsidRPr="00D277A5" w:rsidRDefault="00BD5B65" w:rsidP="00F61E5D">
      <w:pPr>
        <w:pStyle w:val="NormalHanging12a"/>
      </w:pPr>
      <w:r>
        <w:t>122</w:t>
      </w:r>
      <w:r w:rsidR="00F61E5D" w:rsidRPr="00D277A5">
        <w:t>.</w:t>
      </w:r>
      <w:r w:rsidR="00F61E5D" w:rsidRPr="00D277A5">
        <w:tab/>
        <w:t>su pasitenkinimu pažymi, kad FINS GD sugebėjo pasinaudoti savo procesų veiksmingumu ir savo darbuotojų ryžtu užtikrinti paslaugų, už kurias jis yra atsakingas, tęstinumą ir tikslų, nustatytų jo metinėje darbo programoje, įgyvendinimą; atkreipia dėmesį į Parlamento narių išreikštą susirūpinimą dėl nepagrįsto ir dažnai didelio vėlavimo tvarkant kompensacijas, nes vidutinis kelionės išlaidų ir dienpinigių kompensavimo laikas yra iki 40 dienų; palankiai vertina tai, kad Parlamentas nuolat modernizuoja savo procesus, kad siūlytų Parlamento nariams geresnes paslaugas vykdydamas automatizavimą, supaprastinimą ir skaitmeninimą; ragina FINS GD toliau spartinti darbo srautus, kad būtų užtikrintos greitesnės procedūros; visų pirma aprūpinant savo darbuotojus reikiamomis priemonėmis ir programine įranga, kad būtų galima veiksmingai valdyti darbo krūvį ir taip sutrumpinti tvarkymo laiką;</w:t>
      </w:r>
    </w:p>
    <w:p w:rsidR="00F61E5D" w:rsidRPr="00D277A5" w:rsidRDefault="00BD5B65" w:rsidP="00F61E5D">
      <w:pPr>
        <w:pStyle w:val="NormalHanging12a"/>
      </w:pPr>
      <w:r>
        <w:t>123</w:t>
      </w:r>
      <w:r w:rsidR="00F61E5D" w:rsidRPr="00D277A5">
        <w:t>.</w:t>
      </w:r>
      <w:r w:rsidR="00F61E5D" w:rsidRPr="00D277A5">
        <w:tab/>
        <w:t xml:space="preserve">pripažįsta, kad vietinių padėjėjų darbas yra esminė Parlamento narių veiklos jų rinkimų </w:t>
      </w:r>
      <w:r w:rsidR="00F61E5D" w:rsidRPr="00D277A5">
        <w:lastRenderedPageBreak/>
        <w:t>apygardose dalis ir jie yra pirmasis kontaktinis punktas piliečiams; pabrėžia, kad jau keletą metų vietinių padėjėjų įdarbinimo ir sutarčių pasirašymo procesas vis sudėtingėja dėl daugybės administracinių reikalavimų, o su tuo susijusios pasekmės yra dvigubos patikros ir reikalavimų neaiškumas; pabrėžia, kad FINS GD turėtų pripažinti, kad vietiniams padėjėjams taikomi nacionalinės teisės aktai, todėl prašo už konkrečias šalis atsakingus skyrius spręsti su įdarbinimo procesu susijusius klausimus; taip pat primena, kad savanoriška ir politinė vietinių padėjėjų veikla pagal Europos Parlamento nustatytas taisykles dažnai yra nuolatinis užsiėmimas, todėl neturėtų reikėti nebūtinų patikrų;</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FINS GD dalyvavimą keičiant politinių struktūrų finansavimo reglamentavimo sistemą; palankiai vertina tai, kad jis prisidėjo rengiant 2022 m. liepos mėn. Biuro priimtą pasiūlymą iš dalies pakeisti su frakcijų finansavimu susijusių asignavimų naudojimo taisykles; pažymi, kad šiuo pakeitimu atsižvelgiama į padėtį, susidariusią dėl COVID-19 pandemijos, ir išimties tvarka numatytas metodas, kaip išlaikyti nepanaudotų perkeliamų iš 2022 m. į 2023 m. lėšų viršutinę ribą, kad ji būtų 75 proc., o ne 50 proc.; su pasitenkinimu pažymi, kad FINS GD taip pat dalyvavo atliekant 2014 m. spalio 22 d. Europos Parlamento ir Tarybos reglamento (ES, Euratomas) Nr. 1141/2014 dėl Europos politinių partijų ir Europos politinių fondų statuto ir finansavimo</w:t>
      </w:r>
      <w:r w:rsidR="00F61E5D" w:rsidRPr="00D277A5">
        <w:rPr>
          <w:rStyle w:val="FootnoteReference"/>
          <w:szCs w:val="24"/>
        </w:rPr>
        <w:footnoteReference w:id="13"/>
      </w:r>
      <w:r w:rsidR="00F61E5D" w:rsidRPr="00D277A5">
        <w:rPr>
          <w14:textOutline w14:w="0" w14:cap="flat" w14:cmpd="sng" w14:algn="ctr">
            <w14:noFill/>
            <w14:prstDash w14:val="solid"/>
            <w14:bevel/>
          </w14:textOutline>
        </w:rPr>
        <w:t xml:space="preserve"> peržiūrą;</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2022 m. dėtas tvarias pastangas skaitmeninti procesus, įskaitant naujų funkcijų kūrimą ir e. portalo taikomosios programos pertvarkymą; su pasitenkinimu pažymi, kad dėl to padidėjo šios taikomosios programos naudojimo lygis;</w:t>
      </w:r>
    </w:p>
    <w:p w:rsidR="00F61E5D" w:rsidRPr="00D277A5" w:rsidRDefault="00BD5B65" w:rsidP="00F61E5D">
      <w:pPr>
        <w:pStyle w:val="NormalHanging12a"/>
      </w:pPr>
      <w:r>
        <w:t>126</w:t>
      </w:r>
      <w:r w:rsidR="00F61E5D" w:rsidRPr="00D277A5">
        <w:t>.</w:t>
      </w:r>
      <w:r w:rsidR="00F61E5D" w:rsidRPr="00D277A5">
        <w:tab/>
        <w:t>primena, kad ilgalaikio COVID sindromo atveju reikalinga ilgalaikė priežiūra ir kad šioje srityje vis dar vyksta intensyvūs moksliniai tyrimai; pažymi, kad kai kurie ES Parlamento nariai, darbuotojai ir akredituoti Parlamento narių padėjėjai yra nuo šio ilgalaikio sindromo kenčiantys pacientai, kuriems reikia nuolatinės pagalbos; apgailestauja dėl to, kad dabartinėse bendrosios sveikatos draudimo sistemos taisyklėse nenumatytas tinkamas kompensavimas, dėl to atitinkami asmenys patiria didžiulę finansinę naštą; pabrėžia, kad panašios nepalankios sąlygos taikomos daugeliui autoimuninėmis ligomis, kurios nėra tinkamai pripažintos, sergančių asmenų; ragina FINS GD ir PMO pakeisti kompensavimo taisykles, kad jos geriau atspindėtų jų poreikius;</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darbo susitikimų konkrečiomis viešųjų pirkimų temomis, įskaitant sutarčių kainų valdymą ir sukčiavimo valdymą, organizavimą; atkreipia dėmesį į lyginamąsias ir galimybių studijas, kuriose padarytos Komisijos modeliui, grindžiamam e. viešaisiais pirkimais, pritariančios išvados;</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FINS GD koordinuoja su kelionių organizavimu susijusias paslaugas, pritaikytas Parlamento narių ir visų Parlamento administracinių tarnybų, įskaitant kelionių agentūrą, poreikiams; palankiai vertina tai, kad FINS GD, bendradarbiaudamas su kelionių agentūra, stengėsi automatizuoti Parlamento narių kelionės geležinkeliais išlaidų kompensavimo valdymą; pažymi, kad 2022 m. buvo antri metai prieš pasibaigiant dabartinės agentūros sutarčiai; pakartoja, kad nauja pasirinkta agentūra turėtų galėti pasiūlyti Parlamento nariams lankstesnius ir kokybiškesnius sprendimus, kurie būtų panašūs į pasiūlymus, kuriuos jie gali rasti atviroje rinkoje;</w:t>
      </w:r>
    </w:p>
    <w:p w:rsidR="00F61E5D" w:rsidRPr="00D277A5" w:rsidRDefault="00BD5B65" w:rsidP="00F61E5D">
      <w:pPr>
        <w:pStyle w:val="NormalHanging12a"/>
      </w:pPr>
      <w:r>
        <w:t>129</w:t>
      </w:r>
      <w:r w:rsidR="00F61E5D" w:rsidRPr="00D277A5">
        <w:t>.</w:t>
      </w:r>
      <w:r w:rsidR="00F61E5D" w:rsidRPr="00D277A5">
        <w:tab/>
        <w:t xml:space="preserve">yra susirūpinęs dėl to, kad 2022 m. buvo nustatyti penki įtariamo sukčiavimo atvejai, </w:t>
      </w:r>
      <w:r w:rsidR="00F61E5D" w:rsidRPr="00D277A5">
        <w:lastRenderedPageBreak/>
        <w:t>kai Parlamento nariai tariamai deklaravo specifines transporto priemones, nors iš tikrųjų naudojo pigesnę transporto priemonę; pažymi, kad tikimasi, jog bus išduoti du vykdomieji raštai sumoms, kurių bendra vertė – 39 807 EUR, išieškoti, kiti atvejai šiuo metu toliau tiriami, jie apima keletą biudžetinių metų ir su jais susijusi suma siekti 801 000 EUR;</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atkreipia dėmesį į tai, kad 2022 m. kovo 7 d. Biuro posėdyje paskelbta, jog sudaroma Biuro </w:t>
      </w:r>
      <w:r w:rsidR="00F61E5D" w:rsidRPr="00D277A5">
        <w:rPr>
          <w:i/>
          <w14:textOutline w14:w="0" w14:cap="flat" w14:cmpd="sng" w14:algn="ctr">
            <w14:noFill/>
            <w14:prstDash w14:val="solid"/>
            <w14:bevel/>
          </w14:textOutline>
        </w:rPr>
        <w:t>ad hoc</w:t>
      </w:r>
      <w:r w:rsidR="00F61E5D" w:rsidRPr="00D277A5">
        <w:rPr>
          <w14:textOutline w14:w="0" w14:cap="flat" w14:cmpd="sng" w14:algn="ctr">
            <w14:noFill/>
            <w14:prstDash w14:val="solid"/>
            <w14:bevel/>
          </w14:textOutline>
        </w:rPr>
        <w:t xml:space="preserve"> darbo grupė bendroms išlaidoms kompensuoti skirtos išmokos klausimais, kuriai pavesta įvertinti 2018 m. liepos 2 d. Biuro sprendimo, kuriuo nustatomas išlaidų, kurios gali būti kompensuojamos mokant bendroms išlaidoms kompensuoti skirtą išmoką, sąrašas, veikimą, remiantis per 9-ąją kadenciją įgyta patirtimi; pažymi, kad Biuras 2022 m. spalio 17 d. posėdyje priėmė keletą Europos Parlamento narių statuto įgyvendinimo taisyklių pakeitimų, kuriais paaiškinamos taisyklės, taikomos teisei į bendroms išlaidoms kompensuoti skirtą išmoką ir jos naudojimui, ir priemonės, kuriomis siekiama padidinti skaidrumą, užtikrinti didesnį teisinį saugumą ir kurios yra susijusios su teise į išmoką; pabrėžia, kad </w:t>
      </w:r>
      <w:r w:rsidR="00F61E5D" w:rsidRPr="00D277A5">
        <w:rPr>
          <w:i/>
          <w14:textOutline w14:w="0" w14:cap="flat" w14:cmpd="sng" w14:algn="ctr">
            <w14:noFill/>
            <w14:prstDash w14:val="solid"/>
            <w14:bevel/>
          </w14:textOutline>
        </w:rPr>
        <w:t>ad hoc</w:t>
      </w:r>
      <w:r w:rsidR="00F61E5D" w:rsidRPr="00D277A5">
        <w:rPr>
          <w14:textOutline w14:w="0" w14:cap="flat" w14:cmpd="sng" w14:algn="ctr">
            <w14:noFill/>
            <w14:prstDash w14:val="solid"/>
            <w14:bevel/>
          </w14:textOutline>
        </w:rPr>
        <w:t xml:space="preserve"> darbo grupės buvo paprašyta tinkamai atsižvelgti į Parlamento nariams skirtų lėšų skaidrumo, atskaitomybės ir patikimo finansų valdymo aspektus, atsižvelgiant į Europos Parlamento narių įgaliojimų laisvės ir nepriklausomumo principą ir tikslą neužkrauti nereikalingos administracinės naštos Parlamento nariams, jų biurams ir Parlamento tarnyboms;</w:t>
      </w:r>
    </w:p>
    <w:p w:rsidR="00F61E5D" w:rsidRPr="00D277A5" w:rsidRDefault="00BD5B65" w:rsidP="00F61E5D">
      <w:pPr>
        <w:pStyle w:val="NormalHanging12a"/>
      </w:pPr>
      <w:r>
        <w:t>131</w:t>
      </w:r>
      <w:r w:rsidR="00F61E5D" w:rsidRPr="00D277A5">
        <w:t>.</w:t>
      </w:r>
      <w:r w:rsidR="00F61E5D" w:rsidRPr="00D277A5">
        <w:tab/>
        <w:t>atkreipia dėmesį į tai, kad 2022 m. 26 Parlamento nariai pateikė tik 32 savanoriškas deklaracijas dėl bendroms išlaidoms kompensuoti skirtos išmokos naudojimo, iš jų 29 pateiktos su auditoriaus ataskaita; palankiai vertina sekretoriato pastangas skatinti Parlamento narius aktyviau naudotis šiomis galimybėmis;</w:t>
      </w:r>
    </w:p>
    <w:p w:rsidR="00F61E5D" w:rsidRPr="00D277A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Parlamento nariai gali patys arba padedami išorės auditoriaus dokumentuoti savo bendroms išlaidoms kompensuoti skirtos išmokos lėšų panaudojimą, pateikdami išsamią informaciją arba informaciją pagal išlaidų rūšis, ir pasirūpinti, kad visa ši informacija arba jos dalis būtų paskelbta atitinkamo Parlamento nario tinklalapyje, esančiame Parlamento interneto svetainėje, pagal Europos Parlamento darbo tvarkos taisyklių 11 straipsnio 2 dalį; palankiai vertina tai, kad į Europos Parlamento narių statuto įgyvendinimo taisykles įtrauktas supaprastintas išlaidų rūšių sąrašas ir kad taip pat priimtas pakeitimas, kuriame išaiškinama Parlamento nariams suteikiama galimybė pasinaudoti bendroms išlaidoms kompensuoti skirta išmoka, jei jie jau išnaudojo kitas išmokas;</w:t>
      </w:r>
    </w:p>
    <w:p w:rsidR="00F61E5D" w:rsidRPr="00D277A5" w:rsidRDefault="00BD5B65" w:rsidP="00F61E5D">
      <w:pPr>
        <w:pStyle w:val="NormalHanging12a"/>
      </w:pPr>
      <w:r>
        <w:t>133</w:t>
      </w:r>
      <w:r w:rsidR="00F61E5D" w:rsidRPr="00D277A5">
        <w:t>.</w:t>
      </w:r>
      <w:r w:rsidR="00F61E5D" w:rsidRPr="00D277A5">
        <w:tab/>
        <w:t>primena, kad OLAF turi įgaliojimus tirti įtarimus dėl sunkaus Sąjungos darbuotojų ir Sąjungos institucijų narių nusižengimo, įskaitant galimus Europos Parlamento narių elgesio kodekso pažeidimus; pažymi, kad 2022 m. nebuvo atvejų, kai OLAF prašė leisti patekti į Parlamento narių kabinetus ar e. pašto paskyras; pažymi, kad būtų galima užbaigti nustatyti procedūrą, pagal kurią būtų OLAF suteikiami sustiprinti įgaliojimai Parlamente atvejais, kai kyla pagrįstų įtarimų dėl atskirų Parlamento narių ir kai tai tikrai būtina ir proporcinga atsižvelgiant į tyrimą, visapusiškai laikantis konfidencialumo principo, kaip nustatyta Protokole Nr. 7 dėl Europos Sąjungos privilegijų ir imunitetų; dar kartą ragina Biurą nedelsiant nustatyti tokią procedūrą;</w:t>
      </w:r>
    </w:p>
    <w:p w:rsidR="00F61E5D" w:rsidRPr="00D277A5" w:rsidRDefault="00BD5B65" w:rsidP="00F61E5D">
      <w:pPr>
        <w:pStyle w:val="NormalHanging12a"/>
      </w:pPr>
      <w:r>
        <w:t>134</w:t>
      </w:r>
      <w:r w:rsidR="00F61E5D" w:rsidRPr="00D277A5">
        <w:t>.</w:t>
      </w:r>
      <w:r w:rsidR="00F61E5D" w:rsidRPr="00D277A5">
        <w:tab/>
        <w:t xml:space="preserve">pažymi, kad 2022 m. OLAF ištyrė 32 bylas, susijusias su Parlamentu, visų pirma susijusiais su Parlamento narių finansinėmis ir socialinėmis išmokomis, politinių struktūrų finansavimu ir darbuotojų profesinių įsipareigojimų vykdymu; pabrėžia, kad OLAF paskelbė 14 ataskaitų, kai kuriose iš jų buvo pateikta daugiau nei viena rekomendacija, penkiose atskaitose pateiktos finansinės rekomendacijos, penkiose – </w:t>
      </w:r>
      <w:r w:rsidR="00F61E5D" w:rsidRPr="00D277A5">
        <w:lastRenderedPageBreak/>
        <w:t>drausminės rekomendacijos, vienoje – administracinės rekomendacijos, o septyniose – jokių rekomendacijų; pažymi, kad 2022 m. Europos prokuratūra tyrė 4 bylas, susijusias su Parlamentu, dėl klausimų, susijusių su Parlamento narių finansinėmis ir socialinėmis išmokomis bei politinių struktūrų finansavimu; pažymi, kad 2022 m. Europos prokuratūra neužbaigė nei vieno tyrimo, vykdyto tais pačiais metais; klausia administracijos, ar, kiek tai teisiškai įmanoma, buvo visapusiškai įgyvendintos OLAF pateiktos rekomendacijos ir susigrąžintos su rizika susijusios sumos, taip pat prašo pateikti tirtų bylų tipologijos santrauką, nepateikiant jokių neskelbtinų duomenų, kad būtų galima padaryti išvadas ir atlikti patobulinimus;</w:t>
      </w:r>
    </w:p>
    <w:p w:rsidR="00F61E5D" w:rsidRPr="00BD5B65" w:rsidRDefault="00BD5B65"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r>
      <w:r w:rsidR="00EA6CCD" w:rsidRPr="00A43E83">
        <w:t xml:space="preserve">pažymi, kad Parlamentas sistemingai atmetė OLAF prašymus atlikti EP narių biurų patikrinimus ir suteikti prieigą prie jų elektroninių serverių ir įrenginių; </w:t>
      </w:r>
      <w:r w:rsidR="00EA6CCD" w:rsidRPr="00BD5B65">
        <w:t>pabrėžia, kad Parlamento nariai yra apsaugoti pagal atleidimo nuo atsakomybės už balsavimus ir už pareikštas nuomones jiems vykdant savo pareigas principą, taip pat jie yra apsaugoti nuo baudžiamojo persekiojimo ir asmeninės laisvės apribojimų per Parlamento sesijas; primena, kad OLAF gali patekti į Parlamento narių kabinetus tik po to, kai Parlamento Pirmininkas suteikia prieigos leidimą pagal valstybių narių atsakingos institucijos (dažniausiai tai yra teisėjas) pateiktą prašymą; primena, kad OLAF, vykdydama savo pareigas ir atlikdama tyrimus, turi paisyti šių apribojimų, ir pabrėžia, kad įtariamas netinkamas elgesys negali būti naudojamas kaip pretekstas prašyti tiesioginės prieigos</w:t>
      </w:r>
      <w:r w:rsidR="00F61E5D" w:rsidRPr="00BD5B65">
        <w:rPr>
          <w14:textOutline w14:w="0" w14:cap="flat" w14:cmpd="sng" w14:algn="ctr">
            <w14:noFill/>
            <w14:prstDash w14:val="solid"/>
            <w14:bevel/>
          </w14:textOutline>
        </w:rPr>
        <w:t>;</w:t>
      </w:r>
    </w:p>
    <w:p w:rsidR="00F61E5D" w:rsidRPr="00D277A5" w:rsidRDefault="00BD5B65" w:rsidP="00F61E5D">
      <w:pPr>
        <w:pStyle w:val="NormalHanging12a"/>
      </w:pPr>
      <w:r>
        <w:t>136</w:t>
      </w:r>
      <w:r w:rsidR="00F61E5D" w:rsidRPr="00D277A5">
        <w:t>.</w:t>
      </w:r>
      <w:r w:rsidR="00F61E5D" w:rsidRPr="00D277A5">
        <w:tab/>
        <w:t>apgailestauja, kad, nepaisant to, jog per pastaruosius dvylika metų buvo užfiksuoti ne mažiau kaip 25 Parlamento narių Elgesio kodekso pažeidimai, Parlamento pirmininkai niekada neskyrė Parlamento nariui finansinių sankcijų; ragina Pirmininkę apsvarstyti galimybę taikyti finansines sankcijas, kai įrodoma, kad Parlamento nariai pažeidė Elgesio kodeksą, siekiant užtikrinti, kad sankcijos iš tikrųjų turėtų atgrasomąjį poveikį;</w:t>
      </w:r>
    </w:p>
    <w:p w:rsidR="00F61E5D" w:rsidRPr="00D277A5" w:rsidRDefault="00BD5B65" w:rsidP="00F61E5D">
      <w:pPr>
        <w:pStyle w:val="NormalHanging12a"/>
      </w:pPr>
      <w:r>
        <w:t>137</w:t>
      </w:r>
      <w:r w:rsidR="00F61E5D" w:rsidRPr="00D277A5">
        <w:t>.</w:t>
      </w:r>
      <w:r w:rsidR="00F61E5D" w:rsidRPr="00D277A5">
        <w:tab/>
        <w:t>pažymi, kad 2022 m. Europos Parlamentas iš atskirų EP narių susigrąžino 261</w:t>
      </w:r>
      <w:r w:rsidR="00C853FE" w:rsidRPr="00D277A5">
        <w:t> </w:t>
      </w:r>
      <w:r w:rsidR="00F61E5D" w:rsidRPr="00D277A5">
        <w:t>891 EUR sumą į 3300 biudžeto eilutę „Neteisingai išmokėtų sumų grąžinimas“; pažymi, kad didelė šios sumos dalis nėra susijusi su Parlamento narių padėjėjų išmoka; pažymi, kad apskritai pagal 3300 biudžeto eilutę susigrąžintos sumos (iš atskirų Parlamento narių, taip pat iš frakcijų, partijų ir (arba) fondų, trečiųjų šalių, darbuotojų, kitų asmenų ir t. t.) daugiausia yra techninio pobūdžio susigrąžintos sumos, pvz., sumų, išleistų pagal sutartis, kurios buvo pakeistos arba nutrauktos, įforminimas, ir didžioji dauguma nėra susijusios su akredituotais Parlamento narių padėjėjais; pažymi, kad šios sumos taip pat apima atvejus, susijusius su savanorišku keleto (ribotas skaičius) Parlamento narių atliktu išlaidų kompensavimu, ir specifinį pataisymų atvejį, kai pataisymai atlikti dėl administracinių klaidų EP skaičiavimuose arba dėl taisyklių pakeitimo atgaline data kai kuriose valstybėse narėse ir kompensavimo; pažymi, kad sutarčių sąlygų pakeitimai ir galimi susiję susigrąžinimai po to, kai buvo patvirtinti sutarties sąlygų pakeitimai, taip pat priskiriami šiai kategorijai;</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Naujovių ir technologinės pagalbos generalinis direktoratas</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w:t>
      </w:r>
      <w:r w:rsidR="00EA298D">
        <w:rPr>
          <w14:textOutline w14:w="0" w14:cap="flat" w14:cmpd="sng" w14:algn="ctr">
            <w14:noFill/>
            <w14:prstDash w14:val="solid"/>
            <w14:bevel/>
          </w14:textOutline>
        </w:rPr>
        <w:t>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Naujovių ir technologinės pagalbos generalinis direktoratas (ITEC GD) teikia Parlamentui informacinių ir ryšių technologijų (IRT) paslaugas ir įrangą, vaizdo konferencijų ir multimedijos paslaugas, taip pat leidybos ir spausdinimo paslaugas; pažymi, kad iki 2022 m. gruodžio 31 d. jame dirbo 543 darbuotojai, iš kurių 349 buvo pareigūnai, 53 – laikinieji darbuotojai ir 141 – sutartininkai;</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EA298D">
        <w:rPr>
          <w14:textOutline w14:w="0" w14:cap="flat" w14:cmpd="sng" w14:algn="ctr">
            <w14:noFill/>
            <w14:prstDash w14:val="solid"/>
            <w14:bevel/>
          </w14:textOutline>
        </w:rPr>
        <w:t>39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pažymi, kad galutiniai ITEC GD asignavimai 2022 m. sudarė 134 808 679 EUR, t. y. 6,2 proc. Parlamento biudžeto; pabrėžia, kad iš šios sumos iš viso įsipareigota skirti </w:t>
      </w:r>
      <w:r w:rsidR="00F61E5D" w:rsidRPr="00D277A5">
        <w:rPr>
          <w14:textOutline w14:w="0" w14:cap="flat" w14:cmpd="sng" w14:algn="ctr">
            <w14:noFill/>
            <w14:prstDash w14:val="solid"/>
            <w14:bevel/>
          </w14:textOutline>
        </w:rPr>
        <w:lastRenderedPageBreak/>
        <w:t>134 439 573 EUR; palankiai vertina didelį asignavimų panaudojimo lygį;</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ITEC GD partneriai su klientais generaliniais direktoratais siekia sukurti į naudotoją orientuotą, saugią, hibridinę ir duomenimis grindžiamą darbo aplinką Parlamento nariams ir darbuotojams; su pasitenkinimu pažymi, kad jis skatina tvarų ir atsakingą novatoriškų technologijų, pvz., dirbtinio intelekto ir duomenų analizės, diegimą, siekiant sustiprinti Parlamento tarnybų sprendimų priėmimo pajėgumus;</w:t>
      </w:r>
    </w:p>
    <w:p w:rsidR="00F61E5D" w:rsidRPr="00B51A95" w:rsidRDefault="00CC7549" w:rsidP="00F61E5D">
      <w:pPr>
        <w:pStyle w:val="NormalHanging12a"/>
      </w:pPr>
      <w:r>
        <w:t>14</w:t>
      </w:r>
      <w:r w:rsidR="00EA298D">
        <w:t>1</w:t>
      </w:r>
      <w:r w:rsidR="00F61E5D" w:rsidRPr="00D277A5">
        <w:t>.</w:t>
      </w:r>
      <w:r w:rsidR="00F61E5D" w:rsidRPr="00D277A5">
        <w:tab/>
      </w:r>
      <w:r w:rsidR="00EA6CCD" w:rsidRPr="003F63F9">
        <w:t xml:space="preserve">primena laisvo naudojimo ir atvirojo kodo programinės įrangos pridėtinę vertę didinant saugumą, nes naudodamasis tokia įranga Parlamentas gali nustatyti ir pašalinti trūkumus, išlaikyti duomenų kontrolę duomenis saugodamas savo serveriuose ir kurdamas savo specifikacijomis grindžiamus sprendimus ir kartu išvengti susisaistymo su pardavėju; </w:t>
      </w:r>
      <w:r w:rsidR="00EA6CCD" w:rsidRPr="00B51A95">
        <w:t>primena, kad renkantis naudotiną programinę įrangą svarbiausia yra aukšti kibernetinio saugumo standartai</w:t>
      </w:r>
      <w:r w:rsidR="00F61E5D" w:rsidRPr="00B51A95">
        <w:t>;</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vykdant Parlamento kibernetinės gynybos veiklą ypač daug dėmesio skirta nuolat didėjančiai kibernetinei grėsmei ir rizikos aplinkai šalia Parlamento ir kitų Sąjungos institucijų, įstaigų ir agentūrų; palankiai vertina tai, kad CERT-EU panaudojo papildomus išteklius tam, kad paremtų Parlamentą tokiose srityse, kaip antai, debesijos infrastruktūros taikomosios programos, geresnė žvalgybos informacija apie kibernetines grėsmes ir visą parą kasdien vykdoma saugumo perimetrų stebėsena, taip pat pažeidžiamumo nustatymas;</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3</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2022 m. buvo įsteigtas Kibernetinio saugumo direktoratas, atsakingas už informacijos saugumą, jį sudaro trys skyriai, tvarkantys su saugumo operacijomis, saugumo politika ir saugumo rizika susijusius aspektus; primygtinai ragina Parlamentą toliau dėti pastangas ir didinti investicijas į kibernetinį saugumą; palankiai vertina tai, kad ITEC GD pasiūlė galimybę patikrinti IT įrangą, ar nesama šnipinėjimo programų, pvz., PEGASUS, įrodymų, ir ragina ITEC GD toliau dirbti šioje srityje;</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vis dažniau naudojant nešiojamuosius prietaisus ITEC GD paskelbė visuotinį tyrimą, kurio tikslas – padėti planuoti belaidžio interneto tinklo patobulinimus Parlamento pastatuose; atkreipia į patobulinimus, atliktus 2022 m. pastate SPAAK Briuselyje įrengus 351 papildomą anteną; pripažįsta pastangas, dedamas siekiant pagerinti belaidžio interneto tinklą Parlamento pastatuose; ragina toliau tobulinti Parlamento pastatuose Strasbūre mobiliojo ryšio tinklą, kad būtų pagerintas mobiliųjų telefonų ryšio signalas;</w:t>
      </w:r>
    </w:p>
    <w:p w:rsidR="00F61E5D" w:rsidRPr="00D277A5" w:rsidRDefault="00CC754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dėl pasaulinės infliacijos ir tiekimo grandinės problemų didėja išlaidos įvairiose srityse, pradedant aparatine įranga ir baigiant profesionaliomis paslaugomis; palankiai vertina tai, kad ITEC GD persvarstė vykdomų IT investicijų prioritetus; palankiai vertina naują ir spartesnį IT valdymo ciklą, kuris yra ITEC GD IT programos „Agile“ dalis;</w:t>
      </w:r>
    </w:p>
    <w:p w:rsidR="00F61E5D" w:rsidRDefault="00CC7549" w:rsidP="00F61E5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w:t>
      </w:r>
      <w:r w:rsidR="00EA298D">
        <w:rPr>
          <w14:textOutline w14:w="0" w14:cap="flat" w14:cmpd="sng" w14:algn="ctr">
            <w14:noFill/>
            <w14:prstDash w14:val="solid"/>
            <w14:bevel/>
          </w14:textOutline>
        </w:rPr>
        <w:t>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pažymi, kad per pastaruosius kelerius metus COVID-19 pandemija buvo sparčios Parlamento skaitmeninės transformacijos katalizatorius; atkreipia dėmesį į tai, kad pereinama prie hibridinės darbo aplinkos Parlamento, kuriame darbo sąlygos visiškai lanksčios, apimant fizinį buvimą ir visiškai skaitmeninę darbo aplinką; palankiai vertina atsparumą, kurį Parlamentas parodė COVID-19 pandemijos akivaizdoje, ir tai, kad jo atsakas buvo greitas ir lankstus, ir tai, kad pasinaudota ankstesnėmis investicijomis į </w:t>
      </w:r>
      <w:r w:rsidR="00F61E5D" w:rsidRPr="00D277A5">
        <w:rPr>
          <w14:textOutline w14:w="0" w14:cap="flat" w14:cmpd="sng" w14:algn="ctr">
            <w14:noFill/>
            <w14:prstDash w14:val="solid"/>
            <w14:bevel/>
          </w14:textOutline>
        </w:rPr>
        <w:lastRenderedPageBreak/>
        <w:t>skaitmeninimą;</w:t>
      </w:r>
    </w:p>
    <w:p w:rsidR="00EA6CCD" w:rsidRPr="00CC7549" w:rsidRDefault="00CC7549" w:rsidP="00F61E5D">
      <w:pPr>
        <w:spacing w:after="240"/>
        <w:ind w:left="567" w:hanging="567"/>
        <w:rPr>
          <w:szCs w:val="24"/>
          <w14:textOutline w14:w="0" w14:cap="flat" w14:cmpd="sng" w14:algn="ctr">
            <w14:noFill/>
            <w14:prstDash w14:val="solid"/>
            <w14:bevel/>
          </w14:textOutline>
        </w:rPr>
      </w:pPr>
      <w:r w:rsidRPr="00A22D6D">
        <w:t>14</w:t>
      </w:r>
      <w:r w:rsidR="00EA298D">
        <w:t>7</w:t>
      </w:r>
      <w:r w:rsidR="00EA6CCD" w:rsidRPr="00A22D6D">
        <w:t>.</w:t>
      </w:r>
      <w:r w:rsidR="00EA6CCD" w:rsidRPr="00CC7549">
        <w:tab/>
      </w:r>
      <w:r w:rsidR="00EA6CCD" w:rsidRPr="00A22D6D">
        <w:t xml:space="preserve">primena ilgalaikį kurčiųjų bendruomenės prašymą suteikti galimybę teikti peticijas Sąjungoje vartojamomis nacionalinėmis gestų kalbomis; atkreipia dėmesį į 2023 m. lapkričio 29 d. ir 2024 m. kovo 19 d. Peticijų komiteto posėdžiuose vykusias diskusijas, konkrečiai susijusias su peticija Nr. 1056/2016, ir pabrėžia Parlamento įsipareigojimą didinti prieinamumą visiems </w:t>
      </w:r>
      <w:r w:rsidR="00A22D6D">
        <w:t>ES</w:t>
      </w:r>
      <w:r w:rsidR="00EA6CCD" w:rsidRPr="00A22D6D">
        <w:t xml:space="preserve"> piliečiams; primena, kad Parlamento darbo tvarkos taisyklėse reikalaujama, kad peticijos būtų teikiamos raštu; ragina Parlamento administraciją įgyvendinti būtinus pakeitimus Peticijų portale, kad peticijų pateikėjai galėtų paremti savo rašytinę peticiją vaizdo įrašu, išverstu į gestų kalbą; ragina administraciją pakviesti atitinkamus suinteresuotuosius subjektus, įskaitant kurčiųjų bendruomenės atstovus, įgyvendinimo proceso metu teikti pastabas ir grįžtamąją informaciją, kad būtų užtikrintas siūlomų priemonių veiksmingumas ir įtraukumas;</w:t>
      </w:r>
    </w:p>
    <w:p w:rsidR="00F61E5D" w:rsidRPr="00D277A5" w:rsidRDefault="00F61E5D" w:rsidP="00F61E5D">
      <w:pPr>
        <w:pStyle w:val="NormalHanging12a"/>
      </w:pPr>
      <w:r w:rsidRPr="00D277A5">
        <w:t>14</w:t>
      </w:r>
      <w:r w:rsidR="00EA298D">
        <w:t>8</w:t>
      </w:r>
      <w:r w:rsidRPr="00D277A5">
        <w:t>.</w:t>
      </w:r>
      <w:r w:rsidRPr="00D277A5">
        <w:tab/>
        <w:t>palankiai vertina tai, kad skaitmeninio parašo portalas (DISP) suteikia galimybę Parlamento nariams skaitmeniniu būdu pasirašyti dokumentus, nes tai pagerina procedūrų veiksmingumą, atsekamumą ir skaidrumą, ir pažymi, kad, nors esama galimybės siųsti pasirašytus plenarinio posėdžio pakeitimus plenarinio posėdžio tarnyboms e. paštu arba per EP perdavimo portalą, plenarinio posėdžio pakeitimų pasirašymas vis dar yra pasenusi ir apsunkinanti procedūra; ragina Biurą imtis reikiamų veiksmų, kad Parlamento nariams būtų suteikta galimybė ateityje skaitmeniniu būdu pasirašyti plenarinio posėdžio pakeitimus;</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Apsaugos ir saugumo generalinis direktoratas</w:t>
      </w:r>
    </w:p>
    <w:p w:rsidR="00F61E5D" w:rsidRPr="00D277A5" w:rsidRDefault="009A486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192D53">
        <w:rPr>
          <w14:textOutline w14:w="0" w14:cap="flat" w14:cmpd="sng" w14:algn="ctr">
            <w14:noFill/>
            <w14:prstDash w14:val="solid"/>
            <w14:bevel/>
          </w14:textOutline>
        </w:rPr>
        <w:t>49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primena, kad Apsaugos ir saugumo generalinis direktoratas (SAFE GD) siekia numatyti saugumo riziką ir grėsmes Parlamentui, jo nariams ir darbuotojams, užkirsti joms kelią ir jas sumažinti, taikydamas rizika grindžiamą požiūrį, kuriuo tinkamai atsižvelgiama į demokratinį institucijos pobūdį ir jos įtvirtintas vertybes, visų pirma atvirumą ir skaidrumą; pažymi, kad iki 2022 m. gruodžio 31 d. jame dirbo 882 darbuotojai, iš kurių 170 buvo pareigūnai, 22 – laikinieji darbuotojai ir 690 – sutartininkai;</w:t>
      </w:r>
    </w:p>
    <w:p w:rsidR="00F61E5D" w:rsidRPr="00D277A5" w:rsidRDefault="009A486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192D53">
        <w:rPr>
          <w14:textOutline w14:w="0" w14:cap="flat" w14:cmpd="sng" w14:algn="ctr">
            <w14:noFill/>
            <w14:prstDash w14:val="solid"/>
            <w14:bevel/>
          </w14:textOutline>
        </w:rPr>
        <w:t>0</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galutiniai SAFE GD asignavimai 2022 m. sudarė 29 507 334 EUR, t. y. 1,4 proc. Parlamento biudžeto; pabrėžia, kad iš šios sumos iš viso įsipareigota skirti 28 370 796 EUR; palankiai vertina didelį asignavimų panaudojimo lygį;</w:t>
      </w:r>
    </w:p>
    <w:p w:rsidR="00F61E5D" w:rsidRPr="00D277A5" w:rsidRDefault="009A4866" w:rsidP="00F61E5D">
      <w:pPr>
        <w:pStyle w:val="NormalHanging12a"/>
      </w:pPr>
      <w:r>
        <w:t>15</w:t>
      </w:r>
      <w:r w:rsidR="00192D53">
        <w:t>1</w:t>
      </w:r>
      <w:r w:rsidR="00F61E5D" w:rsidRPr="00D277A5">
        <w:t>.</w:t>
      </w:r>
      <w:r w:rsidR="00F61E5D" w:rsidRPr="00D277A5">
        <w:tab/>
        <w:t>palankiai vertina bendrųjų saugumo paslaugų internalizavimą Liuksemburge, jis įsigaliojo 2022 m. sausio 1 d.; patvirtina, kad sunku pritraukti ir įdarbinti specializuotus saugumo srities darbuotojus iš visų valstybių narių pagal I pareigų grupėje siūlomas sąlygas; primena ypatingą padėtį Liuksemburge, kur šiai pareigų grupei siūlomas darbo užmokestis yra mažesnis už nacionalinį minimalų tarpprofesinį darbo užmokestį, todėl Parlamentas priverstas pasinaudoti socialine kompensacija;</w:t>
      </w:r>
    </w:p>
    <w:p w:rsidR="00F61E5D" w:rsidRPr="00D277A5" w:rsidRDefault="009A486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192D53">
        <w:rPr>
          <w14:textOutline w14:w="0" w14:cap="flat" w14:cmpd="sng" w14:algn="ctr">
            <w14:noFill/>
            <w14:prstDash w14:val="solid"/>
            <w14:bevel/>
          </w14:textOutline>
        </w:rPr>
        <w:t>2</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atkreipia dėmesį į padidėjusį poreikį, kad SAFE GD visose darbo vietose teiktų papildomas ir išskirtines apsaugos ir saugumo paslaugas per didelio masto renginius, kurių skaičius vis auga; pripažįsta, kad Parlamento saugumo tarnybos, kuriose dirba fiksuotas darbuotojų skaičius, susiduria su iššūkiu siekdamos teigiamai reaguoti į šiuos didėjančius poreikius;</w:t>
      </w:r>
    </w:p>
    <w:p w:rsidR="00F61E5D" w:rsidRPr="00D277A5" w:rsidRDefault="009A486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192D53">
        <w:rPr>
          <w14:textOutline w14:w="0" w14:cap="flat" w14:cmpd="sng" w14:algn="ctr">
            <w14:noFill/>
            <w14:prstDash w14:val="solid"/>
            <w14:bevel/>
          </w14:textOutline>
        </w:rPr>
        <w:t>3</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palankiai vertina tai, kad 2022 m. sušvelninus su COVID susijusius apribojimus lankytojų skaičius vėl buvo įprastas; yra susirūpinęs dėl to, kad Briuselyje trūksta vietos renginių ir konferencijų dalyviams priimti ir akredituoti, ir tai gali kelti pavojų </w:t>
      </w:r>
      <w:r w:rsidR="00F61E5D" w:rsidRPr="00D277A5">
        <w:rPr>
          <w14:textOutline w14:w="0" w14:cap="flat" w14:cmpd="sng" w14:algn="ctr">
            <w14:noFill/>
            <w14:prstDash w14:val="solid"/>
            <w14:bevel/>
          </w14:textOutline>
        </w:rPr>
        <w:lastRenderedPageBreak/>
        <w:t>Parlamento saugumui;</w:t>
      </w:r>
    </w:p>
    <w:p w:rsidR="00F61E5D" w:rsidRPr="00D277A5" w:rsidRDefault="009A4866"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192D53">
        <w:rPr>
          <w14:textOutline w14:w="0" w14:cap="flat" w14:cmpd="sng" w14:algn="ctr">
            <w14:noFill/>
            <w14:prstDash w14:val="solid"/>
            <w14:bevel/>
          </w14:textOutline>
        </w:rPr>
        <w:t>4</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pabrėžia, kad svarbu nuodugniai planuoti projektus, susijusius su Europos Parlamento ryšių biurais ir centrais „Europa Experience“, kad būtų galima atidžiai įvertinti išlaidas, susijusias su apsaugos ir saugumo paslaugomis ir įranga;</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 xml:space="preserve">Horizontalieji klausimai, darantys poveikį Parlamento 2022 finansinių metų biudžetui </w:t>
      </w:r>
    </w:p>
    <w:p w:rsidR="00F61E5D" w:rsidRPr="00D277A5" w:rsidRDefault="00F61E5D" w:rsidP="00F61E5D">
      <w:pPr>
        <w:spacing w:after="240"/>
        <w:rPr>
          <w:b/>
          <w:noProof/>
          <w:u w:val="single"/>
        </w:rPr>
      </w:pPr>
      <w:r w:rsidRPr="00D277A5">
        <w:rPr>
          <w:b/>
          <w:u w:val="single"/>
        </w:rPr>
        <w:t xml:space="preserve">Priekabiavimas </w:t>
      </w:r>
    </w:p>
    <w:p w:rsidR="00F61E5D" w:rsidRPr="00D277A5" w:rsidRDefault="00F521E9" w:rsidP="00F61E5D">
      <w:pPr>
        <w:pStyle w:val="NormalHanging12a"/>
      </w:pPr>
      <w:r>
        <w:t>15</w:t>
      </w:r>
      <w:r w:rsidR="00673197">
        <w:t>5</w:t>
      </w:r>
      <w:r w:rsidR="00F61E5D" w:rsidRPr="00D277A5">
        <w:t>.</w:t>
      </w:r>
      <w:r w:rsidR="00F61E5D" w:rsidRPr="00D277A5">
        <w:tab/>
        <w:t>palankiai vertina Parlamento visiško priekabiavimo netoleravimo politiką ir vykdomas informuotumo didinimo kampanijas; pabrėžia, kad Europos Parlamento narių tinkamo elgesio kodeksu siekiama užtikrinti, kad Parlamento nariai su visais Europos Parlamente dirbančiais asmenimis elgtųsi oriai, mandagiai ir pagarbiai, be išankstinio nusistatymo ar diskriminacijos; primena, kad 2022 m. mokymo sesijoje dalyvavo 56 Parlamento nariai; pažymi, kad nuo 2018 m. lapkričio mėn., kai buvo pasiūlytos pirmosios sesijos, mokymuose dalyvavo iš viso 324 dabartiniai Parlamento nariai (46 proc.) ir 56 buvę Parlamento nariai, kurių įgaliojimai baigėsi; pažymi, kad 2022 m. 106 darbuotojai ir akredituoti Parlamento narių padėjėjai dalyvavo kovos su priekabiavimu mokymo kursuose; susirūpinęs pažymi, kad priekabiavimo atvejų vis dar pasitaiko nepaisant veiklos, vykdomos siekiant panaikinti priekabiavimą darbo vietoje;</w:t>
      </w:r>
    </w:p>
    <w:p w:rsidR="00F61E5D" w:rsidRPr="00D277A5" w:rsidRDefault="00F521E9" w:rsidP="00F61E5D">
      <w:pPr>
        <w:pStyle w:val="NormalHanging12a"/>
      </w:pPr>
      <w:r>
        <w:t>15</w:t>
      </w:r>
      <w:r w:rsidR="00673197">
        <w:t>6</w:t>
      </w:r>
      <w:r w:rsidR="00F61E5D" w:rsidRPr="00D277A5">
        <w:t>.</w:t>
      </w:r>
      <w:r w:rsidR="00F61E5D" w:rsidRPr="00D277A5">
        <w:tab/>
        <w:t>primena, kad per ankstesnes biudžeto įvykdymo patvirtinimo procedūras buvo prašoma visiems Parlamento nariams ir akredituotiems Parlamento narių padėjėjams, taip pat darbuotojams, įskaitant asmenis, einančius vadovaujamas pareigas įvairiuose generaliniuose direktoratuose ir frakcijose, rengti privalomus kovos su priekabiavimu mokymo kursus; pripažįsta, kad, siekdamas padėti sukurti geresnę darbo aplinką Europos Parlamente ir išvengti bet kokio piktnaudžiavimo įgaliojimais, 2023 m. liepos 10 d. Biuras taip pat patvirtino sėkmingo komandos valdymo ir priekabiavimo prevencijos mokymo koncepciją; palankiai vertina Biuro pastangas užtikrinti, kad kovos su priekabiavimu mokymų sesija būtų privaloma visiems nariams, taip pat skyrių vadovams, direktoriams ir generaliniams direktoriams;</w:t>
      </w:r>
    </w:p>
    <w:p w:rsidR="00F61E5D" w:rsidRPr="00673197" w:rsidRDefault="00F521E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673197">
        <w:rPr>
          <w14:textOutline w14:w="0" w14:cap="flat" w14:cmpd="sng" w14:algn="ctr">
            <w14:noFill/>
            <w14:prstDash w14:val="solid"/>
            <w14:bevel/>
          </w14:textOutline>
        </w:rPr>
        <w:t>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r>
      <w:r w:rsidR="00F8500C" w:rsidRPr="00F73685">
        <w:t>pabrėžia, kad nariams, akredituotiems Parlamento narių padėjėjams ir darbuotojams turėtų būti rengiami privalomi kovos su priekabiavimu mokymai;</w:t>
      </w:r>
      <w:r w:rsidR="00F8500C" w:rsidRPr="00673197">
        <w:t xml:space="preserve"> taip pat pabrėžia, kad visi darbuotojai, įskaitant medicinos darbuotojus, atliekančius tam tikrą vaidmenį kovos su priekabiavimu procedūrose, turėtų būti specialiai apmokyti atlikti šias procedūras</w:t>
      </w:r>
      <w:r w:rsidR="00F61E5D" w:rsidRPr="00673197">
        <w:rPr>
          <w14:textOutline w14:w="0" w14:cap="flat" w14:cmpd="sng" w14:algn="ctr">
            <w14:noFill/>
            <w14:prstDash w14:val="solid"/>
            <w14:bevel/>
          </w14:textOutline>
        </w:rPr>
        <w:t>;</w:t>
      </w:r>
    </w:p>
    <w:p w:rsidR="00F61E5D" w:rsidRPr="00D277A5" w:rsidRDefault="00F521E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673197">
        <w:rPr>
          <w14:textOutline w14:w="0" w14:cap="flat" w14:cmpd="sng" w14:algn="ctr">
            <w14:noFill/>
            <w14:prstDash w14:val="solid"/>
            <w14:bevel/>
          </w14:textOutline>
        </w:rPr>
        <w:t>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atkreipia dėmesį į tai, kad Patariamasis komitetas dėl priekabiavimo darbo vietoje ir jo prevencijos 2022 m. gavo du skundus, kuriuos pateikė du stažuotojai; be to, pažymi, kad vienas darbuotojas kreipėsi į komitetą dėl konsultacijų; </w:t>
      </w:r>
    </w:p>
    <w:p w:rsidR="00F61E5D" w:rsidRPr="00673197" w:rsidRDefault="00F521E9" w:rsidP="00F61E5D">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w:t>
      </w:r>
      <w:r w:rsidR="00673197">
        <w:rPr>
          <w14:textOutline w14:w="0" w14:cap="flat" w14:cmpd="sng" w14:algn="ctr">
            <w14:noFill/>
            <w14:prstDash w14:val="solid"/>
            <w14:bevel/>
          </w14:textOutline>
        </w:rPr>
        <w:t>59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r>
      <w:r w:rsidR="00F8500C" w:rsidRPr="002E7F13">
        <w:t xml:space="preserve">pabrėžia, kad Skundų dėl Parlamento narių priekabiavimo nagrinėjimo patariamasis komitetas turi įgaliojimus nagrinėti Parlamento nariams pateiktus kaltinimus dėl psichologinio ar seksualinio priekabiavimo, gautus iš visų kategorijų darbuotojų, įskaitant akredituotus Parlamento narių padėjėjus, stažuotojus, deleguotuosius nacionalinius ekspertus ir frakcijų darbuotojus; pažymi, kad, siekdamas toliau stiprinti Parlamento kovos su priekabiavimu politiką, 2023 m. lapkričio 20 d. Biuras priėmė keletą papildomų Skundų dėl Parlamento narių priekabiavimo nagrinėjimo patariamojo komiteto veikimo taisyklių pakeitimų; </w:t>
      </w:r>
      <w:r w:rsidR="00F8500C" w:rsidRPr="00673197">
        <w:t>dar kartą ragina Biurą į abu patariamuosius komitetus įtraukti nepriklausomus ekspertus priekabiavimo klausimais, kurie padėtų jiems vykdyti savo pareigas</w:t>
      </w:r>
      <w:r w:rsidR="00F61E5D" w:rsidRPr="00673197">
        <w:rPr>
          <w14:textOutline w14:w="0" w14:cap="flat" w14:cmpd="sng" w14:algn="ctr">
            <w14:noFill/>
            <w14:prstDash w14:val="solid"/>
            <w14:bevel/>
          </w14:textOutline>
        </w:rPr>
        <w:t>;</w:t>
      </w:r>
    </w:p>
    <w:p w:rsidR="00F8500C" w:rsidRPr="00D277A5" w:rsidRDefault="00F8500C" w:rsidP="00F61E5D">
      <w:pPr>
        <w:spacing w:after="240"/>
        <w:ind w:left="567" w:hanging="567"/>
        <w:rPr>
          <w:szCs w:val="24"/>
          <w14:textOutline w14:w="0" w14:cap="flat" w14:cmpd="sng" w14:algn="ctr">
            <w14:noFill/>
            <w14:prstDash w14:val="solid"/>
            <w14:bevel/>
          </w14:textOutline>
        </w:rPr>
      </w:pPr>
      <w:r w:rsidRPr="00F8500C">
        <w:rPr>
          <w:szCs w:val="24"/>
          <w14:textOutline w14:w="0" w14:cap="flat" w14:cmpd="sng" w14:algn="ctr">
            <w14:noFill/>
            <w14:prstDash w14:val="solid"/>
            <w14:bevel/>
          </w14:textOutline>
        </w:rPr>
        <w:lastRenderedPageBreak/>
        <w:t>1</w:t>
      </w:r>
      <w:r w:rsidR="00F521E9">
        <w:rPr>
          <w:szCs w:val="24"/>
          <w14:textOutline w14:w="0" w14:cap="flat" w14:cmpd="sng" w14:algn="ctr">
            <w14:noFill/>
            <w14:prstDash w14:val="solid"/>
            <w14:bevel/>
          </w14:textOutline>
        </w:rPr>
        <w:t>6</w:t>
      </w:r>
      <w:r w:rsidR="00673197">
        <w:rPr>
          <w:szCs w:val="24"/>
          <w14:textOutline w14:w="0" w14:cap="flat" w14:cmpd="sng" w14:algn="ctr">
            <w14:noFill/>
            <w14:prstDash w14:val="solid"/>
            <w14:bevel/>
          </w14:textOutline>
        </w:rPr>
        <w:t>0</w:t>
      </w:r>
      <w:r w:rsidRPr="00F8500C">
        <w:rPr>
          <w:szCs w:val="24"/>
          <w14:textOutline w14:w="0" w14:cap="flat" w14:cmpd="sng" w14:algn="ctr">
            <w14:noFill/>
            <w14:prstDash w14:val="solid"/>
            <w14:bevel/>
          </w14:textOutline>
        </w:rPr>
        <w:t>.</w:t>
      </w:r>
      <w:r w:rsidRPr="00F8500C">
        <w:rPr>
          <w:szCs w:val="24"/>
          <w14:textOutline w14:w="0" w14:cap="flat" w14:cmpd="sng" w14:algn="ctr">
            <w14:noFill/>
            <w14:prstDash w14:val="solid"/>
            <w14:bevel/>
          </w14:textOutline>
        </w:rPr>
        <w:tab/>
        <w:t>pabrėžia, kad seksualinis ir psichologinis priekabiavimas nėra priimtinas jokiomis aplinkybėmis; primena, kad Parlamentas sėkmingai įsteigė kelis kontaktinius punktus priekabiavimo atvejams nagrinėti, pvz., Skundų dėl Parlamento narių priekabiavimo nagrinėjimo patariamąjį komitetą ir Priekabiavimo nagrinėjimo ir priekabiavimo prevencijos darbo vietoje patariamąjį komitetą, taip pat konfidencialius patarėjus; yra labai susirūpinęs dėl žiniasklaidos atskleistos informacijos apie įtariamą Parlamento nario seksualinį priekabiavimą nuo 2022 m. vasaros ir tai, kad nebuvo imtasi veiksmų; primena, kad visos frakcijos primygtinai raginamos pranešti apie galimus atvejus šiems komitetams ir kad tuo pačiu tikslu sukūrus išorės struktūras apeinamas Parlamento kovos su priekabiavimu protokolas ir atsiranda dviejų pakopų sistema; pabrėžia, kad dėl to aukoms atsiranda daug netikrumo ir nustatomos skirtingos taisyklės skirtingoms politinėms partijoms;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F521E9">
        <w:rPr>
          <w14:textOutline w14:w="0" w14:cap="flat" w14:cmpd="sng" w14:algn="ctr">
            <w14:noFill/>
            <w14:prstDash w14:val="solid"/>
            <w14:bevel/>
          </w14:textOutline>
        </w:rPr>
        <w:t>6</w:t>
      </w:r>
      <w:r w:rsidR="00673197">
        <w:rPr>
          <w14:textOutline w14:w="0" w14:cap="flat" w14:cmpd="sng" w14:algn="ctr">
            <w14:noFill/>
            <w14:prstDash w14:val="solid"/>
            <w14:bevel/>
          </w14:textOutline>
        </w:rPr>
        <w:t>1</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pažymi, kad 2022 m. 13 darbuotojų (2021 m. 9 darbuotojai) paprašė institucijos pagalbos pagal Tarnybos nuostatų 24 straipsnį; pažymi, kad 6 atvejai (2021 m. 5 atvejai) buvo susiję su tariamu priekabiavimu; pabrėžia, kad nė vienas iš atitinkamų darbuotojų nebuvo pareigūnai ir kad visi šeši buvo akredituoti Parlamento narių padėjėjai arba buvę akredituoti padėjėjai;</w:t>
      </w:r>
    </w:p>
    <w:p w:rsidR="00F61E5D" w:rsidRPr="00D277A5" w:rsidRDefault="00F61E5D" w:rsidP="00F61E5D">
      <w:pPr>
        <w:pStyle w:val="NormalHanging12a"/>
      </w:pPr>
      <w:r w:rsidRPr="00D277A5">
        <w:t>1</w:t>
      </w:r>
      <w:r w:rsidR="00F521E9">
        <w:t>6</w:t>
      </w:r>
      <w:r w:rsidR="00673197">
        <w:t>2</w:t>
      </w:r>
      <w:r w:rsidRPr="00D277A5">
        <w:t>.</w:t>
      </w:r>
      <w:r w:rsidRPr="00D277A5">
        <w:tab/>
        <w:t>mano, kad taip pat reikėtų atsižvelgti į kitų Parlamento narių padėjėjų arba Parlamento pareigūnų priekabiavimo prie Parlamento narių padėjėjų galimybę;</w:t>
      </w:r>
    </w:p>
    <w:p w:rsidR="00F61E5D" w:rsidRPr="00D277A5" w:rsidRDefault="00F61E5D" w:rsidP="00F61E5D">
      <w:pPr>
        <w:spacing w:after="240"/>
        <w:rPr>
          <w:b/>
          <w:noProof/>
          <w:u w:val="single"/>
        </w:rPr>
      </w:pPr>
      <w:r w:rsidRPr="00D277A5">
        <w:rPr>
          <w:b/>
          <w:u w:val="single"/>
        </w:rPr>
        <w:t>Informavimas apie pažeidimus</w:t>
      </w:r>
    </w:p>
    <w:p w:rsidR="00F61E5D" w:rsidRPr="00D277A5" w:rsidRDefault="00F61E5D" w:rsidP="00F61E5D">
      <w:pPr>
        <w:pStyle w:val="NormalHanging12a"/>
      </w:pPr>
      <w:r w:rsidRPr="00D277A5">
        <w:t>1</w:t>
      </w:r>
      <w:r w:rsidR="00F521E9">
        <w:t>6</w:t>
      </w:r>
      <w:r w:rsidR="00EF176F">
        <w:t>3</w:t>
      </w:r>
      <w:r w:rsidRPr="00D277A5">
        <w:t>.</w:t>
      </w:r>
      <w:r w:rsidRPr="00D277A5">
        <w:tab/>
        <w:t xml:space="preserve">primena, kad Sąjungos institucijų darbuotojai privalo pranešti bet kokią informaciją, iš kurios matyti korupcija, sukčiavimas ir kiti rimti pažeidimai, kuriuos jie nustato eidami pareigas; pažymi, kad 2022 m. Parlamentas užregistravo vieną informavimo apie pažeidimus atvejį; palankiai vertina 2022 m. vykdytą darbą siekiant atnaujinti 2015 m. gruodžio 4 d. Tarnybos nuostatų 22c straipsnio įgyvendinimo vidaus taisykles nustatant detalesnes ir išsamesnes vidaus taisykles; palankiai vertina tai, kad Biuro sprendimas dėl vidaus taisyklių dėl informavimo apie pažeidimus buvo priimtas 2023 m. lapkričio 20 d. ir taikomas nuo 2023 m. gruodžio 1 d., įskaitant nuostatas dėl pranešėjų apie pažeidimus apsaugos, įrodymų perdavimo OLAF ir, jei tinkama, Europos prokuratūrai, taip pat skundų nagrinėjimo terminų; </w:t>
      </w:r>
    </w:p>
    <w:p w:rsidR="00F61E5D" w:rsidRPr="00D277A5" w:rsidRDefault="00F61E5D" w:rsidP="00F61E5D">
      <w:pPr>
        <w:pStyle w:val="NormalHanging12a"/>
      </w:pPr>
      <w:r w:rsidRPr="00D277A5">
        <w:t>1</w:t>
      </w:r>
      <w:r w:rsidR="00F521E9">
        <w:t>6</w:t>
      </w:r>
      <w:r w:rsidR="00EF176F">
        <w:t>4</w:t>
      </w:r>
      <w:r w:rsidRPr="00D277A5">
        <w:t>.</w:t>
      </w:r>
      <w:r w:rsidRPr="00D277A5">
        <w:tab/>
        <w:t>atsižvelgiant į Biuro pranešimą Nr. 18/2023 dėl vidaus taisyklių dėl informavimo apie pažeidimus ir akredituotų Parlamento narių padėjėjų bei darbuotojų pareigas pranešti apie bet kokius pažeidimus, būtina, kad visos Parlamento tarnybos taip pat būtų įpareigotos pranešti visą turimą informaciją apie sukčiavimą, finansinių taisyklių pažeidimus ar bet kokį elgesį, kuriuo pažeidžiamas Parlamento etikos kodeksas; ši pareiga taikoma visai tokiai informacijai, neatsižvelgiant į jos konfidencialumą, ir apie ją turėtų būti pranešama atitinkamai Parlamento tarnybai;</w:t>
      </w:r>
    </w:p>
    <w:p w:rsidR="00F61E5D" w:rsidRPr="00D277A5" w:rsidRDefault="00F61E5D" w:rsidP="00F61E5D">
      <w:pPr>
        <w:spacing w:after="240"/>
        <w:rPr>
          <w:b/>
          <w:noProof/>
          <w:u w:val="single"/>
        </w:rPr>
      </w:pPr>
      <w:r w:rsidRPr="00D277A5">
        <w:rPr>
          <w:b/>
          <w:u w:val="single"/>
        </w:rPr>
        <w:t>Savanoriškas pensijų fondas</w:t>
      </w:r>
    </w:p>
    <w:p w:rsidR="00F61E5D" w:rsidRPr="00D277A5" w:rsidRDefault="008306B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w:t>
      </w:r>
      <w:r w:rsidR="00EF176F">
        <w:rPr>
          <w14:textOutline w14:w="0" w14:cap="flat" w14:cmpd="sng" w14:algn="ctr">
            <w14:noFill/>
            <w14:prstDash w14:val="solid"/>
            <w14:bevel/>
          </w14:textOutline>
        </w:rPr>
        <w:t>5</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savanoriško pensijų fondo aktuarinis deficitas 2021 m. gruodžio 31 d. siekė 379 mln. EUR (palyginti su 371,4 mln. EUR 2020 m. gruodžio 31 d.); palankiai vertina Parlamento biuro padarytus Europos Parlamento narių statuto įgyvendinimo taisyklių 76 straipsnio pakeitimus, susijusius su Papildoma (savanoriška) pensijų sistema, kurie įsigaliojo 2023 m. liepos 1 d. ir kuriais siekiama sumažinti būsimus pensijų įsipareigojimus nuo 362,7 mln. EUR iki apytikriai 139 mln. EUR, ir fondo aktuarinį deficitą nuo 310 mln. EUR iki apytikriai 86 mln. EUR;</w:t>
      </w:r>
    </w:p>
    <w:p w:rsidR="00F61E5D" w:rsidRPr="00D277A5" w:rsidRDefault="008306B9" w:rsidP="00F61E5D">
      <w:pPr>
        <w:pStyle w:val="NormalHanging12a"/>
      </w:pPr>
      <w:r>
        <w:lastRenderedPageBreak/>
        <w:t>16</w:t>
      </w:r>
      <w:r w:rsidR="00EF176F">
        <w:t>6</w:t>
      </w:r>
      <w:r w:rsidR="00F61E5D" w:rsidRPr="00D277A5">
        <w:t>.</w:t>
      </w:r>
      <w:r w:rsidR="00F61E5D" w:rsidRPr="00D277A5">
        <w:tab/>
        <w:t>palankiai vertina naujausius Biuro priimtus sprendimus; primena, kad šią problemą vis dar reikės spręsti ateityje, nes tikimasi, kad fondo turtas bus išnaudotas vėliausiai iki 2027 m.; pripažįsta, kad Parlamentas nedalyvauja valdant savanoriško pensijų fondo investicijų portfelį; tačiau ragina fondo valdytoją tinkamai įvertinti galimą riziką jo investicijų reputacijai; pažymi, kad naujausių Europos Sąjungos Teisingumo Teismo sprendimų ir jų pasekmių būsimiems Biuro sprendimams teisinis vertinimas taip pat buvo pateiktas Biuro nariams, kad jie galėtų priimti informacija pagrįstą sprendimą; pažymi, kad Europos Sąjungos Teisingumo Teismas nagrinėja apeliacinius skundus ir kad šis klausimas turės būti iš naujo sprendžiamas po to, kai bus priimti sprendimai;</w:t>
      </w:r>
    </w:p>
    <w:p w:rsidR="00F61E5D" w:rsidRPr="00EF176F" w:rsidRDefault="008306B9"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w:t>
      </w:r>
      <w:r w:rsidR="00EF176F">
        <w:rPr>
          <w14:textOutline w14:w="0" w14:cap="flat" w14:cmpd="sng" w14:algn="ctr">
            <w14:noFill/>
            <w14:prstDash w14:val="solid"/>
            <w14:bevel/>
          </w14:textOutline>
        </w:rPr>
        <w:t>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r>
      <w:r w:rsidR="00F8500C" w:rsidRPr="00A43E83">
        <w:t xml:space="preserve">ragina administraciją ir Biurą </w:t>
      </w:r>
      <w:r w:rsidR="00F8500C" w:rsidRPr="00EF176F">
        <w:t>dar kartą išnagrinėti šį klausimą tik po to, kai bus pateiktas ESTT teisinis vertinimas, kad būtų galima apsvarstyti savanoriško pensijų fondo ateitį</w:t>
      </w:r>
      <w:r w:rsidR="00F61E5D" w:rsidRPr="00EF176F">
        <w:rPr>
          <w14:textOutline w14:w="0" w14:cap="flat" w14:cmpd="sng" w14:algn="ctr">
            <w14:noFill/>
            <w14:prstDash w14:val="solid"/>
            <w14:bevel/>
          </w14:textOutline>
        </w:rPr>
        <w:t>;</w:t>
      </w:r>
    </w:p>
    <w:p w:rsidR="00F61E5D" w:rsidRPr="00D277A5" w:rsidRDefault="00F61E5D" w:rsidP="00F61E5D">
      <w:pPr>
        <w:spacing w:after="240"/>
        <w:ind w:left="567" w:hanging="567"/>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Metinė skirtų sutarčių ataskaita</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16</w:t>
      </w:r>
      <w:r w:rsidR="00EF176F">
        <w:rPr>
          <w14:textOutline w14:w="0" w14:cap="flat" w14:cmpd="sng" w14:algn="ctr">
            <w14:noFill/>
            <w14:prstDash w14:val="solid"/>
            <w14:bevel/>
          </w14:textOutline>
        </w:rPr>
        <w:t>8</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primena, kad Finansiniame reglamente nustatyta biudžeto valdymo institucijai ir visuomenei pateiktina informacija, susijusi su Parlamento skirtomis sutartimis; atkreipia dėmesį į tai, kad pagal Finansinį reglamentą reikalaujama skelbti apie skirtas sutartis, kurių vertė yra didesnė nei 15 000 EUR – tai riba, kurią viršijus privaloma skelbti viešųjų pirkimų konkursą; nurodo, kad 2022 m. iš viso skirtos 194 sutartys, iš kurių 63 sutartys buvo paskirtos pagal atviro konkurso procedūrą (vertė – 359,3 mln. EUR) ir 1 sutartis – pagal riboto konkurso procedūrą (vertė – 460 000 EUR); pažymi, kad vykdant derybų procedūrą buvo paskirtos 126 sutartys, kurių vertė – 48 mln. EUR;</w:t>
      </w:r>
    </w:p>
    <w:p w:rsidR="00F61E5D" w:rsidRPr="00D277A5" w:rsidRDefault="00EF176F"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bendras skirtų sutarčių skaičius 2022 m. (194), palyginti su 2021 m. (221), sumažėjo; atkreipia dėmesį į tai, kad gerokai sumažėjo sutartyse numatytos sumos, kurios 2022 m. siekė 410 mln. EUR, palyginti su 1 016 mln. EUR 2021 m.;</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8306B9">
        <w:rPr>
          <w14:textOutline w14:w="0" w14:cap="flat" w14:cmpd="sng" w14:algn="ctr">
            <w14:noFill/>
            <w14:prstDash w14:val="solid"/>
            <w14:bevel/>
          </w14:textOutline>
        </w:rPr>
        <w:t>7</w:t>
      </w:r>
      <w:r w:rsidR="00EF176F">
        <w:rPr>
          <w14:textOutline w14:w="0" w14:cap="flat" w14:cmpd="sng" w14:algn="ctr">
            <w14:noFill/>
            <w14:prstDash w14:val="solid"/>
            <w14:bevel/>
          </w14:textOutline>
        </w:rPr>
        <w:t>0</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atkreipia dėmesį į toliau pateiktas 2022 m. ir 2021 m. skirtas sutartis, įskaitant sutartis dėl pastatų, suskirstytas pagal tipus:</w:t>
      </w:r>
    </w:p>
    <w:tbl>
      <w:tblPr>
        <w:tblStyle w:val="TableGrid"/>
        <w:tblW w:w="5000" w:type="pct"/>
        <w:tblLook w:val="04A0" w:firstRow="1" w:lastRow="0" w:firstColumn="1" w:lastColumn="0" w:noHBand="0" w:noVBand="1"/>
      </w:tblPr>
      <w:tblGrid>
        <w:gridCol w:w="2349"/>
        <w:gridCol w:w="1979"/>
        <w:gridCol w:w="1578"/>
        <w:gridCol w:w="1578"/>
        <w:gridCol w:w="1576"/>
      </w:tblGrid>
      <w:tr w:rsidR="00F61E5D" w:rsidRPr="00D277A5" w:rsidTr="00924CBE">
        <w:trPr>
          <w:trHeight w:val="300"/>
        </w:trPr>
        <w:tc>
          <w:tcPr>
            <w:tcW w:w="1296" w:type="pct"/>
            <w:vMerge w:val="restart"/>
            <w:hideMark/>
          </w:tcPr>
          <w:p w:rsidR="00F61E5D" w:rsidRPr="00D277A5" w:rsidRDefault="00F61E5D" w:rsidP="00924CBE">
            <w:pPr>
              <w:jc w:val="center"/>
              <w:rPr>
                <w:b/>
                <w:bCs/>
                <w:color w:val="000000" w:themeColor="text1"/>
                <w:szCs w:val="24"/>
              </w:rPr>
            </w:pPr>
            <w:r w:rsidRPr="00D277A5">
              <w:rPr>
                <w:b/>
                <w:color w:val="000000" w:themeColor="text1"/>
              </w:rPr>
              <w:t>Sutarties tipas</w:t>
            </w:r>
          </w:p>
        </w:tc>
        <w:tc>
          <w:tcPr>
            <w:tcW w:w="1963"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2021</w:t>
            </w:r>
          </w:p>
        </w:tc>
        <w:tc>
          <w:tcPr>
            <w:tcW w:w="1741"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2022</w:t>
            </w:r>
          </w:p>
        </w:tc>
      </w:tr>
      <w:tr w:rsidR="00F61E5D" w:rsidRPr="00D277A5" w:rsidTr="00924CBE">
        <w:trPr>
          <w:trHeight w:val="315"/>
        </w:trPr>
        <w:tc>
          <w:tcPr>
            <w:tcW w:w="1296" w:type="pct"/>
            <w:vMerge/>
            <w:hideMark/>
          </w:tcPr>
          <w:p w:rsidR="00F61E5D" w:rsidRPr="00D277A5" w:rsidRDefault="00F61E5D" w:rsidP="00924CBE">
            <w:pPr>
              <w:rPr>
                <w:b/>
                <w:bCs/>
                <w:color w:val="000000" w:themeColor="text1"/>
                <w:szCs w:val="24"/>
              </w:rPr>
            </w:pPr>
          </w:p>
        </w:tc>
        <w:tc>
          <w:tcPr>
            <w:tcW w:w="1963" w:type="pct"/>
            <w:gridSpan w:val="2"/>
            <w:vMerge/>
            <w:hideMark/>
          </w:tcPr>
          <w:p w:rsidR="00F61E5D" w:rsidRPr="00D277A5" w:rsidRDefault="00F61E5D" w:rsidP="00924CBE">
            <w:pPr>
              <w:rPr>
                <w:b/>
                <w:bCs/>
                <w:color w:val="000000" w:themeColor="text1"/>
                <w:szCs w:val="24"/>
              </w:rPr>
            </w:pPr>
          </w:p>
        </w:tc>
        <w:tc>
          <w:tcPr>
            <w:tcW w:w="1741" w:type="pct"/>
            <w:gridSpan w:val="2"/>
            <w:vMerge/>
            <w:hideMark/>
          </w:tcPr>
          <w:p w:rsidR="00F61E5D" w:rsidRPr="00D277A5" w:rsidRDefault="00F61E5D" w:rsidP="00924CBE">
            <w:pPr>
              <w:rPr>
                <w:b/>
                <w:bCs/>
                <w:color w:val="000000" w:themeColor="text1"/>
                <w:szCs w:val="24"/>
              </w:rPr>
            </w:pPr>
          </w:p>
        </w:tc>
      </w:tr>
      <w:tr w:rsidR="00F61E5D" w:rsidRPr="00D277A5" w:rsidTr="00924CBE">
        <w:trPr>
          <w:trHeight w:val="315"/>
        </w:trPr>
        <w:tc>
          <w:tcPr>
            <w:tcW w:w="1296" w:type="pct"/>
            <w:vMerge/>
            <w:hideMark/>
          </w:tcPr>
          <w:p w:rsidR="00F61E5D" w:rsidRPr="00D277A5" w:rsidRDefault="00F61E5D" w:rsidP="00924CBE">
            <w:pPr>
              <w:rPr>
                <w:b/>
                <w:bCs/>
                <w:color w:val="000000" w:themeColor="text1"/>
                <w:szCs w:val="24"/>
              </w:rPr>
            </w:pPr>
          </w:p>
        </w:tc>
        <w:tc>
          <w:tcPr>
            <w:tcW w:w="1092" w:type="pct"/>
            <w:hideMark/>
          </w:tcPr>
          <w:p w:rsidR="00F61E5D" w:rsidRPr="00D277A5" w:rsidRDefault="00F61E5D" w:rsidP="00924CBE">
            <w:pPr>
              <w:jc w:val="center"/>
              <w:rPr>
                <w:b/>
                <w:bCs/>
                <w:color w:val="000000" w:themeColor="text1"/>
                <w:szCs w:val="24"/>
              </w:rPr>
            </w:pPr>
            <w:r w:rsidRPr="00D277A5">
              <w:rPr>
                <w:b/>
                <w:color w:val="000000" w:themeColor="text1"/>
              </w:rPr>
              <w:t>Skaičius</w:t>
            </w:r>
          </w:p>
        </w:tc>
        <w:tc>
          <w:tcPr>
            <w:tcW w:w="871"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c>
          <w:tcPr>
            <w:tcW w:w="871" w:type="pct"/>
            <w:hideMark/>
          </w:tcPr>
          <w:p w:rsidR="00F61E5D" w:rsidRPr="00D277A5" w:rsidRDefault="00F61E5D" w:rsidP="00924CBE">
            <w:pPr>
              <w:jc w:val="center"/>
              <w:rPr>
                <w:b/>
                <w:bCs/>
                <w:color w:val="000000" w:themeColor="text1"/>
                <w:szCs w:val="24"/>
              </w:rPr>
            </w:pPr>
            <w:r w:rsidRPr="00D277A5">
              <w:rPr>
                <w:b/>
                <w:color w:val="000000" w:themeColor="text1"/>
              </w:rPr>
              <w:t>Skaičius</w:t>
            </w:r>
          </w:p>
        </w:tc>
        <w:tc>
          <w:tcPr>
            <w:tcW w:w="870"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r>
      <w:tr w:rsidR="00F61E5D" w:rsidRPr="00D277A5" w:rsidTr="00924CBE">
        <w:trPr>
          <w:trHeight w:val="300"/>
        </w:trPr>
        <w:tc>
          <w:tcPr>
            <w:tcW w:w="1296" w:type="pct"/>
            <w:hideMark/>
          </w:tcPr>
          <w:p w:rsidR="00F61E5D" w:rsidRPr="00D277A5" w:rsidRDefault="00F61E5D" w:rsidP="00924CBE">
            <w:pPr>
              <w:rPr>
                <w:color w:val="000000" w:themeColor="text1"/>
                <w:szCs w:val="24"/>
              </w:rPr>
            </w:pPr>
            <w:r w:rsidRPr="00D277A5">
              <w:rPr>
                <w:color w:val="000000" w:themeColor="text1"/>
              </w:rPr>
              <w:t> </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 </w:t>
            </w:r>
          </w:p>
        </w:tc>
        <w:tc>
          <w:tcPr>
            <w:tcW w:w="871" w:type="pct"/>
            <w:hideMark/>
          </w:tcPr>
          <w:p w:rsidR="00F61E5D" w:rsidRPr="00D277A5" w:rsidRDefault="00F61E5D" w:rsidP="00924CBE">
            <w:pPr>
              <w:rPr>
                <w:color w:val="000000" w:themeColor="text1"/>
                <w:szCs w:val="24"/>
              </w:rPr>
            </w:pPr>
            <w:r w:rsidRPr="00D277A5">
              <w:rPr>
                <w:color w:val="000000" w:themeColor="text1"/>
              </w:rPr>
              <w:t> </w:t>
            </w:r>
          </w:p>
        </w:tc>
        <w:tc>
          <w:tcPr>
            <w:tcW w:w="871" w:type="pct"/>
          </w:tcPr>
          <w:p w:rsidR="00F61E5D" w:rsidRPr="00D277A5" w:rsidRDefault="00F61E5D" w:rsidP="00924CBE">
            <w:pPr>
              <w:rPr>
                <w:color w:val="000000" w:themeColor="text1"/>
                <w:szCs w:val="24"/>
              </w:rPr>
            </w:pPr>
          </w:p>
        </w:tc>
        <w:tc>
          <w:tcPr>
            <w:tcW w:w="870" w:type="pct"/>
          </w:tcPr>
          <w:p w:rsidR="00F61E5D" w:rsidRPr="00D277A5" w:rsidRDefault="00F61E5D" w:rsidP="00924CBE">
            <w:pPr>
              <w:jc w:val="right"/>
              <w:rPr>
                <w:color w:val="000000" w:themeColor="text1"/>
                <w:szCs w:val="24"/>
              </w:rPr>
            </w:pP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Pastatai</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8</w:t>
            </w:r>
          </w:p>
        </w:tc>
        <w:tc>
          <w:tcPr>
            <w:tcW w:w="871" w:type="pct"/>
            <w:hideMark/>
          </w:tcPr>
          <w:p w:rsidR="00F61E5D" w:rsidRPr="00D277A5" w:rsidRDefault="00F61E5D" w:rsidP="00924CBE">
            <w:pPr>
              <w:jc w:val="center"/>
              <w:rPr>
                <w:color w:val="000000" w:themeColor="text1"/>
                <w:szCs w:val="24"/>
              </w:rPr>
            </w:pPr>
            <w:r w:rsidRPr="00D277A5">
              <w:rPr>
                <w:color w:val="000000" w:themeColor="text1"/>
              </w:rPr>
              <w:t>3,6 %</w:t>
            </w:r>
          </w:p>
        </w:tc>
        <w:tc>
          <w:tcPr>
            <w:tcW w:w="871" w:type="pct"/>
          </w:tcPr>
          <w:p w:rsidR="00F61E5D" w:rsidRPr="00D277A5" w:rsidRDefault="00F61E5D" w:rsidP="00924CBE">
            <w:pPr>
              <w:jc w:val="center"/>
              <w:rPr>
                <w:color w:val="000000" w:themeColor="text1"/>
                <w:szCs w:val="24"/>
              </w:rPr>
            </w:pPr>
            <w:r w:rsidRPr="00D277A5">
              <w:rPr>
                <w:color w:val="000000" w:themeColor="text1"/>
              </w:rPr>
              <w:t>2</w:t>
            </w:r>
          </w:p>
        </w:tc>
        <w:tc>
          <w:tcPr>
            <w:tcW w:w="870" w:type="pct"/>
          </w:tcPr>
          <w:p w:rsidR="00F61E5D" w:rsidRPr="00D277A5" w:rsidRDefault="00F61E5D" w:rsidP="00924CBE">
            <w:pPr>
              <w:jc w:val="center"/>
              <w:rPr>
                <w:color w:val="000000" w:themeColor="text1"/>
                <w:szCs w:val="24"/>
              </w:rPr>
            </w:pPr>
            <w:r w:rsidRPr="00D277A5">
              <w:rPr>
                <w:color w:val="000000" w:themeColor="text1"/>
              </w:rPr>
              <w:t>1 %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Paslaugos</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176</w:t>
            </w:r>
          </w:p>
        </w:tc>
        <w:tc>
          <w:tcPr>
            <w:tcW w:w="871" w:type="pct"/>
            <w:hideMark/>
          </w:tcPr>
          <w:p w:rsidR="00F61E5D" w:rsidRPr="00D277A5" w:rsidRDefault="00F61E5D" w:rsidP="00924CBE">
            <w:pPr>
              <w:jc w:val="center"/>
              <w:rPr>
                <w:color w:val="000000" w:themeColor="text1"/>
                <w:szCs w:val="24"/>
              </w:rPr>
            </w:pPr>
            <w:r w:rsidRPr="00D277A5">
              <w:rPr>
                <w:color w:val="000000" w:themeColor="text1"/>
              </w:rPr>
              <w:t>79,6 %</w:t>
            </w:r>
          </w:p>
        </w:tc>
        <w:tc>
          <w:tcPr>
            <w:tcW w:w="871" w:type="pct"/>
          </w:tcPr>
          <w:p w:rsidR="00F61E5D" w:rsidRPr="00D277A5" w:rsidRDefault="00F61E5D" w:rsidP="00924CBE">
            <w:pPr>
              <w:jc w:val="center"/>
              <w:rPr>
                <w:color w:val="000000" w:themeColor="text1"/>
                <w:szCs w:val="24"/>
              </w:rPr>
            </w:pPr>
            <w:r w:rsidRPr="00D277A5">
              <w:rPr>
                <w:color w:val="000000" w:themeColor="text1"/>
              </w:rPr>
              <w:t>169</w:t>
            </w:r>
          </w:p>
        </w:tc>
        <w:tc>
          <w:tcPr>
            <w:tcW w:w="870" w:type="pct"/>
          </w:tcPr>
          <w:p w:rsidR="00F61E5D" w:rsidRPr="00D277A5" w:rsidRDefault="00F61E5D" w:rsidP="00924CBE">
            <w:pPr>
              <w:jc w:val="center"/>
              <w:rPr>
                <w:color w:val="000000" w:themeColor="text1"/>
                <w:szCs w:val="24"/>
              </w:rPr>
            </w:pPr>
            <w:r w:rsidRPr="00D277A5">
              <w:rPr>
                <w:color w:val="000000" w:themeColor="text1"/>
              </w:rPr>
              <w:t>87 %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Tiekimas</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27</w:t>
            </w:r>
          </w:p>
        </w:tc>
        <w:tc>
          <w:tcPr>
            <w:tcW w:w="871" w:type="pct"/>
            <w:hideMark/>
          </w:tcPr>
          <w:p w:rsidR="00F61E5D" w:rsidRPr="00D277A5" w:rsidRDefault="00F61E5D" w:rsidP="00924CBE">
            <w:pPr>
              <w:jc w:val="center"/>
              <w:rPr>
                <w:color w:val="000000" w:themeColor="text1"/>
                <w:szCs w:val="24"/>
              </w:rPr>
            </w:pPr>
            <w:r w:rsidRPr="00D277A5">
              <w:rPr>
                <w:color w:val="000000" w:themeColor="text1"/>
              </w:rPr>
              <w:t>12,2 %</w:t>
            </w:r>
          </w:p>
        </w:tc>
        <w:tc>
          <w:tcPr>
            <w:tcW w:w="871" w:type="pct"/>
          </w:tcPr>
          <w:p w:rsidR="00F61E5D" w:rsidRPr="00D277A5" w:rsidRDefault="00F61E5D" w:rsidP="00924CBE">
            <w:pPr>
              <w:jc w:val="center"/>
              <w:rPr>
                <w:color w:val="000000" w:themeColor="text1"/>
                <w:szCs w:val="24"/>
              </w:rPr>
            </w:pPr>
            <w:r w:rsidRPr="00D277A5">
              <w:rPr>
                <w:color w:val="000000" w:themeColor="text1"/>
              </w:rPr>
              <w:t>17</w:t>
            </w:r>
          </w:p>
        </w:tc>
        <w:tc>
          <w:tcPr>
            <w:tcW w:w="870" w:type="pct"/>
          </w:tcPr>
          <w:p w:rsidR="00F61E5D" w:rsidRPr="00D277A5" w:rsidRDefault="00F61E5D" w:rsidP="00924CBE">
            <w:pPr>
              <w:jc w:val="center"/>
              <w:rPr>
                <w:color w:val="000000" w:themeColor="text1"/>
                <w:szCs w:val="24"/>
              </w:rPr>
            </w:pPr>
            <w:r w:rsidRPr="00D277A5">
              <w:rPr>
                <w:color w:val="000000" w:themeColor="text1"/>
              </w:rPr>
              <w:t>9 %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Darbai</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10</w:t>
            </w:r>
          </w:p>
        </w:tc>
        <w:tc>
          <w:tcPr>
            <w:tcW w:w="871" w:type="pct"/>
            <w:hideMark/>
          </w:tcPr>
          <w:p w:rsidR="00F61E5D" w:rsidRPr="00D277A5" w:rsidRDefault="00F61E5D" w:rsidP="00924CBE">
            <w:pPr>
              <w:jc w:val="center"/>
              <w:rPr>
                <w:color w:val="000000" w:themeColor="text1"/>
                <w:szCs w:val="24"/>
              </w:rPr>
            </w:pPr>
            <w:r w:rsidRPr="00D277A5">
              <w:rPr>
                <w:color w:val="000000" w:themeColor="text1"/>
              </w:rPr>
              <w:t>4,5 %</w:t>
            </w:r>
          </w:p>
        </w:tc>
        <w:tc>
          <w:tcPr>
            <w:tcW w:w="871" w:type="pct"/>
          </w:tcPr>
          <w:p w:rsidR="00F61E5D" w:rsidRPr="00D277A5" w:rsidRDefault="00F61E5D" w:rsidP="00924CBE">
            <w:pPr>
              <w:jc w:val="center"/>
              <w:rPr>
                <w:color w:val="000000" w:themeColor="text1"/>
                <w:szCs w:val="24"/>
              </w:rPr>
            </w:pPr>
            <w:r w:rsidRPr="00D277A5">
              <w:rPr>
                <w:color w:val="000000" w:themeColor="text1"/>
              </w:rPr>
              <w:t>6</w:t>
            </w:r>
          </w:p>
        </w:tc>
        <w:tc>
          <w:tcPr>
            <w:tcW w:w="870" w:type="pct"/>
          </w:tcPr>
          <w:p w:rsidR="00F61E5D" w:rsidRPr="00D277A5" w:rsidRDefault="00F61E5D" w:rsidP="00924CBE">
            <w:pPr>
              <w:jc w:val="center"/>
              <w:rPr>
                <w:color w:val="000000" w:themeColor="text1"/>
                <w:szCs w:val="24"/>
              </w:rPr>
            </w:pPr>
            <w:r w:rsidRPr="00D277A5">
              <w:rPr>
                <w:color w:val="000000" w:themeColor="text1"/>
              </w:rPr>
              <w:t>3 %</w:t>
            </w:r>
          </w:p>
        </w:tc>
      </w:tr>
      <w:tr w:rsidR="00F61E5D" w:rsidRPr="00D277A5" w:rsidTr="00924CBE">
        <w:trPr>
          <w:trHeight w:val="315"/>
        </w:trPr>
        <w:tc>
          <w:tcPr>
            <w:tcW w:w="1296" w:type="pct"/>
            <w:hideMark/>
          </w:tcPr>
          <w:p w:rsidR="00F61E5D" w:rsidRPr="00D277A5" w:rsidRDefault="00F61E5D" w:rsidP="00924CBE">
            <w:pPr>
              <w:rPr>
                <w:color w:val="000000" w:themeColor="text1"/>
                <w:szCs w:val="24"/>
              </w:rPr>
            </w:pPr>
            <w:r w:rsidRPr="00D277A5">
              <w:rPr>
                <w:color w:val="000000" w:themeColor="text1"/>
              </w:rPr>
              <w:t> </w:t>
            </w:r>
          </w:p>
        </w:tc>
        <w:tc>
          <w:tcPr>
            <w:tcW w:w="1092" w:type="pct"/>
            <w:hideMark/>
          </w:tcPr>
          <w:p w:rsidR="00F61E5D" w:rsidRPr="00D277A5" w:rsidRDefault="00F61E5D" w:rsidP="00924CBE">
            <w:pPr>
              <w:jc w:val="center"/>
              <w:rPr>
                <w:color w:val="000000" w:themeColor="text1"/>
                <w:szCs w:val="24"/>
              </w:rPr>
            </w:pPr>
            <w:r w:rsidRPr="00D277A5">
              <w:rPr>
                <w:color w:val="000000" w:themeColor="text1"/>
              </w:rPr>
              <w:t> </w:t>
            </w:r>
          </w:p>
        </w:tc>
        <w:tc>
          <w:tcPr>
            <w:tcW w:w="871" w:type="pct"/>
            <w:hideMark/>
          </w:tcPr>
          <w:p w:rsidR="00F61E5D" w:rsidRPr="00D277A5" w:rsidRDefault="00F61E5D" w:rsidP="00924CBE">
            <w:pPr>
              <w:rPr>
                <w:color w:val="000000" w:themeColor="text1"/>
                <w:szCs w:val="24"/>
              </w:rPr>
            </w:pPr>
            <w:r w:rsidRPr="00D277A5">
              <w:rPr>
                <w:color w:val="000000" w:themeColor="text1"/>
              </w:rPr>
              <w:t> </w:t>
            </w:r>
          </w:p>
        </w:tc>
        <w:tc>
          <w:tcPr>
            <w:tcW w:w="871" w:type="pct"/>
          </w:tcPr>
          <w:p w:rsidR="00F61E5D" w:rsidRPr="00D277A5" w:rsidRDefault="00F61E5D" w:rsidP="00924CBE">
            <w:pPr>
              <w:rPr>
                <w:color w:val="000000" w:themeColor="text1"/>
                <w:szCs w:val="24"/>
              </w:rPr>
            </w:pPr>
          </w:p>
        </w:tc>
        <w:tc>
          <w:tcPr>
            <w:tcW w:w="870" w:type="pct"/>
          </w:tcPr>
          <w:p w:rsidR="00F61E5D" w:rsidRPr="00D277A5" w:rsidRDefault="00F61E5D" w:rsidP="00924CBE">
            <w:pPr>
              <w:jc w:val="center"/>
              <w:rPr>
                <w:color w:val="000000" w:themeColor="text1"/>
                <w:szCs w:val="24"/>
              </w:rPr>
            </w:pPr>
          </w:p>
        </w:tc>
      </w:tr>
      <w:tr w:rsidR="00F61E5D" w:rsidRPr="00D277A5" w:rsidTr="00924CBE">
        <w:trPr>
          <w:trHeight w:val="600"/>
        </w:trPr>
        <w:tc>
          <w:tcPr>
            <w:tcW w:w="1296" w:type="pct"/>
            <w:hideMark/>
          </w:tcPr>
          <w:p w:rsidR="00F61E5D" w:rsidRPr="00D277A5" w:rsidRDefault="00F61E5D" w:rsidP="00924CBE">
            <w:pPr>
              <w:rPr>
                <w:b/>
                <w:bCs/>
                <w:color w:val="000000" w:themeColor="text1"/>
                <w:szCs w:val="24"/>
              </w:rPr>
            </w:pPr>
            <w:r w:rsidRPr="00D277A5">
              <w:rPr>
                <w:b/>
                <w:color w:val="000000" w:themeColor="text1"/>
              </w:rPr>
              <w:t xml:space="preserve">   Iš viso</w:t>
            </w:r>
          </w:p>
        </w:tc>
        <w:tc>
          <w:tcPr>
            <w:tcW w:w="1092" w:type="pct"/>
            <w:hideMark/>
          </w:tcPr>
          <w:p w:rsidR="00F61E5D" w:rsidRPr="00D277A5" w:rsidRDefault="00F61E5D" w:rsidP="00924CBE">
            <w:pPr>
              <w:jc w:val="center"/>
              <w:rPr>
                <w:b/>
                <w:bCs/>
                <w:color w:val="000000" w:themeColor="text1"/>
                <w:szCs w:val="24"/>
              </w:rPr>
            </w:pPr>
            <w:r w:rsidRPr="00D277A5">
              <w:rPr>
                <w:b/>
                <w:color w:val="000000" w:themeColor="text1"/>
              </w:rPr>
              <w:t>221</w:t>
            </w:r>
          </w:p>
        </w:tc>
        <w:tc>
          <w:tcPr>
            <w:tcW w:w="871" w:type="pct"/>
            <w:hideMark/>
          </w:tcPr>
          <w:p w:rsidR="00F61E5D" w:rsidRPr="00D277A5" w:rsidRDefault="00F61E5D" w:rsidP="00924CBE">
            <w:pPr>
              <w:jc w:val="center"/>
              <w:rPr>
                <w:b/>
                <w:bCs/>
                <w:color w:val="000000" w:themeColor="text1"/>
                <w:szCs w:val="24"/>
              </w:rPr>
            </w:pPr>
            <w:r w:rsidRPr="00D277A5">
              <w:rPr>
                <w:b/>
                <w:color w:val="000000" w:themeColor="text1"/>
              </w:rPr>
              <w:t>100 %</w:t>
            </w:r>
          </w:p>
        </w:tc>
        <w:tc>
          <w:tcPr>
            <w:tcW w:w="871" w:type="pct"/>
          </w:tcPr>
          <w:p w:rsidR="00F61E5D" w:rsidRPr="00D277A5" w:rsidRDefault="00F61E5D" w:rsidP="00924CBE">
            <w:pPr>
              <w:jc w:val="center"/>
              <w:rPr>
                <w:b/>
                <w:bCs/>
                <w:color w:val="000000" w:themeColor="text1"/>
                <w:szCs w:val="24"/>
              </w:rPr>
            </w:pPr>
            <w:r w:rsidRPr="00D277A5">
              <w:rPr>
                <w:b/>
                <w:color w:val="000000" w:themeColor="text1"/>
              </w:rPr>
              <w:t>194</w:t>
            </w:r>
          </w:p>
        </w:tc>
        <w:tc>
          <w:tcPr>
            <w:tcW w:w="870" w:type="pct"/>
          </w:tcPr>
          <w:p w:rsidR="00F61E5D" w:rsidRPr="00D277A5" w:rsidRDefault="00F61E5D" w:rsidP="00924CBE">
            <w:pPr>
              <w:jc w:val="center"/>
              <w:rPr>
                <w:b/>
                <w:bCs/>
                <w:color w:val="000000" w:themeColor="text1"/>
                <w:szCs w:val="24"/>
              </w:rPr>
            </w:pPr>
            <w:r w:rsidRPr="00D277A5">
              <w:rPr>
                <w:b/>
                <w:color w:val="000000" w:themeColor="text1"/>
              </w:rPr>
              <w:t>100 %</w:t>
            </w:r>
          </w:p>
        </w:tc>
      </w:tr>
    </w:tbl>
    <w:p w:rsidR="00F61E5D" w:rsidRPr="00D277A5" w:rsidRDefault="00F61E5D" w:rsidP="00F61E5D">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F61E5D" w:rsidRPr="00D277A5" w:rsidTr="00924CBE">
        <w:trPr>
          <w:trHeight w:val="300"/>
        </w:trPr>
        <w:tc>
          <w:tcPr>
            <w:tcW w:w="1296" w:type="pct"/>
            <w:vMerge w:val="restart"/>
            <w:hideMark/>
          </w:tcPr>
          <w:p w:rsidR="00F61E5D" w:rsidRPr="00D277A5" w:rsidRDefault="00F61E5D" w:rsidP="00924CBE">
            <w:pPr>
              <w:jc w:val="center"/>
              <w:rPr>
                <w:b/>
                <w:bCs/>
                <w:color w:val="000000" w:themeColor="text1"/>
                <w:szCs w:val="24"/>
              </w:rPr>
            </w:pPr>
            <w:r w:rsidRPr="00D277A5">
              <w:rPr>
                <w:b/>
                <w:color w:val="000000" w:themeColor="text1"/>
              </w:rPr>
              <w:t>Sutarties tipas</w:t>
            </w:r>
          </w:p>
        </w:tc>
        <w:tc>
          <w:tcPr>
            <w:tcW w:w="1872"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2021</w:t>
            </w:r>
          </w:p>
        </w:tc>
        <w:tc>
          <w:tcPr>
            <w:tcW w:w="1832"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2022</w:t>
            </w:r>
          </w:p>
        </w:tc>
      </w:tr>
      <w:tr w:rsidR="00F61E5D" w:rsidRPr="00D277A5" w:rsidTr="00924CBE">
        <w:trPr>
          <w:trHeight w:val="315"/>
        </w:trPr>
        <w:tc>
          <w:tcPr>
            <w:tcW w:w="1296" w:type="pct"/>
            <w:vMerge/>
            <w:hideMark/>
          </w:tcPr>
          <w:p w:rsidR="00F61E5D" w:rsidRPr="00D277A5" w:rsidRDefault="00F61E5D" w:rsidP="00924CBE">
            <w:pPr>
              <w:rPr>
                <w:b/>
                <w:bCs/>
                <w:color w:val="000000" w:themeColor="text1"/>
                <w:szCs w:val="24"/>
              </w:rPr>
            </w:pPr>
          </w:p>
        </w:tc>
        <w:tc>
          <w:tcPr>
            <w:tcW w:w="1872" w:type="pct"/>
            <w:gridSpan w:val="2"/>
            <w:vMerge/>
            <w:hideMark/>
          </w:tcPr>
          <w:p w:rsidR="00F61E5D" w:rsidRPr="00D277A5" w:rsidRDefault="00F61E5D" w:rsidP="00924CBE">
            <w:pPr>
              <w:rPr>
                <w:b/>
                <w:bCs/>
                <w:color w:val="000000" w:themeColor="text1"/>
                <w:szCs w:val="24"/>
              </w:rPr>
            </w:pPr>
          </w:p>
        </w:tc>
        <w:tc>
          <w:tcPr>
            <w:tcW w:w="1832" w:type="pct"/>
            <w:gridSpan w:val="2"/>
            <w:vMerge/>
            <w:hideMark/>
          </w:tcPr>
          <w:p w:rsidR="00F61E5D" w:rsidRPr="00D277A5" w:rsidRDefault="00F61E5D" w:rsidP="00924CBE">
            <w:pPr>
              <w:rPr>
                <w:b/>
                <w:bCs/>
                <w:color w:val="000000" w:themeColor="text1"/>
                <w:szCs w:val="24"/>
              </w:rPr>
            </w:pPr>
          </w:p>
        </w:tc>
      </w:tr>
      <w:tr w:rsidR="00F61E5D" w:rsidRPr="00D277A5" w:rsidTr="00924CBE">
        <w:trPr>
          <w:trHeight w:val="315"/>
        </w:trPr>
        <w:tc>
          <w:tcPr>
            <w:tcW w:w="1296" w:type="pct"/>
            <w:vMerge/>
            <w:hideMark/>
          </w:tcPr>
          <w:p w:rsidR="00F61E5D" w:rsidRPr="00D277A5" w:rsidRDefault="00F61E5D" w:rsidP="00924CBE">
            <w:pPr>
              <w:rPr>
                <w:b/>
                <w:bCs/>
                <w:color w:val="000000" w:themeColor="text1"/>
                <w:szCs w:val="24"/>
              </w:rPr>
            </w:pPr>
          </w:p>
        </w:tc>
        <w:tc>
          <w:tcPr>
            <w:tcW w:w="1059" w:type="pct"/>
            <w:hideMark/>
          </w:tcPr>
          <w:p w:rsidR="00F61E5D" w:rsidRPr="00D277A5" w:rsidRDefault="00F61E5D" w:rsidP="00924CBE">
            <w:pPr>
              <w:jc w:val="center"/>
              <w:rPr>
                <w:b/>
                <w:bCs/>
                <w:color w:val="000000" w:themeColor="text1"/>
                <w:szCs w:val="24"/>
              </w:rPr>
            </w:pPr>
            <w:r w:rsidRPr="00D277A5">
              <w:rPr>
                <w:b/>
                <w:color w:val="000000" w:themeColor="text1"/>
              </w:rPr>
              <w:t>Suma</w:t>
            </w:r>
          </w:p>
        </w:tc>
        <w:tc>
          <w:tcPr>
            <w:tcW w:w="814"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c>
          <w:tcPr>
            <w:tcW w:w="973" w:type="pct"/>
            <w:hideMark/>
          </w:tcPr>
          <w:p w:rsidR="00F61E5D" w:rsidRPr="00D277A5" w:rsidRDefault="00F61E5D" w:rsidP="00924CBE">
            <w:pPr>
              <w:jc w:val="center"/>
              <w:rPr>
                <w:b/>
                <w:bCs/>
                <w:color w:val="000000" w:themeColor="text1"/>
                <w:szCs w:val="24"/>
              </w:rPr>
            </w:pPr>
            <w:r w:rsidRPr="00D277A5">
              <w:rPr>
                <w:b/>
                <w:color w:val="000000" w:themeColor="text1"/>
              </w:rPr>
              <w:t>Suma</w:t>
            </w:r>
          </w:p>
        </w:tc>
        <w:tc>
          <w:tcPr>
            <w:tcW w:w="859"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r>
      <w:tr w:rsidR="00F61E5D" w:rsidRPr="00D277A5" w:rsidTr="00924CBE">
        <w:trPr>
          <w:trHeight w:val="300"/>
        </w:trPr>
        <w:tc>
          <w:tcPr>
            <w:tcW w:w="1296" w:type="pct"/>
            <w:hideMark/>
          </w:tcPr>
          <w:p w:rsidR="00F61E5D" w:rsidRPr="00D277A5" w:rsidRDefault="00F61E5D" w:rsidP="00924CBE">
            <w:pPr>
              <w:rPr>
                <w:color w:val="000000" w:themeColor="text1"/>
                <w:szCs w:val="24"/>
              </w:rPr>
            </w:pPr>
            <w:r w:rsidRPr="00D277A5">
              <w:rPr>
                <w:color w:val="000000" w:themeColor="text1"/>
              </w:rPr>
              <w:lastRenderedPageBreak/>
              <w:t xml:space="preserve">   </w:t>
            </w:r>
          </w:p>
        </w:tc>
        <w:tc>
          <w:tcPr>
            <w:tcW w:w="1059" w:type="pct"/>
            <w:hideMark/>
          </w:tcPr>
          <w:p w:rsidR="00F61E5D" w:rsidRPr="00D277A5" w:rsidRDefault="00F61E5D" w:rsidP="00924CBE">
            <w:pPr>
              <w:rPr>
                <w:color w:val="000000" w:themeColor="text1"/>
                <w:szCs w:val="24"/>
              </w:rPr>
            </w:pPr>
            <w:r w:rsidRPr="00D277A5">
              <w:rPr>
                <w:color w:val="000000" w:themeColor="text1"/>
              </w:rPr>
              <w:t> </w:t>
            </w:r>
          </w:p>
        </w:tc>
        <w:tc>
          <w:tcPr>
            <w:tcW w:w="814" w:type="pct"/>
            <w:hideMark/>
          </w:tcPr>
          <w:p w:rsidR="00F61E5D" w:rsidRPr="00D277A5" w:rsidRDefault="00F61E5D" w:rsidP="00924CBE">
            <w:pPr>
              <w:rPr>
                <w:color w:val="000000" w:themeColor="text1"/>
                <w:szCs w:val="24"/>
              </w:rPr>
            </w:pPr>
            <w:r w:rsidRPr="00D277A5">
              <w:rPr>
                <w:color w:val="000000" w:themeColor="text1"/>
              </w:rPr>
              <w:t> </w:t>
            </w:r>
          </w:p>
        </w:tc>
        <w:tc>
          <w:tcPr>
            <w:tcW w:w="973" w:type="pct"/>
            <w:hideMark/>
          </w:tcPr>
          <w:p w:rsidR="00F61E5D" w:rsidRPr="00D277A5" w:rsidRDefault="00F61E5D" w:rsidP="00924CBE">
            <w:pPr>
              <w:rPr>
                <w:color w:val="000000" w:themeColor="text1"/>
                <w:szCs w:val="24"/>
              </w:rPr>
            </w:pPr>
            <w:r w:rsidRPr="00D277A5">
              <w:rPr>
                <w:color w:val="000000" w:themeColor="text1"/>
              </w:rPr>
              <w:t> </w:t>
            </w:r>
          </w:p>
        </w:tc>
        <w:tc>
          <w:tcPr>
            <w:tcW w:w="859" w:type="pct"/>
            <w:hideMark/>
          </w:tcPr>
          <w:p w:rsidR="00F61E5D" w:rsidRPr="00D277A5" w:rsidRDefault="00F61E5D" w:rsidP="00924CBE">
            <w:pPr>
              <w:rPr>
                <w:color w:val="000000" w:themeColor="text1"/>
                <w:szCs w:val="24"/>
              </w:rPr>
            </w:pPr>
            <w:r w:rsidRPr="00D277A5">
              <w:rPr>
                <w:color w:val="000000" w:themeColor="text1"/>
              </w:rPr>
              <w:t>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Pastatai</w:t>
            </w:r>
          </w:p>
        </w:tc>
        <w:tc>
          <w:tcPr>
            <w:tcW w:w="1059" w:type="pct"/>
            <w:hideMark/>
          </w:tcPr>
          <w:p w:rsidR="00F61E5D" w:rsidRPr="00D277A5" w:rsidRDefault="00F61E5D" w:rsidP="00924CBE">
            <w:pPr>
              <w:jc w:val="center"/>
              <w:rPr>
                <w:color w:val="000000" w:themeColor="text1"/>
                <w:szCs w:val="24"/>
              </w:rPr>
            </w:pPr>
            <w:r w:rsidRPr="00D277A5">
              <w:rPr>
                <w:color w:val="000000" w:themeColor="text1"/>
              </w:rPr>
              <w:t>168 302 638</w:t>
            </w:r>
          </w:p>
        </w:tc>
        <w:tc>
          <w:tcPr>
            <w:tcW w:w="814" w:type="pct"/>
            <w:hideMark/>
          </w:tcPr>
          <w:p w:rsidR="00F61E5D" w:rsidRPr="00D277A5" w:rsidRDefault="00F61E5D" w:rsidP="00924CBE">
            <w:pPr>
              <w:jc w:val="center"/>
              <w:rPr>
                <w:color w:val="000000" w:themeColor="text1"/>
                <w:szCs w:val="24"/>
              </w:rPr>
            </w:pPr>
            <w:r w:rsidRPr="00D277A5">
              <w:rPr>
                <w:color w:val="000000" w:themeColor="text1"/>
              </w:rPr>
              <w:t>17 %</w:t>
            </w:r>
          </w:p>
        </w:tc>
        <w:tc>
          <w:tcPr>
            <w:tcW w:w="973" w:type="pct"/>
          </w:tcPr>
          <w:p w:rsidR="00F61E5D" w:rsidRPr="00D277A5" w:rsidRDefault="00F61E5D" w:rsidP="00924CBE">
            <w:pPr>
              <w:jc w:val="center"/>
              <w:rPr>
                <w:color w:val="000000" w:themeColor="text1"/>
                <w:szCs w:val="24"/>
              </w:rPr>
            </w:pPr>
            <w:r w:rsidRPr="00D277A5">
              <w:rPr>
                <w:color w:val="000000" w:themeColor="text1"/>
              </w:rPr>
              <w:t>27 804 776</w:t>
            </w:r>
          </w:p>
        </w:tc>
        <w:tc>
          <w:tcPr>
            <w:tcW w:w="859" w:type="pct"/>
          </w:tcPr>
          <w:p w:rsidR="00F61E5D" w:rsidRPr="00D277A5" w:rsidRDefault="00F61E5D" w:rsidP="00924CBE">
            <w:pPr>
              <w:jc w:val="center"/>
              <w:rPr>
                <w:color w:val="000000" w:themeColor="text1"/>
                <w:szCs w:val="24"/>
              </w:rPr>
            </w:pPr>
            <w:r w:rsidRPr="00D277A5">
              <w:rPr>
                <w:color w:val="000000" w:themeColor="text1"/>
              </w:rPr>
              <w:t>7 %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Paslaugos</w:t>
            </w:r>
          </w:p>
        </w:tc>
        <w:tc>
          <w:tcPr>
            <w:tcW w:w="1059" w:type="pct"/>
            <w:hideMark/>
          </w:tcPr>
          <w:p w:rsidR="00F61E5D" w:rsidRPr="00D277A5" w:rsidRDefault="00F61E5D" w:rsidP="00924CBE">
            <w:pPr>
              <w:jc w:val="center"/>
              <w:rPr>
                <w:color w:val="000000" w:themeColor="text1"/>
                <w:szCs w:val="24"/>
              </w:rPr>
            </w:pPr>
            <w:r w:rsidRPr="00D277A5">
              <w:rPr>
                <w:color w:val="000000" w:themeColor="text1"/>
              </w:rPr>
              <w:t>634 689 038</w:t>
            </w:r>
          </w:p>
        </w:tc>
        <w:tc>
          <w:tcPr>
            <w:tcW w:w="814" w:type="pct"/>
            <w:hideMark/>
          </w:tcPr>
          <w:p w:rsidR="00F61E5D" w:rsidRPr="00D277A5" w:rsidRDefault="00F61E5D" w:rsidP="00924CBE">
            <w:pPr>
              <w:jc w:val="center"/>
              <w:rPr>
                <w:color w:val="000000" w:themeColor="text1"/>
                <w:szCs w:val="24"/>
              </w:rPr>
            </w:pPr>
            <w:r w:rsidRPr="00D277A5">
              <w:rPr>
                <w:color w:val="000000" w:themeColor="text1"/>
              </w:rPr>
              <w:t>62 %</w:t>
            </w:r>
          </w:p>
        </w:tc>
        <w:tc>
          <w:tcPr>
            <w:tcW w:w="973" w:type="pct"/>
          </w:tcPr>
          <w:p w:rsidR="00F61E5D" w:rsidRPr="00D277A5" w:rsidRDefault="00F61E5D" w:rsidP="00924CBE">
            <w:pPr>
              <w:jc w:val="center"/>
              <w:rPr>
                <w:color w:val="000000" w:themeColor="text1"/>
                <w:szCs w:val="24"/>
              </w:rPr>
            </w:pPr>
            <w:r w:rsidRPr="00D277A5">
              <w:rPr>
                <w:color w:val="000000" w:themeColor="text1"/>
              </w:rPr>
              <w:t>283 779 269</w:t>
            </w:r>
          </w:p>
        </w:tc>
        <w:tc>
          <w:tcPr>
            <w:tcW w:w="859" w:type="pct"/>
          </w:tcPr>
          <w:p w:rsidR="00F61E5D" w:rsidRPr="00D277A5" w:rsidRDefault="00F61E5D" w:rsidP="00924CBE">
            <w:pPr>
              <w:jc w:val="center"/>
              <w:rPr>
                <w:color w:val="000000" w:themeColor="text1"/>
                <w:szCs w:val="24"/>
              </w:rPr>
            </w:pPr>
            <w:r w:rsidRPr="00D277A5">
              <w:rPr>
                <w:color w:val="000000" w:themeColor="text1"/>
              </w:rPr>
              <w:t>69 %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Tiekimas</w:t>
            </w:r>
          </w:p>
        </w:tc>
        <w:tc>
          <w:tcPr>
            <w:tcW w:w="1059" w:type="pct"/>
            <w:hideMark/>
          </w:tcPr>
          <w:p w:rsidR="00F61E5D" w:rsidRPr="00D277A5" w:rsidRDefault="00F61E5D" w:rsidP="00924CBE">
            <w:pPr>
              <w:jc w:val="center"/>
              <w:rPr>
                <w:color w:val="000000" w:themeColor="text1"/>
                <w:szCs w:val="24"/>
              </w:rPr>
            </w:pPr>
            <w:r w:rsidRPr="00D277A5">
              <w:rPr>
                <w:color w:val="000000" w:themeColor="text1"/>
              </w:rPr>
              <w:t>136 777 513</w:t>
            </w:r>
          </w:p>
        </w:tc>
        <w:tc>
          <w:tcPr>
            <w:tcW w:w="814" w:type="pct"/>
            <w:hideMark/>
          </w:tcPr>
          <w:p w:rsidR="00F61E5D" w:rsidRPr="00D277A5" w:rsidRDefault="00F61E5D" w:rsidP="00924CBE">
            <w:pPr>
              <w:jc w:val="center"/>
              <w:rPr>
                <w:color w:val="000000" w:themeColor="text1"/>
                <w:szCs w:val="24"/>
              </w:rPr>
            </w:pPr>
            <w:r w:rsidRPr="00D277A5">
              <w:rPr>
                <w:color w:val="000000" w:themeColor="text1"/>
              </w:rPr>
              <w:t>13 %</w:t>
            </w:r>
          </w:p>
        </w:tc>
        <w:tc>
          <w:tcPr>
            <w:tcW w:w="973" w:type="pct"/>
          </w:tcPr>
          <w:p w:rsidR="00F61E5D" w:rsidRPr="00D277A5" w:rsidRDefault="00F61E5D" w:rsidP="00924CBE">
            <w:pPr>
              <w:jc w:val="center"/>
              <w:rPr>
                <w:color w:val="000000" w:themeColor="text1"/>
                <w:szCs w:val="24"/>
              </w:rPr>
            </w:pPr>
            <w:r w:rsidRPr="00D277A5">
              <w:rPr>
                <w:color w:val="000000" w:themeColor="text1"/>
              </w:rPr>
              <w:t>47 817 885</w:t>
            </w:r>
          </w:p>
        </w:tc>
        <w:tc>
          <w:tcPr>
            <w:tcW w:w="859" w:type="pct"/>
          </w:tcPr>
          <w:p w:rsidR="00F61E5D" w:rsidRPr="00D277A5" w:rsidRDefault="00F61E5D" w:rsidP="00924CBE">
            <w:pPr>
              <w:jc w:val="center"/>
              <w:rPr>
                <w:color w:val="000000" w:themeColor="text1"/>
                <w:szCs w:val="24"/>
              </w:rPr>
            </w:pPr>
            <w:r w:rsidRPr="00D277A5">
              <w:rPr>
                <w:color w:val="000000" w:themeColor="text1"/>
              </w:rPr>
              <w:t>12 %</w:t>
            </w:r>
          </w:p>
        </w:tc>
      </w:tr>
      <w:tr w:rsidR="00F61E5D" w:rsidRPr="00D277A5" w:rsidTr="00924CBE">
        <w:trPr>
          <w:trHeight w:val="300"/>
        </w:trPr>
        <w:tc>
          <w:tcPr>
            <w:tcW w:w="1296" w:type="pct"/>
            <w:hideMark/>
          </w:tcPr>
          <w:p w:rsidR="00F61E5D" w:rsidRPr="00D277A5" w:rsidRDefault="00F61E5D" w:rsidP="00924CBE">
            <w:pPr>
              <w:ind w:firstLineChars="100" w:firstLine="240"/>
              <w:rPr>
                <w:color w:val="000000" w:themeColor="text1"/>
                <w:szCs w:val="24"/>
              </w:rPr>
            </w:pPr>
            <w:r w:rsidRPr="00D277A5">
              <w:rPr>
                <w:color w:val="000000" w:themeColor="text1"/>
              </w:rPr>
              <w:t>Darbai</w:t>
            </w:r>
          </w:p>
        </w:tc>
        <w:tc>
          <w:tcPr>
            <w:tcW w:w="1059" w:type="pct"/>
            <w:hideMark/>
          </w:tcPr>
          <w:p w:rsidR="00F61E5D" w:rsidRPr="00D277A5" w:rsidRDefault="00F61E5D" w:rsidP="00924CBE">
            <w:pPr>
              <w:jc w:val="center"/>
              <w:rPr>
                <w:color w:val="000000" w:themeColor="text1"/>
                <w:szCs w:val="24"/>
              </w:rPr>
            </w:pPr>
            <w:r w:rsidRPr="00D277A5">
              <w:rPr>
                <w:color w:val="000000" w:themeColor="text1"/>
              </w:rPr>
              <w:t>76 247 759</w:t>
            </w:r>
          </w:p>
        </w:tc>
        <w:tc>
          <w:tcPr>
            <w:tcW w:w="814" w:type="pct"/>
            <w:hideMark/>
          </w:tcPr>
          <w:p w:rsidR="00F61E5D" w:rsidRPr="00D277A5" w:rsidRDefault="00F61E5D" w:rsidP="00924CBE">
            <w:pPr>
              <w:jc w:val="center"/>
              <w:rPr>
                <w:color w:val="000000" w:themeColor="text1"/>
                <w:szCs w:val="24"/>
              </w:rPr>
            </w:pPr>
            <w:r w:rsidRPr="00D277A5">
              <w:rPr>
                <w:color w:val="000000" w:themeColor="text1"/>
              </w:rPr>
              <w:t>8 %</w:t>
            </w:r>
          </w:p>
        </w:tc>
        <w:tc>
          <w:tcPr>
            <w:tcW w:w="973" w:type="pct"/>
          </w:tcPr>
          <w:p w:rsidR="00F61E5D" w:rsidRPr="00D277A5" w:rsidRDefault="00F61E5D" w:rsidP="00924CBE">
            <w:pPr>
              <w:jc w:val="center"/>
              <w:rPr>
                <w:color w:val="000000" w:themeColor="text1"/>
                <w:szCs w:val="24"/>
              </w:rPr>
            </w:pPr>
            <w:r w:rsidRPr="00D277A5">
              <w:rPr>
                <w:color w:val="000000" w:themeColor="text1"/>
              </w:rPr>
              <w:t xml:space="preserve">50 642 975 </w:t>
            </w:r>
          </w:p>
        </w:tc>
        <w:tc>
          <w:tcPr>
            <w:tcW w:w="859" w:type="pct"/>
          </w:tcPr>
          <w:p w:rsidR="00F61E5D" w:rsidRPr="00D277A5" w:rsidRDefault="00F61E5D" w:rsidP="00924CBE">
            <w:pPr>
              <w:jc w:val="center"/>
              <w:rPr>
                <w:color w:val="000000" w:themeColor="text1"/>
                <w:szCs w:val="24"/>
              </w:rPr>
            </w:pPr>
            <w:r w:rsidRPr="00D277A5">
              <w:rPr>
                <w:color w:val="000000" w:themeColor="text1"/>
              </w:rPr>
              <w:t>12 %</w:t>
            </w:r>
          </w:p>
        </w:tc>
      </w:tr>
      <w:tr w:rsidR="00F61E5D" w:rsidRPr="00D277A5" w:rsidTr="00924CBE">
        <w:trPr>
          <w:trHeight w:val="315"/>
        </w:trPr>
        <w:tc>
          <w:tcPr>
            <w:tcW w:w="1296" w:type="pct"/>
            <w:hideMark/>
          </w:tcPr>
          <w:p w:rsidR="00F61E5D" w:rsidRPr="00D277A5" w:rsidRDefault="00F61E5D" w:rsidP="00924CBE">
            <w:pPr>
              <w:rPr>
                <w:color w:val="000000" w:themeColor="text1"/>
                <w:szCs w:val="24"/>
              </w:rPr>
            </w:pPr>
            <w:r w:rsidRPr="00D277A5">
              <w:rPr>
                <w:color w:val="000000" w:themeColor="text1"/>
              </w:rPr>
              <w:t> </w:t>
            </w:r>
          </w:p>
        </w:tc>
        <w:tc>
          <w:tcPr>
            <w:tcW w:w="1059" w:type="pct"/>
            <w:hideMark/>
          </w:tcPr>
          <w:p w:rsidR="00F61E5D" w:rsidRPr="00D277A5" w:rsidRDefault="00F61E5D" w:rsidP="00924CBE">
            <w:pPr>
              <w:jc w:val="center"/>
              <w:rPr>
                <w:color w:val="000000" w:themeColor="text1"/>
                <w:szCs w:val="24"/>
              </w:rPr>
            </w:pPr>
            <w:r w:rsidRPr="00D277A5">
              <w:rPr>
                <w:color w:val="000000" w:themeColor="text1"/>
              </w:rPr>
              <w:t> </w:t>
            </w:r>
          </w:p>
        </w:tc>
        <w:tc>
          <w:tcPr>
            <w:tcW w:w="814" w:type="pct"/>
            <w:hideMark/>
          </w:tcPr>
          <w:p w:rsidR="00F61E5D" w:rsidRPr="00D277A5" w:rsidRDefault="00F61E5D" w:rsidP="00924CBE">
            <w:pPr>
              <w:jc w:val="right"/>
              <w:rPr>
                <w:color w:val="000000" w:themeColor="text1"/>
                <w:szCs w:val="24"/>
              </w:rPr>
            </w:pPr>
            <w:r w:rsidRPr="00D277A5">
              <w:rPr>
                <w:color w:val="000000" w:themeColor="text1"/>
              </w:rPr>
              <w:t> </w:t>
            </w:r>
          </w:p>
        </w:tc>
        <w:tc>
          <w:tcPr>
            <w:tcW w:w="973" w:type="pct"/>
          </w:tcPr>
          <w:p w:rsidR="00F61E5D" w:rsidRPr="00D277A5" w:rsidRDefault="00F61E5D" w:rsidP="00924CBE">
            <w:pPr>
              <w:jc w:val="right"/>
              <w:rPr>
                <w:color w:val="000000" w:themeColor="text1"/>
                <w:szCs w:val="24"/>
              </w:rPr>
            </w:pPr>
          </w:p>
        </w:tc>
        <w:tc>
          <w:tcPr>
            <w:tcW w:w="859" w:type="pct"/>
          </w:tcPr>
          <w:p w:rsidR="00F61E5D" w:rsidRPr="00D277A5" w:rsidRDefault="00F61E5D" w:rsidP="00924CBE">
            <w:pPr>
              <w:jc w:val="right"/>
              <w:rPr>
                <w:color w:val="000000" w:themeColor="text1"/>
                <w:szCs w:val="24"/>
              </w:rPr>
            </w:pPr>
          </w:p>
        </w:tc>
      </w:tr>
      <w:tr w:rsidR="00F61E5D" w:rsidRPr="00D277A5" w:rsidTr="00924CBE">
        <w:trPr>
          <w:trHeight w:val="600"/>
        </w:trPr>
        <w:tc>
          <w:tcPr>
            <w:tcW w:w="1296" w:type="pct"/>
            <w:hideMark/>
          </w:tcPr>
          <w:p w:rsidR="00F61E5D" w:rsidRPr="00D277A5" w:rsidRDefault="00F61E5D" w:rsidP="00924CBE">
            <w:pPr>
              <w:rPr>
                <w:b/>
                <w:bCs/>
                <w:color w:val="000000" w:themeColor="text1"/>
                <w:szCs w:val="24"/>
              </w:rPr>
            </w:pPr>
            <w:r w:rsidRPr="00D277A5">
              <w:rPr>
                <w:b/>
                <w:color w:val="000000" w:themeColor="text1"/>
              </w:rPr>
              <w:t xml:space="preserve">   Iš viso</w:t>
            </w:r>
          </w:p>
        </w:tc>
        <w:tc>
          <w:tcPr>
            <w:tcW w:w="1059" w:type="pct"/>
            <w:hideMark/>
          </w:tcPr>
          <w:p w:rsidR="00F61E5D" w:rsidRPr="00D277A5" w:rsidRDefault="00F61E5D" w:rsidP="00924CBE">
            <w:pPr>
              <w:jc w:val="center"/>
              <w:rPr>
                <w:b/>
                <w:bCs/>
                <w:color w:val="000000" w:themeColor="text1"/>
                <w:szCs w:val="24"/>
              </w:rPr>
            </w:pPr>
            <w:r w:rsidRPr="00D277A5">
              <w:rPr>
                <w:b/>
                <w:color w:val="000000" w:themeColor="text1"/>
              </w:rPr>
              <w:t>1 016 016 948</w:t>
            </w:r>
          </w:p>
        </w:tc>
        <w:tc>
          <w:tcPr>
            <w:tcW w:w="814" w:type="pct"/>
            <w:hideMark/>
          </w:tcPr>
          <w:p w:rsidR="00F61E5D" w:rsidRPr="00D277A5" w:rsidRDefault="00F61E5D" w:rsidP="00924CBE">
            <w:pPr>
              <w:jc w:val="center"/>
              <w:rPr>
                <w:b/>
                <w:bCs/>
                <w:color w:val="000000" w:themeColor="text1"/>
                <w:szCs w:val="24"/>
              </w:rPr>
            </w:pPr>
            <w:r w:rsidRPr="00D277A5">
              <w:rPr>
                <w:b/>
                <w:color w:val="000000" w:themeColor="text1"/>
              </w:rPr>
              <w:t>100 %</w:t>
            </w:r>
          </w:p>
        </w:tc>
        <w:tc>
          <w:tcPr>
            <w:tcW w:w="973" w:type="pct"/>
          </w:tcPr>
          <w:p w:rsidR="00F61E5D" w:rsidRPr="00D277A5" w:rsidRDefault="00F61E5D" w:rsidP="00924CBE">
            <w:pPr>
              <w:jc w:val="center"/>
              <w:rPr>
                <w:b/>
                <w:bCs/>
                <w:color w:val="000000" w:themeColor="text1"/>
                <w:szCs w:val="24"/>
              </w:rPr>
            </w:pPr>
            <w:r w:rsidRPr="00D277A5">
              <w:rPr>
                <w:b/>
                <w:color w:val="000000" w:themeColor="text1"/>
              </w:rPr>
              <w:t>410 044 905</w:t>
            </w:r>
          </w:p>
        </w:tc>
        <w:tc>
          <w:tcPr>
            <w:tcW w:w="859" w:type="pct"/>
          </w:tcPr>
          <w:p w:rsidR="00F61E5D" w:rsidRPr="00D277A5" w:rsidRDefault="00F61E5D" w:rsidP="00924CBE">
            <w:pPr>
              <w:jc w:val="center"/>
              <w:rPr>
                <w:b/>
                <w:bCs/>
                <w:color w:val="000000" w:themeColor="text1"/>
                <w:szCs w:val="24"/>
              </w:rPr>
            </w:pPr>
            <w:r w:rsidRPr="00D277A5">
              <w:rPr>
                <w:b/>
                <w:color w:val="000000" w:themeColor="text1"/>
              </w:rPr>
              <w:t>100 %</w:t>
            </w:r>
          </w:p>
        </w:tc>
      </w:tr>
    </w:tbl>
    <w:p w:rsidR="00F61E5D" w:rsidRPr="00D277A5" w:rsidRDefault="00F61E5D" w:rsidP="00F61E5D">
      <w:pPr>
        <w:spacing w:after="240"/>
        <w:ind w:left="567" w:hanging="567"/>
        <w:jc w:val="both"/>
        <w:rPr>
          <w:szCs w:val="24"/>
          <w14:textOutline w14:w="0" w14:cap="flat" w14:cmpd="sng" w14:algn="ctr">
            <w14:noFill/>
            <w14:prstDash w14:val="solid"/>
            <w14:bevel/>
          </w14:textOutline>
        </w:rPr>
      </w:pP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8306B9">
        <w:rPr>
          <w14:textOutline w14:w="0" w14:cap="flat" w14:cmpd="sng" w14:algn="ctr">
            <w14:noFill/>
            <w14:prstDash w14:val="solid"/>
            <w14:bevel/>
          </w14:textOutline>
        </w:rPr>
        <w:t>7</w:t>
      </w:r>
      <w:r w:rsidR="00EF176F">
        <w:rPr>
          <w14:textOutline w14:w="0" w14:cap="flat" w14:cmpd="sng" w14:algn="ctr">
            <w14:noFill/>
            <w14:prstDash w14:val="solid"/>
            <w14:bevel/>
          </w14:textOutline>
        </w:rPr>
        <w:t>1</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pažymi, kad 2022 m. ir 2021 m. paskirtos sutartys pagal taikytą procedūrą, atsižvelgiant į skaičių ir vertę, suskirstytos taip:</w:t>
      </w:r>
    </w:p>
    <w:tbl>
      <w:tblPr>
        <w:tblStyle w:val="TableGrid"/>
        <w:tblW w:w="5000" w:type="pct"/>
        <w:tblLook w:val="04A0" w:firstRow="1" w:lastRow="0" w:firstColumn="1" w:lastColumn="0" w:noHBand="0" w:noVBand="1"/>
      </w:tblPr>
      <w:tblGrid>
        <w:gridCol w:w="2792"/>
        <w:gridCol w:w="1328"/>
        <w:gridCol w:w="1620"/>
        <w:gridCol w:w="1678"/>
        <w:gridCol w:w="1642"/>
      </w:tblGrid>
      <w:tr w:rsidR="00F61E5D" w:rsidRPr="00D277A5" w:rsidTr="00924CBE">
        <w:trPr>
          <w:trHeight w:val="300"/>
        </w:trPr>
        <w:tc>
          <w:tcPr>
            <w:tcW w:w="1541" w:type="pct"/>
            <w:vMerge w:val="restart"/>
            <w:hideMark/>
          </w:tcPr>
          <w:p w:rsidR="00F61E5D" w:rsidRPr="00D277A5" w:rsidRDefault="00F61E5D" w:rsidP="00924CBE">
            <w:pPr>
              <w:jc w:val="center"/>
              <w:rPr>
                <w:b/>
                <w:bCs/>
                <w:color w:val="000000" w:themeColor="text1"/>
                <w:szCs w:val="24"/>
              </w:rPr>
            </w:pPr>
            <w:r w:rsidRPr="00D277A5">
              <w:rPr>
                <w:b/>
                <w:color w:val="000000" w:themeColor="text1"/>
              </w:rPr>
              <w:t xml:space="preserve">Procedūros tipas </w:t>
            </w:r>
          </w:p>
        </w:tc>
        <w:tc>
          <w:tcPr>
            <w:tcW w:w="1627"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2021</w:t>
            </w:r>
          </w:p>
        </w:tc>
        <w:tc>
          <w:tcPr>
            <w:tcW w:w="1832" w:type="pct"/>
            <w:gridSpan w:val="2"/>
            <w:vMerge w:val="restart"/>
            <w:hideMark/>
          </w:tcPr>
          <w:p w:rsidR="00F61E5D" w:rsidRPr="00D277A5" w:rsidRDefault="00F61E5D" w:rsidP="00924CBE">
            <w:pPr>
              <w:jc w:val="center"/>
              <w:rPr>
                <w:b/>
                <w:bCs/>
                <w:color w:val="000000" w:themeColor="text1"/>
                <w:szCs w:val="24"/>
              </w:rPr>
            </w:pPr>
            <w:r w:rsidRPr="00D277A5">
              <w:rPr>
                <w:b/>
                <w:color w:val="000000" w:themeColor="text1"/>
              </w:rPr>
              <w:t>2022</w:t>
            </w:r>
          </w:p>
        </w:tc>
      </w:tr>
      <w:tr w:rsidR="00F61E5D" w:rsidRPr="00D277A5" w:rsidTr="00924CBE">
        <w:trPr>
          <w:trHeight w:val="315"/>
        </w:trPr>
        <w:tc>
          <w:tcPr>
            <w:tcW w:w="1541" w:type="pct"/>
            <w:vMerge/>
            <w:hideMark/>
          </w:tcPr>
          <w:p w:rsidR="00F61E5D" w:rsidRPr="00D277A5" w:rsidRDefault="00F61E5D" w:rsidP="00924CBE">
            <w:pPr>
              <w:rPr>
                <w:b/>
                <w:bCs/>
                <w:color w:val="000000" w:themeColor="text1"/>
                <w:szCs w:val="24"/>
              </w:rPr>
            </w:pPr>
          </w:p>
        </w:tc>
        <w:tc>
          <w:tcPr>
            <w:tcW w:w="1627" w:type="pct"/>
            <w:gridSpan w:val="2"/>
            <w:vMerge/>
            <w:hideMark/>
          </w:tcPr>
          <w:p w:rsidR="00F61E5D" w:rsidRPr="00D277A5" w:rsidRDefault="00F61E5D" w:rsidP="00924CBE">
            <w:pPr>
              <w:rPr>
                <w:b/>
                <w:bCs/>
                <w:color w:val="000000" w:themeColor="text1"/>
                <w:szCs w:val="24"/>
              </w:rPr>
            </w:pPr>
          </w:p>
        </w:tc>
        <w:tc>
          <w:tcPr>
            <w:tcW w:w="1832" w:type="pct"/>
            <w:gridSpan w:val="2"/>
            <w:vMerge/>
            <w:hideMark/>
          </w:tcPr>
          <w:p w:rsidR="00F61E5D" w:rsidRPr="00D277A5" w:rsidRDefault="00F61E5D" w:rsidP="00924CBE">
            <w:pPr>
              <w:rPr>
                <w:b/>
                <w:bCs/>
                <w:color w:val="000000" w:themeColor="text1"/>
                <w:szCs w:val="24"/>
              </w:rPr>
            </w:pPr>
          </w:p>
        </w:tc>
      </w:tr>
      <w:tr w:rsidR="00F61E5D" w:rsidRPr="00D277A5" w:rsidTr="00924CBE">
        <w:trPr>
          <w:trHeight w:val="315"/>
        </w:trPr>
        <w:tc>
          <w:tcPr>
            <w:tcW w:w="1541" w:type="pct"/>
            <w:vMerge/>
            <w:hideMark/>
          </w:tcPr>
          <w:p w:rsidR="00F61E5D" w:rsidRPr="00D277A5" w:rsidRDefault="00F61E5D" w:rsidP="00924CBE">
            <w:pPr>
              <w:rPr>
                <w:b/>
                <w:bCs/>
                <w:color w:val="000000" w:themeColor="text1"/>
                <w:szCs w:val="24"/>
              </w:rPr>
            </w:pPr>
          </w:p>
        </w:tc>
        <w:tc>
          <w:tcPr>
            <w:tcW w:w="733" w:type="pct"/>
            <w:hideMark/>
          </w:tcPr>
          <w:p w:rsidR="00F61E5D" w:rsidRPr="00D277A5" w:rsidRDefault="00F61E5D" w:rsidP="00924CBE">
            <w:pPr>
              <w:jc w:val="center"/>
              <w:rPr>
                <w:b/>
                <w:bCs/>
                <w:color w:val="000000" w:themeColor="text1"/>
                <w:szCs w:val="24"/>
              </w:rPr>
            </w:pPr>
            <w:r w:rsidRPr="00D277A5">
              <w:rPr>
                <w:b/>
                <w:color w:val="000000" w:themeColor="text1"/>
              </w:rPr>
              <w:t>Skaičius</w:t>
            </w:r>
          </w:p>
        </w:tc>
        <w:tc>
          <w:tcPr>
            <w:tcW w:w="894"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c>
          <w:tcPr>
            <w:tcW w:w="926" w:type="pct"/>
            <w:hideMark/>
          </w:tcPr>
          <w:p w:rsidR="00F61E5D" w:rsidRPr="00D277A5" w:rsidRDefault="00F61E5D" w:rsidP="00924CBE">
            <w:pPr>
              <w:jc w:val="center"/>
              <w:rPr>
                <w:b/>
                <w:bCs/>
                <w:color w:val="000000" w:themeColor="text1"/>
                <w:szCs w:val="24"/>
              </w:rPr>
            </w:pPr>
            <w:r w:rsidRPr="00D277A5">
              <w:rPr>
                <w:b/>
                <w:color w:val="000000" w:themeColor="text1"/>
              </w:rPr>
              <w:t>Skaičius</w:t>
            </w:r>
          </w:p>
        </w:tc>
        <w:tc>
          <w:tcPr>
            <w:tcW w:w="906" w:type="pct"/>
            <w:hideMark/>
          </w:tcPr>
          <w:p w:rsidR="00F61E5D" w:rsidRPr="00D277A5" w:rsidRDefault="00F61E5D" w:rsidP="00924CBE">
            <w:pPr>
              <w:jc w:val="center"/>
              <w:rPr>
                <w:b/>
                <w:bCs/>
                <w:color w:val="000000" w:themeColor="text1"/>
                <w:szCs w:val="24"/>
              </w:rPr>
            </w:pPr>
            <w:r w:rsidRPr="00D277A5">
              <w:rPr>
                <w:b/>
                <w:color w:val="000000" w:themeColor="text1"/>
              </w:rPr>
              <w:t>Procentinė dalis</w:t>
            </w:r>
          </w:p>
        </w:tc>
      </w:tr>
      <w:tr w:rsidR="00F61E5D" w:rsidRPr="00D277A5" w:rsidTr="00924CBE">
        <w:trPr>
          <w:trHeight w:val="300"/>
        </w:trPr>
        <w:tc>
          <w:tcPr>
            <w:tcW w:w="1541" w:type="pct"/>
            <w:hideMark/>
          </w:tcPr>
          <w:p w:rsidR="00F61E5D" w:rsidRPr="00D277A5" w:rsidRDefault="00F61E5D" w:rsidP="00924CBE">
            <w:pPr>
              <w:rPr>
                <w:color w:val="000000" w:themeColor="text1"/>
                <w:szCs w:val="24"/>
              </w:rPr>
            </w:pPr>
            <w:r w:rsidRPr="00D277A5">
              <w:rPr>
                <w:color w:val="000000" w:themeColor="text1"/>
              </w:rPr>
              <w:t> </w:t>
            </w:r>
          </w:p>
        </w:tc>
        <w:tc>
          <w:tcPr>
            <w:tcW w:w="733" w:type="pct"/>
            <w:hideMark/>
          </w:tcPr>
          <w:p w:rsidR="00F61E5D" w:rsidRPr="00D277A5" w:rsidRDefault="00F61E5D" w:rsidP="00924CBE">
            <w:pPr>
              <w:rPr>
                <w:color w:val="000000" w:themeColor="text1"/>
                <w:szCs w:val="24"/>
              </w:rPr>
            </w:pPr>
            <w:r w:rsidRPr="00D277A5">
              <w:rPr>
                <w:color w:val="000000" w:themeColor="text1"/>
              </w:rPr>
              <w:t> </w:t>
            </w:r>
          </w:p>
        </w:tc>
        <w:tc>
          <w:tcPr>
            <w:tcW w:w="894" w:type="pct"/>
            <w:hideMark/>
          </w:tcPr>
          <w:p w:rsidR="00F61E5D" w:rsidRPr="00D277A5" w:rsidRDefault="00F61E5D" w:rsidP="00924CBE">
            <w:pPr>
              <w:rPr>
                <w:color w:val="000000" w:themeColor="text1"/>
                <w:szCs w:val="24"/>
              </w:rPr>
            </w:pPr>
            <w:r w:rsidRPr="00D277A5">
              <w:rPr>
                <w:color w:val="000000" w:themeColor="text1"/>
              </w:rPr>
              <w:t> </w:t>
            </w:r>
          </w:p>
        </w:tc>
        <w:tc>
          <w:tcPr>
            <w:tcW w:w="926" w:type="pct"/>
            <w:hideMark/>
          </w:tcPr>
          <w:p w:rsidR="00F61E5D" w:rsidRPr="00D277A5" w:rsidRDefault="00F61E5D" w:rsidP="00924CBE">
            <w:pPr>
              <w:rPr>
                <w:color w:val="000000" w:themeColor="text1"/>
                <w:szCs w:val="24"/>
              </w:rPr>
            </w:pPr>
            <w:r w:rsidRPr="00D277A5">
              <w:rPr>
                <w:color w:val="000000" w:themeColor="text1"/>
              </w:rPr>
              <w:t> </w:t>
            </w:r>
          </w:p>
        </w:tc>
        <w:tc>
          <w:tcPr>
            <w:tcW w:w="906" w:type="pct"/>
            <w:hideMark/>
          </w:tcPr>
          <w:p w:rsidR="00F61E5D" w:rsidRPr="00D277A5" w:rsidRDefault="00F61E5D" w:rsidP="00924CBE">
            <w:pPr>
              <w:rPr>
                <w:color w:val="000000" w:themeColor="text1"/>
                <w:szCs w:val="24"/>
              </w:rPr>
            </w:pPr>
            <w:r w:rsidRPr="00D277A5">
              <w:rPr>
                <w:color w:val="000000" w:themeColor="text1"/>
              </w:rPr>
              <w:t>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Atviras konkursas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78</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35 %</w:t>
            </w:r>
          </w:p>
        </w:tc>
        <w:tc>
          <w:tcPr>
            <w:tcW w:w="926" w:type="pct"/>
          </w:tcPr>
          <w:p w:rsidR="00F61E5D" w:rsidRPr="00D277A5" w:rsidRDefault="00F61E5D" w:rsidP="00924CBE">
            <w:pPr>
              <w:jc w:val="center"/>
              <w:rPr>
                <w:color w:val="000000" w:themeColor="text1"/>
                <w:szCs w:val="24"/>
              </w:rPr>
            </w:pPr>
            <w:r w:rsidRPr="00D277A5">
              <w:rPr>
                <w:color w:val="000000" w:themeColor="text1"/>
              </w:rPr>
              <w:t>63</w:t>
            </w:r>
          </w:p>
        </w:tc>
        <w:tc>
          <w:tcPr>
            <w:tcW w:w="906" w:type="pct"/>
          </w:tcPr>
          <w:p w:rsidR="00F61E5D" w:rsidRPr="00D277A5" w:rsidRDefault="00F61E5D" w:rsidP="00924CBE">
            <w:pPr>
              <w:jc w:val="center"/>
              <w:rPr>
                <w:color w:val="000000" w:themeColor="text1"/>
                <w:szCs w:val="24"/>
              </w:rPr>
            </w:pPr>
            <w:r w:rsidRPr="00D277A5">
              <w:rPr>
                <w:color w:val="000000" w:themeColor="text1"/>
              </w:rPr>
              <w:t>32,5 %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Derybos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135</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61 %</w:t>
            </w:r>
          </w:p>
        </w:tc>
        <w:tc>
          <w:tcPr>
            <w:tcW w:w="926" w:type="pct"/>
          </w:tcPr>
          <w:p w:rsidR="00F61E5D" w:rsidRPr="00D277A5" w:rsidRDefault="00F61E5D" w:rsidP="00924CBE">
            <w:pPr>
              <w:jc w:val="center"/>
              <w:rPr>
                <w:color w:val="000000" w:themeColor="text1"/>
                <w:szCs w:val="24"/>
              </w:rPr>
            </w:pPr>
            <w:r w:rsidRPr="00D277A5">
              <w:rPr>
                <w:color w:val="000000" w:themeColor="text1"/>
              </w:rPr>
              <w:t>126</w:t>
            </w:r>
          </w:p>
        </w:tc>
        <w:tc>
          <w:tcPr>
            <w:tcW w:w="906" w:type="pct"/>
          </w:tcPr>
          <w:p w:rsidR="00F61E5D" w:rsidRPr="00D277A5" w:rsidRDefault="00F61E5D" w:rsidP="00924CBE">
            <w:pPr>
              <w:jc w:val="center"/>
              <w:rPr>
                <w:color w:val="000000" w:themeColor="text1"/>
                <w:szCs w:val="24"/>
              </w:rPr>
            </w:pPr>
            <w:r w:rsidRPr="00D277A5">
              <w:rPr>
                <w:color w:val="000000" w:themeColor="text1"/>
              </w:rPr>
              <w:t>65 %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Ribotas konkursas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2</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1 %</w:t>
            </w:r>
          </w:p>
        </w:tc>
        <w:tc>
          <w:tcPr>
            <w:tcW w:w="926" w:type="pct"/>
          </w:tcPr>
          <w:p w:rsidR="00F61E5D" w:rsidRPr="00D277A5" w:rsidRDefault="00F61E5D" w:rsidP="00924CBE">
            <w:pPr>
              <w:jc w:val="center"/>
              <w:rPr>
                <w:color w:val="000000" w:themeColor="text1"/>
                <w:szCs w:val="24"/>
              </w:rPr>
            </w:pPr>
            <w:r w:rsidRPr="00D277A5">
              <w:rPr>
                <w:color w:val="000000" w:themeColor="text1"/>
              </w:rPr>
              <w:t>1</w:t>
            </w:r>
          </w:p>
        </w:tc>
        <w:tc>
          <w:tcPr>
            <w:tcW w:w="906" w:type="pct"/>
          </w:tcPr>
          <w:p w:rsidR="00F61E5D" w:rsidRPr="00D277A5" w:rsidRDefault="00F61E5D" w:rsidP="00924CBE">
            <w:pPr>
              <w:jc w:val="center"/>
              <w:rPr>
                <w:color w:val="000000" w:themeColor="text1"/>
                <w:szCs w:val="24"/>
              </w:rPr>
            </w:pPr>
            <w:r w:rsidRPr="00D277A5">
              <w:rPr>
                <w:color w:val="000000" w:themeColor="text1"/>
              </w:rPr>
              <w:t>0,5 %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Išimtinė</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2</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1 %</w:t>
            </w:r>
          </w:p>
        </w:tc>
        <w:tc>
          <w:tcPr>
            <w:tcW w:w="926" w:type="pct"/>
          </w:tcPr>
          <w:p w:rsidR="00F61E5D" w:rsidRPr="00D277A5" w:rsidRDefault="00F61E5D" w:rsidP="00924CBE">
            <w:pPr>
              <w:jc w:val="center"/>
              <w:rPr>
                <w:color w:val="000000" w:themeColor="text1"/>
                <w:szCs w:val="24"/>
              </w:rPr>
            </w:pPr>
            <w:r w:rsidRPr="00D277A5">
              <w:rPr>
                <w:color w:val="000000" w:themeColor="text1"/>
              </w:rPr>
              <w:t>1</w:t>
            </w:r>
          </w:p>
        </w:tc>
        <w:tc>
          <w:tcPr>
            <w:tcW w:w="906" w:type="pct"/>
          </w:tcPr>
          <w:p w:rsidR="00F61E5D" w:rsidRPr="00D277A5" w:rsidRDefault="00F61E5D" w:rsidP="00924CBE">
            <w:pPr>
              <w:jc w:val="center"/>
              <w:rPr>
                <w:color w:val="000000" w:themeColor="text1"/>
                <w:szCs w:val="24"/>
              </w:rPr>
            </w:pPr>
            <w:r w:rsidRPr="00D277A5">
              <w:rPr>
                <w:color w:val="000000" w:themeColor="text1"/>
              </w:rPr>
              <w:t>0,5 %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KPS sąrašas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2</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1 %</w:t>
            </w:r>
          </w:p>
        </w:tc>
        <w:tc>
          <w:tcPr>
            <w:tcW w:w="926" w:type="pct"/>
          </w:tcPr>
          <w:p w:rsidR="00F61E5D" w:rsidRPr="00D277A5" w:rsidRDefault="00F61E5D" w:rsidP="00924CBE">
            <w:pPr>
              <w:jc w:val="center"/>
              <w:rPr>
                <w:color w:val="000000" w:themeColor="text1"/>
                <w:szCs w:val="24"/>
              </w:rPr>
            </w:pPr>
            <w:r w:rsidRPr="00D277A5">
              <w:rPr>
                <w:color w:val="000000" w:themeColor="text1"/>
              </w:rPr>
              <w:t>1</w:t>
            </w:r>
          </w:p>
        </w:tc>
        <w:tc>
          <w:tcPr>
            <w:tcW w:w="906" w:type="pct"/>
          </w:tcPr>
          <w:p w:rsidR="00F61E5D" w:rsidRPr="00D277A5" w:rsidRDefault="00F61E5D" w:rsidP="00924CBE">
            <w:pPr>
              <w:jc w:val="center"/>
              <w:rPr>
                <w:color w:val="000000" w:themeColor="text1"/>
                <w:szCs w:val="24"/>
              </w:rPr>
            </w:pPr>
            <w:r w:rsidRPr="00D277A5">
              <w:rPr>
                <w:color w:val="000000" w:themeColor="text1"/>
              </w:rPr>
              <w:t>0,5 %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Dinaminė pirkimo sistema</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1</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0,5 %</w:t>
            </w:r>
          </w:p>
        </w:tc>
        <w:tc>
          <w:tcPr>
            <w:tcW w:w="926" w:type="pct"/>
          </w:tcPr>
          <w:p w:rsidR="00F61E5D" w:rsidRPr="00D277A5" w:rsidRDefault="00F61E5D" w:rsidP="00924CBE">
            <w:pPr>
              <w:jc w:val="center"/>
              <w:rPr>
                <w:color w:val="000000" w:themeColor="text1"/>
                <w:szCs w:val="24"/>
              </w:rPr>
            </w:pPr>
            <w:r w:rsidRPr="00D277A5">
              <w:rPr>
                <w:color w:val="000000" w:themeColor="text1"/>
              </w:rPr>
              <w:t>0</w:t>
            </w:r>
          </w:p>
        </w:tc>
        <w:tc>
          <w:tcPr>
            <w:tcW w:w="906" w:type="pct"/>
          </w:tcPr>
          <w:p w:rsidR="00F61E5D" w:rsidRPr="00D277A5" w:rsidRDefault="00F61E5D" w:rsidP="00924CBE">
            <w:pPr>
              <w:jc w:val="center"/>
              <w:rPr>
                <w:color w:val="000000" w:themeColor="text1"/>
                <w:szCs w:val="24"/>
              </w:rPr>
            </w:pPr>
            <w:r w:rsidRPr="00D277A5">
              <w:rPr>
                <w:color w:val="000000" w:themeColor="text1"/>
              </w:rPr>
              <w:t>0 %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Inovacijų partnerystė</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0</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0 %</w:t>
            </w:r>
          </w:p>
        </w:tc>
        <w:tc>
          <w:tcPr>
            <w:tcW w:w="926" w:type="pct"/>
          </w:tcPr>
          <w:p w:rsidR="00F61E5D" w:rsidRPr="00D277A5" w:rsidRDefault="00F61E5D" w:rsidP="00924CBE">
            <w:pPr>
              <w:jc w:val="center"/>
              <w:rPr>
                <w:color w:val="000000" w:themeColor="text1"/>
                <w:szCs w:val="24"/>
              </w:rPr>
            </w:pPr>
            <w:r w:rsidRPr="00D277A5">
              <w:rPr>
                <w:color w:val="000000" w:themeColor="text1"/>
              </w:rPr>
              <w:t>0</w:t>
            </w:r>
          </w:p>
        </w:tc>
        <w:tc>
          <w:tcPr>
            <w:tcW w:w="906" w:type="pct"/>
          </w:tcPr>
          <w:p w:rsidR="00F61E5D" w:rsidRPr="00D277A5" w:rsidRDefault="00F61E5D" w:rsidP="00924CBE">
            <w:pPr>
              <w:jc w:val="center"/>
              <w:rPr>
                <w:color w:val="000000" w:themeColor="text1"/>
                <w:szCs w:val="24"/>
              </w:rPr>
            </w:pPr>
            <w:r w:rsidRPr="00D277A5">
              <w:rPr>
                <w:color w:val="000000" w:themeColor="text1"/>
              </w:rPr>
              <w:t>0 %</w:t>
            </w:r>
          </w:p>
        </w:tc>
      </w:tr>
      <w:tr w:rsidR="00F61E5D" w:rsidRPr="00D277A5" w:rsidTr="00924CBE">
        <w:trPr>
          <w:trHeight w:val="300"/>
        </w:trPr>
        <w:tc>
          <w:tcPr>
            <w:tcW w:w="1541" w:type="pct"/>
            <w:hideMark/>
          </w:tcPr>
          <w:p w:rsidR="00F61E5D" w:rsidRPr="00D277A5" w:rsidRDefault="00F61E5D" w:rsidP="00924CBE">
            <w:pPr>
              <w:ind w:firstLineChars="100" w:firstLine="240"/>
              <w:rPr>
                <w:color w:val="000000" w:themeColor="text1"/>
                <w:szCs w:val="24"/>
              </w:rPr>
            </w:pPr>
            <w:r w:rsidRPr="00D277A5">
              <w:rPr>
                <w:color w:val="000000" w:themeColor="text1"/>
              </w:rPr>
              <w:t>Pagreitintas atviras konkursas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1</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0,5 %</w:t>
            </w:r>
          </w:p>
        </w:tc>
        <w:tc>
          <w:tcPr>
            <w:tcW w:w="926" w:type="pct"/>
          </w:tcPr>
          <w:p w:rsidR="00F61E5D" w:rsidRPr="00D277A5" w:rsidRDefault="00F61E5D" w:rsidP="00924CBE">
            <w:pPr>
              <w:jc w:val="center"/>
              <w:rPr>
                <w:color w:val="000000" w:themeColor="text1"/>
                <w:szCs w:val="24"/>
              </w:rPr>
            </w:pPr>
            <w:r w:rsidRPr="00D277A5">
              <w:rPr>
                <w:color w:val="000000" w:themeColor="text1"/>
              </w:rPr>
              <w:t>1</w:t>
            </w:r>
          </w:p>
        </w:tc>
        <w:tc>
          <w:tcPr>
            <w:tcW w:w="906" w:type="pct"/>
          </w:tcPr>
          <w:p w:rsidR="00F61E5D" w:rsidRPr="00D277A5" w:rsidRDefault="00F61E5D" w:rsidP="00924CBE">
            <w:pPr>
              <w:jc w:val="center"/>
              <w:rPr>
                <w:color w:val="000000" w:themeColor="text1"/>
                <w:szCs w:val="24"/>
              </w:rPr>
            </w:pPr>
            <w:r w:rsidRPr="00D277A5">
              <w:rPr>
                <w:color w:val="000000" w:themeColor="text1"/>
              </w:rPr>
              <w:t>0,5 %</w:t>
            </w:r>
          </w:p>
        </w:tc>
      </w:tr>
      <w:tr w:rsidR="00F61E5D" w:rsidRPr="00D277A5" w:rsidTr="00924CBE">
        <w:trPr>
          <w:trHeight w:val="315"/>
        </w:trPr>
        <w:tc>
          <w:tcPr>
            <w:tcW w:w="1541" w:type="pct"/>
            <w:hideMark/>
          </w:tcPr>
          <w:p w:rsidR="00F61E5D" w:rsidRPr="00D277A5" w:rsidRDefault="00F61E5D" w:rsidP="00924CBE">
            <w:pPr>
              <w:rPr>
                <w:color w:val="000000" w:themeColor="text1"/>
                <w:szCs w:val="24"/>
              </w:rPr>
            </w:pPr>
            <w:r w:rsidRPr="00D277A5">
              <w:rPr>
                <w:color w:val="000000" w:themeColor="text1"/>
              </w:rPr>
              <w:t xml:space="preserve">    Projekto konkursas</w:t>
            </w:r>
          </w:p>
        </w:tc>
        <w:tc>
          <w:tcPr>
            <w:tcW w:w="733" w:type="pct"/>
            <w:hideMark/>
          </w:tcPr>
          <w:p w:rsidR="00F61E5D" w:rsidRPr="00D277A5" w:rsidRDefault="00F61E5D" w:rsidP="00924CBE">
            <w:pPr>
              <w:jc w:val="center"/>
              <w:rPr>
                <w:color w:val="000000" w:themeColor="text1"/>
                <w:szCs w:val="24"/>
              </w:rPr>
            </w:pPr>
            <w:r w:rsidRPr="00D277A5">
              <w:rPr>
                <w:color w:val="000000" w:themeColor="text1"/>
              </w:rPr>
              <w:t>0</w:t>
            </w:r>
          </w:p>
        </w:tc>
        <w:tc>
          <w:tcPr>
            <w:tcW w:w="894" w:type="pct"/>
            <w:hideMark/>
          </w:tcPr>
          <w:p w:rsidR="00F61E5D" w:rsidRPr="00D277A5" w:rsidRDefault="00F61E5D" w:rsidP="00924CBE">
            <w:pPr>
              <w:jc w:val="center"/>
              <w:rPr>
                <w:color w:val="000000" w:themeColor="text1"/>
                <w:szCs w:val="24"/>
              </w:rPr>
            </w:pPr>
            <w:r w:rsidRPr="00D277A5">
              <w:rPr>
                <w:color w:val="000000" w:themeColor="text1"/>
              </w:rPr>
              <w:t>0 %</w:t>
            </w:r>
          </w:p>
        </w:tc>
        <w:tc>
          <w:tcPr>
            <w:tcW w:w="926" w:type="pct"/>
          </w:tcPr>
          <w:p w:rsidR="00F61E5D" w:rsidRPr="00D277A5" w:rsidRDefault="00F61E5D" w:rsidP="00924CBE">
            <w:pPr>
              <w:jc w:val="center"/>
              <w:rPr>
                <w:color w:val="000000" w:themeColor="text1"/>
                <w:szCs w:val="24"/>
              </w:rPr>
            </w:pPr>
            <w:r w:rsidRPr="00D277A5">
              <w:rPr>
                <w:color w:val="000000" w:themeColor="text1"/>
              </w:rPr>
              <w:t>1</w:t>
            </w:r>
          </w:p>
        </w:tc>
        <w:tc>
          <w:tcPr>
            <w:tcW w:w="906" w:type="pct"/>
          </w:tcPr>
          <w:p w:rsidR="00F61E5D" w:rsidRPr="00D277A5" w:rsidRDefault="00F61E5D" w:rsidP="00924CBE">
            <w:pPr>
              <w:jc w:val="center"/>
              <w:rPr>
                <w:color w:val="000000" w:themeColor="text1"/>
                <w:szCs w:val="24"/>
              </w:rPr>
            </w:pPr>
            <w:r w:rsidRPr="00D277A5">
              <w:rPr>
                <w:color w:val="000000" w:themeColor="text1"/>
              </w:rPr>
              <w:t>0,5 %</w:t>
            </w:r>
          </w:p>
        </w:tc>
      </w:tr>
      <w:tr w:rsidR="00F61E5D" w:rsidRPr="00D277A5" w:rsidTr="00924CBE">
        <w:trPr>
          <w:trHeight w:val="600"/>
        </w:trPr>
        <w:tc>
          <w:tcPr>
            <w:tcW w:w="1541" w:type="pct"/>
            <w:hideMark/>
          </w:tcPr>
          <w:p w:rsidR="00F61E5D" w:rsidRPr="00D277A5" w:rsidRDefault="00F61E5D" w:rsidP="00924CBE">
            <w:pPr>
              <w:rPr>
                <w:b/>
                <w:bCs/>
                <w:color w:val="000000" w:themeColor="text1"/>
                <w:szCs w:val="24"/>
              </w:rPr>
            </w:pPr>
            <w:r w:rsidRPr="00D277A5">
              <w:rPr>
                <w:b/>
                <w:color w:val="000000" w:themeColor="text1"/>
              </w:rPr>
              <w:t xml:space="preserve">   Iš viso</w:t>
            </w:r>
          </w:p>
        </w:tc>
        <w:tc>
          <w:tcPr>
            <w:tcW w:w="733" w:type="pct"/>
            <w:hideMark/>
          </w:tcPr>
          <w:p w:rsidR="00F61E5D" w:rsidRPr="00D277A5" w:rsidRDefault="00F61E5D" w:rsidP="00924CBE">
            <w:pPr>
              <w:jc w:val="center"/>
              <w:rPr>
                <w:b/>
                <w:bCs/>
                <w:color w:val="000000" w:themeColor="text1"/>
                <w:szCs w:val="24"/>
              </w:rPr>
            </w:pPr>
            <w:r w:rsidRPr="00D277A5">
              <w:rPr>
                <w:b/>
                <w:color w:val="000000" w:themeColor="text1"/>
              </w:rPr>
              <w:t>221</w:t>
            </w:r>
          </w:p>
        </w:tc>
        <w:tc>
          <w:tcPr>
            <w:tcW w:w="894" w:type="pct"/>
            <w:hideMark/>
          </w:tcPr>
          <w:p w:rsidR="00F61E5D" w:rsidRPr="00D277A5" w:rsidRDefault="00F61E5D" w:rsidP="00924CBE">
            <w:pPr>
              <w:jc w:val="center"/>
              <w:rPr>
                <w:b/>
                <w:bCs/>
                <w:color w:val="000000" w:themeColor="text1"/>
                <w:szCs w:val="24"/>
              </w:rPr>
            </w:pPr>
            <w:r w:rsidRPr="00D277A5">
              <w:rPr>
                <w:b/>
                <w:color w:val="000000" w:themeColor="text1"/>
              </w:rPr>
              <w:t>100 %</w:t>
            </w:r>
          </w:p>
        </w:tc>
        <w:tc>
          <w:tcPr>
            <w:tcW w:w="926" w:type="pct"/>
          </w:tcPr>
          <w:p w:rsidR="00F61E5D" w:rsidRPr="00D277A5" w:rsidRDefault="00F61E5D" w:rsidP="00924CBE">
            <w:pPr>
              <w:jc w:val="center"/>
              <w:rPr>
                <w:b/>
                <w:bCs/>
                <w:color w:val="000000" w:themeColor="text1"/>
                <w:szCs w:val="24"/>
              </w:rPr>
            </w:pPr>
            <w:r w:rsidRPr="00D277A5">
              <w:rPr>
                <w:b/>
                <w:color w:val="000000" w:themeColor="text1"/>
              </w:rPr>
              <w:t>194</w:t>
            </w:r>
          </w:p>
        </w:tc>
        <w:tc>
          <w:tcPr>
            <w:tcW w:w="906" w:type="pct"/>
          </w:tcPr>
          <w:p w:rsidR="00F61E5D" w:rsidRPr="00D277A5" w:rsidRDefault="00F61E5D" w:rsidP="00924CBE">
            <w:pPr>
              <w:jc w:val="center"/>
              <w:rPr>
                <w:b/>
                <w:bCs/>
                <w:color w:val="000000" w:themeColor="text1"/>
                <w:szCs w:val="24"/>
              </w:rPr>
            </w:pPr>
            <w:r w:rsidRPr="00D277A5">
              <w:rPr>
                <w:b/>
                <w:color w:val="000000" w:themeColor="text1"/>
              </w:rPr>
              <w:t>100 %</w:t>
            </w:r>
          </w:p>
        </w:tc>
      </w:tr>
    </w:tbl>
    <w:p w:rsidR="00F61E5D" w:rsidRPr="00D277A5" w:rsidRDefault="00F61E5D" w:rsidP="00F61E5D">
      <w:pPr>
        <w:rPr>
          <w:noProof/>
        </w:rPr>
      </w:pPr>
    </w:p>
    <w:p w:rsidR="00F61E5D" w:rsidRPr="00D277A5" w:rsidRDefault="00F61E5D" w:rsidP="00F61E5D">
      <w:pPr>
        <w:spacing w:after="240"/>
        <w:jc w:val="both"/>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Frakcijos (400 biudžeto eilutė)</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8306B9">
        <w:rPr>
          <w14:textOutline w14:w="0" w14:cap="flat" w14:cmpd="sng" w14:algn="ctr">
            <w14:noFill/>
            <w14:prstDash w14:val="solid"/>
            <w14:bevel/>
          </w14:textOutline>
        </w:rPr>
        <w:t>7</w:t>
      </w:r>
      <w:r w:rsidR="00EF176F">
        <w:rPr>
          <w14:textOutline w14:w="0" w14:cap="flat" w14:cmpd="sng" w14:algn="ctr">
            <w14:noFill/>
            <w14:prstDash w14:val="solid"/>
            <w14:bevel/>
          </w14:textOutline>
        </w:rPr>
        <w:t>2</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pažymi, kad 2022 m. į 400 biudžeto eilutę įrašyti ir frakcijoms bei nepriklausomiems Parlamento nariams skirti asignavimai buvo panaudoti, kaip nurodyta toliau</w:t>
      </w:r>
      <w:r w:rsidRPr="00D277A5">
        <w:rPr>
          <w:rStyle w:val="FootnoteReference"/>
          <w:szCs w:val="24"/>
        </w:rPr>
        <w:footnoteReference w:id="14"/>
      </w:r>
      <w:r w:rsidRPr="00D277A5">
        <w:rPr>
          <w14:textOutline w14:w="0" w14:cap="flat" w14:cmpd="sng" w14:algn="ctr">
            <w14:noFill/>
            <w14:prstDash w14:val="solid"/>
            <w14:bevel/>
          </w14:textOutline>
        </w:rPr>
        <w:t>:</w:t>
      </w:r>
    </w:p>
    <w:p w:rsidR="00F61E5D" w:rsidRPr="00D277A5" w:rsidRDefault="00F61E5D" w:rsidP="00F61E5D">
      <w:pPr>
        <w:widowControl/>
        <w:rPr>
          <w:noProof/>
        </w:rPr>
      </w:pPr>
      <w:r w:rsidRPr="00D277A5">
        <w:br w:type="page"/>
      </w:r>
    </w:p>
    <w:p w:rsidR="00F61E5D" w:rsidRPr="00D277A5" w:rsidRDefault="00F61E5D" w:rsidP="00F61E5D">
      <w:pPr>
        <w:rPr>
          <w:noProof/>
        </w:rPr>
        <w:sectPr w:rsidR="00F61E5D" w:rsidRPr="00D277A5" w:rsidSect="00D277A5">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F61E5D" w:rsidRPr="00D277A5" w:rsidTr="00924CBE">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lastRenderedPageBreak/>
              <w:t>Frakcija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F61E5D" w:rsidRPr="00D277A5" w:rsidRDefault="00F61E5D" w:rsidP="00924CBE">
            <w:pPr>
              <w:widowControl/>
              <w:jc w:val="center"/>
              <w:rPr>
                <w:color w:val="000000"/>
                <w:sz w:val="18"/>
                <w:szCs w:val="18"/>
              </w:rPr>
            </w:pPr>
            <w:r w:rsidRPr="00D277A5">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F61E5D" w:rsidRPr="00D277A5" w:rsidRDefault="00F61E5D" w:rsidP="00924CBE">
            <w:pPr>
              <w:widowControl/>
              <w:jc w:val="center"/>
              <w:rPr>
                <w:color w:val="000000"/>
                <w:sz w:val="18"/>
                <w:szCs w:val="18"/>
              </w:rPr>
            </w:pPr>
            <w:r w:rsidRPr="00D277A5">
              <w:rPr>
                <w:color w:val="000000"/>
                <w:sz w:val="18"/>
              </w:rPr>
              <w:t>2021</w:t>
            </w:r>
          </w:p>
        </w:tc>
      </w:tr>
      <w:tr w:rsidR="00F61E5D" w:rsidRPr="00D277A5" w:rsidTr="00924CBE">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F61E5D" w:rsidRPr="00D277A5" w:rsidRDefault="00F61E5D" w:rsidP="00924CBE">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Metiniai asignavimai</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Nuosavi ištekliai ir perkelti asignavimai</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Išlaidos</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Metinių asignavimų panaudojimo rodiklis</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Į kitą laikotarpį perkeltos sumos</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Metiniai asignavimai</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Nuosavi ištekliai ir perkelti asignavimai</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Išlaidos</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Metinių asignavimų panaudojimo rodiklis</w:t>
            </w:r>
          </w:p>
        </w:tc>
        <w:tc>
          <w:tcPr>
            <w:tcW w:w="412" w:type="pct"/>
            <w:tcBorders>
              <w:top w:val="nil"/>
              <w:left w:val="nil"/>
              <w:bottom w:val="single" w:sz="8" w:space="0" w:color="auto"/>
              <w:right w:val="single" w:sz="8" w:space="0" w:color="auto"/>
            </w:tcBorders>
            <w:shd w:val="clear" w:color="auto" w:fill="auto"/>
            <w:vAlign w:val="center"/>
            <w:hideMark/>
          </w:tcPr>
          <w:p w:rsidR="00F61E5D" w:rsidRPr="00D277A5" w:rsidRDefault="00F61E5D" w:rsidP="00924CBE">
            <w:pPr>
              <w:widowControl/>
              <w:jc w:val="center"/>
              <w:rPr>
                <w:color w:val="000000"/>
                <w:sz w:val="18"/>
                <w:szCs w:val="18"/>
              </w:rPr>
            </w:pPr>
            <w:r w:rsidRPr="00D277A5">
              <w:rPr>
                <w:color w:val="000000"/>
                <w:sz w:val="18"/>
              </w:rPr>
              <w:t>Į kitą laikotarpį perkeltos sumos</w:t>
            </w:r>
          </w:p>
        </w:tc>
      </w:tr>
      <w:tr w:rsidR="00F61E5D" w:rsidRPr="00D277A5" w:rsidTr="00924CB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Europos liaudies partija (PPE)</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12 562</w:t>
            </w:r>
          </w:p>
        </w:tc>
      </w:tr>
      <w:tr w:rsidR="00F61E5D" w:rsidRPr="00D277A5" w:rsidTr="00924CB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Europos Parlamento socialistų ir demokratų pažangiojo aljanso frakcija (S&amp;D)</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10 188</w:t>
            </w:r>
          </w:p>
        </w:tc>
      </w:tr>
      <w:tr w:rsidR="00F61E5D" w:rsidRPr="00D277A5" w:rsidTr="00924CBE">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Frakcija „Renew Europe“ (buvusi Liberalų ir demokratų aljanso už Europą frakcija (ALDE))</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6 894</w:t>
            </w:r>
          </w:p>
        </w:tc>
      </w:tr>
      <w:tr w:rsidR="00F61E5D" w:rsidRPr="00D277A5" w:rsidTr="00924CB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Žaliųjų frakcija / Europos laisvasis aljansas (Verts/ALE)</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5 196</w:t>
            </w:r>
          </w:p>
        </w:tc>
      </w:tr>
      <w:tr w:rsidR="00F61E5D" w:rsidRPr="00D277A5" w:rsidTr="00924CB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 xml:space="preserve">Identiteto ir demokratijos frakcija (ID)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6 762</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5 155</w:t>
            </w:r>
          </w:p>
        </w:tc>
      </w:tr>
      <w:tr w:rsidR="00F61E5D" w:rsidRPr="00D277A5" w:rsidTr="00924CB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Europos konservatorių ir reformuotojų frakcija (ECR)</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3 718</w:t>
            </w:r>
          </w:p>
        </w:tc>
      </w:tr>
      <w:tr w:rsidR="00F61E5D" w:rsidRPr="00D277A5" w:rsidTr="00924CBE">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The Left – Europos vieningųjų kairiųjų frakcija / Šiaurės šalių žalieji kairieji (GUE/NGL)</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2 036</w:t>
            </w:r>
          </w:p>
        </w:tc>
      </w:tr>
      <w:tr w:rsidR="00F61E5D" w:rsidRPr="00D277A5" w:rsidTr="00924CBE">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F61E5D" w:rsidRPr="00D277A5" w:rsidRDefault="00F61E5D" w:rsidP="00924CBE">
            <w:pPr>
              <w:widowControl/>
              <w:rPr>
                <w:b/>
                <w:bCs/>
                <w:color w:val="000000"/>
                <w:sz w:val="18"/>
                <w:szCs w:val="18"/>
              </w:rPr>
            </w:pPr>
            <w:r w:rsidRPr="00D277A5">
              <w:rPr>
                <w:b/>
                <w:color w:val="000000"/>
                <w:sz w:val="18"/>
              </w:rPr>
              <w:t xml:space="preserve">Nepriklausomi Parlamento nariai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F61E5D" w:rsidRPr="00D277A5" w:rsidRDefault="00F61E5D" w:rsidP="00924CBE">
            <w:pPr>
              <w:widowControl/>
              <w:jc w:val="right"/>
              <w:rPr>
                <w:color w:val="000000"/>
                <w:sz w:val="18"/>
                <w:szCs w:val="18"/>
              </w:rPr>
            </w:pPr>
            <w:r w:rsidRPr="00D277A5">
              <w:rPr>
                <w:color w:val="000000"/>
                <w:sz w:val="18"/>
              </w:rPr>
              <w:t>861</w:t>
            </w:r>
          </w:p>
        </w:tc>
      </w:tr>
      <w:tr w:rsidR="00F61E5D" w:rsidRPr="00D277A5" w:rsidTr="00924CBE">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Iš viso</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F61E5D" w:rsidRPr="00D277A5" w:rsidRDefault="00F61E5D" w:rsidP="00924CBE">
            <w:pPr>
              <w:widowControl/>
              <w:jc w:val="right"/>
              <w:rPr>
                <w:b/>
                <w:bCs/>
                <w:color w:val="000000"/>
                <w:sz w:val="18"/>
                <w:szCs w:val="18"/>
              </w:rPr>
            </w:pPr>
            <w:r w:rsidRPr="00D277A5">
              <w:rPr>
                <w:b/>
                <w:color w:val="000000"/>
                <w:sz w:val="18"/>
              </w:rPr>
              <w:t>46 611</w:t>
            </w:r>
          </w:p>
        </w:tc>
      </w:tr>
    </w:tbl>
    <w:p w:rsidR="00F61E5D" w:rsidRPr="00D277A5" w:rsidRDefault="00F61E5D" w:rsidP="00F61E5D">
      <w:pPr>
        <w:rPr>
          <w:noProof/>
        </w:rPr>
      </w:pPr>
    </w:p>
    <w:p w:rsidR="00F61E5D" w:rsidRPr="00D277A5" w:rsidRDefault="00F61E5D" w:rsidP="00F61E5D">
      <w:pPr>
        <w:widowControl/>
        <w:rPr>
          <w:noProof/>
        </w:rPr>
      </w:pPr>
      <w:r w:rsidRPr="00D277A5">
        <w:br w:type="page"/>
      </w:r>
    </w:p>
    <w:p w:rsidR="00F61E5D" w:rsidRPr="00D277A5" w:rsidRDefault="00F61E5D" w:rsidP="00F61E5D">
      <w:pPr>
        <w:rPr>
          <w:noProof/>
        </w:rPr>
        <w:sectPr w:rsidR="00F61E5D" w:rsidRPr="00D277A5" w:rsidSect="00D277A5">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lastRenderedPageBreak/>
        <w:t>1</w:t>
      </w:r>
      <w:r w:rsidR="008306B9">
        <w:rPr>
          <w14:textOutline w14:w="0" w14:cap="flat" w14:cmpd="sng" w14:algn="ctr">
            <w14:noFill/>
            <w14:prstDash w14:val="solid"/>
            <w14:bevel/>
          </w14:textOutline>
        </w:rPr>
        <w:t>7</w:t>
      </w:r>
      <w:r w:rsidR="00EF176F">
        <w:rPr>
          <w14:textOutline w14:w="0" w14:cap="flat" w14:cmpd="sng" w14:algn="ctr">
            <w14:noFill/>
            <w14:prstDash w14:val="solid"/>
            <w14:bevel/>
          </w14:textOutline>
        </w:rPr>
        <w:t>3</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palankiai vertina tai, kad nepriklausomi išorės auditoriai dėl frakcijų už 2022 finansinius metus pateikė tik besąlygines nuomones;</w:t>
      </w: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8306B9">
        <w:rPr>
          <w14:textOutline w14:w="0" w14:cap="flat" w14:cmpd="sng" w14:algn="ctr">
            <w14:noFill/>
            <w14:prstDash w14:val="solid"/>
            <w14:bevel/>
          </w14:textOutline>
        </w:rPr>
        <w:t>7</w:t>
      </w:r>
      <w:r w:rsidR="00EF176F">
        <w:rPr>
          <w14:textOutline w14:w="0" w14:cap="flat" w14:cmpd="sng" w14:algn="ctr">
            <w14:noFill/>
            <w14:prstDash w14:val="solid"/>
            <w14:bevel/>
          </w14:textOutline>
        </w:rPr>
        <w:t>4</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primena, kad šie asignavimai skirti veiklai, susijusiai su Sąjungos politine veikla, finansuoti ir kad frakcijos yra atsakingos Parlamentui už jų panaudojimą;</w:t>
      </w:r>
    </w:p>
    <w:p w:rsidR="00F61E5D" w:rsidRPr="00D277A5" w:rsidRDefault="00F61E5D" w:rsidP="00F61E5D">
      <w:pPr>
        <w:spacing w:after="240"/>
        <w:rPr>
          <w:b/>
          <w:bCs/>
          <w:i/>
          <w:iCs/>
          <w:szCs w:val="24"/>
          <w14:textOutline w14:w="0" w14:cap="flat" w14:cmpd="sng" w14:algn="ctr">
            <w14:noFill/>
            <w14:prstDash w14:val="solid"/>
            <w14:bevel/>
          </w14:textOutline>
        </w:rPr>
      </w:pPr>
      <w:r w:rsidRPr="00D277A5">
        <w:rPr>
          <w:b/>
          <w:i/>
          <w14:textOutline w14:w="0" w14:cap="flat" w14:cmpd="sng" w14:algn="ctr">
            <w14:noFill/>
            <w14:prstDash w14:val="solid"/>
            <w14:bevel/>
          </w14:textOutline>
        </w:rPr>
        <w:t>Europos politinės partijos ir Europos politiniai fondai</w:t>
      </w:r>
    </w:p>
    <w:p w:rsidR="00F61E5D" w:rsidRPr="00D277A5" w:rsidRDefault="00A42BAA" w:rsidP="00F61E5D">
      <w:pPr>
        <w:pStyle w:val="NormalHanging12a"/>
      </w:pPr>
      <w:r>
        <w:t>17</w:t>
      </w:r>
      <w:r w:rsidR="00EF176F">
        <w:t>5</w:t>
      </w:r>
      <w:r w:rsidR="00F61E5D" w:rsidRPr="00D277A5">
        <w:t>.</w:t>
      </w:r>
      <w:r w:rsidR="00F61E5D" w:rsidRPr="00D277A5">
        <w:tab/>
        <w:t>pažymi, kad 2022 m. Institucija suteikė Europos politinėms partijoms ir Europos politiniams fondams teisę būti išklausytiems, taip pat galimybę imtis taisomųjų priemonių 9 atvejais; taip pat pažymi, kad tai buvo atvejai, susiję su ataskaitų teikimo reikalavimais, taisyklėmis dėl pajamų ir bendros veiklos; pabrėžia, kad Institucijos ankstyvas tikrinimas rodo, kad visais šiais atvejais atitinkamos Europos politinės partijos ir fondai nedelsiant įgyvendino atitinkamas taisomąsias priemones; atkreipia dėmesį į tai, kad Institucija toliau stebės, kad ilgalaikį poveikį turinčios taisomosios priemonės užtikrintų tvarų reikalavimų laikymąsi atitinkamose srityse; palankiai vertina tai, kad 2022 m. nereikėjo priimti sankcijų;</w:t>
      </w:r>
    </w:p>
    <w:p w:rsidR="00F61E5D" w:rsidRPr="00D277A5" w:rsidRDefault="00A42BAA"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w:t>
      </w:r>
      <w:r w:rsidR="00EF176F">
        <w:rPr>
          <w14:textOutline w14:w="0" w14:cap="flat" w14:cmpd="sng" w14:algn="ctr">
            <w14:noFill/>
            <w14:prstDash w14:val="solid"/>
            <w14:bevel/>
          </w14:textOutline>
        </w:rPr>
        <w:t>6</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palankiai vertina tai, kad rengdamasi 2024 m. Europos Parlamento rinkimams Institucija aktyviai stiprina bendradarbiavimo tinklus tyrinėdama tolesnes partnerystės galimybes demokratinio vientisumo apsaugos srityje;</w:t>
      </w:r>
    </w:p>
    <w:p w:rsidR="00F61E5D" w:rsidRPr="00D277A5" w:rsidRDefault="00A42BAA"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w:t>
      </w:r>
      <w:r w:rsidR="00EF176F">
        <w:rPr>
          <w14:textOutline w14:w="0" w14:cap="flat" w14:cmpd="sng" w14:algn="ctr">
            <w14:noFill/>
            <w14:prstDash w14:val="solid"/>
            <w14:bevel/>
          </w14:textOutline>
        </w:rPr>
        <w:t>7</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susirūpinęs pažymi, kad Institucija pranešė, jog ji susiduria su ribotų žmogiškųjų išteklių problema; pabrėžia, kad numatoma, jog šis klausimas taps dar aktualesnis dėl augančių iššūkių rengiantis 2024 m. Europos Parlamento rinkimams, visų pirma, be kita ko, dėl poreikio apsaugoti demokratinį vientisumą nuo naujų užsienio šalių kišimosi formų ir dėl naujų užduočių, kurios atsirastų Institucijai dėl vykstančių derybų dėl Reglamento (ES, Euratomas) Nr. 1141/2014 išdėstymo nauja redakcija, administracinio įgyvendinimo būtinybės;</w:t>
      </w:r>
    </w:p>
    <w:p w:rsidR="00F61E5D" w:rsidRPr="00D277A5" w:rsidRDefault="00A42BAA"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w:t>
      </w:r>
      <w:r w:rsidR="00EF176F">
        <w:rPr>
          <w14:textOutline w14:w="0" w14:cap="flat" w14:cmpd="sng" w14:algn="ctr">
            <w14:noFill/>
            <w14:prstDash w14:val="solid"/>
            <w14:bevel/>
          </w14:textOutline>
        </w:rPr>
        <w:t>8</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 xml:space="preserve">primena svarbų gyvybingos ir atsparios Europos demokratijos, grindžiamos politinių partijų pliuralizmu Sąjungos lygmeniu, vaidmenį; todėl pabrėžia, kad turi būti užtikrintos vienodos sąlygos, o atitiktis turi būti kontroliuojama visapusiškai gerbiant procesines teises; atsižvelgdamas į tai, palankiai vertina itin svarbų Institucijos darbą, nes ji nepriklausomai ir glaudžiai bendradarbiaudama su Parlamentu užtikrina, kad Europos politinės partijos ir fondai laikytųsi teisinės sistemos, taip pat užtikrina skaidrumą piliečiams ir prisideda prie Parlamento rinkimų sąžiningumo; </w:t>
      </w:r>
    </w:p>
    <w:p w:rsidR="00F61E5D" w:rsidRPr="00D277A5" w:rsidRDefault="00A42BAA" w:rsidP="00F61E5D">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EF176F">
        <w:rPr>
          <w14:textOutline w14:w="0" w14:cap="flat" w14:cmpd="sng" w14:algn="ctr">
            <w14:noFill/>
            <w14:prstDash w14:val="solid"/>
            <w14:bevel/>
          </w14:textOutline>
        </w:rPr>
        <w:t>79</w:t>
      </w:r>
      <w:r w:rsidR="00F61E5D" w:rsidRPr="00D277A5">
        <w:rPr>
          <w14:textOutline w14:w="0" w14:cap="flat" w14:cmpd="sng" w14:algn="ctr">
            <w14:noFill/>
            <w14:prstDash w14:val="solid"/>
            <w14:bevel/>
          </w14:textOutline>
        </w:rPr>
        <w:t>.</w:t>
      </w:r>
      <w:r w:rsidR="00F61E5D" w:rsidRPr="00D277A5">
        <w:rPr>
          <w14:textOutline w14:w="0" w14:cap="flat" w14:cmpd="sng" w14:algn="ctr">
            <w14:noFill/>
            <w14:prstDash w14:val="solid"/>
            <w14:bevel/>
          </w14:textOutline>
        </w:rPr>
        <w:tab/>
        <w:t>pažymi, kad 2022 m. į 402 biudžeto eilutę įrašyti asignavimai buvo panaudoti, kaip nurodyta toliau</w:t>
      </w:r>
      <w:r w:rsidR="00F61E5D" w:rsidRPr="00D277A5">
        <w:rPr>
          <w:rStyle w:val="FootnoteReference"/>
          <w:szCs w:val="24"/>
        </w:rPr>
        <w:footnoteReference w:id="15"/>
      </w:r>
      <w:r w:rsidR="00F61E5D" w:rsidRPr="00D277A5">
        <w:rPr>
          <w14:textOutline w14:w="0" w14:cap="flat" w14:cmpd="sng" w14:algn="ctr">
            <w14:noFill/>
            <w14:prstDash w14:val="solid"/>
            <w14:bevel/>
          </w14:textOutline>
        </w:rPr>
        <w:t>:</w:t>
      </w:r>
    </w:p>
    <w:p w:rsidR="00F61E5D" w:rsidRPr="00D277A5" w:rsidRDefault="00F61E5D" w:rsidP="00F61E5D">
      <w:pPr>
        <w:widowControl/>
        <w:rPr>
          <w:noProof/>
        </w:rPr>
      </w:pPr>
      <w:r w:rsidRPr="00D277A5">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F61E5D" w:rsidRPr="00D277A5" w:rsidTr="00924CBE">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lastRenderedPageBreak/>
              <w:t>Partija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Santrumpa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Nuosavi ištekliai</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EP galutinis įnašas (</w:t>
            </w:r>
            <w:r w:rsidRPr="00D277A5">
              <w:rPr>
                <w:rStyle w:val="FootnoteReference"/>
                <w:sz w:val="20"/>
              </w:rPr>
              <w:footnoteReference w:id="16"/>
            </w:r>
            <w:r w:rsidRPr="00D277A5">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Pajamos, iš viso</w:t>
            </w:r>
            <w:r w:rsidRPr="00D277A5">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EP įnašui tenkanti kompensuotinų išlaidų procentinė dalis (iki 90 proc.)</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Pajamų perteklius (perkėlimas į rezervą arba nuostolis)</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liaudies partija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448 128</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socialistų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675 194</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Liberalų ir demokratų aljansas už Europą</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560 139</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žaliųjų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Verts</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846 993</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kairiųjų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40 396</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demokratų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127 134</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laisvasis aljansas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100 217</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konservatorių ir reformuotojų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ECR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Europos krikščionių politinis judėjimas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 </w:t>
            </w:r>
          </w:p>
        </w:tc>
      </w:tr>
      <w:tr w:rsidR="00F61E5D" w:rsidRPr="00D277A5" w:rsidTr="00924CBE">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14:textOutline w14:w="0" w14:cap="flat" w14:cmpd="sng" w14:algn="ctr">
                  <w14:noFill/>
                  <w14:prstDash w14:val="solid"/>
                  <w14:bevel/>
                </w14:textOutline>
              </w:rPr>
              <w:t>Identiteto ir demokratijos partija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18"/>
                <w14:textOutline w14:w="0" w14:cap="flat" w14:cmpd="sng" w14:algn="ctr">
                  <w14:noFill/>
                  <w14:prstDash w14:val="solid"/>
                  <w14:bevel/>
                </w14:textOutline>
              </w:rPr>
              <w:t>ID partija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right"/>
              <w:rPr>
                <w:sz w:val="20"/>
                <w14:textOutline w14:w="0" w14:cap="flat" w14:cmpd="sng" w14:algn="ctr">
                  <w14:noFill/>
                  <w14:prstDash w14:val="solid"/>
                  <w14:bevel/>
                </w14:textOutline>
              </w:rPr>
            </w:pPr>
            <w:r w:rsidRPr="00D277A5">
              <w:rPr>
                <w:sz w:val="20"/>
              </w:rPr>
              <w:t xml:space="preserve"> - </w:t>
            </w:r>
          </w:p>
        </w:tc>
      </w:tr>
      <w:tr w:rsidR="00F61E5D" w:rsidRPr="00D277A5" w:rsidTr="00924CBE">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right"/>
              <w:rPr>
                <w:sz w:val="20"/>
                <w14:textOutline w14:w="0" w14:cap="flat" w14:cmpd="sng" w14:algn="ctr">
                  <w14:noFill/>
                  <w14:prstDash w14:val="solid"/>
                  <w14:bevel/>
                </w14:textOutline>
              </w:rPr>
            </w:pPr>
            <w:r w:rsidRPr="00D277A5">
              <w:rPr>
                <w:b/>
                <w:sz w:val="20"/>
                <w14:textOutline w14:w="0" w14:cap="flat" w14:cmpd="sng" w14:algn="ctr">
                  <w14:noFill/>
                  <w14:prstDash w14:val="solid"/>
                  <w14:bevel/>
                </w14:textOutline>
              </w:rPr>
              <w:t>IŠ VISO</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F61E5D" w:rsidRPr="00D277A5" w:rsidRDefault="00F61E5D" w:rsidP="00924CBE">
            <w:pPr>
              <w:jc w:val="right"/>
              <w:rPr>
                <w:b/>
                <w:bCs/>
                <w:sz w:val="20"/>
              </w:rPr>
            </w:pPr>
            <w:r w:rsidRPr="00D277A5">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bCs/>
                <w:sz w:val="20"/>
              </w:rPr>
            </w:pPr>
            <w:r w:rsidRPr="00D277A5">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bCs/>
                <w:sz w:val="20"/>
              </w:rPr>
            </w:pPr>
            <w:r w:rsidRPr="00D277A5">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F61E5D" w:rsidRPr="00D277A5" w:rsidRDefault="00F61E5D" w:rsidP="00924CBE">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r w:rsidRPr="00D277A5">
              <w:rPr>
                <w:b/>
                <w:sz w:val="20"/>
              </w:rPr>
              <w:t>2 798 201</w:t>
            </w:r>
          </w:p>
        </w:tc>
      </w:tr>
    </w:tbl>
    <w:p w:rsidR="00F61E5D" w:rsidRPr="00D277A5" w:rsidRDefault="00F61E5D" w:rsidP="00F61E5D">
      <w:pPr>
        <w:rPr>
          <w:noProof/>
        </w:rPr>
      </w:pPr>
    </w:p>
    <w:p w:rsidR="00F61E5D" w:rsidRPr="00D277A5" w:rsidRDefault="00F61E5D" w:rsidP="00F61E5D">
      <w:pPr>
        <w:spacing w:after="240"/>
        <w:ind w:left="567" w:hanging="567"/>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1</w:t>
      </w:r>
      <w:r w:rsidR="00A42BAA">
        <w:rPr>
          <w14:textOutline w14:w="0" w14:cap="flat" w14:cmpd="sng" w14:algn="ctr">
            <w14:noFill/>
            <w14:prstDash w14:val="solid"/>
            <w14:bevel/>
          </w14:textOutline>
        </w:rPr>
        <w:t>8</w:t>
      </w:r>
      <w:r w:rsidR="00EF176F">
        <w:rPr>
          <w14:textOutline w14:w="0" w14:cap="flat" w14:cmpd="sng" w14:algn="ctr">
            <w14:noFill/>
            <w14:prstDash w14:val="solid"/>
            <w14:bevel/>
          </w14:textOutline>
        </w:rPr>
        <w:t>0</w:t>
      </w:r>
      <w:r w:rsidRPr="00D277A5">
        <w:rPr>
          <w14:textOutline w14:w="0" w14:cap="flat" w14:cmpd="sng" w14:algn="ctr">
            <w14:noFill/>
            <w14:prstDash w14:val="solid"/>
            <w14:bevel/>
          </w14:textOutline>
        </w:rPr>
        <w:t>.</w:t>
      </w:r>
      <w:r w:rsidRPr="00D277A5">
        <w:rPr>
          <w14:textOutline w14:w="0" w14:cap="flat" w14:cmpd="sng" w14:algn="ctr">
            <w14:noFill/>
            <w14:prstDash w14:val="solid"/>
            <w14:bevel/>
          </w14:textOutline>
        </w:rPr>
        <w:tab/>
        <w:t>pažymi, kad 2022 m. į 403 biudžeto eilutę įrašyti asignavimai buvo panaudoti, kaip nurodyta toliau</w:t>
      </w:r>
      <w:r w:rsidRPr="00D277A5">
        <w:rPr>
          <w:rStyle w:val="FootnoteReference"/>
          <w:szCs w:val="24"/>
        </w:rPr>
        <w:footnoteReference w:id="17"/>
      </w:r>
      <w:r w:rsidRPr="00D277A5">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F61E5D" w:rsidRPr="00D277A5" w:rsidTr="00924CBE">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Fondas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Santrumpa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Susijęs su partija</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Nuosavi ištekliai</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EP galutinė dotacija</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Pajamos, iš viso</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t xml:space="preserve">EP dotacijai tenkanti tinkamų finansuoti išlaidų procentinė dalis </w:t>
            </w:r>
            <w:r w:rsidRPr="00D277A5">
              <w:rPr>
                <w:sz w:val="20"/>
                <w14:textOutline w14:w="0" w14:cap="flat" w14:cmpd="sng" w14:algn="ctr">
                  <w14:noFill/>
                  <w14:prstDash w14:val="solid"/>
                  <w14:bevel/>
                </w14:textOutline>
              </w:rPr>
              <w:lastRenderedPageBreak/>
              <w:t>(iki 95 proc.)</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center"/>
              <w:rPr>
                <w:szCs w:val="24"/>
                <w14:textOutline w14:w="0" w14:cap="flat" w14:cmpd="sng" w14:algn="ctr">
                  <w14:noFill/>
                  <w14:prstDash w14:val="solid"/>
                  <w14:bevel/>
                </w14:textOutline>
              </w:rPr>
            </w:pPr>
            <w:r w:rsidRPr="00D277A5">
              <w:rPr>
                <w:sz w:val="20"/>
                <w14:textOutline w14:w="0" w14:cap="flat" w14:cmpd="sng" w14:algn="ctr">
                  <w14:noFill/>
                  <w14:prstDash w14:val="solid"/>
                  <w14:bevel/>
                </w14:textOutline>
              </w:rPr>
              <w:lastRenderedPageBreak/>
              <w:t>Pajamų perteklius (perkėlimas į rezervą arba nuostolis)</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Wilfriedo Martenso Europos studijų centras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235 689</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Europos pažangiųjų tyrimų fondas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288 687</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Europos liberalų forumas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Žaliasis Europos fondas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Verts</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„Transformuoti Europą“</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3 696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Europos demokratų institutas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Fondas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23 981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Europos reformų fondas „New Direction“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ECR partija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61E5D" w:rsidRPr="00D277A5" w:rsidRDefault="00F61E5D" w:rsidP="00924CBE">
            <w:pPr>
              <w:widowControl/>
              <w:jc w:val="center"/>
              <w:rPr>
                <w:sz w:val="20"/>
                <w14:textOutline w14:w="0" w14:cap="flat" w14:cmpd="sng" w14:algn="ctr">
                  <w14:noFill/>
                  <w14:prstDash w14:val="solid"/>
                  <w14:bevel/>
                </w14:textOutline>
              </w:rPr>
            </w:pPr>
            <w:r w:rsidRPr="00D277A5">
              <w:rPr>
                <w:sz w:val="20"/>
              </w:rPr>
              <w:t>Fondas „Association pour l'Identite et Democratie“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ID fondas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center"/>
              <w:rPr>
                <w:sz w:val="20"/>
              </w:rPr>
            </w:pPr>
            <w:r w:rsidRPr="00D277A5">
              <w:rPr>
                <w:sz w:val="20"/>
              </w:rPr>
              <w:t>ID partija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F61E5D" w:rsidRPr="00D277A5" w:rsidRDefault="00F61E5D" w:rsidP="00924CBE">
            <w:pPr>
              <w:jc w:val="right"/>
              <w:rPr>
                <w:sz w:val="20"/>
              </w:rPr>
            </w:pPr>
            <w:r w:rsidRPr="00D277A5">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F61E5D" w:rsidRPr="00D277A5" w:rsidRDefault="00F61E5D" w:rsidP="00924CBE">
            <w:pPr>
              <w:jc w:val="right"/>
              <w:rPr>
                <w:sz w:val="20"/>
              </w:rPr>
            </w:pPr>
            <w:r w:rsidRPr="00D277A5">
              <w:rPr>
                <w:sz w:val="20"/>
              </w:rPr>
              <w:t xml:space="preserve"> - </w:t>
            </w:r>
          </w:p>
        </w:tc>
      </w:tr>
      <w:tr w:rsidR="00F61E5D" w:rsidRPr="00D277A5" w:rsidTr="00924CBE">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widowControl/>
              <w:jc w:val="right"/>
              <w:rPr>
                <w:b/>
                <w:szCs w:val="24"/>
                <w14:textOutline w14:w="0" w14:cap="flat" w14:cmpd="sng" w14:algn="ctr">
                  <w14:noFill/>
                  <w14:prstDash w14:val="solid"/>
                  <w14:bevel/>
                </w14:textOutline>
              </w:rPr>
            </w:pPr>
            <w:r w:rsidRPr="00D277A5">
              <w:rPr>
                <w:b/>
                <w:sz w:val="20"/>
                <w14:textOutline w14:w="0" w14:cap="flat" w14:cmpd="sng" w14:algn="ctr">
                  <w14:noFill/>
                  <w14:prstDash w14:val="solid"/>
                  <w14:bevel/>
                </w14:textOutline>
              </w:rPr>
              <w:t>IŠ VISO</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F61E5D" w:rsidRPr="00D277A5" w:rsidRDefault="00F61E5D" w:rsidP="00924CBE">
            <w:pPr>
              <w:rPr>
                <w:szCs w:val="24"/>
                <w14:textOutline w14:w="0" w14:cap="flat" w14:cmpd="sng" w14:algn="ctr">
                  <w14:noFill/>
                  <w14:prstDash w14:val="solid"/>
                  <w14:bevel/>
                </w14:textOutline>
              </w:rPr>
            </w:pPr>
            <w:r w:rsidRPr="00D277A5">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r w:rsidRPr="00D277A5">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r w:rsidRPr="00D277A5">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r w:rsidRPr="00D277A5">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F61E5D" w:rsidRPr="00D277A5" w:rsidRDefault="00F61E5D" w:rsidP="00924CBE">
            <w:pPr>
              <w:jc w:val="right"/>
              <w:rPr>
                <w:b/>
                <w:sz w:val="20"/>
              </w:rPr>
            </w:pPr>
            <w:r w:rsidRPr="00D277A5">
              <w:rPr>
                <w:b/>
                <w:sz w:val="20"/>
              </w:rPr>
              <w:t>552 053</w:t>
            </w:r>
          </w:p>
        </w:tc>
      </w:tr>
    </w:tbl>
    <w:p w:rsidR="00F61E5D" w:rsidRPr="00D277A5" w:rsidRDefault="00F61E5D" w:rsidP="00F61E5D"/>
    <w:p w:rsidR="00E365E1" w:rsidRPr="00D277A5" w:rsidRDefault="00E365E1" w:rsidP="00D932F5">
      <w:bookmarkStart w:id="9" w:name="TextBodyEnd"/>
      <w:bookmarkEnd w:id="9"/>
    </w:p>
    <w:sectPr w:rsidR="00E365E1" w:rsidRPr="00D277A5" w:rsidSect="00D277A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2F5" w:rsidRPr="00D277A5" w:rsidRDefault="00D932F5">
      <w:r w:rsidRPr="00D277A5">
        <w:separator/>
      </w:r>
    </w:p>
  </w:endnote>
  <w:endnote w:type="continuationSeparator" w:id="0">
    <w:p w:rsidR="00D932F5" w:rsidRPr="00D277A5" w:rsidRDefault="00D932F5">
      <w:r w:rsidRPr="00D27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E5D" w:rsidRPr="00D277A5" w:rsidRDefault="00F61E5D" w:rsidP="001E0CAA">
    <w:pPr>
      <w:pStyle w:val="EPFooter"/>
    </w:pPr>
    <w:r w:rsidRPr="00D277A5">
      <w:t>PE</w:t>
    </w:r>
    <w:r w:rsidRPr="00D277A5">
      <w:rPr>
        <w:rStyle w:val="HideTWBExt"/>
      </w:rPr>
      <w:t>&lt;NoPE&gt;</w:t>
    </w:r>
    <w:r w:rsidRPr="00D277A5">
      <w:t>753.634</w:t>
    </w:r>
    <w:r w:rsidRPr="00D277A5">
      <w:rPr>
        <w:rStyle w:val="HideTWBExt"/>
      </w:rPr>
      <w:t>&lt;/NoPE&gt;&lt;Version&gt;</w:t>
    </w:r>
    <w:r w:rsidRPr="00D277A5">
      <w:t>v02-00</w:t>
    </w:r>
    <w:r w:rsidRPr="00D277A5">
      <w:rPr>
        <w:rStyle w:val="HideTWBExt"/>
      </w:rPr>
      <w:t>&lt;/Version&gt;</w:t>
    </w:r>
    <w:r w:rsidRPr="00D277A5">
      <w:tab/>
    </w:r>
    <w:r w:rsidRPr="00D277A5">
      <w:fldChar w:fldCharType="begin"/>
    </w:r>
    <w:r w:rsidRPr="00D277A5">
      <w:instrText xml:space="preserve"> PAGE  \* MERGEFORMAT </w:instrText>
    </w:r>
    <w:r w:rsidRPr="00D277A5">
      <w:fldChar w:fldCharType="separate"/>
    </w:r>
    <w:r w:rsidR="00D277A5" w:rsidRPr="00D277A5">
      <w:rPr>
        <w:noProof/>
      </w:rPr>
      <w:t>2</w:t>
    </w:r>
    <w:r w:rsidRPr="00D277A5">
      <w:fldChar w:fldCharType="end"/>
    </w:r>
    <w:r w:rsidRPr="00D277A5">
      <w:t>/</w:t>
    </w:r>
    <w:r w:rsidR="005C5C14">
      <w:fldChar w:fldCharType="begin"/>
    </w:r>
    <w:r w:rsidR="005C5C14">
      <w:instrText xml:space="preserve"> NUMPAGES  \* MERGEFORMAT</w:instrText>
    </w:r>
    <w:r w:rsidR="005C5C14">
      <w:instrText xml:space="preserve"> </w:instrText>
    </w:r>
    <w:r w:rsidR="005C5C14">
      <w:fldChar w:fldCharType="separate"/>
    </w:r>
    <w:r w:rsidR="00D277A5" w:rsidRPr="00D277A5">
      <w:rPr>
        <w:noProof/>
      </w:rPr>
      <w:t>3</w:t>
    </w:r>
    <w:r w:rsidR="005C5C14">
      <w:rPr>
        <w:noProof/>
      </w:rPr>
      <w:fldChar w:fldCharType="end"/>
    </w:r>
    <w:r w:rsidRPr="00D277A5">
      <w:tab/>
    </w:r>
    <w:r w:rsidRPr="00D277A5">
      <w:rPr>
        <w:rStyle w:val="HideTWBExt"/>
      </w:rPr>
      <w:t>&lt;PathFdR&gt;</w:t>
    </w:r>
    <w:r w:rsidRPr="00D277A5">
      <w:t>RR\1298085LT.docx</w:t>
    </w:r>
    <w:r w:rsidRPr="00D277A5">
      <w:rPr>
        <w:rStyle w:val="HideTWBExt"/>
      </w:rPr>
      <w:t>&lt;/PathFdR&gt;</w:t>
    </w:r>
  </w:p>
  <w:p w:rsidR="00F61E5D" w:rsidRPr="00D277A5" w:rsidRDefault="00F61E5D" w:rsidP="001E0CAA">
    <w:pPr>
      <w:pStyle w:val="EPFooter2"/>
    </w:pPr>
    <w:r w:rsidRPr="00D277A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E5D" w:rsidRPr="00D277A5" w:rsidRDefault="00F61E5D" w:rsidP="001E0CAA">
    <w:pPr>
      <w:pStyle w:val="EPFooter"/>
    </w:pPr>
    <w:r w:rsidRPr="00D277A5">
      <w:rPr>
        <w:rStyle w:val="HideTWBExt"/>
      </w:rPr>
      <w:t>&lt;PathFdR&gt;</w:t>
    </w:r>
    <w:r w:rsidRPr="00D277A5">
      <w:t>RR\1298085LT.docx</w:t>
    </w:r>
    <w:r w:rsidRPr="00D277A5">
      <w:rPr>
        <w:rStyle w:val="HideTWBExt"/>
      </w:rPr>
      <w:t>&lt;/PathFdR&gt;</w:t>
    </w:r>
    <w:r w:rsidRPr="00D277A5">
      <w:tab/>
    </w:r>
    <w:r w:rsidRPr="00D277A5">
      <w:tab/>
      <w:t>PE</w:t>
    </w:r>
    <w:r w:rsidRPr="00D277A5">
      <w:rPr>
        <w:rStyle w:val="HideTWBExt"/>
      </w:rPr>
      <w:t>&lt;NoPE&gt;</w:t>
    </w:r>
    <w:r w:rsidRPr="00D277A5">
      <w:t>753.634</w:t>
    </w:r>
    <w:r w:rsidRPr="00D277A5">
      <w:rPr>
        <w:rStyle w:val="HideTWBExt"/>
      </w:rPr>
      <w:t>&lt;/NoPE&gt;&lt;Version&gt;</w:t>
    </w:r>
    <w:r w:rsidRPr="00D277A5">
      <w:t>v02-00</w:t>
    </w:r>
    <w:r w:rsidRPr="00D277A5">
      <w:rPr>
        <w:rStyle w:val="HideTWBExt"/>
      </w:rPr>
      <w:t>&lt;/Version&gt;</w:t>
    </w:r>
  </w:p>
  <w:p w:rsidR="00F61E5D" w:rsidRPr="00D277A5" w:rsidRDefault="00F61E5D" w:rsidP="001E0CAA">
    <w:pPr>
      <w:pStyle w:val="EPFooter2"/>
    </w:pPr>
    <w:r w:rsidRPr="00D277A5">
      <w:t>LT</w:t>
    </w:r>
    <w:r w:rsidRPr="00D277A5">
      <w:tab/>
    </w:r>
    <w:r w:rsidRPr="00D277A5">
      <w:rPr>
        <w:b w:val="0"/>
        <w:i/>
        <w:color w:val="C0C0C0"/>
        <w:sz w:val="22"/>
      </w:rPr>
      <w:t>Suvienijusi įvairovę</w:t>
    </w:r>
    <w:r w:rsidRPr="00D277A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2F5" w:rsidRPr="00D277A5" w:rsidRDefault="00D932F5">
      <w:r w:rsidRPr="00D277A5">
        <w:separator/>
      </w:r>
    </w:p>
  </w:footnote>
  <w:footnote w:type="continuationSeparator" w:id="0">
    <w:p w:rsidR="00D932F5" w:rsidRPr="00D277A5" w:rsidRDefault="00D932F5">
      <w:r w:rsidRPr="00D277A5">
        <w:continuationSeparator/>
      </w:r>
    </w:p>
  </w:footnote>
  <w:footnote w:id="1">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L 45, 2022 2 24, p. 1.</w:t>
      </w:r>
    </w:p>
  </w:footnote>
  <w:footnote w:id="2">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C, C/2023/2, 2023 10 12.</w:t>
      </w:r>
    </w:p>
  </w:footnote>
  <w:footnote w:id="3">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C 210, 2023 6 15, p. 1.</w:t>
      </w:r>
    </w:p>
  </w:footnote>
  <w:footnote w:id="4">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C, C/2023/103, 2023 10 4.</w:t>
      </w:r>
    </w:p>
  </w:footnote>
  <w:footnote w:id="5">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C, C/2023/112, 2023 10 12.</w:t>
      </w:r>
    </w:p>
  </w:footnote>
  <w:footnote w:id="6">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L 193, 2018 7 30, p. 1.</w:t>
      </w:r>
    </w:p>
  </w:footnote>
  <w:footnote w:id="7">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2020 m. gruodžio 17 d. Tarybos reglamentas (ES, Euratomas) 2020/2093, kuriuo nustatoma 2021–2027 m. daugiametė finansinė programa (OL L 433 I, 2020 12 22, p. 11).</w:t>
      </w:r>
    </w:p>
  </w:footnote>
  <w:footnote w:id="8">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2021 m. gegužės 20 d. Europos Parlamento, Europos Sąjungos Tarybos ir Europos Komisijos tarpinstitucinis susitarimas dėl privalomo skaidrumo registro (OL L 207, 2021 6 11, p. 1).</w:t>
      </w:r>
    </w:p>
  </w:footnote>
  <w:footnote w:id="9">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Priimti tekstai, P9_TA(2024)0036.</w:t>
      </w:r>
    </w:p>
  </w:footnote>
  <w:footnote w:id="10">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hyperlink r:id="rId1" w:history="1">
        <w:r w:rsidRPr="00EB50A8">
          <w:rPr>
            <w:rStyle w:val="Hyperlink"/>
            <w:sz w:val="24"/>
            <w:lang w:val="lt-LT"/>
          </w:rPr>
          <w:t>https://www.eca.europa.eu/other%20publications/pl1407_letter/pl1407_letter_lt.pdf</w:t>
        </w:r>
      </w:hyperlink>
    </w:p>
  </w:footnote>
  <w:footnote w:id="11">
    <w:p w:rsidR="00EA6CCD" w:rsidRPr="00A22D6D" w:rsidRDefault="00EA6CCD" w:rsidP="00D21B01">
      <w:pPr>
        <w:pStyle w:val="FootnoteText"/>
        <w:ind w:left="567" w:hanging="567"/>
        <w:rPr>
          <w:sz w:val="24"/>
          <w:szCs w:val="24"/>
          <w:lang w:val="lt-LT"/>
        </w:rPr>
      </w:pPr>
      <w:r w:rsidRPr="00D21B01">
        <w:rPr>
          <w:rStyle w:val="FootnoteReference"/>
          <w:sz w:val="24"/>
          <w:szCs w:val="24"/>
        </w:rPr>
        <w:footnoteRef/>
      </w:r>
      <w:r w:rsidRPr="005C5C14">
        <w:rPr>
          <w:sz w:val="24"/>
          <w:szCs w:val="24"/>
          <w:lang w:val="pt-PT"/>
        </w:rPr>
        <w:t xml:space="preserve"> </w:t>
      </w:r>
      <w:r w:rsidRPr="00D21B01">
        <w:rPr>
          <w:sz w:val="24"/>
          <w:szCs w:val="24"/>
          <w:lang w:val="lt-LT"/>
        </w:rPr>
        <w:tab/>
      </w:r>
      <w:r w:rsidRPr="005C5C14">
        <w:rPr>
          <w:sz w:val="24"/>
          <w:szCs w:val="24"/>
          <w:lang w:val="pt-PT"/>
        </w:rPr>
        <w:t xml:space="preserve">DARBO GRUPĖS </w:t>
      </w:r>
      <w:proofErr w:type="spellStart"/>
      <w:r w:rsidRPr="005C5C14">
        <w:rPr>
          <w:sz w:val="24"/>
          <w:szCs w:val="24"/>
          <w:lang w:val="pt-PT"/>
        </w:rPr>
        <w:t>pranešimas</w:t>
      </w:r>
      <w:proofErr w:type="spellEnd"/>
      <w:r w:rsidRPr="005C5C14">
        <w:rPr>
          <w:sz w:val="24"/>
          <w:szCs w:val="24"/>
          <w:lang w:val="pt-PT"/>
        </w:rPr>
        <w:t xml:space="preserve"> </w:t>
      </w:r>
      <w:proofErr w:type="spellStart"/>
      <w:r w:rsidRPr="005C5C14">
        <w:rPr>
          <w:sz w:val="24"/>
          <w:szCs w:val="24"/>
          <w:lang w:val="pt-PT"/>
        </w:rPr>
        <w:t>Biurui</w:t>
      </w:r>
      <w:proofErr w:type="spellEnd"/>
      <w:r w:rsidRPr="005C5C14">
        <w:rPr>
          <w:sz w:val="24"/>
          <w:szCs w:val="24"/>
          <w:lang w:val="pt-PT"/>
        </w:rPr>
        <w:t xml:space="preserve"> „</w:t>
      </w:r>
      <w:proofErr w:type="spellStart"/>
      <w:r w:rsidRPr="005C5C14">
        <w:rPr>
          <w:sz w:val="24"/>
          <w:szCs w:val="24"/>
          <w:lang w:val="pt-PT"/>
        </w:rPr>
        <w:t>Statyba</w:t>
      </w:r>
      <w:proofErr w:type="spellEnd"/>
      <w:r w:rsidRPr="005C5C14">
        <w:rPr>
          <w:sz w:val="24"/>
          <w:szCs w:val="24"/>
          <w:lang w:val="pt-PT"/>
        </w:rPr>
        <w:t xml:space="preserve">, transportas ir </w:t>
      </w:r>
      <w:proofErr w:type="spellStart"/>
      <w:r w:rsidRPr="005C5C14">
        <w:rPr>
          <w:sz w:val="24"/>
          <w:szCs w:val="24"/>
          <w:lang w:val="pt-PT"/>
        </w:rPr>
        <w:t>žaliasis</w:t>
      </w:r>
      <w:proofErr w:type="spellEnd"/>
      <w:r w:rsidRPr="005C5C14">
        <w:rPr>
          <w:sz w:val="24"/>
          <w:szCs w:val="24"/>
          <w:lang w:val="pt-PT"/>
        </w:rPr>
        <w:t xml:space="preserve"> </w:t>
      </w:r>
      <w:proofErr w:type="gramStart"/>
      <w:r w:rsidRPr="005C5C14">
        <w:rPr>
          <w:sz w:val="24"/>
          <w:szCs w:val="24"/>
          <w:lang w:val="pt-PT"/>
        </w:rPr>
        <w:t>Parlamentas“ (</w:t>
      </w:r>
      <w:proofErr w:type="gramEnd"/>
      <w:r w:rsidRPr="005C5C14">
        <w:rPr>
          <w:sz w:val="24"/>
          <w:szCs w:val="24"/>
          <w:lang w:val="pt-PT"/>
        </w:rPr>
        <w:t xml:space="preserve">2023 m.) 10939, 16 </w:t>
      </w:r>
      <w:proofErr w:type="spellStart"/>
      <w:r w:rsidRPr="005C5C14">
        <w:rPr>
          <w:sz w:val="24"/>
          <w:szCs w:val="24"/>
          <w:lang w:val="pt-PT"/>
        </w:rPr>
        <w:t>dalis</w:t>
      </w:r>
      <w:proofErr w:type="spellEnd"/>
      <w:r w:rsidRPr="005C5C14">
        <w:rPr>
          <w:sz w:val="24"/>
          <w:szCs w:val="24"/>
          <w:lang w:val="pt-PT"/>
        </w:rPr>
        <w:t>).</w:t>
      </w:r>
    </w:p>
  </w:footnote>
  <w:footnote w:id="12">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 xml:space="preserve">Reglamentas Nr. </w:t>
      </w:r>
      <w:r w:rsidRPr="00D277A5">
        <w:rPr>
          <w:sz w:val="24"/>
          <w:lang w:val="lt-LT"/>
        </w:rPr>
        <w:t>1, nustatantis kalbas, kurios turi būti vartojamos Europos ekonominėje bendrijoje (OL</w:t>
      </w:r>
      <w:r w:rsidR="00D40A8B">
        <w:rPr>
          <w:sz w:val="24"/>
          <w:lang w:val="lt-LT"/>
        </w:rPr>
        <w:t xml:space="preserve"> </w:t>
      </w:r>
      <w:r w:rsidR="005C5C14">
        <w:rPr>
          <w:sz w:val="24"/>
          <w:lang w:val="lt-LT"/>
        </w:rPr>
        <w:t xml:space="preserve">P </w:t>
      </w:r>
      <w:bookmarkStart w:id="8" w:name="_GoBack"/>
      <w:bookmarkEnd w:id="8"/>
      <w:r w:rsidRPr="00D277A5">
        <w:rPr>
          <w:sz w:val="24"/>
          <w:lang w:val="lt-LT"/>
        </w:rPr>
        <w:t>17, 195</w:t>
      </w:r>
      <w:r w:rsidR="00D40A8B">
        <w:rPr>
          <w:sz w:val="24"/>
          <w:lang w:val="lt-LT"/>
        </w:rPr>
        <w:t>8</w:t>
      </w:r>
      <w:r w:rsidRPr="00D277A5">
        <w:rPr>
          <w:sz w:val="24"/>
          <w:lang w:val="lt-LT"/>
        </w:rPr>
        <w:t> 10 6, p. 385).</w:t>
      </w:r>
    </w:p>
  </w:footnote>
  <w:footnote w:id="13">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OL L 317, 2014 11 4, p.</w:t>
      </w:r>
      <w:r w:rsidR="00D96324">
        <w:rPr>
          <w:sz w:val="24"/>
          <w:lang w:val="lt-LT"/>
        </w:rPr>
        <w:t xml:space="preserve"> </w:t>
      </w:r>
      <w:r w:rsidRPr="00D277A5">
        <w:rPr>
          <w:sz w:val="24"/>
          <w:lang w:val="lt-LT"/>
        </w:rPr>
        <w:t>1.</w:t>
      </w:r>
    </w:p>
  </w:footnote>
  <w:footnote w:id="14">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Visos sumos nurodytos tūkstančiais EUR.</w:t>
      </w:r>
    </w:p>
  </w:footnote>
  <w:footnote w:id="15">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Visos sumos nurodytos tūkstančiais EUR.</w:t>
      </w:r>
    </w:p>
  </w:footnote>
  <w:footnote w:id="16">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sumą sudaro antroji 2021 m. galutinio finansavimo dalis ir pirmoji 2022 m. galutinio finansavimo dalis pagal 2024 m. vasario 26 d. Biuro sprendimą.</w:t>
      </w:r>
    </w:p>
  </w:footnote>
  <w:footnote w:id="17">
    <w:p w:rsidR="00F61E5D" w:rsidRPr="00D277A5" w:rsidRDefault="00F61E5D" w:rsidP="00D277A5">
      <w:pPr>
        <w:pStyle w:val="FootnoteText"/>
        <w:ind w:left="567" w:hanging="567"/>
        <w:rPr>
          <w:sz w:val="24"/>
          <w:lang w:val="lt-LT"/>
        </w:rPr>
      </w:pPr>
      <w:r w:rsidRPr="00D277A5">
        <w:rPr>
          <w:rStyle w:val="FootnoteReference"/>
          <w:sz w:val="24"/>
          <w:lang w:val="lt-LT"/>
        </w:rPr>
        <w:footnoteRef/>
      </w:r>
      <w:r w:rsidR="00D277A5" w:rsidRPr="00D277A5">
        <w:rPr>
          <w:sz w:val="24"/>
          <w:lang w:val="lt-LT"/>
        </w:rPr>
        <w:t xml:space="preserve"> </w:t>
      </w:r>
      <w:r w:rsidR="00D277A5" w:rsidRPr="00D277A5">
        <w:rPr>
          <w:sz w:val="24"/>
          <w:lang w:val="lt-LT"/>
        </w:rPr>
        <w:tab/>
      </w:r>
      <w:r w:rsidRPr="00D277A5">
        <w:rPr>
          <w:sz w:val="24"/>
          <w:lang w:val="lt-LT"/>
        </w:rPr>
        <w:t>Visos sumos nurodytos tūkstančiais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7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LT"/>
    <w:docVar w:name="dvnumam" w:val="0"/>
    <w:docVar w:name="dvpe" w:val="753.634"/>
    <w:docVar w:name="dvrapporteur" w:val="Pranešėjas: "/>
    <w:docVar w:name="dvtitre" w:val="Europos Parlamento sprendimas dėl Europos Sąjungos 2022 finansinių metų bendrojo biudžeto įvykdymo patvirtinimo, I skirsnis – Europos Parlamentas(2023/2130(DEC))"/>
  </w:docVars>
  <w:rsids>
    <w:rsidRoot w:val="00D932F5"/>
    <w:rsid w:val="00002258"/>
    <w:rsid w:val="00002272"/>
    <w:rsid w:val="00064002"/>
    <w:rsid w:val="000677B9"/>
    <w:rsid w:val="000831BA"/>
    <w:rsid w:val="00083737"/>
    <w:rsid w:val="000A42CC"/>
    <w:rsid w:val="000D59C4"/>
    <w:rsid w:val="000E6A33"/>
    <w:rsid w:val="000E7DD9"/>
    <w:rsid w:val="0010095E"/>
    <w:rsid w:val="00125B37"/>
    <w:rsid w:val="00137A47"/>
    <w:rsid w:val="00187494"/>
    <w:rsid w:val="00192D53"/>
    <w:rsid w:val="001A2DDC"/>
    <w:rsid w:val="001F32AE"/>
    <w:rsid w:val="002767FF"/>
    <w:rsid w:val="002B18FE"/>
    <w:rsid w:val="002B5493"/>
    <w:rsid w:val="00333E87"/>
    <w:rsid w:val="00343214"/>
    <w:rsid w:val="00361C00"/>
    <w:rsid w:val="00386E01"/>
    <w:rsid w:val="00395FA1"/>
    <w:rsid w:val="003E05F0"/>
    <w:rsid w:val="003E15D4"/>
    <w:rsid w:val="003F4BE9"/>
    <w:rsid w:val="00411CCE"/>
    <w:rsid w:val="0041666E"/>
    <w:rsid w:val="00421060"/>
    <w:rsid w:val="00471C19"/>
    <w:rsid w:val="004771A8"/>
    <w:rsid w:val="004772A1"/>
    <w:rsid w:val="004867E3"/>
    <w:rsid w:val="00494A28"/>
    <w:rsid w:val="004959C3"/>
    <w:rsid w:val="004C0004"/>
    <w:rsid w:val="004C5D52"/>
    <w:rsid w:val="0050519A"/>
    <w:rsid w:val="005072A1"/>
    <w:rsid w:val="00514517"/>
    <w:rsid w:val="00545827"/>
    <w:rsid w:val="00560270"/>
    <w:rsid w:val="005B2630"/>
    <w:rsid w:val="005B7ABB"/>
    <w:rsid w:val="005C2568"/>
    <w:rsid w:val="005C557F"/>
    <w:rsid w:val="005C5C14"/>
    <w:rsid w:val="005E188F"/>
    <w:rsid w:val="006037C0"/>
    <w:rsid w:val="006538AF"/>
    <w:rsid w:val="00656E35"/>
    <w:rsid w:val="006631B6"/>
    <w:rsid w:val="00673197"/>
    <w:rsid w:val="00680577"/>
    <w:rsid w:val="006F74FA"/>
    <w:rsid w:val="00726125"/>
    <w:rsid w:val="00731ADD"/>
    <w:rsid w:val="007345E7"/>
    <w:rsid w:val="00734777"/>
    <w:rsid w:val="0074217D"/>
    <w:rsid w:val="00747932"/>
    <w:rsid w:val="00750401"/>
    <w:rsid w:val="00751A4A"/>
    <w:rsid w:val="00756632"/>
    <w:rsid w:val="00762C74"/>
    <w:rsid w:val="00786EC0"/>
    <w:rsid w:val="007D1690"/>
    <w:rsid w:val="007E22AD"/>
    <w:rsid w:val="00817416"/>
    <w:rsid w:val="008306B9"/>
    <w:rsid w:val="00842779"/>
    <w:rsid w:val="00865F67"/>
    <w:rsid w:val="00881A7B"/>
    <w:rsid w:val="008840E5"/>
    <w:rsid w:val="00887B3E"/>
    <w:rsid w:val="008A0BA6"/>
    <w:rsid w:val="008C2AC6"/>
    <w:rsid w:val="00924B08"/>
    <w:rsid w:val="00930C23"/>
    <w:rsid w:val="0093193B"/>
    <w:rsid w:val="009509D8"/>
    <w:rsid w:val="00950B64"/>
    <w:rsid w:val="00964071"/>
    <w:rsid w:val="00981893"/>
    <w:rsid w:val="009A4866"/>
    <w:rsid w:val="00A1687D"/>
    <w:rsid w:val="00A22D6D"/>
    <w:rsid w:val="00A42BAA"/>
    <w:rsid w:val="00A43E52"/>
    <w:rsid w:val="00A4678D"/>
    <w:rsid w:val="00A778C7"/>
    <w:rsid w:val="00AB441E"/>
    <w:rsid w:val="00AB6293"/>
    <w:rsid w:val="00AE0928"/>
    <w:rsid w:val="00AF3B82"/>
    <w:rsid w:val="00B12E95"/>
    <w:rsid w:val="00B22876"/>
    <w:rsid w:val="00B22A52"/>
    <w:rsid w:val="00B46BFC"/>
    <w:rsid w:val="00B51A95"/>
    <w:rsid w:val="00B558F0"/>
    <w:rsid w:val="00BD48FE"/>
    <w:rsid w:val="00BD5B65"/>
    <w:rsid w:val="00BD7BD8"/>
    <w:rsid w:val="00BE6ADC"/>
    <w:rsid w:val="00C05BFE"/>
    <w:rsid w:val="00C156F0"/>
    <w:rsid w:val="00C23CD4"/>
    <w:rsid w:val="00C61C0C"/>
    <w:rsid w:val="00C853FE"/>
    <w:rsid w:val="00C941CB"/>
    <w:rsid w:val="00CC2357"/>
    <w:rsid w:val="00CC7549"/>
    <w:rsid w:val="00CF071A"/>
    <w:rsid w:val="00D058B8"/>
    <w:rsid w:val="00D21B01"/>
    <w:rsid w:val="00D277A5"/>
    <w:rsid w:val="00D40A8B"/>
    <w:rsid w:val="00D56C11"/>
    <w:rsid w:val="00D834A0"/>
    <w:rsid w:val="00D872DF"/>
    <w:rsid w:val="00D91E21"/>
    <w:rsid w:val="00D932F5"/>
    <w:rsid w:val="00D96324"/>
    <w:rsid w:val="00DA7FCD"/>
    <w:rsid w:val="00DC6EAB"/>
    <w:rsid w:val="00E07538"/>
    <w:rsid w:val="00E365E1"/>
    <w:rsid w:val="00E47EDE"/>
    <w:rsid w:val="00E777D3"/>
    <w:rsid w:val="00E820A4"/>
    <w:rsid w:val="00E849F9"/>
    <w:rsid w:val="00E96684"/>
    <w:rsid w:val="00EA298D"/>
    <w:rsid w:val="00EA6CCD"/>
    <w:rsid w:val="00EB006A"/>
    <w:rsid w:val="00EB4772"/>
    <w:rsid w:val="00EB50A8"/>
    <w:rsid w:val="00ED169E"/>
    <w:rsid w:val="00ED4235"/>
    <w:rsid w:val="00EE305B"/>
    <w:rsid w:val="00EF176F"/>
    <w:rsid w:val="00F04346"/>
    <w:rsid w:val="00F075DC"/>
    <w:rsid w:val="00F149E9"/>
    <w:rsid w:val="00F31921"/>
    <w:rsid w:val="00F5134D"/>
    <w:rsid w:val="00F521E9"/>
    <w:rsid w:val="00F61E5D"/>
    <w:rsid w:val="00F74202"/>
    <w:rsid w:val="00F8500C"/>
    <w:rsid w:val="00F87713"/>
    <w:rsid w:val="00F956A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8086F"/>
  <w15:chartTrackingRefBased/>
  <w15:docId w15:val="{08576FB6-BEF0-42DC-83EB-B0E28963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B22A52"/>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61E5D"/>
    <w:rPr>
      <w:b/>
      <w:kern w:val="28"/>
      <w:sz w:val="28"/>
      <w:lang w:val="fr-FR" w:eastAsia="fr-FR"/>
    </w:rPr>
  </w:style>
  <w:style w:type="character" w:customStyle="1" w:styleId="Heading2Char">
    <w:name w:val="Heading 2 Char"/>
    <w:basedOn w:val="DefaultParagraphFont"/>
    <w:link w:val="Heading2"/>
    <w:semiHidden/>
    <w:rsid w:val="00F61E5D"/>
    <w:rPr>
      <w:sz w:val="24"/>
      <w:lang w:val="fr-FR" w:eastAsia="fr-FR"/>
    </w:rPr>
  </w:style>
  <w:style w:type="character" w:customStyle="1" w:styleId="Heading3Char">
    <w:name w:val="Heading 3 Char"/>
    <w:basedOn w:val="DefaultParagraphFont"/>
    <w:link w:val="Heading3"/>
    <w:semiHidden/>
    <w:rsid w:val="00F61E5D"/>
    <w:rPr>
      <w:rFonts w:ascii="Arial" w:hAnsi="Arial"/>
      <w:sz w:val="24"/>
      <w:lang w:val="fr-FR" w:eastAsia="fr-FR"/>
    </w:rPr>
  </w:style>
  <w:style w:type="character" w:customStyle="1" w:styleId="Heading4Char">
    <w:name w:val="Heading 4 Char"/>
    <w:basedOn w:val="DefaultParagraphFont"/>
    <w:link w:val="Heading4"/>
    <w:semiHidden/>
    <w:rsid w:val="00F61E5D"/>
    <w:rPr>
      <w:sz w:val="24"/>
      <w:lang w:val="en-US" w:eastAsia="fr-FR"/>
    </w:rPr>
  </w:style>
  <w:style w:type="character" w:customStyle="1" w:styleId="Heading5Char">
    <w:name w:val="Heading 5 Char"/>
    <w:basedOn w:val="DefaultParagraphFont"/>
    <w:link w:val="Heading5"/>
    <w:semiHidden/>
    <w:rsid w:val="00F61E5D"/>
    <w:rPr>
      <w:sz w:val="24"/>
      <w:lang w:val="en-US" w:eastAsia="fr-FR"/>
    </w:rPr>
  </w:style>
  <w:style w:type="character" w:customStyle="1" w:styleId="Heading6Char">
    <w:name w:val="Heading 6 Char"/>
    <w:basedOn w:val="DefaultParagraphFont"/>
    <w:link w:val="Heading6"/>
    <w:semiHidden/>
    <w:rsid w:val="00F61E5D"/>
    <w:rPr>
      <w:i/>
      <w:sz w:val="22"/>
      <w:lang w:val="lt-LT"/>
    </w:rPr>
  </w:style>
  <w:style w:type="character" w:customStyle="1" w:styleId="Heading7Char">
    <w:name w:val="Heading 7 Char"/>
    <w:basedOn w:val="DefaultParagraphFont"/>
    <w:link w:val="Heading7"/>
    <w:semiHidden/>
    <w:rsid w:val="00F61E5D"/>
    <w:rPr>
      <w:rFonts w:ascii="Arial" w:hAnsi="Arial"/>
      <w:sz w:val="24"/>
      <w:lang w:val="lt-LT"/>
    </w:rPr>
  </w:style>
  <w:style w:type="character" w:customStyle="1" w:styleId="Heading8Char">
    <w:name w:val="Heading 8 Char"/>
    <w:basedOn w:val="DefaultParagraphFont"/>
    <w:link w:val="Heading8"/>
    <w:semiHidden/>
    <w:rsid w:val="00F61E5D"/>
    <w:rPr>
      <w:rFonts w:ascii="Arial" w:hAnsi="Arial"/>
      <w:i/>
      <w:sz w:val="24"/>
      <w:lang w:val="lt-LT"/>
    </w:rPr>
  </w:style>
  <w:style w:type="character" w:customStyle="1" w:styleId="Heading9Char">
    <w:name w:val="Heading 9 Char"/>
    <w:basedOn w:val="DefaultParagraphFont"/>
    <w:link w:val="Heading9"/>
    <w:semiHidden/>
    <w:rsid w:val="00F61E5D"/>
    <w:rPr>
      <w:rFonts w:ascii="Arial" w:hAnsi="Arial"/>
      <w:b/>
      <w:i/>
      <w:sz w:val="18"/>
      <w:lang w:val="lt-LT"/>
    </w:rPr>
  </w:style>
  <w:style w:type="paragraph" w:styleId="TOCHeading">
    <w:name w:val="TOC Heading"/>
    <w:basedOn w:val="Normal"/>
    <w:next w:val="Normal"/>
    <w:unhideWhenUsed/>
    <w:qFormat/>
    <w:rsid w:val="00F61E5D"/>
    <w:pPr>
      <w:widowControl/>
      <w:spacing w:after="240"/>
    </w:pPr>
    <w:rPr>
      <w:lang w:val="en-GB"/>
    </w:rPr>
  </w:style>
  <w:style w:type="paragraph" w:customStyle="1" w:styleId="EPFooter2">
    <w:name w:val="EPFooter2"/>
    <w:basedOn w:val="Normal"/>
    <w:next w:val="Normal"/>
    <w:rsid w:val="00F61E5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61E5D"/>
    <w:pPr>
      <w:spacing w:before="480" w:after="240"/>
    </w:pPr>
  </w:style>
  <w:style w:type="paragraph" w:customStyle="1" w:styleId="TOCPage">
    <w:name w:val="TOC Page"/>
    <w:basedOn w:val="Normal"/>
    <w:next w:val="TOC1"/>
    <w:rsid w:val="00F61E5D"/>
    <w:pPr>
      <w:keepNext/>
      <w:spacing w:after="240"/>
      <w:jc w:val="right"/>
    </w:pPr>
    <w:rPr>
      <w:rFonts w:ascii="Arial" w:hAnsi="Arial"/>
      <w:b/>
    </w:rPr>
  </w:style>
  <w:style w:type="paragraph" w:customStyle="1" w:styleId="PageHeading">
    <w:name w:val="PageHeading"/>
    <w:basedOn w:val="Normal"/>
    <w:rsid w:val="00F61E5D"/>
    <w:pPr>
      <w:keepNext/>
      <w:spacing w:after="480"/>
      <w:jc w:val="center"/>
    </w:pPr>
    <w:rPr>
      <w:rFonts w:ascii="Arial" w:hAnsi="Arial" w:cs="Arial"/>
      <w:b/>
    </w:rPr>
  </w:style>
  <w:style w:type="paragraph" w:customStyle="1" w:styleId="NormalBold">
    <w:name w:val="NormalBold"/>
    <w:basedOn w:val="Normal"/>
    <w:rsid w:val="00F61E5D"/>
    <w:rPr>
      <w:b/>
    </w:rPr>
  </w:style>
  <w:style w:type="paragraph" w:customStyle="1" w:styleId="NormalHanging12a">
    <w:name w:val="NormalHanging12a"/>
    <w:basedOn w:val="Normal"/>
    <w:link w:val="NormalHanging12aChar"/>
    <w:rsid w:val="00F61E5D"/>
    <w:pPr>
      <w:spacing w:after="240"/>
      <w:ind w:left="567" w:hanging="567"/>
    </w:pPr>
  </w:style>
  <w:style w:type="paragraph" w:customStyle="1" w:styleId="CoverNormal24a">
    <w:name w:val="CoverNormal24a"/>
    <w:basedOn w:val="Normal"/>
    <w:rsid w:val="00F61E5D"/>
    <w:pPr>
      <w:spacing w:after="480"/>
      <w:ind w:left="1417"/>
    </w:pPr>
  </w:style>
  <w:style w:type="paragraph" w:customStyle="1" w:styleId="CoverNormal">
    <w:name w:val="CoverNormal"/>
    <w:basedOn w:val="Normal"/>
    <w:rsid w:val="00F61E5D"/>
    <w:pPr>
      <w:ind w:left="1418"/>
    </w:pPr>
  </w:style>
  <w:style w:type="paragraph" w:customStyle="1" w:styleId="CoverReference">
    <w:name w:val="CoverReference"/>
    <w:basedOn w:val="Normal"/>
    <w:rsid w:val="00F61E5D"/>
    <w:pPr>
      <w:spacing w:before="1080"/>
      <w:jc w:val="right"/>
    </w:pPr>
    <w:rPr>
      <w:rFonts w:ascii="Arial" w:hAnsi="Arial" w:cs="Arial"/>
      <w:b/>
    </w:rPr>
  </w:style>
  <w:style w:type="paragraph" w:customStyle="1" w:styleId="CoverDocType24a">
    <w:name w:val="CoverDocType24a"/>
    <w:basedOn w:val="Normal"/>
    <w:rsid w:val="00F61E5D"/>
    <w:pPr>
      <w:spacing w:after="480"/>
      <w:ind w:left="1418"/>
    </w:pPr>
    <w:rPr>
      <w:rFonts w:ascii="Arial" w:hAnsi="Arial"/>
      <w:b/>
      <w:sz w:val="48"/>
    </w:rPr>
  </w:style>
  <w:style w:type="paragraph" w:customStyle="1" w:styleId="CoverDate">
    <w:name w:val="CoverDate"/>
    <w:basedOn w:val="Normal"/>
    <w:rsid w:val="00F61E5D"/>
    <w:pPr>
      <w:spacing w:before="240" w:after="1200"/>
    </w:pPr>
  </w:style>
  <w:style w:type="paragraph" w:customStyle="1" w:styleId="EPBody">
    <w:name w:val="EPBody"/>
    <w:basedOn w:val="Normal"/>
    <w:rsid w:val="00F61E5D"/>
    <w:pPr>
      <w:jc w:val="center"/>
    </w:pPr>
    <w:rPr>
      <w:rFonts w:ascii="Arial" w:hAnsi="Arial" w:cs="Arial"/>
      <w:i/>
      <w:sz w:val="22"/>
      <w:szCs w:val="22"/>
    </w:rPr>
  </w:style>
  <w:style w:type="paragraph" w:customStyle="1" w:styleId="EPFooter">
    <w:name w:val="EPFooter"/>
    <w:basedOn w:val="Normal"/>
    <w:rsid w:val="00F61E5D"/>
    <w:pPr>
      <w:tabs>
        <w:tab w:val="center" w:pos="4535"/>
        <w:tab w:val="right" w:pos="9071"/>
      </w:tabs>
      <w:spacing w:before="240" w:after="240"/>
    </w:pPr>
    <w:rPr>
      <w:color w:val="010000"/>
      <w:sz w:val="22"/>
    </w:rPr>
  </w:style>
  <w:style w:type="paragraph" w:styleId="Header">
    <w:name w:val="header"/>
    <w:basedOn w:val="Normal"/>
    <w:link w:val="HeaderChar"/>
    <w:rsid w:val="00F61E5D"/>
    <w:pPr>
      <w:tabs>
        <w:tab w:val="center" w:pos="4513"/>
        <w:tab w:val="right" w:pos="9026"/>
      </w:tabs>
    </w:pPr>
  </w:style>
  <w:style w:type="character" w:customStyle="1" w:styleId="HeaderChar">
    <w:name w:val="Header Char"/>
    <w:basedOn w:val="DefaultParagraphFont"/>
    <w:link w:val="Header"/>
    <w:rsid w:val="00F61E5D"/>
    <w:rPr>
      <w:sz w:val="24"/>
      <w:lang w:val="lt-LT"/>
    </w:rPr>
  </w:style>
  <w:style w:type="character" w:customStyle="1" w:styleId="NormalHanging12aChar">
    <w:name w:val="NormalHanging12a Char"/>
    <w:basedOn w:val="DefaultParagraphFont"/>
    <w:link w:val="NormalHanging12a"/>
    <w:locked/>
    <w:rsid w:val="00F61E5D"/>
    <w:rPr>
      <w:sz w:val="24"/>
      <w:lang w:val="lt-LT"/>
    </w:rPr>
  </w:style>
  <w:style w:type="character" w:styleId="CommentReference">
    <w:name w:val="annotation reference"/>
    <w:basedOn w:val="DefaultParagraphFont"/>
    <w:uiPriority w:val="99"/>
    <w:rsid w:val="00F61E5D"/>
    <w:rPr>
      <w:sz w:val="16"/>
      <w:szCs w:val="16"/>
    </w:rPr>
  </w:style>
  <w:style w:type="paragraph" w:styleId="CommentText">
    <w:name w:val="annotation text"/>
    <w:basedOn w:val="Normal"/>
    <w:link w:val="CommentTextChar"/>
    <w:uiPriority w:val="99"/>
    <w:rsid w:val="00F61E5D"/>
    <w:rPr>
      <w:sz w:val="20"/>
    </w:rPr>
  </w:style>
  <w:style w:type="character" w:customStyle="1" w:styleId="CommentTextChar">
    <w:name w:val="Comment Text Char"/>
    <w:basedOn w:val="DefaultParagraphFont"/>
    <w:link w:val="CommentText"/>
    <w:uiPriority w:val="99"/>
    <w:rsid w:val="00F61E5D"/>
    <w:rPr>
      <w:lang w:val="lt-LT"/>
    </w:rPr>
  </w:style>
  <w:style w:type="paragraph" w:styleId="CommentSubject">
    <w:name w:val="annotation subject"/>
    <w:basedOn w:val="CommentText"/>
    <w:next w:val="CommentText"/>
    <w:link w:val="CommentSubjectChar"/>
    <w:unhideWhenUsed/>
    <w:rsid w:val="00F61E5D"/>
    <w:rPr>
      <w:b/>
      <w:bCs/>
    </w:rPr>
  </w:style>
  <w:style w:type="character" w:customStyle="1" w:styleId="CommentSubjectChar">
    <w:name w:val="Comment Subject Char"/>
    <w:basedOn w:val="CommentTextChar"/>
    <w:link w:val="CommentSubject"/>
    <w:rsid w:val="00F61E5D"/>
    <w:rPr>
      <w:b/>
      <w:bCs/>
      <w:lang w:val="lt-LT"/>
    </w:rPr>
  </w:style>
  <w:style w:type="paragraph" w:styleId="BalloonText">
    <w:name w:val="Balloon Text"/>
    <w:basedOn w:val="Normal"/>
    <w:link w:val="BalloonTextChar"/>
    <w:unhideWhenUsed/>
    <w:rsid w:val="00F61E5D"/>
    <w:rPr>
      <w:rFonts w:ascii="Segoe UI" w:hAnsi="Segoe UI" w:cs="Segoe UI"/>
      <w:sz w:val="18"/>
      <w:szCs w:val="18"/>
    </w:rPr>
  </w:style>
  <w:style w:type="character" w:customStyle="1" w:styleId="BalloonTextChar">
    <w:name w:val="Balloon Text Char"/>
    <w:basedOn w:val="DefaultParagraphFont"/>
    <w:link w:val="BalloonText"/>
    <w:rsid w:val="00F61E5D"/>
    <w:rPr>
      <w:rFonts w:ascii="Segoe UI" w:hAnsi="Segoe UI" w:cs="Segoe UI"/>
      <w:sz w:val="18"/>
      <w:szCs w:val="18"/>
      <w:lang w:val="lt-LT"/>
    </w:rPr>
  </w:style>
  <w:style w:type="paragraph" w:customStyle="1" w:styleId="Body">
    <w:name w:val="Body"/>
    <w:rsid w:val="00F61E5D"/>
    <w:pPr>
      <w:widowControl w:val="0"/>
    </w:pPr>
    <w:rPr>
      <w:color w:val="000000"/>
      <w:sz w:val="24"/>
      <w:szCs w:val="24"/>
      <w:u w:color="000000"/>
      <w:lang w:val="lt-LT"/>
      <w14:textOutline w14:w="0" w14:cap="flat" w14:cmpd="sng" w14:algn="ctr">
        <w14:noFill/>
        <w14:prstDash w14:val="solid"/>
        <w14:bevel/>
      </w14:textOutline>
    </w:rPr>
  </w:style>
  <w:style w:type="paragraph" w:styleId="ListParagraph">
    <w:name w:val="List Paragraph"/>
    <w:qFormat/>
    <w:rsid w:val="00F61E5D"/>
    <w:pPr>
      <w:widowControl w:val="0"/>
      <w:ind w:left="720"/>
    </w:pPr>
    <w:rPr>
      <w:rFonts w:eastAsia="Arial Unicode MS" w:cs="Arial Unicode MS"/>
      <w:color w:val="000000"/>
      <w:sz w:val="24"/>
      <w:szCs w:val="24"/>
      <w:u w:color="000000"/>
      <w:lang w:val="lt-LT"/>
    </w:rPr>
  </w:style>
  <w:style w:type="paragraph" w:customStyle="1" w:styleId="Normal12Hanging">
    <w:name w:val="Normal12Hanging"/>
    <w:basedOn w:val="Normal"/>
    <w:rsid w:val="00F61E5D"/>
    <w:pPr>
      <w:spacing w:after="240"/>
      <w:ind w:left="567" w:hanging="567"/>
    </w:pPr>
  </w:style>
  <w:style w:type="character" w:styleId="Hyperlink">
    <w:name w:val="Hyperlink"/>
    <w:basedOn w:val="DefaultParagraphFont"/>
    <w:rsid w:val="00F61E5D"/>
    <w:rPr>
      <w:color w:val="0563C1" w:themeColor="hyperlink"/>
      <w:u w:val="single"/>
    </w:rPr>
  </w:style>
  <w:style w:type="character" w:customStyle="1" w:styleId="HRtextbodyChar">
    <w:name w:val="HR_text body_ Char"/>
    <w:basedOn w:val="DefaultParagraphFont"/>
    <w:link w:val="HRtextbody"/>
    <w:locked/>
    <w:rsid w:val="00F61E5D"/>
    <w:rPr>
      <w:rFonts w:ascii="Arial" w:hAnsi="Arial" w:cs="Arial"/>
      <w:color w:val="595959"/>
    </w:rPr>
  </w:style>
  <w:style w:type="paragraph" w:customStyle="1" w:styleId="HRtextbody">
    <w:name w:val="HR_text body_"/>
    <w:basedOn w:val="Normal"/>
    <w:link w:val="HRtextbodyChar"/>
    <w:rsid w:val="00F61E5D"/>
    <w:pPr>
      <w:widowControl/>
      <w:jc w:val="both"/>
    </w:pPr>
    <w:rPr>
      <w:rFonts w:ascii="Arial" w:hAnsi="Arial" w:cs="Arial"/>
      <w:color w:val="595959"/>
      <w:sz w:val="20"/>
      <w:lang w:val="en-GB"/>
    </w:rPr>
  </w:style>
  <w:style w:type="character" w:styleId="Strong">
    <w:name w:val="Strong"/>
    <w:basedOn w:val="DefaultParagraphFont"/>
    <w:uiPriority w:val="22"/>
    <w:qFormat/>
    <w:rsid w:val="00F61E5D"/>
    <w:rPr>
      <w:b/>
      <w:bCs/>
    </w:rPr>
  </w:style>
  <w:style w:type="paragraph" w:styleId="Revision">
    <w:name w:val="Revision"/>
    <w:hidden/>
    <w:uiPriority w:val="99"/>
    <w:semiHidden/>
    <w:rsid w:val="00F61E5D"/>
    <w:rPr>
      <w:sz w:val="24"/>
      <w:lang w:val="lt-LT"/>
    </w:rPr>
  </w:style>
  <w:style w:type="character" w:customStyle="1" w:styleId="ui-provider">
    <w:name w:val="ui-provider"/>
    <w:basedOn w:val="DefaultParagraphFont"/>
    <w:rsid w:val="00F61E5D"/>
  </w:style>
  <w:style w:type="paragraph" w:styleId="Footer">
    <w:name w:val="footer"/>
    <w:basedOn w:val="Normal"/>
    <w:link w:val="FooterChar"/>
    <w:rsid w:val="00F61E5D"/>
    <w:pPr>
      <w:tabs>
        <w:tab w:val="center" w:pos="4513"/>
        <w:tab w:val="right" w:pos="9026"/>
      </w:tabs>
    </w:pPr>
  </w:style>
  <w:style w:type="character" w:customStyle="1" w:styleId="FooterChar">
    <w:name w:val="Footer Char"/>
    <w:basedOn w:val="DefaultParagraphFont"/>
    <w:link w:val="Footer"/>
    <w:rsid w:val="00F61E5D"/>
    <w:rPr>
      <w:sz w:val="24"/>
      <w:lang w:val="lt-LT"/>
    </w:rPr>
  </w:style>
  <w:style w:type="paragraph" w:customStyle="1" w:styleId="title-article-norm">
    <w:name w:val="title-article-norm"/>
    <w:basedOn w:val="Normal"/>
    <w:rsid w:val="00F61E5D"/>
    <w:pPr>
      <w:widowControl/>
      <w:spacing w:before="100" w:beforeAutospacing="1" w:after="100" w:afterAutospacing="1"/>
    </w:pPr>
    <w:rPr>
      <w:szCs w:val="24"/>
    </w:rPr>
  </w:style>
  <w:style w:type="paragraph" w:customStyle="1" w:styleId="Normal24a">
    <w:name w:val="Normal24a"/>
    <w:basedOn w:val="Normal"/>
    <w:rsid w:val="00F61E5D"/>
    <w:pPr>
      <w:spacing w:after="480"/>
    </w:pPr>
  </w:style>
  <w:style w:type="paragraph" w:customStyle="1" w:styleId="NormalBoldCenter">
    <w:name w:val="NormalBoldCenter"/>
    <w:basedOn w:val="Normal"/>
    <w:rsid w:val="00F61E5D"/>
    <w:pPr>
      <w:jc w:val="center"/>
    </w:pPr>
    <w:rPr>
      <w:b/>
    </w:rPr>
  </w:style>
  <w:style w:type="paragraph" w:customStyle="1" w:styleId="Normal12a">
    <w:name w:val="Normal12a"/>
    <w:basedOn w:val="Normal"/>
    <w:rsid w:val="00F61E5D"/>
    <w:pPr>
      <w:spacing w:after="240"/>
    </w:pPr>
  </w:style>
  <w:style w:type="paragraph" w:customStyle="1" w:styleId="PageHeadingNotTOC">
    <w:name w:val="PageHeadingNotTOC"/>
    <w:basedOn w:val="Normal"/>
    <w:rsid w:val="00F61E5D"/>
    <w:pPr>
      <w:keepNext/>
      <w:spacing w:after="480"/>
      <w:jc w:val="center"/>
    </w:pPr>
    <w:rPr>
      <w:rFonts w:ascii="Arial" w:hAnsi="Arial" w:cs="Arial"/>
      <w:b/>
    </w:rPr>
  </w:style>
  <w:style w:type="paragraph" w:customStyle="1" w:styleId="NumPar1">
    <w:name w:val="NumPar 1"/>
    <w:basedOn w:val="Normal"/>
    <w:rsid w:val="00F61E5D"/>
    <w:pPr>
      <w:numPr>
        <w:numId w:val="3"/>
      </w:numPr>
    </w:pPr>
  </w:style>
  <w:style w:type="paragraph" w:customStyle="1" w:styleId="NumPar2">
    <w:name w:val="NumPar 2"/>
    <w:basedOn w:val="Normal"/>
    <w:rsid w:val="00F61E5D"/>
    <w:pPr>
      <w:numPr>
        <w:ilvl w:val="1"/>
        <w:numId w:val="3"/>
      </w:numPr>
    </w:pPr>
  </w:style>
  <w:style w:type="paragraph" w:customStyle="1" w:styleId="NumPar3">
    <w:name w:val="NumPar 3"/>
    <w:basedOn w:val="Normal"/>
    <w:rsid w:val="00F61E5D"/>
    <w:pPr>
      <w:numPr>
        <w:ilvl w:val="2"/>
        <w:numId w:val="3"/>
      </w:numPr>
    </w:pPr>
  </w:style>
  <w:style w:type="paragraph" w:customStyle="1" w:styleId="NumPar4">
    <w:name w:val="NumPar 4"/>
    <w:basedOn w:val="Normal"/>
    <w:rsid w:val="00F61E5D"/>
    <w:pPr>
      <w:numPr>
        <w:ilvl w:val="3"/>
        <w:numId w:val="3"/>
      </w:numPr>
    </w:pPr>
  </w:style>
  <w:style w:type="paragraph" w:customStyle="1" w:styleId="NumPar5">
    <w:name w:val="NumPar 5"/>
    <w:basedOn w:val="Normal"/>
    <w:rsid w:val="00F61E5D"/>
    <w:pPr>
      <w:numPr>
        <w:ilvl w:val="4"/>
        <w:numId w:val="3"/>
      </w:numPr>
    </w:pPr>
  </w:style>
  <w:style w:type="paragraph" w:customStyle="1" w:styleId="NumPar6">
    <w:name w:val="NumPar 6"/>
    <w:basedOn w:val="Normal"/>
    <w:rsid w:val="00F61E5D"/>
    <w:pPr>
      <w:numPr>
        <w:ilvl w:val="5"/>
        <w:numId w:val="3"/>
      </w:numPr>
    </w:pPr>
  </w:style>
  <w:style w:type="paragraph" w:customStyle="1" w:styleId="NumPar7">
    <w:name w:val="NumPar 7"/>
    <w:basedOn w:val="Normal"/>
    <w:rsid w:val="00F61E5D"/>
    <w:pPr>
      <w:numPr>
        <w:ilvl w:val="6"/>
        <w:numId w:val="3"/>
      </w:numPr>
    </w:pPr>
  </w:style>
  <w:style w:type="paragraph" w:customStyle="1" w:styleId="RollCallSymbols14pt">
    <w:name w:val="RollCallSymbols14pt"/>
    <w:basedOn w:val="Normal"/>
    <w:rsid w:val="00F61E5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61E5D"/>
    <w:pPr>
      <w:tabs>
        <w:tab w:val="center" w:pos="284"/>
        <w:tab w:val="left" w:pos="426"/>
      </w:tabs>
    </w:pPr>
    <w:rPr>
      <w:snapToGrid w:val="0"/>
      <w:lang w:eastAsia="en-US"/>
    </w:rPr>
  </w:style>
  <w:style w:type="paragraph" w:customStyle="1" w:styleId="RollCallVotes">
    <w:name w:val="RollCallVotes"/>
    <w:basedOn w:val="Normal"/>
    <w:rsid w:val="00F61E5D"/>
    <w:pPr>
      <w:spacing w:before="120" w:after="120"/>
      <w:jc w:val="center"/>
    </w:pPr>
    <w:rPr>
      <w:b/>
      <w:bCs/>
      <w:snapToGrid w:val="0"/>
      <w:sz w:val="16"/>
      <w:lang w:eastAsia="en-US"/>
    </w:rPr>
  </w:style>
  <w:style w:type="paragraph" w:customStyle="1" w:styleId="RollCallTable">
    <w:name w:val="RollCallTable"/>
    <w:basedOn w:val="Normal"/>
    <w:rsid w:val="00F61E5D"/>
    <w:pPr>
      <w:spacing w:before="120" w:after="120"/>
    </w:pPr>
    <w:rPr>
      <w:snapToGrid w:val="0"/>
      <w:sz w:val="16"/>
      <w:lang w:eastAsia="en-US"/>
    </w:rPr>
  </w:style>
  <w:style w:type="character" w:styleId="FollowedHyperlink">
    <w:name w:val="FollowedHyperlink"/>
    <w:basedOn w:val="DefaultParagraphFont"/>
    <w:rsid w:val="00F61E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eca.europa.eu/other%20publications/pl1407_letter/pl1407_letter_l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C070F-C3F2-497A-AA02-020ECD15D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16431</Words>
  <Characters>93657</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Karina Pesa</cp:lastModifiedBy>
  <cp:revision>3</cp:revision>
  <cp:lastPrinted>2004-11-19T15:42:00Z</cp:lastPrinted>
  <dcterms:created xsi:type="dcterms:W3CDTF">2024-05-14T20:33:00Z</dcterms:created>
  <dcterms:modified xsi:type="dcterms:W3CDTF">2024-10-31T10:47:00Z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P9_TA(2024)0229_</vt:lpwstr>
  </property>
  <property fmtid="{D5CDD505-2E9C-101B-9397-08002B2CF9AE}" pid="4" name="&lt;Type&gt;">
    <vt:lpwstr>RR</vt:lpwstr>
  </property>
</Properties>
</file>