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7D10" w:rsidTr="0010095E">
        <w:trPr>
          <w:trHeight w:hRule="exact" w:val="1418"/>
        </w:trPr>
        <w:tc>
          <w:tcPr>
            <w:tcW w:w="6804" w:type="dxa"/>
            <w:shd w:val="clear" w:color="auto" w:fill="auto"/>
            <w:vAlign w:val="center"/>
          </w:tcPr>
          <w:p w:rsidR="00751A4A" w:rsidRPr="001C7D10" w:rsidRDefault="00C97EF7" w:rsidP="0010095E">
            <w:pPr>
              <w:pStyle w:val="EPName"/>
            </w:pPr>
            <w:r w:rsidRPr="001C7D10">
              <w:t>Europees Parlement</w:t>
            </w:r>
          </w:p>
          <w:p w:rsidR="00751A4A" w:rsidRPr="001C7D10" w:rsidRDefault="00817416" w:rsidP="00756632">
            <w:pPr>
              <w:pStyle w:val="EPTerm"/>
              <w:rPr>
                <w:rStyle w:val="HideTWBExt"/>
                <w:noProof w:val="0"/>
                <w:vanish w:val="0"/>
                <w:color w:val="auto"/>
              </w:rPr>
            </w:pPr>
            <w:r w:rsidRPr="001C7D10">
              <w:t>2019-2024</w:t>
            </w:r>
          </w:p>
        </w:tc>
        <w:tc>
          <w:tcPr>
            <w:tcW w:w="2268" w:type="dxa"/>
            <w:shd w:val="clear" w:color="auto" w:fill="auto"/>
          </w:tcPr>
          <w:p w:rsidR="00751A4A" w:rsidRPr="001C7D10" w:rsidRDefault="00187494" w:rsidP="0010095E">
            <w:pPr>
              <w:pStyle w:val="EPLogo"/>
            </w:pPr>
            <w:r w:rsidRPr="001C7D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7D10" w:rsidRDefault="00D058B8" w:rsidP="004C5D52">
      <w:pPr>
        <w:pStyle w:val="LineTop"/>
      </w:pPr>
    </w:p>
    <w:p w:rsidR="00680577" w:rsidRPr="001C7D10" w:rsidRDefault="00C97EF7" w:rsidP="00680577">
      <w:pPr>
        <w:pStyle w:val="EPBodyTA1"/>
      </w:pPr>
      <w:r w:rsidRPr="001C7D10">
        <w:t>AANGENOMEN TEKSTEN</w:t>
      </w:r>
    </w:p>
    <w:p w:rsidR="00D058B8" w:rsidRPr="001C7D10" w:rsidRDefault="00D058B8" w:rsidP="00D058B8">
      <w:pPr>
        <w:pStyle w:val="LineBottom"/>
      </w:pPr>
    </w:p>
    <w:p w:rsidR="00C97EF7" w:rsidRPr="001C7D10" w:rsidRDefault="00C97EF7" w:rsidP="00C97EF7">
      <w:pPr>
        <w:pStyle w:val="ATHeading1"/>
      </w:pPr>
      <w:bookmarkStart w:id="0" w:name="TANumber"/>
      <w:r w:rsidRPr="001C7D10">
        <w:t>P9_</w:t>
      </w:r>
      <w:proofErr w:type="gramStart"/>
      <w:r w:rsidRPr="001C7D10">
        <w:t>TA(</w:t>
      </w:r>
      <w:proofErr w:type="gramEnd"/>
      <w:r w:rsidRPr="001C7D10">
        <w:t>2024)</w:t>
      </w:r>
      <w:bookmarkEnd w:id="0"/>
      <w:r w:rsidR="00982435" w:rsidRPr="001C7D10">
        <w:t>0229</w:t>
      </w:r>
    </w:p>
    <w:p w:rsidR="00C97EF7" w:rsidRPr="001C7D10" w:rsidRDefault="00C97EF7" w:rsidP="00C97EF7">
      <w:pPr>
        <w:pStyle w:val="ATHeading2"/>
      </w:pPr>
      <w:bookmarkStart w:id="1" w:name="title"/>
      <w:r w:rsidRPr="001C7D10">
        <w:t>Kwijting 2022: Algemene begroting van de EU – Europees Parlement</w:t>
      </w:r>
      <w:bookmarkEnd w:id="1"/>
    </w:p>
    <w:p w:rsidR="00C97EF7" w:rsidRPr="001C7D10" w:rsidRDefault="00C97EF7" w:rsidP="00C97EF7">
      <w:pPr>
        <w:rPr>
          <w:i/>
          <w:vanish/>
        </w:rPr>
      </w:pPr>
      <w:r w:rsidRPr="001C7D10">
        <w:rPr>
          <w:i/>
        </w:rPr>
        <w:fldChar w:fldCharType="begin"/>
      </w:r>
      <w:r w:rsidRPr="001C7D10">
        <w:rPr>
          <w:i/>
        </w:rPr>
        <w:instrText xml:space="preserve"> TC"(</w:instrText>
      </w:r>
      <w:bookmarkStart w:id="2" w:name="DocNumber"/>
      <w:r w:rsidRPr="001C7D10">
        <w:rPr>
          <w:i/>
        </w:rPr>
        <w:instrText>A9-0067/2024</w:instrText>
      </w:r>
      <w:bookmarkEnd w:id="2"/>
      <w:r w:rsidRPr="001C7D10">
        <w:rPr>
          <w:i/>
        </w:rPr>
        <w:instrText xml:space="preserve"> - Rapporteur: </w:instrText>
      </w:r>
      <w:proofErr w:type="spellStart"/>
      <w:r w:rsidRPr="001C7D10">
        <w:rPr>
          <w:i/>
        </w:rPr>
        <w:instrText>Andrey</w:instrText>
      </w:r>
      <w:proofErr w:type="spellEnd"/>
      <w:r w:rsidRPr="001C7D10">
        <w:rPr>
          <w:i/>
        </w:rPr>
        <w:instrText xml:space="preserve"> </w:instrText>
      </w:r>
      <w:proofErr w:type="spellStart"/>
      <w:r w:rsidRPr="001C7D10">
        <w:rPr>
          <w:i/>
        </w:rPr>
        <w:instrText>Novakov</w:instrText>
      </w:r>
      <w:proofErr w:type="spellEnd"/>
      <w:r w:rsidRPr="001C7D10">
        <w:rPr>
          <w:i/>
        </w:rPr>
        <w:instrText xml:space="preserve">)"\l3 \n&gt; \* MERGEFORMAT </w:instrText>
      </w:r>
      <w:r w:rsidRPr="001C7D10">
        <w:rPr>
          <w:i/>
        </w:rPr>
        <w:fldChar w:fldCharType="end"/>
      </w:r>
    </w:p>
    <w:p w:rsidR="00C97EF7" w:rsidRPr="001C7D10" w:rsidRDefault="00C97EF7" w:rsidP="00C97EF7">
      <w:pPr>
        <w:rPr>
          <w:vanish/>
        </w:rPr>
      </w:pPr>
      <w:bookmarkStart w:id="3" w:name="Commission"/>
      <w:r w:rsidRPr="001C7D10">
        <w:rPr>
          <w:vanish/>
        </w:rPr>
        <w:t>Commissie begrotingscontrole</w:t>
      </w:r>
      <w:bookmarkEnd w:id="3"/>
    </w:p>
    <w:p w:rsidR="00C97EF7" w:rsidRPr="001C7D10" w:rsidRDefault="00C97EF7" w:rsidP="00C97EF7">
      <w:pPr>
        <w:rPr>
          <w:vanish/>
        </w:rPr>
      </w:pPr>
      <w:bookmarkStart w:id="4" w:name="PE"/>
      <w:r w:rsidRPr="001C7D10">
        <w:rPr>
          <w:vanish/>
        </w:rPr>
        <w:t>PE753.634</w:t>
      </w:r>
      <w:bookmarkEnd w:id="4"/>
    </w:p>
    <w:p w:rsidR="00C97EF7" w:rsidRPr="001C7D10" w:rsidRDefault="00C97EF7" w:rsidP="00C97EF7">
      <w:pPr>
        <w:pStyle w:val="ATHeading3"/>
      </w:pPr>
      <w:bookmarkStart w:id="5" w:name="Sujet"/>
      <w:r w:rsidRPr="001C7D10">
        <w:t>1. Besluit van het Europees Parlement van 11 april 2024 over het verlenen van kwijting voor de uitvoering van de algemene begroting van de Europese Unie voor het begrotingsjaar 2022, afdeling I – Europees Parlement</w:t>
      </w:r>
      <w:bookmarkEnd w:id="5"/>
      <w:r w:rsidRPr="001C7D10">
        <w:t xml:space="preserve"> </w:t>
      </w:r>
      <w:bookmarkStart w:id="6" w:name="References"/>
      <w:r w:rsidRPr="001C7D10">
        <w:t>(2023/2130(DEC))</w:t>
      </w:r>
      <w:bookmarkEnd w:id="6"/>
    </w:p>
    <w:p w:rsidR="005D6748" w:rsidRPr="001C7D10" w:rsidRDefault="005D6748" w:rsidP="005D6748">
      <w:pPr>
        <w:pStyle w:val="EPComma"/>
        <w:rPr>
          <w:noProof/>
        </w:rPr>
      </w:pPr>
      <w:bookmarkStart w:id="7" w:name="TextBodyBegin"/>
      <w:bookmarkEnd w:id="7"/>
      <w:r w:rsidRPr="001C7D10">
        <w:rPr>
          <w:i/>
        </w:rPr>
        <w:t>Het Europees Parlement</w:t>
      </w:r>
      <w:r w:rsidRPr="001C7D10">
        <w:t>,</w:t>
      </w:r>
    </w:p>
    <w:p w:rsidR="005D6748" w:rsidRPr="001C7D10" w:rsidRDefault="005D6748" w:rsidP="005D6748">
      <w:pPr>
        <w:pStyle w:val="NormalHanging12a"/>
        <w:rPr>
          <w:noProof/>
        </w:rPr>
      </w:pPr>
      <w:r w:rsidRPr="001C7D10">
        <w:t>–</w:t>
      </w:r>
      <w:r w:rsidRPr="001C7D10">
        <w:tab/>
        <w:t>gezien de algemene begroting van de Europese Unie voor het begrotingsjaar 2022</w:t>
      </w:r>
      <w:r w:rsidRPr="001C7D10">
        <w:rPr>
          <w:rStyle w:val="FootnoteReference"/>
          <w:noProof/>
        </w:rPr>
        <w:footnoteReference w:id="1"/>
      </w:r>
      <w:r w:rsidRPr="001C7D10">
        <w:t>,</w:t>
      </w:r>
    </w:p>
    <w:p w:rsidR="005D6748" w:rsidRPr="001C7D10" w:rsidRDefault="005D6748" w:rsidP="005D6748">
      <w:pPr>
        <w:pStyle w:val="NormalHanging12a"/>
        <w:rPr>
          <w:noProof/>
        </w:rPr>
      </w:pPr>
      <w:r w:rsidRPr="001C7D10">
        <w:t>–</w:t>
      </w:r>
      <w:r w:rsidRPr="001C7D10">
        <w:tab/>
        <w:t>gezien de geconsolideerde jaarrekening van de Europese Unie voor het begrotingsjaar 2022 (COM(202</w:t>
      </w:r>
      <w:r w:rsidR="00501CF4">
        <w:t>3</w:t>
      </w:r>
      <w:bookmarkStart w:id="8" w:name="_GoBack"/>
      <w:bookmarkEnd w:id="8"/>
      <w:r w:rsidRPr="001C7D10">
        <w:t>)0391 – C9</w:t>
      </w:r>
      <w:r w:rsidRPr="001C7D10">
        <w:noBreakHyphen/>
        <w:t>0248/2023)</w:t>
      </w:r>
      <w:r w:rsidRPr="001C7D10">
        <w:rPr>
          <w:rStyle w:val="FootnoteReference"/>
          <w:noProof/>
        </w:rPr>
        <w:footnoteReference w:id="2"/>
      </w:r>
      <w:r w:rsidRPr="001C7D10">
        <w:t>,</w:t>
      </w:r>
    </w:p>
    <w:p w:rsidR="005D6748" w:rsidRPr="001C7D10" w:rsidRDefault="005D6748" w:rsidP="005D6748">
      <w:pPr>
        <w:pStyle w:val="NormalHanging12a"/>
        <w:rPr>
          <w:noProof/>
        </w:rPr>
      </w:pPr>
      <w:r w:rsidRPr="001C7D10">
        <w:t>–</w:t>
      </w:r>
      <w:r w:rsidRPr="001C7D10">
        <w:tab/>
        <w:t>gezien het verslag over het begrotings- en financieel beheer voor het begrotingsjaar 2022, afdeling I – Europees Parlement</w:t>
      </w:r>
      <w:r w:rsidRPr="001C7D10">
        <w:rPr>
          <w:rStyle w:val="FootnoteReference"/>
          <w:noProof/>
        </w:rPr>
        <w:footnoteReference w:id="3"/>
      </w:r>
      <w:r w:rsidRPr="001C7D10">
        <w:t>,</w:t>
      </w:r>
    </w:p>
    <w:p w:rsidR="005D6748" w:rsidRPr="001C7D10" w:rsidRDefault="005D6748" w:rsidP="005D6748">
      <w:pPr>
        <w:pStyle w:val="NormalHanging12a"/>
        <w:rPr>
          <w:noProof/>
        </w:rPr>
      </w:pPr>
      <w:r w:rsidRPr="001C7D10">
        <w:t>–</w:t>
      </w:r>
      <w:r w:rsidRPr="001C7D10">
        <w:tab/>
        <w:t>gezien het jaarverslag van de intern controleur voor het begrotingsjaar 2022,</w:t>
      </w:r>
    </w:p>
    <w:p w:rsidR="005D6748" w:rsidRPr="001C7D10" w:rsidRDefault="005D6748" w:rsidP="005D6748">
      <w:pPr>
        <w:pStyle w:val="NormalHanging12a"/>
        <w:rPr>
          <w:noProof/>
        </w:rPr>
      </w:pPr>
      <w:r w:rsidRPr="001C7D10">
        <w:t>–</w:t>
      </w:r>
      <w:r w:rsidRPr="001C7D10">
        <w:tab/>
        <w:t>gezien het jaarverslag van de Rekenkamer over de uitvoering van de begroting voor het begrotingsjaar 2022, tezamen met de antwoorden van de instellingen</w:t>
      </w:r>
      <w:r w:rsidRPr="001C7D10">
        <w:rPr>
          <w:rStyle w:val="FootnoteReference"/>
          <w:noProof/>
        </w:rPr>
        <w:footnoteReference w:id="4"/>
      </w:r>
      <w:r w:rsidRPr="001C7D10">
        <w:t>,</w:t>
      </w:r>
    </w:p>
    <w:p w:rsidR="005D6748" w:rsidRPr="001C7D10" w:rsidRDefault="005D6748" w:rsidP="005D6748">
      <w:pPr>
        <w:pStyle w:val="NormalHanging12a"/>
        <w:rPr>
          <w:noProof/>
        </w:rPr>
      </w:pPr>
      <w:r w:rsidRPr="001C7D10">
        <w:t>–</w:t>
      </w:r>
      <w:r w:rsidRPr="001C7D10">
        <w:tab/>
        <w:t>gezien de verklaring van de Rekenkamer voor het begrotingsjaar 2022</w:t>
      </w:r>
      <w:r w:rsidRPr="001C7D10">
        <w:rPr>
          <w:rStyle w:val="FootnoteReference"/>
          <w:noProof/>
        </w:rPr>
        <w:footnoteReference w:id="5"/>
      </w:r>
      <w:r w:rsidRPr="001C7D10">
        <w:t xml:space="preserve"> waarin de betrouwbaarheid van de rekeningen en de wettigheid en regelmatigheid van de onderliggende verrichtingen worden bevestigd, overeenkomstig artikel 287 van het Verdrag betreffende de werking van de Europese Unie,</w:t>
      </w:r>
    </w:p>
    <w:p w:rsidR="005D6748" w:rsidRPr="001C7D10" w:rsidRDefault="005D6748" w:rsidP="005D6748">
      <w:pPr>
        <w:pStyle w:val="NormalHanging12a"/>
        <w:rPr>
          <w:noProof/>
        </w:rPr>
      </w:pPr>
      <w:r w:rsidRPr="001C7D10">
        <w:t>–</w:t>
      </w:r>
      <w:r w:rsidRPr="001C7D10">
        <w:tab/>
        <w:t>gezien artikel 314, lid 10, en artikel 318 van het Verdrag betreffende de werking van de Europese Unie,</w:t>
      </w:r>
    </w:p>
    <w:p w:rsidR="005D6748" w:rsidRPr="001C7D10" w:rsidRDefault="005D6748" w:rsidP="005D6748">
      <w:pPr>
        <w:pStyle w:val="NormalHanging12a"/>
        <w:rPr>
          <w:noProof/>
        </w:rPr>
      </w:pPr>
      <w:r w:rsidRPr="001C7D10">
        <w:t>–</w:t>
      </w:r>
      <w:r w:rsidRPr="001C7D10">
        <w:tab/>
        <w:t xml:space="preserve">gezien Verordening (EU, Euratom) 2018/1046 van het Europees Parlement en de Raad van 18 juli 2018 tot vaststelling van de financiële regels van toepassing op de algemene begroting van de Unie, tot wijziging van Verordeningen (EU) nr. 1296/2013, (EU) </w:t>
      </w:r>
      <w:r w:rsidRPr="001C7D10">
        <w:lastRenderedPageBreak/>
        <w:t>nr. 1301/2013, (EU) nr. 1303/2013, (EU) nr. 1304/2013, (EU) nr. 1309/2013, (EU) nr. 1316/2013, (EU) nr. 223/2014, (EU) nr. 283/2014 en Besluit nr. 541/2014/EU en tot intrekking van Verordening (EU, Euratom) nr. 966/2012</w:t>
      </w:r>
      <w:r w:rsidRPr="001C7D10">
        <w:rPr>
          <w:rStyle w:val="FootnoteReference"/>
          <w:noProof/>
        </w:rPr>
        <w:footnoteReference w:id="6"/>
      </w:r>
      <w:r w:rsidRPr="001C7D10">
        <w:t>, en met name de artikelen 260, 261 en 262,</w:t>
      </w:r>
    </w:p>
    <w:p w:rsidR="005D6748" w:rsidRPr="001C7D10" w:rsidRDefault="005D6748" w:rsidP="005D6748">
      <w:pPr>
        <w:pStyle w:val="NormalHanging12a"/>
        <w:rPr>
          <w:noProof/>
        </w:rPr>
      </w:pPr>
      <w:r w:rsidRPr="001C7D10">
        <w:t>–</w:t>
      </w:r>
      <w:r w:rsidRPr="001C7D10">
        <w:tab/>
        <w:t>gezien het besluit van het Bureau van 10 december 2018 over de interne voorschriften voor de uitvoering van de begroting van het Europees Parlement, en met name artikel 34,</w:t>
      </w:r>
    </w:p>
    <w:p w:rsidR="005D6748" w:rsidRPr="001C7D10" w:rsidRDefault="005D6748" w:rsidP="005D6748">
      <w:pPr>
        <w:pStyle w:val="NormalHanging12a"/>
        <w:rPr>
          <w:noProof/>
        </w:rPr>
      </w:pPr>
      <w:r w:rsidRPr="001C7D10">
        <w:t>–</w:t>
      </w:r>
      <w:r w:rsidRPr="001C7D10">
        <w:tab/>
        <w:t>gezien artikel 100, artikel 104, lid 3, van en bijlage V bij zijn Reglement,</w:t>
      </w:r>
    </w:p>
    <w:p w:rsidR="005D6748" w:rsidRPr="001C7D10" w:rsidRDefault="005D6748" w:rsidP="005D6748">
      <w:pPr>
        <w:pStyle w:val="NormalHanging12a"/>
        <w:rPr>
          <w:noProof/>
        </w:rPr>
      </w:pPr>
      <w:r w:rsidRPr="001C7D10">
        <w:t>–</w:t>
      </w:r>
      <w:r w:rsidRPr="001C7D10">
        <w:tab/>
        <w:t>gezien het advies van de Commissie juridische zaken,</w:t>
      </w:r>
    </w:p>
    <w:p w:rsidR="005D6748" w:rsidRPr="001C7D10" w:rsidRDefault="005D6748" w:rsidP="005D6748">
      <w:pPr>
        <w:pStyle w:val="NormalHanging12a"/>
      </w:pPr>
      <w:r w:rsidRPr="001C7D10">
        <w:t>–</w:t>
      </w:r>
      <w:r w:rsidRPr="001C7D10">
        <w:tab/>
        <w:t>gezien het verslag van de Commissie begrotingscontrole (A9-0067/2024),</w:t>
      </w:r>
    </w:p>
    <w:p w:rsidR="005D6748" w:rsidRPr="001C7D10" w:rsidRDefault="005D6748" w:rsidP="005D6748">
      <w:pPr>
        <w:pStyle w:val="NormalHanging12a"/>
        <w:widowControl/>
      </w:pPr>
      <w:r w:rsidRPr="001C7D10">
        <w:t>A.</w:t>
      </w:r>
      <w:r w:rsidRPr="001C7D10">
        <w:tab/>
        <w:t>overwegende dat de Voorzitter de jaarrekening van het Parlement voor het begrotingsjaar 2022 op 22 juni 2023 heeft goedgekeurd;</w:t>
      </w:r>
    </w:p>
    <w:p w:rsidR="005D6748" w:rsidRPr="001C7D10" w:rsidRDefault="005D6748" w:rsidP="005D6748">
      <w:pPr>
        <w:pStyle w:val="NormalHanging12a"/>
        <w:widowControl/>
      </w:pPr>
      <w:r w:rsidRPr="001C7D10">
        <w:t>B.</w:t>
      </w:r>
      <w:r w:rsidRPr="001C7D10">
        <w:tab/>
        <w:t xml:space="preserve">overwegende dat de secretaris-generaal, als gedelegeerd </w:t>
      </w:r>
      <w:proofErr w:type="spellStart"/>
      <w:r w:rsidRPr="001C7D10">
        <w:t>hoofdordonnateur</w:t>
      </w:r>
      <w:proofErr w:type="spellEnd"/>
      <w:r w:rsidRPr="001C7D10">
        <w:t>, op 26 juni 2023 heeft verklaard redelijke zekerheid te hebben dat de aan de begroting van het Parlement toegewezen middelen zijn gebruikt voor het beoogde doel en overeenkomstig het beginsel van goed financieel beheer en dat vastgestelde controleprocedures de nodige garanties bieden betreffende de wettigheid en regelmatigheid van de onderliggende verrichtingen;</w:t>
      </w:r>
    </w:p>
    <w:p w:rsidR="005D6748" w:rsidRPr="001C7D10" w:rsidRDefault="005D6748" w:rsidP="005D6748">
      <w:pPr>
        <w:pStyle w:val="NormalHanging12a"/>
        <w:widowControl/>
      </w:pPr>
      <w:r w:rsidRPr="001C7D10">
        <w:t>C.</w:t>
      </w:r>
      <w:r w:rsidRPr="001C7D10">
        <w:tab/>
        <w:t>overwegende dat de Rekenkamer in haar controle verklaarde dat zij in haar specifieke beoordeling van de administratieve en andere uitgaven in 2022 geen ernstige tekortkomingen heeft geconstateerd in de jaarlijkse activiteitenverslagen van de instellingen en organen die zij heeft onderzocht als vereist bij Verordening (EU, Euratom) 2018/1046;</w:t>
      </w:r>
    </w:p>
    <w:p w:rsidR="005D6748" w:rsidRPr="001C7D10" w:rsidRDefault="005D6748" w:rsidP="005D6748">
      <w:pPr>
        <w:pStyle w:val="NormalHanging12a"/>
        <w:widowControl/>
      </w:pPr>
      <w:r w:rsidRPr="001C7D10">
        <w:t>D.</w:t>
      </w:r>
      <w:r w:rsidRPr="001C7D10">
        <w:tab/>
        <w:t>overwegende dat op grond van artikel 262, lid 1, van Verordening (EU, Euratom) 2018/1046 de instellingen van de Unie verplicht zijn alles in het werk te stellen om gevolg te geven aan de opmerkingen waarvan het kwijtingsbesluit van het Europees Parlement vergezeld gaat;</w:t>
      </w:r>
    </w:p>
    <w:p w:rsidR="005D6748" w:rsidRPr="001C7D10" w:rsidRDefault="005D6748" w:rsidP="005D6748">
      <w:pPr>
        <w:pStyle w:val="NormalHanging12a"/>
        <w:rPr>
          <w:noProof/>
        </w:rPr>
      </w:pPr>
      <w:r w:rsidRPr="001C7D10">
        <w:t>1.</w:t>
      </w:r>
      <w:r w:rsidRPr="001C7D10">
        <w:tab/>
        <w:t>verleent zijn Voorzitter kwijting voor de uitvoering van de begroting van het Europees Parlement voor het begrotingsjaar 2022;</w:t>
      </w:r>
    </w:p>
    <w:p w:rsidR="005D6748" w:rsidRPr="001C7D10" w:rsidRDefault="005D6748" w:rsidP="005D6748">
      <w:pPr>
        <w:pStyle w:val="NormalHanging12a"/>
        <w:rPr>
          <w:noProof/>
        </w:rPr>
      </w:pPr>
      <w:r w:rsidRPr="001C7D10">
        <w:t>2.</w:t>
      </w:r>
      <w:r w:rsidRPr="001C7D10">
        <w:tab/>
        <w:t>formuleert zijn opmerkingen in onderstaande resolutie;</w:t>
      </w:r>
    </w:p>
    <w:p w:rsidR="005D6748" w:rsidRPr="001C7D10" w:rsidRDefault="005D6748" w:rsidP="005D6748">
      <w:pPr>
        <w:pStyle w:val="NormalHanging12a"/>
        <w:rPr>
          <w:noProof/>
        </w:rPr>
      </w:pPr>
      <w:r w:rsidRPr="001C7D10">
        <w:t>3.</w:t>
      </w:r>
      <w:r w:rsidRPr="001C7D10">
        <w:tab/>
        <w:t xml:space="preserve">verzoekt zijn Voorzitter dit besluit en de resolutie die daarvan een integrerend deel uitmaakt, te doen toekomen aan de Raad, de Commissie en de Rekenkamer, en te zorgen voor publicatie ervan in het </w:t>
      </w:r>
      <w:r w:rsidRPr="001C7D10">
        <w:rPr>
          <w:i/>
        </w:rPr>
        <w:t>Publicatieblad van de Europese Unie</w:t>
      </w:r>
      <w:r w:rsidRPr="001C7D10">
        <w:t xml:space="preserve"> (L-serie).</w:t>
      </w:r>
    </w:p>
    <w:p w:rsidR="005D6748" w:rsidRPr="001C7D10" w:rsidRDefault="005D6748" w:rsidP="005D6748"/>
    <w:p w:rsidR="005D6748" w:rsidRPr="001C7D10" w:rsidRDefault="005D6748" w:rsidP="005D6748">
      <w:pPr>
        <w:pStyle w:val="PageHeading"/>
        <w:sectPr w:rsidR="005D6748" w:rsidRPr="001C7D10" w:rsidSect="00FE1DA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D6748" w:rsidRPr="001C7D10" w:rsidRDefault="00E31149" w:rsidP="009713DB">
      <w:pPr>
        <w:pStyle w:val="ATHeading3"/>
        <w:rPr>
          <w:noProof/>
        </w:rPr>
      </w:pPr>
      <w:r w:rsidRPr="001C7D10">
        <w:lastRenderedPageBreak/>
        <w:t xml:space="preserve">2. Resolutie van het Europees Parlement van 11 april 2024 </w:t>
      </w:r>
      <w:r w:rsidR="005D6748" w:rsidRPr="001C7D10">
        <w:t>met de opmerkingen die een integrerend deel uitmaken van het besluit over het verlenen van kwijting voor de uitvoering van de algemene begroting van de Europese Unie voor het begrotingsjaar 2022, afdeling I – Europees Parlement</w:t>
      </w:r>
      <w:r w:rsidRPr="001C7D10">
        <w:t xml:space="preserve"> </w:t>
      </w:r>
      <w:r w:rsidR="005D6748" w:rsidRPr="001C7D10">
        <w:t>(2023/2130(DEC))</w:t>
      </w:r>
    </w:p>
    <w:p w:rsidR="005D6748" w:rsidRPr="001C7D10" w:rsidRDefault="005D6748" w:rsidP="005D6748">
      <w:pPr>
        <w:pStyle w:val="EPComma"/>
        <w:rPr>
          <w:noProof/>
        </w:rPr>
      </w:pPr>
      <w:r w:rsidRPr="001C7D10">
        <w:rPr>
          <w:i/>
        </w:rPr>
        <w:t>Het Europees Parlement</w:t>
      </w:r>
      <w:r w:rsidRPr="001C7D10">
        <w:t>,</w:t>
      </w:r>
    </w:p>
    <w:p w:rsidR="005D6748" w:rsidRPr="001C7D10" w:rsidRDefault="005D6748" w:rsidP="005D6748">
      <w:pPr>
        <w:pStyle w:val="NormalHanging12a"/>
        <w:rPr>
          <w:noProof/>
        </w:rPr>
      </w:pPr>
      <w:r w:rsidRPr="001C7D10">
        <w:t>–</w:t>
      </w:r>
      <w:r w:rsidRPr="001C7D10">
        <w:tab/>
        <w:t>gezien zijn besluit over het verlenen van kwijting voor de uitvoering van de algemene begroting van de Europese Unie voor het begrotingsjaar 2022, afdeling I – Europees Parlement,</w:t>
      </w:r>
    </w:p>
    <w:p w:rsidR="005D6748" w:rsidRPr="001C7D10" w:rsidRDefault="005D6748" w:rsidP="005D6748">
      <w:pPr>
        <w:pStyle w:val="NormalHanging12a"/>
        <w:rPr>
          <w:noProof/>
        </w:rPr>
      </w:pPr>
      <w:r w:rsidRPr="001C7D10">
        <w:t>–</w:t>
      </w:r>
      <w:r w:rsidRPr="001C7D10">
        <w:tab/>
        <w:t>gezien artikel 100, artikel 104, lid 3, van en bijlage V bij zijn Reglement,</w:t>
      </w:r>
    </w:p>
    <w:p w:rsidR="005D6748" w:rsidRPr="001C7D10" w:rsidRDefault="005D6748" w:rsidP="005D6748">
      <w:pPr>
        <w:pStyle w:val="NormalHanging12a"/>
        <w:rPr>
          <w:noProof/>
        </w:rPr>
      </w:pPr>
      <w:r w:rsidRPr="001C7D10">
        <w:t>–</w:t>
      </w:r>
      <w:r w:rsidRPr="001C7D10">
        <w:tab/>
        <w:t>gezien het advies van de Commissie juridische zaken,</w:t>
      </w:r>
    </w:p>
    <w:p w:rsidR="005D6748" w:rsidRPr="001C7D10" w:rsidRDefault="005D6748" w:rsidP="005D6748">
      <w:pPr>
        <w:pStyle w:val="NormalHanging12a"/>
      </w:pPr>
      <w:r w:rsidRPr="001C7D10">
        <w:t>–</w:t>
      </w:r>
      <w:r w:rsidRPr="001C7D10">
        <w:tab/>
        <w:t>gezien het verslag van de Commissie begrotingscontrole (A9-0067/2024),</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A.</w:t>
      </w:r>
      <w:r w:rsidRPr="001C7D10">
        <w:rPr>
          <w14:textOutline w14:w="0" w14:cap="flat" w14:cmpd="sng" w14:algn="ctr">
            <w14:noFill/>
            <w14:prstDash w14:val="solid"/>
            <w14:bevel/>
          </w14:textOutline>
        </w:rPr>
        <w:tab/>
        <w:t>overwegende dat de rekenplichtige van het Europees Parlement (het “Parlement”) in zijn certificering van de definitieve rekeningen heeft verklaard redelijke zekerheid te hebben dat deze, in alle materiële opzichten, een getrouw beeld geven van de vermogenspositie, de resultaten van de verrichtingen en de kasstromen van het Parlement;</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B.</w:t>
      </w:r>
      <w:r w:rsidRPr="001C7D10">
        <w:rPr>
          <w14:textOutline w14:w="0" w14:cap="flat" w14:cmpd="sng" w14:algn="ctr">
            <w14:noFill/>
            <w14:prstDash w14:val="solid"/>
            <w14:bevel/>
          </w14:textOutline>
        </w:rPr>
        <w:tab/>
        <w:t>overwegende dat er overeenkomstig de gebruikelijke procedure 60 vragen aan de administratie van het Parlement zijn gestuurd, en dat de schriftelijke antwoorden door de Commissie begrotingscontrole van het Parlement op 4 december 2023 zijn ontvangen en in het openbaar zijn besproken in aanwezigheid van de secretaris-generaal, de directeur van de Autoriteit voor Europese politieke partijen en Europese politieke stichtingen (de “Autoriteit”) en de intern controleur;</w:t>
      </w:r>
    </w:p>
    <w:p w:rsidR="005D6748" w:rsidRPr="001C7D10" w:rsidRDefault="005D6748" w:rsidP="005D6748">
      <w:pPr>
        <w:pStyle w:val="NormalHanging12a"/>
      </w:pPr>
      <w:r w:rsidRPr="001C7D10">
        <w:t>C.</w:t>
      </w:r>
      <w:r w:rsidRPr="001C7D10">
        <w:tab/>
        <w:t>overwegende dat er altijd ruimte voor verbetering is wat betreft de kwaliteit, doeltreffendheid en doelmatigheid evenals de transparantie van het beheer van de overheidsfinanciën; overwegende dat grondig toezicht absoluut noodzakelijk is om ervoor te zorgen dat het politiek leiderschap en de administratie van het Parlement verantwoording afleggen tegenover de burgers van de Unie; overwegende dat de integriteit van het Parlement van het allergrootste belang is voor de werking van de Europese democratie en het vertrouwen van de burgers in de Europese instellingen vergroot;</w:t>
      </w:r>
    </w:p>
    <w:p w:rsidR="005B672E" w:rsidRPr="001C7D10" w:rsidRDefault="005B672E" w:rsidP="005D6748">
      <w:pPr>
        <w:pStyle w:val="NormalHanging12a"/>
      </w:pPr>
      <w:r w:rsidRPr="001C7D10">
        <w:t>D.</w:t>
      </w:r>
      <w:r w:rsidRPr="001C7D10">
        <w:tab/>
        <w:t>overwegende dat buitenlandse inmenging, informatiemanipulatie en desinformatie een ernstige schending vormen van de waarden waarop de Unie is gegrondvest; overwegende dat de in juni 2022 ingestelde Bijzondere Commissie buitenlandse inmenging in alle democratische processen in de Europese Unie, met inbegrip van desinformatie (INGE), gedetailleerd de inspanningen en operaties van derde landen aan het licht heeft gebracht die gericht zijn op infiltratie en beïnvloeding van Europese democratieën en EU-instellingen, alsook op inmenging in hun processen;</w:t>
      </w:r>
    </w:p>
    <w:p w:rsidR="005B672E" w:rsidRPr="001C7D10" w:rsidRDefault="005B672E" w:rsidP="005D6748">
      <w:pPr>
        <w:pStyle w:val="NormalHanging12a"/>
      </w:pPr>
      <w:r w:rsidRPr="001C7D10">
        <w:t>E.</w:t>
      </w:r>
      <w:r w:rsidRPr="001C7D10">
        <w:tab/>
        <w:t>overwegende dat leden naar verluidt zijn betaald om Russische propaganda ingang te doen vinden;</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Begrotings- en financieel beheer van het Parlement</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lastRenderedPageBreak/>
        <w:t>1.</w:t>
      </w:r>
      <w:r w:rsidRPr="001C7D10">
        <w:rPr>
          <w14:textOutline w14:w="0" w14:cap="flat" w14:cmpd="sng" w14:algn="ctr">
            <w14:noFill/>
            <w14:prstDash w14:val="solid"/>
            <w14:bevel/>
          </w14:textOutline>
        </w:rPr>
        <w:tab/>
        <w:t>stelt vast dat de definitieve kredieten van het Parlement voor 2022 in totaal 2 161 miljoen EUR bedroegen, d.w.z. 19,55 % van rubriek 7 van het meerjarig financieel kader (MFK)</w:t>
      </w:r>
      <w:r w:rsidRPr="001C7D10">
        <w:rPr>
          <w:rStyle w:val="FootnoteReference"/>
          <w:szCs w:val="24"/>
        </w:rPr>
        <w:footnoteReference w:id="7"/>
      </w:r>
      <w:r w:rsidRPr="001C7D10">
        <w:rPr>
          <w14:textOutline w14:w="0" w14:cap="flat" w14:cmpd="sng" w14:algn="ctr">
            <w14:noFill/>
            <w14:prstDash w14:val="solid"/>
            <w14:bevel/>
          </w14:textOutline>
        </w:rPr>
        <w:t xml:space="preserve"> voor de administratieve uitgaven van de EU-instellingen als geheel in 2022, en een stijging met 4,76 % vertoonden ten opzichte van de begroting van 2021 (2 064 miljoen EUR);</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2.</w:t>
      </w:r>
      <w:r w:rsidRPr="001C7D10">
        <w:rPr>
          <w14:textOutline w14:w="0" w14:cap="flat" w14:cmpd="sng" w14:algn="ctr">
            <w14:noFill/>
            <w14:prstDash w14:val="solid"/>
            <w14:bevel/>
          </w14:textOutline>
        </w:rPr>
        <w:tab/>
        <w:t>stelt vast dat de totale per 31 december 2022 in de rekeningen opgenomen ontvangsten 250 473 772 EUR bedroegen (tegenover 215 332 108 EUR in 2021); stelt vast dat de beschikbare bestemmingsontvangsten in 2022 61 267 620 EUR bedroegen (tegenover 37 150 962 EUR in 2021);</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3.</w:t>
      </w:r>
      <w:r w:rsidRPr="001C7D10">
        <w:rPr>
          <w14:textOutline w14:w="0" w14:cap="flat" w14:cmpd="sng" w14:algn="ctr">
            <w14:noFill/>
            <w14:prstDash w14:val="solid"/>
            <w14:bevel/>
          </w14:textOutline>
        </w:rPr>
        <w:tab/>
        <w:t>benadrukt dat vijf hoofdstukken 76,5 % van de totale vastleggingen uitmaken: hoofdstuk 10 “Leden van de instelling”, hoofdstuk 12 “Ambtenaren en tijdelijke functionarissen”, hoofdstuk 14 “Ander personeel en prestaties van derden”, hoofdstuk 20 “Gebouwen en daarmee samenhangende kosten”, en hoofdstuk 42 “Assistentie aan de leden”;</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4.</w:t>
      </w:r>
      <w:r w:rsidRPr="001C7D10">
        <w:rPr>
          <w14:textOutline w14:w="0" w14:cap="flat" w14:cmpd="sng" w14:algn="ctr">
            <w14:noFill/>
            <w14:prstDash w14:val="solid"/>
            <w14:bevel/>
          </w14:textOutline>
        </w:rPr>
        <w:tab/>
        <w:t>neemt kennis van de onderstaande cijfers, op grond waarvan de rekeningen van het Parlement voor het begrotingsjaar 2022 werden gesloten:</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5D6748" w:rsidRPr="001C7D10" w:rsidTr="00434A68">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5D6748" w:rsidRPr="001C7D10" w:rsidRDefault="005D6748" w:rsidP="00434A68">
            <w:pPr>
              <w:autoSpaceDE w:val="0"/>
              <w:autoSpaceDN w:val="0"/>
              <w:adjustRightInd w:val="0"/>
            </w:pPr>
            <w:r w:rsidRPr="001C7D10">
              <w:rPr>
                <w:b/>
              </w:rPr>
              <w:t>a) Beschikbare kredieten (EUR)</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5D6748" w:rsidRPr="001C7D10" w:rsidRDefault="005D6748" w:rsidP="00434A68">
            <w:pPr>
              <w:autoSpaceDE w:val="0"/>
              <w:autoSpaceDN w:val="0"/>
              <w:adjustRightInd w:val="0"/>
            </w:pPr>
            <w:r w:rsidRPr="001C7D10">
              <w:t xml:space="preserve">kredieten voor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D6748" w:rsidRPr="001C7D10" w:rsidRDefault="005D6748" w:rsidP="00434A68">
            <w:pPr>
              <w:autoSpaceDE w:val="0"/>
              <w:autoSpaceDN w:val="0"/>
              <w:adjustRightInd w:val="0"/>
              <w:jc w:val="right"/>
            </w:pPr>
            <w:r w:rsidRPr="001C7D10">
              <w:t>2 161 651 286,00</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5D6748" w:rsidRPr="001C7D10" w:rsidRDefault="005D6748" w:rsidP="00434A68">
            <w:pPr>
              <w:autoSpaceDE w:val="0"/>
              <w:autoSpaceDN w:val="0"/>
              <w:adjustRightInd w:val="0"/>
            </w:pPr>
            <w:r w:rsidRPr="001C7D10">
              <w:t xml:space="preserve">niet-automatische overdrachten van het begrotingsjaar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D6748" w:rsidRPr="001C7D10" w:rsidRDefault="005D6748" w:rsidP="00434A68">
            <w:pPr>
              <w:autoSpaceDE w:val="0"/>
              <w:autoSpaceDN w:val="0"/>
              <w:adjustRightInd w:val="0"/>
              <w:jc w:val="right"/>
            </w:pPr>
            <w:r w:rsidRPr="001C7D10">
              <w:t>22 007 230,00</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5D6748" w:rsidRPr="001C7D10" w:rsidRDefault="005D6748" w:rsidP="00434A68">
            <w:pPr>
              <w:autoSpaceDE w:val="0"/>
              <w:autoSpaceDN w:val="0"/>
              <w:adjustRightInd w:val="0"/>
            </w:pPr>
            <w:r w:rsidRPr="001C7D10">
              <w:t xml:space="preserve">automatische overdrachten van het begrotingsjaar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D6748" w:rsidRPr="001C7D10" w:rsidRDefault="005D6748" w:rsidP="00434A68">
            <w:pPr>
              <w:autoSpaceDE w:val="0"/>
              <w:autoSpaceDN w:val="0"/>
              <w:adjustRightInd w:val="0"/>
              <w:jc w:val="right"/>
            </w:pPr>
            <w:r w:rsidRPr="001C7D10">
              <w:t>380 099 194,75</w:t>
            </w:r>
          </w:p>
        </w:tc>
      </w:tr>
      <w:tr w:rsidR="005D6748" w:rsidRPr="001C7D10" w:rsidTr="00434A68">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5D6748" w:rsidRPr="001C7D10" w:rsidRDefault="005D6748" w:rsidP="00434A68">
            <w:pPr>
              <w:autoSpaceDE w:val="0"/>
              <w:autoSpaceDN w:val="0"/>
              <w:adjustRightInd w:val="0"/>
            </w:pPr>
            <w:r w:rsidRPr="001C7D10">
              <w:t xml:space="preserve">kredieten corresponderend met bestemmingsontvangsten voor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D6748" w:rsidRPr="001C7D10" w:rsidRDefault="005D6748" w:rsidP="00434A68">
            <w:pPr>
              <w:autoSpaceDE w:val="0"/>
              <w:autoSpaceDN w:val="0"/>
              <w:adjustRightInd w:val="0"/>
              <w:jc w:val="right"/>
            </w:pPr>
            <w:r w:rsidRPr="001C7D10">
              <w:t>61 267 620,37</w:t>
            </w:r>
          </w:p>
        </w:tc>
      </w:tr>
      <w:tr w:rsidR="005D6748" w:rsidRPr="001C7D10" w:rsidTr="00434A68">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5D6748" w:rsidRPr="001C7D10" w:rsidRDefault="005D6748" w:rsidP="00434A68">
            <w:pPr>
              <w:autoSpaceDE w:val="0"/>
              <w:autoSpaceDN w:val="0"/>
              <w:adjustRightInd w:val="0"/>
            </w:pPr>
            <w:r w:rsidRPr="001C7D10">
              <w:t xml:space="preserve">overdrachten corresponderend met bestemmingsontvangsten van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D6748" w:rsidRPr="001C7D10" w:rsidRDefault="005D6748" w:rsidP="00434A68">
            <w:pPr>
              <w:autoSpaceDE w:val="0"/>
              <w:autoSpaceDN w:val="0"/>
              <w:adjustRightInd w:val="0"/>
              <w:jc w:val="right"/>
            </w:pPr>
            <w:r w:rsidRPr="001C7D10">
              <w:t>39 603 266,73</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5D6748" w:rsidRPr="001C7D10" w:rsidRDefault="005D6748" w:rsidP="00434A68">
            <w:pPr>
              <w:autoSpaceDE w:val="0"/>
              <w:autoSpaceDN w:val="0"/>
              <w:adjustRightInd w:val="0"/>
            </w:pPr>
            <w:r w:rsidRPr="001C7D10">
              <w:t xml:space="preserve">Totaal: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D6748" w:rsidRPr="001C7D10" w:rsidRDefault="005D6748" w:rsidP="00434A68">
            <w:pPr>
              <w:autoSpaceDE w:val="0"/>
              <w:autoSpaceDN w:val="0"/>
              <w:adjustRightInd w:val="0"/>
              <w:jc w:val="right"/>
            </w:pPr>
            <w:r w:rsidRPr="001C7D10">
              <w:t>2 664 628 597,85</w:t>
            </w:r>
          </w:p>
        </w:tc>
      </w:tr>
      <w:tr w:rsidR="005D6748" w:rsidRPr="001C7D10" w:rsidTr="00434A68">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rPr>
                <w:b/>
              </w:rPr>
            </w:pPr>
            <w:r w:rsidRPr="001C7D10">
              <w:rPr>
                <w:b/>
              </w:rPr>
              <w:t>b) Besteding van de kredieten in het begrotingsjaar 2022 (EUR)</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pPr>
            <w:r w:rsidRPr="001C7D10">
              <w:t xml:space="preserve">vastleggingen: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jc w:val="right"/>
            </w:pPr>
            <w:r w:rsidRPr="001C7D10">
              <w:t>2 607 456 700,15</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pPr>
            <w:r w:rsidRPr="001C7D10">
              <w:t xml:space="preserve">verrichte betalingen: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jc w:val="right"/>
            </w:pPr>
            <w:r w:rsidRPr="001C7D10">
              <w:t>2 186 635 235,75</w:t>
            </w:r>
          </w:p>
        </w:tc>
      </w:tr>
      <w:tr w:rsidR="005D6748" w:rsidRPr="001C7D10" w:rsidTr="00434A68">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pPr>
            <w:r w:rsidRPr="001C7D10">
              <w:t xml:space="preserve">automatisch overgedragen kredieten, waaronder die afkomstig van bestemmingsontvangsten: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jc w:val="right"/>
            </w:pPr>
          </w:p>
          <w:p w:rsidR="005D6748" w:rsidRPr="001C7D10" w:rsidRDefault="005D6748" w:rsidP="00434A68">
            <w:pPr>
              <w:autoSpaceDE w:val="0"/>
              <w:autoSpaceDN w:val="0"/>
              <w:adjustRightInd w:val="0"/>
              <w:jc w:val="right"/>
            </w:pPr>
            <w:r w:rsidRPr="001C7D10">
              <w:t>428 826 276,81</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pPr>
            <w:r w:rsidRPr="001C7D10">
              <w:t xml:space="preserve">niet-automatisch overgedragen kredieten: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jc w:val="right"/>
            </w:pPr>
            <w:r w:rsidRPr="001C7D10">
              <w:t>0</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pPr>
            <w:r w:rsidRPr="001C7D10">
              <w:t xml:space="preserve">geannuleerde kredieten: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jc w:val="right"/>
            </w:pPr>
            <w:r w:rsidRPr="001C7D10">
              <w:t>49 167 085,50</w:t>
            </w:r>
          </w:p>
        </w:tc>
      </w:tr>
      <w:tr w:rsidR="005D6748" w:rsidRPr="001C7D10" w:rsidTr="00434A68">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rPr>
                <w:b/>
              </w:rPr>
            </w:pPr>
            <w:r w:rsidRPr="001C7D10">
              <w:rPr>
                <w:b/>
              </w:rPr>
              <w:t>c) Begrotingsontvangsten (EUR)</w:t>
            </w:r>
          </w:p>
        </w:tc>
      </w:tr>
      <w:tr w:rsidR="005D6748" w:rsidRPr="001C7D10" w:rsidTr="00434A68">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pPr>
            <w:r w:rsidRPr="001C7D10">
              <w:t xml:space="preserve">ontvangen in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jc w:val="right"/>
            </w:pPr>
            <w:r w:rsidRPr="001C7D10">
              <w:t>250 473 772,00</w:t>
            </w:r>
          </w:p>
        </w:tc>
      </w:tr>
      <w:tr w:rsidR="005D6748" w:rsidRPr="001C7D10" w:rsidTr="00434A68">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5D6748" w:rsidRPr="001C7D10" w:rsidRDefault="005D6748" w:rsidP="00434A68">
            <w:pPr>
              <w:autoSpaceDE w:val="0"/>
              <w:autoSpaceDN w:val="0"/>
              <w:adjustRightInd w:val="0"/>
            </w:pPr>
            <w:r w:rsidRPr="001C7D10">
              <w:rPr>
                <w:b/>
              </w:rPr>
              <w:t>d) Totale balans op 31 december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D6748" w:rsidRPr="001C7D10" w:rsidRDefault="005D6748" w:rsidP="00434A68">
            <w:pPr>
              <w:autoSpaceDE w:val="0"/>
              <w:autoSpaceDN w:val="0"/>
              <w:adjustRightInd w:val="0"/>
              <w:jc w:val="right"/>
            </w:pPr>
            <w:r w:rsidRPr="001C7D10">
              <w:t>1 735 834 446,00</w:t>
            </w:r>
          </w:p>
        </w:tc>
      </w:tr>
    </w:tbl>
    <w:p w:rsidR="005D6748" w:rsidRPr="001C7D10" w:rsidRDefault="005D6748" w:rsidP="005D6748">
      <w:pPr>
        <w:pStyle w:val="NormalHanging12a"/>
        <w:spacing w:before="240"/>
      </w:pPr>
      <w:r w:rsidRPr="001C7D10">
        <w:t>5.</w:t>
      </w:r>
      <w:r w:rsidRPr="001C7D10">
        <w:tab/>
        <w:t xml:space="preserve">neemt er kennis van dat de Begrotingscommissie van het Parlement overeenkomstig de artikelen 31 en 49 van het Financieel Reglement haar goedkeuring heeft gehecht aan 21 overschrijvingen (“C-overschrijvingen”) in het begrotingsjaar 2022, voor een bedrag van 88 449 115 EUR of 4,09 % van de definitieve kredieten; neemt er kennis van dat de Voorzitter elf overschrijvingen (“P-overschrijvingen”) voor een bedrag van 34 246 879 EUR of 1,6 % van de begroting voor 2022 heeft goedgekeurd; wenst te vernemen tussen welke begrotingsonderdelen deze P-overschrijvingen hebben </w:t>
      </w:r>
      <w:r w:rsidRPr="001C7D10">
        <w:lastRenderedPageBreak/>
        <w:t>plaatsgevonden; verzoekt het voorzitterschap de Commissie begrotingscontrole proactief op de hoogte te stellen van de betrokken bedragen en begrotingsonderdelen;</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6.</w:t>
      </w:r>
      <w:r w:rsidRPr="001C7D10">
        <w:rPr>
          <w14:textOutline w14:w="0" w14:cap="flat" w14:cmpd="sng" w14:algn="ctr">
            <w14:noFill/>
            <w14:prstDash w14:val="solid"/>
            <w14:bevel/>
          </w14:textOutline>
        </w:rPr>
        <w:tab/>
        <w:t>merkt op dat de COVID-19-pandemie naar schatting een bescheiden overschot van 16 417 325 EUR heeft opgeleverd, dat is overgeheveld uit posten als reiskosten, de organisatie en ontvangst van bezoekersgroepen, het runnen van bezoekerscentra van het Parlement, externe opleiding ter plaatse, documentatie/publicaties en plaatselijke parlementaire medewerkers en stagiairs voor leden; merkt tegelijkertijd op dat de COVID-19-pandemie het noodzakelijk heeft gemaakt om andere begrotingslijnen met in totaal 7 549 000 EUR te verhogen; wijst erop dat deze lijnen voornamelijk betrekking hadden op de verlening van financiële steun aan thuiswerkend personeel, gezondheid en preventie, en extra uitgaven voor vertolking ter ondersteuning van telewerken, meertalige vergaderingen op afstand en meertalige hybride vergaderingen;</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7.</w:t>
      </w:r>
      <w:r w:rsidRPr="001C7D10">
        <w:rPr>
          <w14:textOutline w14:w="0" w14:cap="flat" w14:cmpd="sng" w14:algn="ctr">
            <w14:noFill/>
            <w14:prstDash w14:val="solid"/>
            <w14:bevel/>
          </w14:textOutline>
        </w:rPr>
        <w:tab/>
        <w:t xml:space="preserve">merkt op dat 2022 een overgangsjaar was voor de instellingen van de Unie, met inbegrip van het Parlement; merkt op dat wegens de COVID-19-pandemie ingevoerde maatregelen uiterlijk juni 2022 zijn stopgezet; is ingenomen met de inspanningen van alle </w:t>
      </w:r>
      <w:proofErr w:type="spellStart"/>
      <w:r w:rsidRPr="001C7D10">
        <w:rPr>
          <w14:textOutline w14:w="0" w14:cap="flat" w14:cmpd="sng" w14:algn="ctr">
            <w14:noFill/>
            <w14:prstDash w14:val="solid"/>
            <w14:bevel/>
          </w14:textOutline>
        </w:rPr>
        <w:t>DG’s</w:t>
      </w:r>
      <w:proofErr w:type="spellEnd"/>
      <w:r w:rsidRPr="001C7D10">
        <w:rPr>
          <w14:textOutline w14:w="0" w14:cap="flat" w14:cmpd="sng" w14:algn="ctr">
            <w14:noFill/>
            <w14:prstDash w14:val="solid"/>
            <w14:bevel/>
          </w14:textOutline>
        </w:rPr>
        <w:t xml:space="preserve"> en de secretaris-generaal om de nodige instrumenten in te zetten om de parlementaire werkzaamheden te hervatten, zodat het Parlement weer op dezelfde manier functioneert als vóór de COVID-19-pandemie; is ingenomen met de succesvolle hervatting van plenaire vergaderingen in fysieke aanwezigheid vanaf maart 2022; merkt op dat dit volgde op een periode van twee jaar waarin meer dan 12 000 stemmingen op afstand moesten plaatsvinden, verdeeld over niet minder dan 175 stemmingen, gespreid over 30 vergaderperioden;</w:t>
      </w:r>
    </w:p>
    <w:p w:rsidR="005D6748" w:rsidRPr="001C7D10" w:rsidRDefault="005D6748" w:rsidP="005D6748">
      <w:pPr>
        <w:pStyle w:val="NormalHanging12a"/>
      </w:pPr>
      <w:r w:rsidRPr="001C7D10">
        <w:t>8.</w:t>
      </w:r>
      <w:r w:rsidRPr="001C7D10">
        <w:tab/>
        <w:t>merkt op dat de Russische aanvalsoorlog tegen Oekraïne en de uitzonderlijk hoge inflatie, die eind 2022 voor de Unie op jaarbasis nog steeds 10,4 % bedroeg, een grote invloed hebben gehad op het begrotingsjaar 2022; erkent dat de administratie van het Parlement aanzienlijke inspanningen heeft geleverd voor de uitvoering van de begroting om tegemoet te komen aan dringende behoeften als gevolg van de crisissituatie; is ingenomen met de donaties van technische apparatuur door het Parlement om Oekraïne in moeilijke tijden van oorlog te ondersteunen;</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Oordelen van de Europese Rekenkamer over de betrouwbaarheid van de rekeningen voor het begrotingsjaar 2022 en de wettigheid en regelmatigheid van de onderliggende verrichtingen</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9.</w:t>
      </w:r>
      <w:r w:rsidRPr="001C7D10">
        <w:rPr>
          <w14:textOutline w14:w="0" w14:cap="flat" w14:cmpd="sng" w14:algn="ctr">
            <w14:noFill/>
            <w14:prstDash w14:val="solid"/>
            <w14:bevel/>
          </w14:textOutline>
        </w:rPr>
        <w:tab/>
        <w:t>herinnert eraan dat de Europese Rekenkamer (de “Rekenkamer”) een specifieke beoordeling verricht van de administratieve en andere uitgaven als één beleidsgroep voor alle instellingen van de Unie; wijst erop dat de administratieve uitgaven ook uitgaven voor personele middelen met inbegrip van pensioenen omvatten, die in 2022 goed waren voor zo’n 70 % van de totale administratieve uitgaven, en uitgaven voor gebouwen, apparatuur, energie, communicatie en informatietechnologie; wijst erop dat uit het werk van de Rekenkamer door de jaren heen is gebleken dat deze uitgaven over het algemeen een laag risico inhouden;</w:t>
      </w:r>
    </w:p>
    <w:p w:rsidR="005D6748" w:rsidRPr="001C7D10" w:rsidRDefault="005D6748" w:rsidP="005D6748">
      <w:pPr>
        <w:pStyle w:val="NormalHanging12a"/>
      </w:pPr>
      <w:r w:rsidRPr="001C7D10">
        <w:t>10.</w:t>
      </w:r>
      <w:r w:rsidRPr="001C7D10">
        <w:tab/>
        <w:t xml:space="preserve">merkt op dat rubriek 7 “Europees openbaar bestuur” van het meerjarig financieel kader goed is voor 11,6 miljard EUR of 5,9 % van de begroting van de Unie in 2022, waarvan het Parlement 2,2 miljard EUR of 18,9 % voor zijn rekening neemt; is ingenomen met het feit dat de Rekenkamer constateert dat de uitgaven in de rubriek “Europees openbaar bestuur” geen materieel foutenpercentage vertoonden; verzoekt het Parlement te controleren en na te gaan welke soorten verrichtingen een hoog percentage fouten </w:t>
      </w:r>
      <w:r w:rsidRPr="001C7D10">
        <w:lastRenderedPageBreak/>
        <w:t>bevatten, zij het onder de materialiteitsdrempel, en na te gaan welke wijzigingen in de procedure nodig zijn om soortgelijke fouten in de toekomst te voorkomen en op te sporen;</w:t>
      </w:r>
    </w:p>
    <w:p w:rsidR="005D6748" w:rsidRPr="001C7D10" w:rsidRDefault="005D6748" w:rsidP="005D6748">
      <w:pPr>
        <w:pStyle w:val="NormalHanging12a"/>
      </w:pPr>
      <w:r w:rsidRPr="001C7D10">
        <w:t>11.</w:t>
      </w:r>
      <w:r w:rsidRPr="001C7D10">
        <w:tab/>
        <w:t>neemt er kennis van dat het jaarverslag van de Rekenkamer over de uitvoering van de begroting voor het begrotingsjaar 2022 specifieke bevindingen over het Parlement bevat; neemt er kennis van dat de Rekenkamer aanbeveelt dat de administratie van het Parlement haar richtsnoeren voor de uitvoering van begrotingskredieten door de fracties versterkt, en dat zij werk blijft maken van het verbeteren van de interne regels, en ervoor zorgt dat aanbestedingsregels en -procedures worden nageleefd;</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12.</w:t>
      </w:r>
      <w:r w:rsidRPr="001C7D10">
        <w:rPr>
          <w14:textOutline w14:w="0" w14:cap="flat" w14:cmpd="sng" w14:algn="ctr">
            <w14:noFill/>
            <w14:prstDash w14:val="solid"/>
            <w14:bevel/>
          </w14:textOutline>
        </w:rPr>
        <w:tab/>
        <w:t>merkt op dat de Rekenkamer voor het Parlement een steekproef van 13 verrichtingen heeft geselecteerd en dat zij in drie daarvan kwantificeerbare fouten heeft aangetroffen; merkt op dat aanbestedingen een van de door de Rekenkamer aan de orde gestelde kwesties waren; benadrukt dat dit soort bevindingen ook in het verleden aan de orde is gesteld;</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13.</w:t>
      </w:r>
      <w:r w:rsidRPr="001C7D10">
        <w:rPr>
          <w14:textOutline w14:w="0" w14:cap="flat" w14:cmpd="sng" w14:algn="ctr">
            <w14:noFill/>
            <w14:prstDash w14:val="solid"/>
            <w14:bevel/>
          </w14:textOutline>
        </w:rPr>
        <w:tab/>
        <w:t>neemt kennis van de opmerkingen van de Rekenkamer met betrekking tot de interne regels van het Parlement; herinnert eraan dat de fracties de hun toegewezen middelen beheren volgens de beginselen van indirect beheer van middelen, naar analogie van artikel 62, lid 1, punt c), van het Financieel Reglement; meent dat deze regels in de plaats komen van de “bijdrageovereenkomsten” (zoals bedoeld in artikel 155, lid 6, van het Financieel Reglement);</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14.</w:t>
      </w:r>
      <w:r w:rsidRPr="001C7D10">
        <w:rPr>
          <w14:textOutline w14:w="0" w14:cap="flat" w14:cmpd="sng" w14:algn="ctr">
            <w14:noFill/>
            <w14:prstDash w14:val="solid"/>
            <w14:bevel/>
          </w14:textOutline>
        </w:rPr>
        <w:tab/>
        <w:t>herinnert eraan dat de fracties volgens de interne regels van het Parlement voor het beheer van kredieten aan de instelling verantwoordelijk zijn, binnen de grenzen van de hun door het Bureau verleende bevoegdheden; neemt er nota van dat de kredieten overeenkomstig deze regels moeten worden beheerd en dat passende maatregelen moeten worden genomen om niet-naleving te voorkomen;</w:t>
      </w:r>
    </w:p>
    <w:p w:rsidR="005D6748" w:rsidRPr="001C7D10" w:rsidRDefault="005D6748" w:rsidP="005D6748">
      <w:pPr>
        <w:pStyle w:val="NormalHanging12a"/>
      </w:pPr>
      <w:r w:rsidRPr="001C7D10">
        <w:t>15.</w:t>
      </w:r>
      <w:r w:rsidRPr="001C7D10">
        <w:tab/>
        <w:t>wijst erop dat de fracties bijstand en advies van het Parlement krijgen wanneer zij daarom verzoeken; merkt op dat de financiële diensten van de fracties in 2022 ondertekeningen met nationale delegaties hebben opgevoerd om goed beheer van de kredieten van begrotingslijn 400 te waarborgen;</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16.</w:t>
      </w:r>
      <w:r w:rsidRPr="001C7D10">
        <w:rPr>
          <w14:textOutline w14:w="0" w14:cap="flat" w14:cmpd="sng" w14:algn="ctr">
            <w14:noFill/>
            <w14:prstDash w14:val="solid"/>
            <w14:bevel/>
          </w14:textOutline>
        </w:rPr>
        <w:tab/>
        <w:t>is ingenomen met de toezegging van de administratie om de fracties beter te begeleiden bij de correcte tenuitvoerlegging van de interne regels van het Parlement en hen bij te staan met het oog op de verbetering van hun intern financieel beheer; is ingenomen met het feit dat het de richtsnoeren voor aanbestedingen door fracties verder zal verduidelijken;</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Jaarverslag van de intern controleur</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17.</w:t>
      </w:r>
      <w:r w:rsidRPr="001C7D10">
        <w:rPr>
          <w14:textOutline w14:w="0" w14:cap="flat" w14:cmpd="sng" w14:algn="ctr">
            <w14:noFill/>
            <w14:prstDash w14:val="solid"/>
            <w14:bevel/>
          </w14:textOutline>
        </w:rPr>
        <w:tab/>
        <w:t xml:space="preserve">merkt op dat de intern controleur tijdens de vergadering tussen de bevoegde commissie en de intern controleur op 4 december 2023 zijn jaarverslag heeft gepresenteerd en een beschrijving heeft gegeven van de door hem uitgevoerde betrouwbaarheidscontroles en de door hem verleende adviesdiensten, en een verslag heeft uitgebracht over de huidige stand van zaken, dat in 2022 een transversale follow-up omvatte van nog niet afgewikkelde acties uit interne auditverslagen, een controle van dienstreizen van het personeel, een evaluatie van het kader voor risicobeheer van het Parlement en een controle van het aanbestedingsproces in DG INLO; een audit van de aankoop en het gebruik van veiligheidsapparatuur en -diensten in DG SAFE, een controle van de </w:t>
      </w:r>
      <w:r w:rsidRPr="001C7D10">
        <w:rPr>
          <w14:textOutline w14:w="0" w14:cap="flat" w14:cmpd="sng" w14:algn="ctr">
            <w14:noFill/>
            <w14:prstDash w14:val="solid"/>
            <w14:bevel/>
          </w14:textOutline>
        </w:rPr>
        <w:lastRenderedPageBreak/>
        <w:t>financiering van Europese politieke partijen en Europese politieke stichtingen – tweede opdracht, en een periodieke evaluatie van het ADENAUER 2-bouwproject – fase 3 (voltooiing van de oostelijke vleugel);</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18.</w:t>
      </w:r>
      <w:r w:rsidRPr="001C7D10">
        <w:rPr>
          <w14:textOutline w14:w="0" w14:cap="flat" w14:cmpd="sng" w14:algn="ctr">
            <w14:noFill/>
            <w14:prstDash w14:val="solid"/>
            <w14:bevel/>
          </w14:textOutline>
        </w:rPr>
        <w:tab/>
        <w:t>is ingenomen met en steunt de acties die de intern controleur met de verantwoordelijke directoraten-generaal is overeengekomen naar aanleiding van de betrouwbaarheidsopdrachten met betrekking tot de controle van dienstreizen van het personeel, met betrekking tot de herziening van het kader voor risicobeheer van het Parlement en met betrekking tot de controle van het aanbestedingsproces in DG INLO;</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19.</w:t>
      </w:r>
      <w:r w:rsidRPr="001C7D10">
        <w:rPr>
          <w14:textOutline w14:w="0" w14:cap="flat" w14:cmpd="sng" w14:algn="ctr">
            <w14:noFill/>
            <w14:prstDash w14:val="solid"/>
            <w14:bevel/>
          </w14:textOutline>
        </w:rPr>
        <w:tab/>
        <w:t>neemt kennis van de betrouwbaarheidsopdrachten waarvoor momenteel voorlopige conclusies worden opgesteld of waarvoor het veldwerk nog niet is afgerond, en die momenteel het in het handvest van de intern controleur beoogde proces volgen;</w:t>
      </w:r>
    </w:p>
    <w:p w:rsidR="005D6748" w:rsidRPr="001C7D10" w:rsidRDefault="005D6748" w:rsidP="005D6748">
      <w:pPr>
        <w:pStyle w:val="NormalHanging12a"/>
      </w:pPr>
      <w:r w:rsidRPr="001C7D10">
        <w:t>20.</w:t>
      </w:r>
      <w:r w:rsidRPr="001C7D10">
        <w:tab/>
        <w:t>merkt op dat de follow-upprocedure van 2022 heeft geleid tot het afsluiten van 38 van de 92 nog niet afgewikkelde acties en acties waarvoor de overeengekomen uiterste uitvoeringstermijnen waren verstreken; is bezorgd over het feit dat op 31 december 2022 29 nog niet afgewikkelde acties meer dan twaalf maanden achterstallig waren; verwacht van de verschillende directoraten-generaal dat zij ervoor zorgen dat de resterende acties zonder verder uitstel worden afgerond en dat de overeengekomen acties worden uitgevoerd overeenkomstig de in het jaarverslag van de intern controleur vastgestelde termijnen;</w:t>
      </w:r>
    </w:p>
    <w:p w:rsidR="005D6748" w:rsidRPr="001C7D10" w:rsidRDefault="005D6748" w:rsidP="005D6748">
      <w:pPr>
        <w:pStyle w:val="NormalHanging12a"/>
      </w:pPr>
      <w:r w:rsidRPr="001C7D10">
        <w:t>21.</w:t>
      </w:r>
      <w:r w:rsidRPr="001C7D10">
        <w:tab/>
        <w:t>erkent dat, in overeenstemming met artikel 118, lid 9, van het Financieel Reglement, de verslagen en de bevindingen van de intern controleur evenals het verslag van de betrokken instelling van de Unie slechts voor het publiek toegankelijk zijn zodra de intern controleur de maatregelen voor uitvoering ervan heeft gevalideerd; merkt op dat de verslagen en bevindingen in de praktijk pas worden gepubliceerd wanneer alle aanbevelingen zijn uitgevoerd</w:t>
      </w:r>
      <w:r w:rsidR="00982435" w:rsidRPr="001C7D10">
        <w:t xml:space="preserve">, waardoor de publicatie de facto jaren vertraging oploopt; verzoekt het Bureau alle </w:t>
      </w:r>
      <w:proofErr w:type="spellStart"/>
      <w:r w:rsidR="00982435" w:rsidRPr="001C7D10">
        <w:t>internecontroleverslagen</w:t>
      </w:r>
      <w:proofErr w:type="spellEnd"/>
      <w:r w:rsidR="00982435" w:rsidRPr="001C7D10">
        <w:t xml:space="preserve"> een jaar na hun afronding, zodra de intern controleur de acties heeft gevalideerd die zijn genomen om de aanbeveling van het voorgaande jaar uit te voeren, openbaar te maken</w:t>
      </w:r>
      <w:r w:rsidRPr="001C7D10">
        <w:t>; herinnert eraan dat volgens de regels van het Bureau de leden alleen op “</w:t>
      </w:r>
      <w:proofErr w:type="spellStart"/>
      <w:r w:rsidRPr="001C7D10">
        <w:t>need</w:t>
      </w:r>
      <w:proofErr w:type="spellEnd"/>
      <w:r w:rsidRPr="001C7D10">
        <w:t>-</w:t>
      </w:r>
      <w:proofErr w:type="spellStart"/>
      <w:r w:rsidRPr="001C7D10">
        <w:t>to</w:t>
      </w:r>
      <w:proofErr w:type="spellEnd"/>
      <w:r w:rsidRPr="001C7D10">
        <w:t>-</w:t>
      </w:r>
      <w:proofErr w:type="spellStart"/>
      <w:r w:rsidRPr="001C7D10">
        <w:t>know</w:t>
      </w:r>
      <w:proofErr w:type="spellEnd"/>
      <w:r w:rsidRPr="001C7D10">
        <w:t xml:space="preserve">”-basis toegang mogen hebben tot vertrouwelijke documenten; herinnert eraan dat alle leden van de Commissie begrotingscontrole het recht hebben om te verzoeken om vertrouwelijke toegang tot het </w:t>
      </w:r>
      <w:proofErr w:type="spellStart"/>
      <w:r w:rsidRPr="001C7D10">
        <w:t>internecontroleverslag</w:t>
      </w:r>
      <w:proofErr w:type="spellEnd"/>
      <w:r w:rsidRPr="001C7D10">
        <w:t xml:space="preserve"> met betrekking tot de kwijtingsprocedure; is ingenomen met het feit dat de intern controleur aan de Commissie begrotingscontrole verslag uitbrengt over de jaarlijks uitgevoerde controlewerkzaamheden;</w:t>
      </w:r>
    </w:p>
    <w:p w:rsidR="005D6748" w:rsidRPr="001C7D10" w:rsidRDefault="005D6748" w:rsidP="005D6748">
      <w:pPr>
        <w:pStyle w:val="NormalHanging12a"/>
      </w:pPr>
      <w:r w:rsidRPr="001C7D10">
        <w:t>22.</w:t>
      </w:r>
      <w:r w:rsidRPr="001C7D10">
        <w:tab/>
        <w:t>merkt op dat als gevolg van een vacature voor een controleur van informatiesystemen die het hele jaar door niet werd ingevuld, één geplande controle op het gebied van IT (over het bewustzijn van het personeel op het gebied van cyberbeveiliging) in 2022 niet kon worden uitgevoerd; merkt op dat het voor specifieke functieprofielen op het gebied van controle moeilijk is personeel te vinden, onder meer op het vlak van IT, voor de uitvoering van controles volgens plan en volgens de bijbehorende vereisten; verzoekt de dienst Interne Audit dit probleem aan te pakken om ervoor te zorgen dat de rest van de controle tijdig voor de volgende kwijtingscyclus wordt voltooid;</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23.</w:t>
      </w:r>
      <w:r w:rsidRPr="001C7D10">
        <w:rPr>
          <w14:textOutline w14:w="0" w14:cap="flat" w14:cmpd="sng" w14:algn="ctr">
            <w14:noFill/>
            <w14:prstDash w14:val="solid"/>
            <w14:bevel/>
          </w14:textOutline>
        </w:rPr>
        <w:tab/>
        <w:t xml:space="preserve">is ingenomen met het feit dat de dienst Interne Audit via zijn kwaliteitsborgings- en verbeteringsprogramma voor 2022 is blijven streven naar versterking van zijn activiteiten om objectieve zekerheid te verschaffen aan de besluitvormings- en toezichthoudende autoriteiten, de </w:t>
      </w:r>
      <w:proofErr w:type="spellStart"/>
      <w:r w:rsidRPr="001C7D10">
        <w:rPr>
          <w14:textOutline w14:w="0" w14:cap="flat" w14:cmpd="sng" w14:algn="ctr">
            <w14:noFill/>
            <w14:prstDash w14:val="solid"/>
            <w14:bevel/>
          </w14:textOutline>
        </w:rPr>
        <w:t>ordonnateurs</w:t>
      </w:r>
      <w:proofErr w:type="spellEnd"/>
      <w:r w:rsidRPr="001C7D10">
        <w:rPr>
          <w14:textOutline w14:w="0" w14:cap="flat" w14:cmpd="sng" w14:algn="ctr">
            <w14:noFill/>
            <w14:prstDash w14:val="solid"/>
            <w14:bevel/>
          </w14:textOutline>
        </w:rPr>
        <w:t xml:space="preserve"> en het management; neemt kennis van </w:t>
      </w:r>
      <w:r w:rsidRPr="001C7D10">
        <w:rPr>
          <w14:textOutline w14:w="0" w14:cap="flat" w14:cmpd="sng" w14:algn="ctr">
            <w14:noFill/>
            <w14:prstDash w14:val="solid"/>
            <w14:bevel/>
          </w14:textOutline>
        </w:rPr>
        <w:lastRenderedPageBreak/>
        <w:t>het feit dat de intern controleur heeft verklaard van geen enkele bron instructies of richtsnoeren te hebben ontvangen die zijn onafhankelijkheid in het gedrang zouden kunnen brengen;</w:t>
      </w:r>
    </w:p>
    <w:p w:rsidR="005D6748" w:rsidRPr="001C7D10" w:rsidRDefault="005D6748" w:rsidP="00E31149">
      <w:pPr>
        <w:spacing w:after="240"/>
        <w:rPr>
          <w:b/>
          <w:i/>
          <w14:textOutline w14:w="0" w14:cap="flat" w14:cmpd="sng" w14:algn="ctr">
            <w14:noFill/>
            <w14:prstDash w14:val="solid"/>
            <w14:bevel/>
          </w14:textOutline>
        </w:rPr>
      </w:pPr>
      <w:r w:rsidRPr="001C7D10">
        <w:rPr>
          <w:b/>
          <w:i/>
          <w14:textOutline w14:w="0" w14:cap="flat" w14:cmpd="sng" w14:algn="ctr">
            <w14:noFill/>
            <w14:prstDash w14:val="solid"/>
            <w14:bevel/>
          </w14:textOutline>
        </w:rPr>
        <w:t>Follow-up van de kwijtingsresolutie voor 2021</w:t>
      </w:r>
    </w:p>
    <w:p w:rsidR="005D6748" w:rsidRPr="001C7D10" w:rsidRDefault="005D6748" w:rsidP="00E31149">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24.</w:t>
      </w:r>
      <w:r w:rsidRPr="001C7D10">
        <w:rPr>
          <w14:textOutline w14:w="0" w14:cap="flat" w14:cmpd="sng" w14:algn="ctr">
            <w14:noFill/>
            <w14:prstDash w14:val="solid"/>
            <w14:bevel/>
          </w14:textOutline>
        </w:rPr>
        <w:tab/>
        <w:t>neemt nota van de schriftelijke antwoorden op de kwijtingsresolutie voor 2021, die de Commissie begrotingscontrole van het Parlement op 13 september 2023 heeft ontvangen, de presentatie door de secretaris-generaal naar aanleiding van de in de kwijtingsresolutie van het Parlement voor 2021 naar voren gebrachte kwesties en de in aansluiting daarop gehouden gedachtewisseling met de leden;</w:t>
      </w:r>
    </w:p>
    <w:p w:rsidR="005D6748" w:rsidRPr="001C7D10" w:rsidRDefault="005D6748" w:rsidP="005D6748">
      <w:pPr>
        <w:pStyle w:val="NormalHanging12a"/>
      </w:pPr>
      <w:r w:rsidRPr="001C7D10">
        <w:t>25.</w:t>
      </w:r>
      <w:r w:rsidRPr="001C7D10">
        <w:tab/>
        <w:t>herinnert eraan dat zodra de plenaire vergadering besluit dat het Parlement andere regels of maatregelen moet uitvoeren, de voorgestelde regels of maatregelen worden besproken en ter stemming gebracht door het Bureau; herinnert er in het licht van artikel 25 van het Reglement aan dat het Bureau verantwoordelijk is voor het nemen van besluiten over financiële, organisatorische en administratieve aangelegenheden die de leden betreffen; herinnert eraan dat het Bureau bestaat uit de voorzitter van het Europees Parlement, de 14 ondervoorzitters en de vijf door het Parlement langs democratische weg gekozen quaestoren (die geen stemrecht bezitten); merkt op dat de leden van het Bureau beraadslagen over de ontwerpramingen van het Parlement; herinnert eraan dat de kwijting een oefening van democratisch toezicht is en dat de door de plenaire vergadering in kwijtingsresoluties aangenomen concrete eisen in de besprekingen van het Bureau tot uiting komen;</w:t>
      </w:r>
    </w:p>
    <w:p w:rsidR="005D6748" w:rsidRPr="001C7D10" w:rsidRDefault="005D6748" w:rsidP="005D6748">
      <w:pPr>
        <w:pStyle w:val="NormalHanging12a"/>
      </w:pPr>
      <w:r w:rsidRPr="001C7D10">
        <w:t>26.</w:t>
      </w:r>
      <w:r w:rsidRPr="001C7D10">
        <w:tab/>
        <w:t>is zich ervan bewust dat de beraadslagingen van het Bureau vanaf de uitbraak van de COVID-19-pandemie in maart 2020 en tot de geleidelijke opheffing van de sanitaire beperkingen begin 2022 in de eerste plaats gericht waren op besluiten ter bescherming van de leden en het personeel, waarbij gelijktijdig de bedrijfscontinuïteit werd gewaarborgd en praktische solidariteitsmaatregelen werden genomen ten aanzien van de drie gastlidstaten van het Parlement;</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Presidium</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27.</w:t>
      </w:r>
      <w:r w:rsidRPr="001C7D10">
        <w:rPr>
          <w14:textOutline w14:w="0" w14:cap="flat" w14:cmpd="sng" w14:algn="ctr">
            <w14:noFill/>
            <w14:prstDash w14:val="solid"/>
            <w14:bevel/>
          </w14:textOutline>
        </w:rPr>
        <w:tab/>
        <w:t xml:space="preserve">herinnert eraan dat het directoraat-generaal Presidium (DG PRES) expertise verstrekt en de wetgevende en parlementaire werkzaamheden van de Voorzitter, de plenaire vergadering en de bestuursorganen en leden van het Parlement in elke fase van het parlementaire en wetgevingsproces faciliteert; herinnert eraan dat DG PRES tevens verantwoordelijk is voor de </w:t>
      </w:r>
      <w:proofErr w:type="spellStart"/>
      <w:r w:rsidRPr="001C7D10">
        <w:rPr>
          <w14:textOutline w14:w="0" w14:cap="flat" w14:cmpd="sng" w14:algn="ctr">
            <w14:noFill/>
            <w14:prstDash w14:val="solid"/>
            <w14:bevel/>
          </w14:textOutline>
        </w:rPr>
        <w:t>interinstitutionele</w:t>
      </w:r>
      <w:proofErr w:type="spellEnd"/>
      <w:r w:rsidRPr="001C7D10">
        <w:rPr>
          <w14:textOutline w14:w="0" w14:cap="flat" w14:cmpd="sng" w14:algn="ctr">
            <w14:noFill/>
            <w14:prstDash w14:val="solid"/>
            <w14:bevel/>
          </w14:textOutline>
        </w:rPr>
        <w:t xml:space="preserve"> betrekkingen, voor protocollaire ondersteuning bij officiële bezoeken en evenementen die door de Voorzitter worden gesponsord, voor het beheer van gerubriceerde informatie van de Unie en voor het beheer van officiële en aangetekende post, en dat het tot november 2022 verantwoordelijk was voor de interparlementaire betrekkingen; stelt vast dat het DG op 31 december 2022 364 personeelsleden telde, waarvan 307 ambtenaren, 19 tijdelijke functionarissen, 37 arbeidsco</w:t>
      </w:r>
      <w:r w:rsidR="00E31149" w:rsidRPr="001C7D10">
        <w:rPr>
          <w14:textOutline w14:w="0" w14:cap="flat" w14:cmpd="sng" w14:algn="ctr">
            <w14:noFill/>
            <w14:prstDash w14:val="solid"/>
            <w14:bevel/>
          </w14:textOutline>
        </w:rPr>
        <w:t>ntractanten en 1 uitzendkracht;</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28.</w:t>
      </w:r>
      <w:r w:rsidRPr="001C7D10">
        <w:rPr>
          <w14:textOutline w14:w="0" w14:cap="flat" w14:cmpd="sng" w14:algn="ctr">
            <w14:noFill/>
            <w14:prstDash w14:val="solid"/>
            <w14:bevel/>
          </w14:textOutline>
        </w:rPr>
        <w:tab/>
        <w:t>merkt op dat de definitieve kredieten van DG PRES in 2022 in totaal 1 275 565 EUR bedroegen, ofwel 0,1 % van de begroting van het Parlement; benadrukt dat van dat bedrag in totaal 1 169 055,78 EUR was vastgelegd; is ingenomen met het hoge gebruik van de kredieten;</w:t>
      </w:r>
    </w:p>
    <w:p w:rsidR="005D6748" w:rsidRPr="001C7D10" w:rsidRDefault="005D674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29.</w:t>
      </w:r>
      <w:r w:rsidRPr="001C7D10">
        <w:rPr>
          <w14:textOutline w14:w="0" w14:cap="flat" w14:cmpd="sng" w14:algn="ctr">
            <w14:noFill/>
            <w14:prstDash w14:val="solid"/>
            <w14:bevel/>
          </w14:textOutline>
        </w:rPr>
        <w:tab/>
        <w:t xml:space="preserve">is ingenomen met de vooruitgang die is geboekt bij de uitvoering van de verschillende </w:t>
      </w:r>
      <w:r w:rsidRPr="001C7D10">
        <w:rPr>
          <w14:textOutline w14:w="0" w14:cap="flat" w14:cmpd="sng" w14:algn="ctr">
            <w14:noFill/>
            <w14:prstDash w14:val="solid"/>
            <w14:bevel/>
          </w14:textOutline>
        </w:rPr>
        <w:lastRenderedPageBreak/>
        <w:t xml:space="preserve">onderdelen van het programma </w:t>
      </w:r>
      <w:proofErr w:type="spellStart"/>
      <w:r w:rsidRPr="001C7D10">
        <w:rPr>
          <w14:textOutline w14:w="0" w14:cap="flat" w14:cmpd="sng" w14:algn="ctr">
            <w14:noFill/>
            <w14:prstDash w14:val="solid"/>
            <w14:bevel/>
          </w14:textOutline>
        </w:rPr>
        <w:t>eLegislate</w:t>
      </w:r>
      <w:proofErr w:type="spellEnd"/>
      <w:r w:rsidRPr="001C7D10">
        <w:rPr>
          <w14:textOutline w14:w="0" w14:cap="flat" w14:cmpd="sng" w14:algn="ctr">
            <w14:noFill/>
            <w14:prstDash w14:val="solid"/>
            <w14:bevel/>
          </w14:textOutline>
        </w:rPr>
        <w:t xml:space="preserve">, waarbij gebruik wordt gemaakt van XML-technologie om zowel amendementen op wetgevingsvoorstellen als voorbereidende documenten voor </w:t>
      </w:r>
      <w:proofErr w:type="spellStart"/>
      <w:r w:rsidRPr="001C7D10">
        <w:rPr>
          <w14:textOutline w14:w="0" w14:cap="flat" w14:cmpd="sng" w14:algn="ctr">
            <w14:noFill/>
            <w14:prstDash w14:val="solid"/>
            <w14:bevel/>
          </w14:textOutline>
        </w:rPr>
        <w:t>interinstitutionele</w:t>
      </w:r>
      <w:proofErr w:type="spellEnd"/>
      <w:r w:rsidRPr="001C7D10">
        <w:rPr>
          <w14:textOutline w14:w="0" w14:cap="flat" w14:cmpd="sng" w14:algn="ctr">
            <w14:noFill/>
            <w14:prstDash w14:val="solid"/>
            <w14:bevel/>
          </w14:textOutline>
        </w:rPr>
        <w:t xml:space="preserve"> wetgevingsonderhandelingen sneller en gemakkelijker te kunnen opstellen; verzoekt de verschillende betrokken diensten hun inspanningen verder op te voeren en ervoor te zorgen dat alle stappen in het parlementaire wetgevingsproces vanaf het begin van het wetgevingsproces in de 10e zittingsperiode worden ondersteund door de </w:t>
      </w:r>
      <w:proofErr w:type="spellStart"/>
      <w:r w:rsidRPr="001C7D10">
        <w:rPr>
          <w14:textOutline w14:w="0" w14:cap="flat" w14:cmpd="sng" w14:algn="ctr">
            <w14:noFill/>
            <w14:prstDash w14:val="solid"/>
            <w14:bevel/>
          </w14:textOutline>
        </w:rPr>
        <w:t>eLegislate</w:t>
      </w:r>
      <w:proofErr w:type="spellEnd"/>
      <w:r w:rsidRPr="001C7D10">
        <w:rPr>
          <w14:textOutline w14:w="0" w14:cap="flat" w14:cmpd="sng" w14:algn="ctr">
            <w14:noFill/>
            <w14:prstDash w14:val="solid"/>
            <w14:bevel/>
          </w14:textOutline>
        </w:rPr>
        <w:t>-tools;</w:t>
      </w:r>
    </w:p>
    <w:p w:rsidR="005D6748" w:rsidRPr="001C7D10" w:rsidRDefault="005D6748" w:rsidP="005D6748">
      <w:pPr>
        <w:pStyle w:val="NormalHanging12a"/>
        <w:rPr>
          <w:iCs/>
        </w:rPr>
      </w:pPr>
      <w:r w:rsidRPr="001C7D10">
        <w:t>30.</w:t>
      </w:r>
      <w:r w:rsidRPr="001C7D10">
        <w:tab/>
        <w:t>wijst erop dat transparantie, verantwoordingsplicht en integriteit essentiële ethische beginselen zijn binnen de instellingen van de Unie en met name binnen het Parlement, als huis van de Europese democratie; is ingenomen met de snelle maatregelen die het Parlement heeft genomen met betrekking tot de gebeurtenissen rond vermeende corruptiezaken ten aanzien van leden en werknemers in december 2022; is ingenomen met de bijdrage van DG PRES aan het door de Voorzitter voorgestelde 14-puntenactieplan en met zijn inspanningen om de nieuwe regels inzake integriteit en transparantie ten uitvoer te leggen; is voorts ingenomen met de inspanningen van de politieke autoriteiten van het Parlement om de transparantie, integriteit en verantwoordingsplicht in het Parlement te vergroten; verzoekt de administratie de budgettaire en financiële gevolgen van deze maatregelen in het oog te houden; merkt op dat het Parlement het vertrouwen in het besluitvormingsproces van de Unie herbevestigt door transparantie, ethiek en goed gedrag in de meest representatieve instelling van de Unie door middel van zijn optreden te verbeteren;</w:t>
      </w:r>
      <w:r w:rsidR="00434A68" w:rsidRPr="001C7D10">
        <w:t xml:space="preserve"> </w:t>
      </w:r>
      <w:r w:rsidRPr="001C7D10">
        <w:t>herinnert eraan dat deze gebeurtenissen algemeen bekend staan als Qatargate;</w:t>
      </w:r>
    </w:p>
    <w:p w:rsidR="005D6748" w:rsidRPr="001C7D10" w:rsidRDefault="00434A68" w:rsidP="005D6748">
      <w:pPr>
        <w:pStyle w:val="NormalHanging12a"/>
      </w:pPr>
      <w:r w:rsidRPr="001C7D10">
        <w:t>31</w:t>
      </w:r>
      <w:r w:rsidR="005D6748" w:rsidRPr="001C7D10">
        <w:t>.</w:t>
      </w:r>
      <w:r w:rsidR="005D6748" w:rsidRPr="001C7D10">
        <w:tab/>
        <w:t xml:space="preserve">merkt op dat 2022 het eerste jaar was van volledige uitvoering van het verplichte transparantieregister in het kader van het herziene </w:t>
      </w:r>
      <w:proofErr w:type="spellStart"/>
      <w:r w:rsidR="005D6748" w:rsidRPr="001C7D10">
        <w:t>interinstitutioneel</w:t>
      </w:r>
      <w:proofErr w:type="spellEnd"/>
      <w:r w:rsidR="005D6748" w:rsidRPr="001C7D10">
        <w:t xml:space="preserve"> akkoord (IIA), dat in juli 2021</w:t>
      </w:r>
      <w:r w:rsidR="005D6748" w:rsidRPr="001C7D10">
        <w:rPr>
          <w:rStyle w:val="FootnoteReference"/>
        </w:rPr>
        <w:footnoteReference w:id="8"/>
      </w:r>
      <w:r w:rsidR="005D6748" w:rsidRPr="001C7D10">
        <w:t xml:space="preserve"> door het Parlement, de Commissie en de Raad is vastgesteld; merkt op dat met het IIA weliswaar een aantal beginselen worden ingevoerd om een gemeenschappelijke cultuur van transparantie te bevorderen, maar dat de drie ondertekenaars de </w:t>
      </w:r>
      <w:proofErr w:type="spellStart"/>
      <w:r w:rsidR="005D6748" w:rsidRPr="001C7D10">
        <w:t>conditionaliteit</w:t>
      </w:r>
      <w:proofErr w:type="spellEnd"/>
      <w:r w:rsidR="005D6748" w:rsidRPr="001C7D10">
        <w:t xml:space="preserve"> en de daaropvolgende aanvullende maatregelen naar eigen goeddunken moeten uitvoeren; wijst erop dat het Parlement de </w:t>
      </w:r>
      <w:proofErr w:type="spellStart"/>
      <w:r w:rsidR="005D6748" w:rsidRPr="001C7D10">
        <w:t>conditionaliteit</w:t>
      </w:r>
      <w:proofErr w:type="spellEnd"/>
      <w:r w:rsidR="005D6748" w:rsidRPr="001C7D10">
        <w:t xml:space="preserve"> heeft verbeterd, terwijl de deelname van de Raad beperkt blijft;</w:t>
      </w:r>
    </w:p>
    <w:p w:rsidR="005D6748" w:rsidRPr="001C7D10" w:rsidRDefault="00434A68" w:rsidP="005D6748">
      <w:pPr>
        <w:pStyle w:val="NormalHanging12a"/>
      </w:pPr>
      <w:r w:rsidRPr="001C7D10">
        <w:t>32</w:t>
      </w:r>
      <w:r w:rsidR="005D6748" w:rsidRPr="001C7D10">
        <w:t>.</w:t>
      </w:r>
      <w:r w:rsidR="005D6748" w:rsidRPr="001C7D10">
        <w:tab/>
        <w:t>herinnert aan het belang van dit register als een cruciaal instrument voor het bevorderen van transparante en ethische belangenvertegenwoordiging op het niveau van de Unie, waarbij verplichte registratie wordt vastgesteld als een voorwaarde voor belangenvertegenwoordigers om specifieke activiteiten te kunnen verrichten binnen de instellingen van de Unie, waaronder het Parlement; dringt aan op de beschikbaarstelling van alle middelen die nodig zijn om ervoor te zorgen dat de interne regels met betrekking tot het transparantieregister daadwerkelijk worden gehandhaafd, en er waar nodig passende sancties worden opgelegd;</w:t>
      </w:r>
    </w:p>
    <w:p w:rsidR="005D6748" w:rsidRPr="001C7D10" w:rsidRDefault="00434A68" w:rsidP="005D6748">
      <w:pPr>
        <w:pStyle w:val="NormalHanging12a"/>
      </w:pPr>
      <w:r w:rsidRPr="001C7D10">
        <w:t>33</w:t>
      </w:r>
      <w:r w:rsidR="005D6748" w:rsidRPr="001C7D10">
        <w:t>.</w:t>
      </w:r>
      <w:r w:rsidR="005D6748" w:rsidRPr="001C7D10">
        <w:tab/>
        <w:t xml:space="preserve">is ingenomen met het toegenomen gebruik van het transparantieregister als informatie- en referentiebron voor belangenvertegenwoordigingsactiviteiten op het niveau van de Unie, zoals blijkt uit de toename van registratieaanvragen en het toegenomen aantal bezoeken aan de website op jaarbasis; is ingenomen met de regelmatige communicatie-, helpdesk- en bewustmakingsactiviteiten van het secretariaat richting belanghebbenden zowel binnen als buiten de instellingen, alsook met de ontwikkeling van IT-oplossingen </w:t>
      </w:r>
      <w:r w:rsidR="005D6748" w:rsidRPr="001C7D10">
        <w:lastRenderedPageBreak/>
        <w:t>om het transparantieregister te verbeteren; herinnert eraan dat controles op gegevenskwaliteit bij nieuwe aanvragers moeten worden aangescherpt; merkt op dat de kwaliteit van de inschrijvingen in het transparantieregister de afgelopen jaren is verbeterd als gevolg van meer gerichte kwaliteitsbewaking en als gevolg van onderzoeken op basis van klachten of ambtshalve onderzoeken door het secretariaat, en prijst, ondanks de beperkte middelen, de rol van het gezamenlijk secretariaat bij die verbetering; merkt op dat uit de gerichte kwaliteitscontroles van het secretariaat van 4 238 inschrijvingen in de loop van 2022 is gebleken dat 44 % van de gegevens van meet af aan een bevredigende gegevenskwaliteit verschafte (een aantal vergelijkbaar met 2021, + 4 %), terwijl nog eens 35,2 % van de belangenvertegenwoordigers de informatie naar aanleiding van de gerichte controles heeft verbeterd en 13,6 % na de controles werd verwijderd omdat de inschrijving niet toegelaten of niet bijgewerkt was; wijst erop dat het secretariaat extra middelen nodig heeft het transparantieregister te kunnen controleren en aldus de kwaliteit van de gegevens te kunnen waarborgen; pleit ervoor om het toepassingsgebied van het register uit te breiden tot vertegenwoordigers van niet-EU-landen; beveelt aan dat IT-oplossingen worden gebruikt om het transparantieregister te integreren in alle activiteiten van het Parlement waarbij externe entiteiten betrokken zijn, zodat hun deelname via de relevante databanken kan worden geregistreerd en gevolgd;</w:t>
      </w:r>
    </w:p>
    <w:p w:rsidR="00982435" w:rsidRPr="001C7D10" w:rsidRDefault="00434A68" w:rsidP="005D6748">
      <w:pPr>
        <w:pStyle w:val="NormalHanging12a"/>
      </w:pPr>
      <w:r w:rsidRPr="001C7D10">
        <w:t>34</w:t>
      </w:r>
      <w:r w:rsidR="00982435" w:rsidRPr="001C7D10">
        <w:t>.</w:t>
      </w:r>
      <w:r w:rsidR="00982435" w:rsidRPr="001C7D10">
        <w:tab/>
        <w:t>spreekt nogmaals zijn bezorgdheid uit over grootschalige buitenlandse inmenging en tegen de Unie gerichte desinformatiecampagnes, met name door Rusland; benadrukt de noodzaak van een versterkte veiligheidscultuur binnen het Parlement; dringt aan op verplichte en regelmatige veiligheids- en integriteitsopleidingen voor leden en personeelsleden, een passende veiligheidsmachtiging en verscherpte screening van personeelsleden, met name van hen die vergaderingen achter gesloten deuren bijwonen; dringt aan op strenger toezicht op de organisatie van evenementen, op de uitnodiging van externe gasten in het Parlement en op de toegang tot de communicatieplatforms van het Parlement; verzoekt dringend om een onderzoek naar beschuldigingen van Russische invloed op het Parlement.</w:t>
      </w:r>
    </w:p>
    <w:p w:rsidR="005D6748" w:rsidRPr="001C7D10" w:rsidRDefault="005D6748" w:rsidP="005D6748">
      <w:pPr>
        <w:pStyle w:val="NormalHanging12a"/>
      </w:pPr>
      <w:r w:rsidRPr="001C7D10">
        <w:t>35.</w:t>
      </w:r>
      <w:r w:rsidRPr="001C7D10">
        <w:tab/>
        <w:t>dringt, als gevolg van de gebeurtenissen rond vermeende corruptie binnen het Europees Parlement die zich eind 2022 hebben voorgedaan, aan op de vaststelling van robuuste normen inzake transparantie en toegang tot instellingen voor alle entiteiten die zijn opgenomen in het transparantieregister; herinnert eraan dat ngo’s naar verluidt zijn misbruikt als vehikels voor buitenlandse inmenging in het besluitvormingsproces van het Parlement; herhaalt in dit verband de noodzaak van een uitgebreide financiële screening van alle entiteiten, waarbij alle financieringsbronnen openbaar worden gemaakt, voordat zij in het transparantieregister worden opgenomen; herinnert aan de verplichting om zich in het transparantieregister te registreren alvorens deel te nemen aan de organisatie van evenementen en conferenties in de gebouwen van het Parlement;</w:t>
      </w:r>
    </w:p>
    <w:p w:rsidR="005D6748" w:rsidRPr="001C7D10" w:rsidRDefault="005D6748" w:rsidP="005D6748">
      <w:pPr>
        <w:pStyle w:val="NormalHanging12a"/>
      </w:pPr>
      <w:r w:rsidRPr="001C7D10">
        <w:t>36.</w:t>
      </w:r>
      <w:r w:rsidRPr="001C7D10">
        <w:tab/>
        <w:t>verzoekt de Commissie ervoor te zorgen dat alle Uniefinanciering daadwerkelijk traceerbaar is van de eerste ontvanger tot de eindbegunstigde, wanneer financiering in meerdere stappen wordt doorgegeven, zoals wordt aangegeven in het voorstel voor een herschikking van het Financieel Reglement en zoals gevraagd in het initiatiefverslag “Transparantie en verantwoordingsplicht van niet-gouvernementele organisaties die gefinancierd worden uit de EU-begroting”, dat in de vorm van een resolutie is aangenomen op 17 januari 2024</w:t>
      </w:r>
      <w:r w:rsidRPr="001C7D10">
        <w:rPr>
          <w:rStyle w:val="FootnoteReference"/>
        </w:rPr>
        <w:footnoteReference w:id="9"/>
      </w:r>
      <w:r w:rsidRPr="001C7D10">
        <w:t xml:space="preserve">; dringt erop aan dat de richtsnoeren voor registratie in het transparantieregister zodanig worden herzien dat alle binnenkomende en uitgaande </w:t>
      </w:r>
      <w:r w:rsidRPr="001C7D10">
        <w:lastRenderedPageBreak/>
        <w:t xml:space="preserve">middelen in kaart worden gebracht, met inbegrip van de overdracht van middelen van de ene belanghebbende entiteit naar een andere; benadrukt dat alle </w:t>
      </w:r>
      <w:proofErr w:type="spellStart"/>
      <w:r w:rsidRPr="001C7D10">
        <w:t>geregistreerden</w:t>
      </w:r>
      <w:proofErr w:type="spellEnd"/>
      <w:r w:rsidRPr="001C7D10">
        <w:t xml:space="preserve"> of entiteiten die geld ontvangen van derden die niet verplicht zijn zich in het transparantieregister in te schrijven, hun financieringsbron openbaar moeten maken;</w:t>
      </w:r>
    </w:p>
    <w:p w:rsidR="005D6748" w:rsidRPr="001C7D10" w:rsidRDefault="005D6748" w:rsidP="005D6748">
      <w:pPr>
        <w:pStyle w:val="NormalHanging12a"/>
      </w:pPr>
      <w:r w:rsidRPr="001C7D10">
        <w:t>37.</w:t>
      </w:r>
      <w:r w:rsidRPr="001C7D10">
        <w:tab/>
        <w:t>herinnert eraan dat artikel 11 van het Reglement de leden verplicht hun vergaderingen met belangenvertegenwoordigers bekend te maken; stelt met grote bezorgdheid vast dat 261 van de huidige leden in de periode tot 26 januari 2023 geen enkele vergadering met een belangenvertegenwoordiger op de website van het Parlement hebben bekendgemaakt; herinnert eraan dat de informatie en herinneringen over de verplichting om vergaderingen bekend te maken, regelmatig aan alle leden moeten worden toegezonden;</w:t>
      </w:r>
    </w:p>
    <w:p w:rsidR="00982435" w:rsidRPr="001C7D10" w:rsidRDefault="005B672E" w:rsidP="005D6748">
      <w:pPr>
        <w:pStyle w:val="NormalHanging12a"/>
      </w:pPr>
      <w:r w:rsidRPr="001C7D10">
        <w:t>3</w:t>
      </w:r>
      <w:r w:rsidR="00434A68" w:rsidRPr="001C7D10">
        <w:t>8</w:t>
      </w:r>
      <w:r w:rsidR="00982435" w:rsidRPr="001C7D10">
        <w:t>.</w:t>
      </w:r>
      <w:r w:rsidR="00982435" w:rsidRPr="001C7D10">
        <w:tab/>
        <w:t>neemt kennis van de herziene gedragscode voor de leden en de toegenomen nadruk op integriteit en transparantie met betrekking tot de verklaringen van financiële belangen van de leden, mogelijke belangenconflicten, vergaderingen met vertegenwoordigers en verklaringen over ontvangen input; benadrukt dat de nieuwe regels welkom zijn, maar dat de interpretatie ervan veel vragen heeft doen rijzen en maatregelen vereisen van de administratie van het Parlement en de Commissie gedragscode; benadrukt dat voor de naleving van de nieuwe regels door de leden een duidelijke en betrouwbare interpretatie nodig is, om het hoogste niveau van rechtszekerheid mogelijk te maken; dringt erop aan dat de kantoren van de leden op regelmatige basis bijgewerkte informatie ontvangen om de zichtbaarheid en toegankelijkheid te vergroten;</w:t>
      </w:r>
    </w:p>
    <w:p w:rsidR="005D6748" w:rsidRPr="001C7D10" w:rsidRDefault="00434A68" w:rsidP="005D6748">
      <w:pPr>
        <w:pStyle w:val="NormalHanging12a"/>
      </w:pPr>
      <w:r w:rsidRPr="001C7D10">
        <w:t>39</w:t>
      </w:r>
      <w:r w:rsidR="005D6748" w:rsidRPr="001C7D10">
        <w:t>.</w:t>
      </w:r>
      <w:r w:rsidR="005D6748" w:rsidRPr="001C7D10">
        <w:tab/>
        <w:t>beschouwt hoofdelijke stemmingen als een belangrijk instrument voor transparantie en verantwoordingsplicht jegens de burgers van de Unie; dringt aan op de invoering van automatische hoofdelijke stemmingen bij elke eindstemming, met uitzondering van geheime stemmingen, en op een verhoging van het aantal hoofdelijke stemmingen dat een fractie per vergaderperiode overeenkomstig artikel 190, lid 2, kan vragen, of op het vrijstellen van wetgevingsdossiers van die beperking;</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4</w:t>
      </w:r>
      <w:r w:rsidR="00434A6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neemt met voldoening kennis van de geslaagde organisatie van tussentijdse verkiezingen in 2022 van de Voorzitter, ondervoorzitters en quaestoren op afstand, zoals besloten door de Conferentie van voorzitters; erkent het belang van het systeem van stemming op afstand ter plenaire vergadering voor het welslagen van een dergelijke gevoelige en complexe geheime stemming;</w:t>
      </w:r>
    </w:p>
    <w:p w:rsidR="005D6748" w:rsidRPr="001C7D10" w:rsidRDefault="005B672E" w:rsidP="005D6748">
      <w:pPr>
        <w:pStyle w:val="NormalHanging12a"/>
      </w:pPr>
      <w:r w:rsidRPr="001C7D10">
        <w:t>4</w:t>
      </w:r>
      <w:r w:rsidR="00434A68" w:rsidRPr="001C7D10">
        <w:t>1</w:t>
      </w:r>
      <w:r w:rsidR="005D6748" w:rsidRPr="001C7D10">
        <w:t>.</w:t>
      </w:r>
      <w:r w:rsidR="005D6748" w:rsidRPr="001C7D10">
        <w:tab/>
        <w:t>herinnert aan de wijzigingen in het Reglement van het Parlement van 20 december 2020 die het mogelijk maken om op afstand te stemmen en het feit dat stemming op afstand in de commissie momenteel niet is toegestaan, tenzij de Voorzitter het bestaan van buitengewone omstandigheden vaststelt; herhaalt zijn verzoek aan het Bureau, dat reeds meermaals in de plenaire vergadering is aangenomen, om de leden in staat te stellen hun recht om op afstand te stemmen uit te oefenen tijdens zwangerschaps- of vaderschapsverlof, langdurige ziekte of in geval van overmacht, en zo te profiteren van de grote administratieve inspanningen en financiële investeringen die het Parlement heeft gedaan in technische oplossingen om stemmen op afstand mogelijk te maken;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4</w:t>
      </w:r>
      <w:r w:rsidR="00434A6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DG PRES erin is geslaagd te voorzien in de behoeften die zijn ontstaan na de vaststelling van de ramingen voor 2022, ondanks de onstabiele sanitaire situatie en de gevolgen daarvan voor het niveau van de parlementaire activiteiten; merkt op dat het ook een overschot heeft gegenereerd dat kon worden gebruikt om de behoeften van andere directoraten-generaal als gevolg van de hoge inflatie in 2022 te financieren;</w:t>
      </w:r>
    </w:p>
    <w:p w:rsidR="005D6748" w:rsidRPr="001C7D10" w:rsidRDefault="005B672E" w:rsidP="005D6748">
      <w:pPr>
        <w:pStyle w:val="NormalHanging12a"/>
      </w:pPr>
      <w:r w:rsidRPr="001C7D10">
        <w:lastRenderedPageBreak/>
        <w:t>4</w:t>
      </w:r>
      <w:r w:rsidR="00434A68" w:rsidRPr="001C7D10">
        <w:t>3</w:t>
      </w:r>
      <w:r w:rsidR="005D6748" w:rsidRPr="001C7D10">
        <w:t>.</w:t>
      </w:r>
      <w:r w:rsidR="005D6748" w:rsidRPr="001C7D10">
        <w:tab/>
        <w:t>herinnert eraan dat overeenkomstig het Verdrag betreffende de Europese Unie en met name Protocol 6 bij de Verdragen, het Parlement zijn zetel zal hebben in Straatsburg, waar de twaalf perioden van maandelijkse plenaire vergaderingen, met inbegrip van de begrotingsvergadering, worden gehouden; benadrukt dat de opschorting van de vergaderingen in Straatsburg en deelname op afstand verband houden met de uitzonderlijke omstandigheden van de COVID-19-pandemie; herinnert eraan dat voor elke wijziging van de Verdragen eenparigheid van stemmen van de lidstaten vereist is; herinnert aan de steun van een grote meerderheid van het Parlement voor één enkele zetel om te zorgen voor een doelmatige besteding van het geld van de belastingbetalers in de Unie en om zijn institutionele verantwoordelijkheid te nemen voor het beperken van zijn koolstofvoetafdruk; merkt op dat voor een permanente verandering hiervan een verdragswijziging nodig is;</w:t>
      </w:r>
    </w:p>
    <w:p w:rsidR="005D6748" w:rsidRPr="001C7D10" w:rsidRDefault="005B672E" w:rsidP="005D6748">
      <w:pPr>
        <w:pStyle w:val="NormalHanging12a"/>
      </w:pPr>
      <w:r w:rsidRPr="001C7D10">
        <w:t>4</w:t>
      </w:r>
      <w:r w:rsidR="00434A68" w:rsidRPr="001C7D10">
        <w:t>4</w:t>
      </w:r>
      <w:r w:rsidR="005D6748" w:rsidRPr="001C7D10">
        <w:t>.</w:t>
      </w:r>
      <w:r w:rsidR="005D6748" w:rsidRPr="001C7D10">
        <w:tab/>
        <w:t>merkt op dat de schorsing van de vergaderperioden in Straatsburg tijdens de COVID-19-pandemie volgens het secretariaat van het Parlement heeft bijgedragen tot een totale besparing van 26 260 608 EUR, terwijl ook de koolstofvoetafdruk van het Parlement aanzienlijk is verminderd; onderstreept dat volgens schattingen van de Rekenkamer “het ophouden met pendelen tussen Straatsburg en Brussel een jaarlijkse besparing van 114 miljoen EUR kan opleveren, naast een eenmalige besparing van 616 miljoen EUR als de gebouwen in Straatsburg met succes worden verkocht of eenmalige kosten van 40 miljoen EUR als die niet met succes worden verkocht”</w:t>
      </w:r>
      <w:r w:rsidR="005D6748" w:rsidRPr="001C7D10">
        <w:rPr>
          <w:vertAlign w:val="superscript"/>
        </w:rPr>
        <w:footnoteReference w:id="10"/>
      </w:r>
      <w:r w:rsidR="005D6748" w:rsidRPr="001C7D10">
        <w:t>; is van mening dat gezien de huidige klimaatcrisis het behouden van de zetel in Straatsburg onverantwoord is; verzoekt de Raad rekening te houden met het standpunt van het Parlement en er zo spoedig mogelijk iets aan te doen;</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Communicatie</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4</w:t>
      </w:r>
      <w:r w:rsidR="00434A6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herinnert eraan dat het directoraat-generaal Communicatie (DG COMM) een directoraat-generaal met meerdere vestigingen is, met personeel in Brussel, Straatsburg en de liaisonbureaus in elk van de 27 lidstaten, alsook in Londen en Washington D.C. (tot 1 november 2022, toen de twee liaisonbureaus werden overgeheveld naar het nieuwe directoraat-generaal Partnerschappen voor parlementaire democratie), en het Jean </w:t>
      </w:r>
      <w:proofErr w:type="spellStart"/>
      <w:r w:rsidR="005D6748" w:rsidRPr="001C7D10">
        <w:rPr>
          <w14:textOutline w14:w="0" w14:cap="flat" w14:cmpd="sng" w14:algn="ctr">
            <w14:noFill/>
            <w14:prstDash w14:val="solid"/>
            <w14:bevel/>
          </w14:textOutline>
        </w:rPr>
        <w:t>Monnet</w:t>
      </w:r>
      <w:proofErr w:type="spellEnd"/>
      <w:r w:rsidR="005D6748" w:rsidRPr="001C7D10">
        <w:rPr>
          <w14:textOutline w14:w="0" w14:cap="flat" w14:cmpd="sng" w14:algn="ctr">
            <w14:noFill/>
            <w14:prstDash w14:val="solid"/>
            <w14:bevel/>
          </w14:textOutline>
        </w:rPr>
        <w:t xml:space="preserve">-huis in </w:t>
      </w:r>
      <w:proofErr w:type="spellStart"/>
      <w:r w:rsidR="005D6748" w:rsidRPr="001C7D10">
        <w:rPr>
          <w14:textOutline w14:w="0" w14:cap="flat" w14:cmpd="sng" w14:algn="ctr">
            <w14:noFill/>
            <w14:prstDash w14:val="solid"/>
            <w14:bevel/>
          </w14:textOutline>
        </w:rPr>
        <w:t>Bazoches</w:t>
      </w:r>
      <w:proofErr w:type="spellEnd"/>
      <w:r w:rsidR="005D6748" w:rsidRPr="001C7D10">
        <w:rPr>
          <w14:textOutline w14:w="0" w14:cap="flat" w14:cmpd="sng" w14:algn="ctr">
            <w14:noFill/>
            <w14:prstDash w14:val="solid"/>
            <w14:bevel/>
          </w14:textOutline>
        </w:rPr>
        <w:t xml:space="preserve"> (Frankrijk);</w:t>
      </w:r>
    </w:p>
    <w:p w:rsidR="005D6748" w:rsidRPr="001C7D10" w:rsidRDefault="005B672E" w:rsidP="005D6748">
      <w:pPr>
        <w:pStyle w:val="NormalHanging12a"/>
      </w:pPr>
      <w:r w:rsidRPr="001C7D10">
        <w:t>4</w:t>
      </w:r>
      <w:r w:rsidR="00434A68" w:rsidRPr="001C7D10">
        <w:t>6</w:t>
      </w:r>
      <w:r w:rsidR="005D6748" w:rsidRPr="001C7D10">
        <w:t>.</w:t>
      </w:r>
      <w:r w:rsidR="005D6748" w:rsidRPr="001C7D10">
        <w:tab/>
        <w:t>merkt op dat de belangrijkste taken van DG COMM bestaan uit het samenwerken met de media, het informeren over, toelichten van en zichtbaarder maken van de werkzaamheden van het Parlement, het vergroten van de bekendheid van het Parlement bij burgers, belanghebbenden en opinieleiders via de liaisonbureaus van het Europees Parlement (</w:t>
      </w:r>
      <w:proofErr w:type="spellStart"/>
      <w:r w:rsidR="005D6748" w:rsidRPr="001C7D10">
        <w:t>EPLO’s</w:t>
      </w:r>
      <w:proofErr w:type="spellEnd"/>
      <w:r w:rsidR="005D6748" w:rsidRPr="001C7D10">
        <w:t>) in de lidstaten, het bevorderen van de interactie met burgers door middel van verbeterde bezoekersprojecten, evenementen en voorlichtingscampagnes en zijn aanwezigheid op sociale media, en het verstrekken van expertise aan leden en fracties over onderwerpen als strategische analyse van de media en het monitoren van de publieke opinie; en desinformatie met alle middelen te bestrijden, met name in de aanloop naar verkiezingen;</w:t>
      </w:r>
    </w:p>
    <w:p w:rsidR="00982435" w:rsidRPr="001C7D10" w:rsidRDefault="005B672E" w:rsidP="005D6748">
      <w:pPr>
        <w:pStyle w:val="NormalHanging12a"/>
      </w:pPr>
      <w:r w:rsidRPr="001C7D10">
        <w:t>4</w:t>
      </w:r>
      <w:r w:rsidR="00434A68" w:rsidRPr="001C7D10">
        <w:t>7</w:t>
      </w:r>
      <w:r w:rsidR="00982435" w:rsidRPr="001C7D10">
        <w:t>.</w:t>
      </w:r>
      <w:r w:rsidR="00982435" w:rsidRPr="001C7D10">
        <w:tab/>
        <w:t xml:space="preserve">benadrukt dat het Parlement en </w:t>
      </w:r>
      <w:r w:rsidR="00434A68" w:rsidRPr="001C7D10">
        <w:t xml:space="preserve">de </w:t>
      </w:r>
      <w:r w:rsidR="00982435" w:rsidRPr="001C7D10">
        <w:t xml:space="preserve">andere instellingen van de Unie de nodige middelen moeten </w:t>
      </w:r>
      <w:r w:rsidR="00434A68" w:rsidRPr="001C7D10">
        <w:t xml:space="preserve">hebben </w:t>
      </w:r>
      <w:r w:rsidR="00982435" w:rsidRPr="001C7D10">
        <w:t xml:space="preserve">om hun informatieruimte te beschermen tegen </w:t>
      </w:r>
      <w:proofErr w:type="spellStart"/>
      <w:r w:rsidR="00982435" w:rsidRPr="001C7D10">
        <w:t>informatiemanipulatiecampagnes</w:t>
      </w:r>
      <w:proofErr w:type="spellEnd"/>
      <w:r w:rsidR="00982435" w:rsidRPr="001C7D10">
        <w:t>, met volledige inachtneming van de waarden van de Unie;</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lastRenderedPageBreak/>
        <w:t>4</w:t>
      </w:r>
      <w:r w:rsidR="00434A68" w:rsidRPr="001C7D10">
        <w:rPr>
          <w14:textOutline w14:w="0" w14:cap="flat" w14:cmpd="sng" w14:algn="ctr">
            <w14:noFill/>
            <w14:prstDash w14:val="solid"/>
            <w14:bevel/>
          </w14:textOutline>
        </w:rPr>
        <w:t>8</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de definitieve kredieten van DG COMM in 2022 in totaal 121 235 650 EUR bedroegen, ofwel 5,6 % van de begroting van het Parlement; benadrukt dat van dat bedrag in totaal 121 146 177 EUR was vastgelegd; is ingenomen met het hoge gebruik van de kredieten;</w:t>
      </w:r>
    </w:p>
    <w:p w:rsidR="005D6748" w:rsidRPr="001C7D10" w:rsidRDefault="00434A68" w:rsidP="005D6748">
      <w:pPr>
        <w:pStyle w:val="NormalHanging12a"/>
      </w:pPr>
      <w:r w:rsidRPr="001C7D10">
        <w:t>49</w:t>
      </w:r>
      <w:r w:rsidR="005D6748" w:rsidRPr="001C7D10">
        <w:t>.</w:t>
      </w:r>
      <w:r w:rsidR="005D6748" w:rsidRPr="001C7D10">
        <w:tab/>
        <w:t>wijst op de complexiteit van de activiteiten van DG COMM; wijst op de noodzaak om de zichtbaarheid van de werkzaamheden van het Parlement te vergroten en het vertrouwen van de burgers in het Parlement als instelling te vergroten, hetgeen een verhoging van de begroting voor DG COMM vereist;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5</w:t>
      </w:r>
      <w:r w:rsidR="00434A6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benadrukt dat de uitvoering van de begroting van DG COMM in de eerste vier maanden van 2022 nog steeds werd beïnvloed door de COVID-19-pandemie, met name wat betreft bezoekersgroepen en bezoekersfaciliteiten; merkt op dat een groot deel van de overschotten als gevolg van de opschorting van activiteiten is overgeheveld naar andere diensten van het Parlement om andere prioriteiten te financieren en het effect van de inflatie op de personeelsuitgaven aan te pakken; merkt op dat verschillende activiteiten van DG COMM, zoals audiovisuele diensten, ook grote gevolgen hebben ondervonden van de aanzienlijke prijsstijgingen;</w:t>
      </w:r>
    </w:p>
    <w:p w:rsidR="005D6748" w:rsidRPr="001C7D10" w:rsidRDefault="005B672E" w:rsidP="005D6748">
      <w:pPr>
        <w:pStyle w:val="NormalHanging12a"/>
      </w:pPr>
      <w:r w:rsidRPr="001C7D10">
        <w:t>5</w:t>
      </w:r>
      <w:r w:rsidR="00434A68" w:rsidRPr="001C7D10">
        <w:t>1</w:t>
      </w:r>
      <w:r w:rsidR="005D6748" w:rsidRPr="001C7D10">
        <w:t>.</w:t>
      </w:r>
      <w:r w:rsidR="005D6748" w:rsidRPr="001C7D10">
        <w:tab/>
        <w:t>merkt op dat de Voorzitter op 10 maart 2022 een nieuw besluit betreffende veiligheidsmaatregelen ter beperking van de verspreiding van COVID-19 heeft vastgesteld, waarbij de fysieke aanwezigheid voor verschillende activiteiten weer mogelijk werd gemaakt, waaronder het opnieuw toelaten van bezoekersgroepen; is ingenomen met het besluit om de betaalde financiële bijdragen voor reizen, accommodatie, maaltijden en kleine uitgaven ter plaatse voor gesponsorde bezoekersgroepen in 2022 met 10 % te verhogen; verzoekt het Bureau zijn besluit om het jaarlijkse quotum van gesponsorde bezoekers per lid te verlagen van 110 naar 100 en van 55 naar 50 tijdens verkiezingsjaren, te herzien; benadrukt dat het besluit om het ongebruikte quotum over te dragen van 2020 naar 2022, 2023 en 2024 ongewijzigd is gebleven;</w:t>
      </w:r>
      <w:r w:rsidR="001C7D10" w:rsidRPr="001C7D10">
        <w:t xml:space="preserve"> </w:t>
      </w:r>
      <w:r w:rsidR="005D6748" w:rsidRPr="001C7D10">
        <w:t>dringt er bij het Bureau op aan dat geaccrediteerde parlementaire medewerkers (</w:t>
      </w:r>
      <w:proofErr w:type="spellStart"/>
      <w:r w:rsidR="005D6748" w:rsidRPr="001C7D10">
        <w:t>APA’s</w:t>
      </w:r>
      <w:proofErr w:type="spellEnd"/>
      <w:r w:rsidR="005D6748" w:rsidRPr="001C7D10">
        <w:t xml:space="preserve">) worden geschrapt van de lijst van toegestane groepshoofden, waarbij alleen een lid van de gesponsorde groep of een beroepsbeoefenaar, zoals betalingsgemachtigden of reisbureaus, de rol op zich neemt, om te voorkomen dat </w:t>
      </w:r>
      <w:proofErr w:type="spellStart"/>
      <w:r w:rsidR="005D6748" w:rsidRPr="001C7D10">
        <w:t>APA’s</w:t>
      </w:r>
      <w:proofErr w:type="spellEnd"/>
      <w:r w:rsidR="005D6748" w:rsidRPr="001C7D10">
        <w:t xml:space="preserve"> gedwongen worden de financiële verantwoordelijkheid op zich te nemen, hetgeen kan neerkomen op aanzienlijke sommen geld;</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5</w:t>
      </w:r>
      <w:r w:rsidR="00434A6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als gevolg van de energiecrisis de prijzen voor reizen en maaltijden in de Unie aanzienlijk zijn gestegen; neemt kennis van de geplande herziening van de regels met betrekking tot de betaling van subsidies voor gesponsorde bezoekersgroepen;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5</w:t>
      </w:r>
      <w:r w:rsidR="00434A68" w:rsidRPr="001C7D10">
        <w:rPr>
          <w14:textOutline w14:w="0" w14:cap="flat" w14:cmpd="sng" w14:algn="ctr">
            <w14:noFill/>
            <w14:prstDash w14:val="solid"/>
            <w14:bevel/>
          </w14:textOutline>
        </w:rPr>
        <w:t>3</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de geleidelijke intrekking van de beperkingen van de COVID-19-pandemie in de lidstaten de liaisonbureaus in staat heeft gesteld hun activiteiten onder normale omstandigheden te hervatten met de systematische toevoeging van hybride elementen; benadrukt dat de </w:t>
      </w:r>
      <w:proofErr w:type="spellStart"/>
      <w:r w:rsidR="005D6748" w:rsidRPr="001C7D10">
        <w:rPr>
          <w14:textOutline w14:w="0" w14:cap="flat" w14:cmpd="sng" w14:algn="ctr">
            <w14:noFill/>
            <w14:prstDash w14:val="solid"/>
            <w14:bevel/>
          </w14:textOutline>
        </w:rPr>
        <w:t>EPLO’s</w:t>
      </w:r>
      <w:proofErr w:type="spellEnd"/>
      <w:r w:rsidR="005D6748" w:rsidRPr="001C7D10">
        <w:rPr>
          <w14:textOutline w14:w="0" w14:cap="flat" w14:cmpd="sng" w14:algn="ctr">
            <w14:noFill/>
            <w14:prstDash w14:val="solid"/>
            <w14:bevel/>
          </w14:textOutline>
        </w:rPr>
        <w:t xml:space="preserve"> een reeks activiteiten in verband met het Europees Jaar van de jeugd hebben georganiseerd; merkt op dat de leden in de lidstaten systematisch worden uitgenodigd voor evenementen en activiteiten met media, belanghebbenden, maatschappelijke organisaties en de jongerengemeenschap; merkt op dat de liaisonbureaus ook de betrokkenheid van leden bij evenementen en activiteiten van derden bevorderen;</w:t>
      </w:r>
    </w:p>
    <w:p w:rsidR="005D6748" w:rsidRPr="001C7D10" w:rsidRDefault="005B672E" w:rsidP="005D6748">
      <w:pPr>
        <w:pStyle w:val="NormalHanging12a"/>
      </w:pPr>
      <w:r w:rsidRPr="001C7D10">
        <w:t>5</w:t>
      </w:r>
      <w:r w:rsidR="00434A68" w:rsidRPr="001C7D10">
        <w:t>4</w:t>
      </w:r>
      <w:r w:rsidR="005D6748" w:rsidRPr="001C7D10">
        <w:t>.</w:t>
      </w:r>
      <w:r w:rsidR="005D6748" w:rsidRPr="001C7D10">
        <w:tab/>
        <w:t xml:space="preserve">stelt vast dat de leden in de gelegenheid waren gesteld om, vanwege de uitzonderlijke maatregelen die van toepassing waren als gevolg van de pandemie, vanuit de </w:t>
      </w:r>
      <w:r w:rsidR="005D6748" w:rsidRPr="001C7D10">
        <w:lastRenderedPageBreak/>
        <w:t>liaisonbureaus in hun lidstaat van verkiezing aan plenaire debatten deel te nemen, dankzij de maatregelen van DG COMM; is ingenomen met de toegenomen inspanningen van DG COMM om van nieuwe technologieën gebruik te maken die het werk van de leden tijdens de COVID-19-pandemie vergemakkelijken; erkent dat de toegang op afstand voor nationale media tot de communicatieactiviteiten van het Parlement heeft gezorgd voor nieuwe mogelijkheden om met de burgers van de Unie te communiceren;</w:t>
      </w:r>
    </w:p>
    <w:p w:rsidR="005D6748" w:rsidRPr="001C7D10" w:rsidRDefault="005B672E" w:rsidP="005D6748">
      <w:pPr>
        <w:spacing w:after="240"/>
        <w:ind w:left="567" w:hanging="567"/>
        <w:rPr>
          <w14:textOutline w14:w="0" w14:cap="flat" w14:cmpd="sng" w14:algn="ctr">
            <w14:noFill/>
            <w14:prstDash w14:val="solid"/>
            <w14:bevel/>
          </w14:textOutline>
        </w:rPr>
      </w:pPr>
      <w:r w:rsidRPr="001C7D10">
        <w:rPr>
          <w14:textOutline w14:w="0" w14:cap="flat" w14:cmpd="sng" w14:algn="ctr">
            <w14:noFill/>
            <w14:prstDash w14:val="solid"/>
            <w14:bevel/>
          </w14:textOutline>
        </w:rPr>
        <w:t>5</w:t>
      </w:r>
      <w:r w:rsidR="00434A6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neemt er nota van dat DG COMM in 2022 het grootste deel van zijn voorbereidende werkzaamheden met het oog op de Europese verkiezingen van 2024 heeft afgerond; merkt op dat het Bureau van het Parlement in 2022 zijn goedkeuring heeft gehecht aan de communicatiestrategie voor de verkiezingen van 2024; merkt op dat medio 2022 een pan-Europese oproep tot het indienen van voorstellen is gedaan, die heeft geleid tot de toekenning van 19 subsidies, de financiering van acties voor capaciteitsopbouw en/of activiteiten op het gebied van burgerparticipatie ter ondersteuning van de Europese verkiezingen;</w:t>
      </w:r>
    </w:p>
    <w:p w:rsidR="00982435" w:rsidRPr="001C7D10" w:rsidRDefault="005B672E" w:rsidP="005D6748">
      <w:pPr>
        <w:spacing w:after="240"/>
        <w:ind w:left="567" w:hanging="567"/>
        <w:rPr>
          <w:szCs w:val="24"/>
          <w14:textOutline w14:w="0" w14:cap="flat" w14:cmpd="sng" w14:algn="ctr">
            <w14:noFill/>
            <w14:prstDash w14:val="solid"/>
            <w14:bevel/>
          </w14:textOutline>
        </w:rPr>
      </w:pPr>
      <w:r w:rsidRPr="001C7D10">
        <w:t>5</w:t>
      </w:r>
      <w:r w:rsidR="00434A68" w:rsidRPr="001C7D10">
        <w:t>6</w:t>
      </w:r>
      <w:r w:rsidR="00982435" w:rsidRPr="001C7D10">
        <w:t>.</w:t>
      </w:r>
      <w:r w:rsidR="00982435" w:rsidRPr="001C7D10">
        <w:tab/>
        <w:t xml:space="preserve">is ingenomen met </w:t>
      </w:r>
      <w:r w:rsidR="00434A68" w:rsidRPr="001C7D10">
        <w:t>de goedkeuring van de</w:t>
      </w:r>
      <w:r w:rsidR="00982435" w:rsidRPr="001C7D10">
        <w:t xml:space="preserve"> Europese verordening mediavrijheid, waarmee wordt beoogd een nieuwe reeks regels in te voeren om de pluriformiteit en onafhankelijkheid van de media in de hele Unie te bevorderen; is van mening dat dit een aanvullend instrument is in het kader van de voortdurende inspanningen van de Unie om systematische campagnes van buitenlandse informatiemanipulatie en inmenging die tot doel hebben de Unie te destabiliseren, te bestrijden;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5</w:t>
      </w:r>
      <w:r w:rsidR="00434A68" w:rsidRPr="001C7D10">
        <w:rPr>
          <w14:textOutline w14:w="0" w14:cap="flat" w14:cmpd="sng" w14:algn="ctr">
            <w14:noFill/>
            <w14:prstDash w14:val="solid"/>
            <w14:bevel/>
          </w14:textOutline>
        </w:rPr>
        <w:t>7</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Europa </w:t>
      </w:r>
      <w:proofErr w:type="spellStart"/>
      <w:r w:rsidR="005D6748" w:rsidRPr="001C7D10">
        <w:rPr>
          <w14:textOutline w14:w="0" w14:cap="flat" w14:cmpd="sng" w14:algn="ctr">
            <w14:noFill/>
            <w14:prstDash w14:val="solid"/>
            <w14:bevel/>
          </w14:textOutline>
        </w:rPr>
        <w:t>Experiences</w:t>
      </w:r>
      <w:proofErr w:type="spellEnd"/>
      <w:r w:rsidR="005D6748" w:rsidRPr="001C7D10">
        <w:rPr>
          <w14:textOutline w14:w="0" w14:cap="flat" w14:cmpd="sng" w14:algn="ctr">
            <w14:noFill/>
            <w14:prstDash w14:val="solid"/>
            <w14:bevel/>
          </w14:textOutline>
        </w:rPr>
        <w:t xml:space="preserve"> positieve acties zijn die het werk van de Unie promoten en die het beleid van de Unie aan de burgers uitleggen; stelt met tevredenheid vast dat het aantal bezoeken aan Europa </w:t>
      </w:r>
      <w:proofErr w:type="spellStart"/>
      <w:r w:rsidR="005D6748" w:rsidRPr="001C7D10">
        <w:rPr>
          <w14:textOutline w14:w="0" w14:cap="flat" w14:cmpd="sng" w14:algn="ctr">
            <w14:noFill/>
            <w14:prstDash w14:val="solid"/>
            <w14:bevel/>
          </w14:textOutline>
        </w:rPr>
        <w:t>Experiences</w:t>
      </w:r>
      <w:proofErr w:type="spellEnd"/>
      <w:r w:rsidR="005D6748" w:rsidRPr="001C7D10">
        <w:rPr>
          <w14:textOutline w14:w="0" w14:cap="flat" w14:cmpd="sng" w14:algn="ctr">
            <w14:noFill/>
            <w14:prstDash w14:val="solid"/>
            <w14:bevel/>
          </w14:textOutline>
        </w:rPr>
        <w:t xml:space="preserve"> de afgelopen twee jaar is toegenomen; merkt op dat elk jaar maandelijks duizenden bezoekers genotteren van Europa </w:t>
      </w:r>
      <w:proofErr w:type="spellStart"/>
      <w:r w:rsidR="005D6748" w:rsidRPr="001C7D10">
        <w:rPr>
          <w14:textOutline w14:w="0" w14:cap="flat" w14:cmpd="sng" w14:algn="ctr">
            <w14:noFill/>
            <w14:prstDash w14:val="solid"/>
            <w14:bevel/>
          </w14:textOutline>
        </w:rPr>
        <w:t>Experiences</w:t>
      </w:r>
      <w:proofErr w:type="spellEnd"/>
      <w:r w:rsidR="005D6748" w:rsidRPr="001C7D10">
        <w:rPr>
          <w14:textOutline w14:w="0" w14:cap="flat" w14:cmpd="sng" w14:algn="ctr">
            <w14:noFill/>
            <w14:prstDash w14:val="solid"/>
            <w14:bevel/>
          </w14:textOutline>
        </w:rPr>
        <w:t xml:space="preserve">; merkt op dat ondanks de aanhoudende inflatiecrisis in 2022 twee nieuwe Europa </w:t>
      </w:r>
      <w:proofErr w:type="spellStart"/>
      <w:r w:rsidR="005D6748" w:rsidRPr="001C7D10">
        <w:rPr>
          <w14:textOutline w14:w="0" w14:cap="flat" w14:cmpd="sng" w14:algn="ctr">
            <w14:noFill/>
            <w14:prstDash w14:val="solid"/>
            <w14:bevel/>
          </w14:textOutline>
        </w:rPr>
        <w:t>Experience</w:t>
      </w:r>
      <w:proofErr w:type="spellEnd"/>
      <w:r w:rsidR="005D6748" w:rsidRPr="001C7D10">
        <w:rPr>
          <w14:textOutline w14:w="0" w14:cap="flat" w14:cmpd="sng" w14:algn="ctr">
            <w14:noFill/>
            <w14:prstDash w14:val="solid"/>
            <w14:bevel/>
          </w14:textOutline>
        </w:rPr>
        <w:t xml:space="preserve">-faciliteiten (Parijs en Rome) zijn geopend, waardoor de liaisonbureaus verschillende </w:t>
      </w:r>
      <w:proofErr w:type="spellStart"/>
      <w:r w:rsidR="005D6748" w:rsidRPr="001C7D10">
        <w:rPr>
          <w14:textOutline w14:w="0" w14:cap="flat" w14:cmpd="sng" w14:algn="ctr">
            <w14:noFill/>
            <w14:prstDash w14:val="solid"/>
            <w14:bevel/>
          </w14:textOutline>
        </w:rPr>
        <w:t>outreachmogelijkheden</w:t>
      </w:r>
      <w:proofErr w:type="spellEnd"/>
      <w:r w:rsidR="005D6748" w:rsidRPr="001C7D10">
        <w:rPr>
          <w14:textOutline w14:w="0" w14:cap="flat" w14:cmpd="sng" w14:algn="ctr">
            <w14:noFill/>
            <w14:prstDash w14:val="solid"/>
            <w14:bevel/>
          </w14:textOutline>
        </w:rPr>
        <w:t xml:space="preserve"> konden benutten en hun netwerken konden uitbreiden; merkt op dat eind 2022 meer dan 80 % van de uitroldoelstellingen van Europa </w:t>
      </w:r>
      <w:proofErr w:type="spellStart"/>
      <w:r w:rsidR="005D6748" w:rsidRPr="001C7D10">
        <w:rPr>
          <w14:textOutline w14:w="0" w14:cap="flat" w14:cmpd="sng" w14:algn="ctr">
            <w14:noFill/>
            <w14:prstDash w14:val="solid"/>
            <w14:bevel/>
          </w14:textOutline>
        </w:rPr>
        <w:t>Experience</w:t>
      </w:r>
      <w:proofErr w:type="spellEnd"/>
      <w:r w:rsidR="005D6748" w:rsidRPr="001C7D10">
        <w:rPr>
          <w14:textOutline w14:w="0" w14:cap="flat" w14:cmpd="sng" w14:algn="ctr">
            <w14:noFill/>
            <w14:prstDash w14:val="solid"/>
            <w14:bevel/>
          </w14:textOutline>
        </w:rPr>
        <w:t xml:space="preserve"> was gehaald;</w:t>
      </w:r>
    </w:p>
    <w:p w:rsidR="005D6748" w:rsidRPr="001C7D10" w:rsidRDefault="005B672E" w:rsidP="005D6748">
      <w:pPr>
        <w:pStyle w:val="NormalHanging12a"/>
      </w:pPr>
      <w:r w:rsidRPr="001C7D10">
        <w:t>5</w:t>
      </w:r>
      <w:r w:rsidR="00434A68" w:rsidRPr="001C7D10">
        <w:t>8</w:t>
      </w:r>
      <w:r w:rsidR="005D6748" w:rsidRPr="001C7D10">
        <w:t>.</w:t>
      </w:r>
      <w:r w:rsidR="005D6748" w:rsidRPr="001C7D10">
        <w:tab/>
        <w:t>herinnert aan de voortdurende strijd waarbij de Unie betrokken is om de Europese waarden te beschermen en de integriteit van onze democratische processen te handhaven; is ingenomen met de acties die het Parlement heeft ondernomen om deze doelstellingen te verwezenlijken door desinformatie en informatiemanipulatie te bestrijden; dringt aan op versterking van deze acties in het licht van de komende Europese verkiezingen en verzoekt DG COMM met name doeltreffende strategieën te blijven ontwikkelen en uit te voeren om desinformatie en informatiemanipulatie tegen te gaan, vooral in een verkiezingscontext; benadrukt dat een van de krachtigste wapens tegen desinformatie positieve, op feiten gebaseerde communicatie is ten aanzien van de activiteiten van het Parlement;</w:t>
      </w:r>
    </w:p>
    <w:p w:rsidR="00982435" w:rsidRPr="001C7D10" w:rsidRDefault="00434A68" w:rsidP="005D6748">
      <w:pPr>
        <w:pStyle w:val="NormalHanging12a"/>
      </w:pPr>
      <w:r w:rsidRPr="001C7D10">
        <w:t>59</w:t>
      </w:r>
      <w:r w:rsidR="00982435" w:rsidRPr="001C7D10">
        <w:t>.</w:t>
      </w:r>
      <w:r w:rsidR="00982435" w:rsidRPr="001C7D10">
        <w:tab/>
        <w:t>is van mening dat het verlenen van toegang tot de middelen van het Parlement, zoals video-opnamestudio’s of andere communicatieplatforms, niet mag worden gebruikt om de waarden van de Unie te ondermijnen of om vijandige informatie van autoritaire regimes te verspreiden;</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Personeelszaken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lastRenderedPageBreak/>
        <w:t>6</w:t>
      </w:r>
      <w:r w:rsidR="00434A6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herinnert eraan dat het directoraat-generaal Personeelszaken (DG PERS) verantwoordelijk is voor het passende en efficiënte beheer van de personele middelen binnen het Parlement en ervoor zorgt dat de leden worden ondersteund door hooggekwalificeerd personeel, zodat zij hun mandaat naar behoren kunnen vervullen;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6</w:t>
      </w:r>
      <w:r w:rsidR="00434A68" w:rsidRPr="001C7D10">
        <w:rPr>
          <w14:textOutline w14:w="0" w14:cap="flat" w14:cmpd="sng" w14:algn="ctr">
            <w14:noFill/>
            <w14:prstDash w14:val="solid"/>
            <w14:bevel/>
          </w14:textOutline>
        </w:rPr>
        <w:t>1</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de definitieve kredieten van DG PERS in 2022 in totaal 1 090 141 584 EUR bedroegen, ofwel 50,4 % van de begroting van het Parlement; benadrukt dat van dat bedrag in totaal1 087 939 413 EUR was vastgelegd; is ingenomen met het hoge gebruik van de kredieten;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6</w:t>
      </w:r>
      <w:r w:rsidR="00434A6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het Parlement in 2022 minder ambtenaren heeft aangeworven via door het Europees Bureau voor personeelsselectie (EPSO) georganiseerde vergelijkende onderzoeken (48 ambtenaren) dan via interne en algemene vergelijkende onderzoeken van het Parlement (139 ambtenaren); betreurt het dat EPSO diverse problemen heeft ondervonden met de controle van onlinetests en de talenregeling voor vergelijkende onderzoeken; erkent dat DG PERS en andere </w:t>
      </w:r>
      <w:proofErr w:type="spellStart"/>
      <w:r w:rsidR="005D6748" w:rsidRPr="001C7D10">
        <w:rPr>
          <w14:textOutline w14:w="0" w14:cap="flat" w14:cmpd="sng" w14:algn="ctr">
            <w14:noFill/>
            <w14:prstDash w14:val="solid"/>
            <w14:bevel/>
          </w14:textOutline>
        </w:rPr>
        <w:t>DG’s</w:t>
      </w:r>
      <w:proofErr w:type="spellEnd"/>
      <w:r w:rsidR="005D6748" w:rsidRPr="001C7D10">
        <w:rPr>
          <w14:textOutline w14:w="0" w14:cap="flat" w14:cmpd="sng" w14:algn="ctr">
            <w14:noFill/>
            <w14:prstDash w14:val="solid"/>
            <w14:bevel/>
          </w14:textOutline>
        </w:rPr>
        <w:t xml:space="preserve"> moeilijkheden ondervonden bij het aantrekken en vasthouden van talent, hetgeen gevolgen heeft voor de prestaties van het personeelsbestand van het Parlement; dringt aan op efficiëntere, gerichtere en kortere selectieprocedures die de aantrekkelijkheid van het Parlement als werkgever zouden vergroten en de directoraten-generaal in staat zouden stellen snel de gespecialiseerde profielen aan te werven die nodig zijn om hun werkzaamheden te ondersteunen;</w:t>
      </w:r>
    </w:p>
    <w:p w:rsidR="005D6748" w:rsidRPr="001C7D10" w:rsidRDefault="005B672E" w:rsidP="005D6748">
      <w:pPr>
        <w:pStyle w:val="NormalHanging12a"/>
      </w:pPr>
      <w:r w:rsidRPr="001C7D10">
        <w:t>6</w:t>
      </w:r>
      <w:r w:rsidR="00434A68" w:rsidRPr="001C7D10">
        <w:t>3</w:t>
      </w:r>
      <w:r w:rsidR="005D6748" w:rsidRPr="001C7D10">
        <w:t>.</w:t>
      </w:r>
      <w:r w:rsidR="005D6748" w:rsidRPr="001C7D10">
        <w:tab/>
        <w:t xml:space="preserve">benadrukt dat het waarborgen van een eerlijk geografisch evenwicht een belangrijk onderdeel is van de totstandbrenging van een echte Europese openbare dienst, en merkt op dat het Parlement in de loop der jaren een aantal maatregelen op dit gebied heeft genomen; merkt op dat er nog steeds ruimte voor verbetering is; merkt op dat het Bureau het rechtskader voor de organisatie van </w:t>
      </w:r>
      <w:proofErr w:type="spellStart"/>
      <w:r w:rsidR="005D6748" w:rsidRPr="001C7D10">
        <w:t>nationaliteitsspecifieke</w:t>
      </w:r>
      <w:proofErr w:type="spellEnd"/>
      <w:r w:rsidR="005D6748" w:rsidRPr="001C7D10">
        <w:t xml:space="preserve"> vergelijkende onderzoeken heeft gecreëerd en heeft besloten het eerste van dergelijke vergelijkende onderzoeken te organiseren; benadrukt dat vergelijkende onderzoeken altijd gebaseerd moeten zijn op de beroepsopleiding van de persoon, ongeacht leeftijd, geslacht en overtuiging;</w:t>
      </w:r>
    </w:p>
    <w:p w:rsidR="005D6748" w:rsidRPr="001C7D10" w:rsidRDefault="005B672E" w:rsidP="005D6748">
      <w:pPr>
        <w:pStyle w:val="NormalHanging12a"/>
      </w:pPr>
      <w:r w:rsidRPr="001C7D10">
        <w:t>6</w:t>
      </w:r>
      <w:r w:rsidR="00434A68" w:rsidRPr="001C7D10">
        <w:t>4</w:t>
      </w:r>
      <w:r w:rsidR="005D6748" w:rsidRPr="001C7D10">
        <w:t>.</w:t>
      </w:r>
      <w:r w:rsidR="005D6748" w:rsidRPr="001C7D10">
        <w:tab/>
        <w:t>herinnert eraan dat op 13 januari 2020 het Bureau nieuwe en ambitieuzere doelstellingen voor genderevenwicht op het niveau van het hoger management en middenkader van de administratie van het Parlement heeft goedgekeurd, die in 2024 moeten worden bereikt en ertoe moeten leiden dat vrouwen 50 % van de posten van afdelingshoofden, 50 % van directeursposten en 40 % van de posten van directeuren-generaal bekleden; herinnert eraan dat het Bureau vervolgens op 6 juli 2020 een genderactieplan voor de jaren 2021-2022 heeft ontwikkeld en goedgekeurd om de verwezenlijking van deze doelstellingen te vergemakkelijken en het genderaspect volledig in alle activiteiten van het Parlement te integreren; stelt vast dat in 2022 vrouwen 28,6 % van de posten van directeuren-generaal bekleedden en is ingenomen met het feit dat 50,8 % van de directeursposten en 43,5 % van de posten van afdelingshoofd door vrouwen werden bekleed;</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6</w:t>
      </w:r>
      <w:r w:rsidR="00434A6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erkent dat verschillende directoraten-generaal hun bezorgdheid hebben geuit over het aantrekken van talent en gespecialiseerde profielen die essentieel zijn voor de uitvoering van de kerntaken van het Parlement; merkt op dat alleen essentiële diensten in aanmerking kunnen komen voor een mogelijke internalisering; wijst erop dat catering- en schoonmaakdiensten door externe dienstverleners worden uitgevoerd, omdat zulke diensten, vanwege hun specifieke karakter, niet aan de voorwaarden voor internalisering voldoen; is daarom van mening dat de bestuursorganen de diensten die niet aan deze </w:t>
      </w:r>
      <w:r w:rsidR="005D6748" w:rsidRPr="001C7D10">
        <w:rPr>
          <w14:textOutline w14:w="0" w14:cap="flat" w14:cmpd="sng" w14:algn="ctr">
            <w14:noFill/>
            <w14:prstDash w14:val="solid"/>
            <w14:bevel/>
          </w14:textOutline>
        </w:rPr>
        <w:lastRenderedPageBreak/>
        <w:t>voorwaarden voldoen, niet in beschouwing moeten nemen voor internalisering;</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6</w:t>
      </w:r>
      <w:r w:rsidR="00434A68" w:rsidRPr="001C7D10">
        <w:rPr>
          <w14:textOutline w14:w="0" w14:cap="flat" w14:cmpd="sng" w14:algn="ctr">
            <w14:noFill/>
            <w14:prstDash w14:val="solid"/>
            <w14:bevel/>
          </w14:textOutline>
        </w:rPr>
        <w:t>6</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het werk dat DG PERS heeft verricht met geaccrediteerde parlementaire medewerkers (</w:t>
      </w:r>
      <w:proofErr w:type="spellStart"/>
      <w:r w:rsidR="005D6748" w:rsidRPr="001C7D10">
        <w:rPr>
          <w14:textOutline w14:w="0" w14:cap="flat" w14:cmpd="sng" w14:algn="ctr">
            <w14:noFill/>
            <w14:prstDash w14:val="solid"/>
            <w14:bevel/>
          </w14:textOutline>
        </w:rPr>
        <w:t>APA’s</w:t>
      </w:r>
      <w:proofErr w:type="spellEnd"/>
      <w:r w:rsidR="005D6748" w:rsidRPr="001C7D10">
        <w:rPr>
          <w14:textOutline w14:w="0" w14:cap="flat" w14:cmpd="sng" w14:algn="ctr">
            <w14:noFill/>
            <w14:prstDash w14:val="solid"/>
            <w14:bevel/>
          </w14:textOutline>
        </w:rPr>
        <w:t xml:space="preserve">); benadrukt dat de infodesk van DG PERS 85 informatiesessies heeft georganiseerd voor ambtenaren, tijdelijke functionarissen en arbeidscontractanten, alsook voor geaccrediteerde parlementaire medewerkers, naast 6 </w:t>
      </w:r>
      <w:proofErr w:type="spellStart"/>
      <w:r w:rsidR="005D6748" w:rsidRPr="001C7D10">
        <w:rPr>
          <w14:textOutline w14:w="0" w14:cap="flat" w14:cmpd="sng" w14:algn="ctr">
            <w14:noFill/>
            <w14:prstDash w14:val="solid"/>
            <w14:bevel/>
          </w14:textOutline>
        </w:rPr>
        <w:t>webinars</w:t>
      </w:r>
      <w:proofErr w:type="spellEnd"/>
      <w:r w:rsidR="005D6748" w:rsidRPr="001C7D10">
        <w:rPr>
          <w14:textOutline w14:w="0" w14:cap="flat" w14:cmpd="sng" w14:algn="ctr">
            <w14:noFill/>
            <w14:prstDash w14:val="solid"/>
            <w14:bevel/>
          </w14:textOutline>
        </w:rPr>
        <w:t xml:space="preserve"> inzake pensionering, en 14 informatiesessies voor nieuwe stagiairs van de leden; is ingenomen met de werkzaamheden van de afdeling Front Office van de </w:t>
      </w:r>
      <w:proofErr w:type="spellStart"/>
      <w:r w:rsidR="005D6748" w:rsidRPr="001C7D10">
        <w:rPr>
          <w14:textOutline w14:w="0" w14:cap="flat" w14:cmpd="sng" w14:algn="ctr">
            <w14:noFill/>
            <w14:prstDash w14:val="solid"/>
            <w14:bevel/>
          </w14:textOutline>
        </w:rPr>
        <w:t>APA’s</w:t>
      </w:r>
      <w:proofErr w:type="spellEnd"/>
      <w:r w:rsidR="005D6748" w:rsidRPr="001C7D10">
        <w:rPr>
          <w14:textOutline w14:w="0" w14:cap="flat" w14:cmpd="sng" w14:algn="ctr">
            <w14:noFill/>
            <w14:prstDash w14:val="solid"/>
            <w14:bevel/>
          </w14:textOutline>
        </w:rPr>
        <w:t xml:space="preserve"> met betrekking tot aanwerving en het beheer van APA-contracten en als contactpunt voor alle daarmee verband houdende vragen en procedures; merkt op dat deze eenheid 12 405 informatieverzoeken heeft beantwoord, waaronder aanwervingen, contractwijzigingen, verlengingen, ontslagnames en beëindigingen; stelt met tevredenheid vast dat 100 % van de contracten voor </w:t>
      </w:r>
      <w:proofErr w:type="spellStart"/>
      <w:r w:rsidR="005D6748" w:rsidRPr="001C7D10">
        <w:rPr>
          <w14:textOutline w14:w="0" w14:cap="flat" w14:cmpd="sng" w14:algn="ctr">
            <w14:noFill/>
            <w14:prstDash w14:val="solid"/>
            <w14:bevel/>
          </w14:textOutline>
        </w:rPr>
        <w:t>APA’s</w:t>
      </w:r>
      <w:proofErr w:type="spellEnd"/>
      <w:r w:rsidR="005D6748" w:rsidRPr="001C7D10">
        <w:rPr>
          <w14:textOutline w14:w="0" w14:cap="flat" w14:cmpd="sng" w14:algn="ctr">
            <w14:noFill/>
            <w14:prstDash w14:val="solid"/>
            <w14:bevel/>
          </w14:textOutline>
        </w:rPr>
        <w:t xml:space="preserve"> binnen tien werkdagen werden opgesteld;</w:t>
      </w:r>
    </w:p>
    <w:p w:rsidR="005D6748" w:rsidRPr="001C7D10" w:rsidRDefault="005B672E" w:rsidP="005D6748">
      <w:pPr>
        <w:pStyle w:val="NormalHanging12a"/>
      </w:pPr>
      <w:r w:rsidRPr="001C7D10">
        <w:t>6</w:t>
      </w:r>
      <w:r w:rsidR="00434A68" w:rsidRPr="001C7D10">
        <w:t>7</w:t>
      </w:r>
      <w:r w:rsidR="005D6748" w:rsidRPr="001C7D10">
        <w:t>.</w:t>
      </w:r>
      <w:r w:rsidR="005D6748" w:rsidRPr="001C7D10">
        <w:tab/>
        <w:t>stelt met tevredenheid vast dat, zoals gevraagd in de kwijtingsresolutie voor 2021, het Bureau tijdens zijn vergadering van 10 juli 2023 heeft verzocht de mogelijkheid in te voeren voor een onderhandelde beëindiging van het contract tussen een lid en diens APA, voor gevallen waarin het noodzakelijk is het contract van een APA te beëindigen om andere redenen dan verlies van vertrouwen;</w:t>
      </w:r>
    </w:p>
    <w:p w:rsidR="005D6748" w:rsidRPr="001C7D10" w:rsidRDefault="005B672E" w:rsidP="005D6748">
      <w:pPr>
        <w:pStyle w:val="NormalHanging12a"/>
      </w:pPr>
      <w:r w:rsidRPr="001C7D10">
        <w:t>6</w:t>
      </w:r>
      <w:r w:rsidR="00434A68" w:rsidRPr="001C7D10">
        <w:t>8</w:t>
      </w:r>
      <w:r w:rsidR="005D6748" w:rsidRPr="001C7D10">
        <w:t>.</w:t>
      </w:r>
      <w:r w:rsidR="005D6748" w:rsidRPr="001C7D10">
        <w:tab/>
        <w:t xml:space="preserve">erkent dat de werkzaamheden van </w:t>
      </w:r>
      <w:proofErr w:type="spellStart"/>
      <w:r w:rsidR="005D6748" w:rsidRPr="001C7D10">
        <w:t>APA’s</w:t>
      </w:r>
      <w:proofErr w:type="spellEnd"/>
      <w:r w:rsidR="005D6748" w:rsidRPr="001C7D10">
        <w:t xml:space="preserve"> integraal deel uitmaken van de werkzaamheden van de leden en dat zij een belangrijke rol spelen in de wetgevingsprocedures van de Unie; merkt op dat na de vaststelling van het statuut van de geaccrediteerde parlementaire medewerkers in 2009 de erkenning van hun </w:t>
      </w:r>
      <w:r w:rsidR="00982435" w:rsidRPr="001C7D10">
        <w:t xml:space="preserve">werkzaamheden </w:t>
      </w:r>
      <w:r w:rsidR="005D6748" w:rsidRPr="001C7D10">
        <w:t xml:space="preserve">in de loop der jaren geleidelijk is gegroeid; neemt kennis van de inspanningen van het Parlement om een kader te creëren voor het verlenen van steun aan </w:t>
      </w:r>
      <w:proofErr w:type="spellStart"/>
      <w:r w:rsidR="005D6748" w:rsidRPr="001C7D10">
        <w:t>APA’s</w:t>
      </w:r>
      <w:proofErr w:type="spellEnd"/>
      <w:r w:rsidR="005D6748" w:rsidRPr="001C7D10">
        <w:t xml:space="preserve">; </w:t>
      </w:r>
      <w:r w:rsidR="00982435" w:rsidRPr="001C7D10">
        <w:t xml:space="preserve">dringt er bij het Bureau en de administratie van het Parlement op aan het APA-comité regelmatig en formeel te raadplegen over herzieningen en hervormingen die rechtstreeks van invloed zijn op de rechten van </w:t>
      </w:r>
      <w:proofErr w:type="spellStart"/>
      <w:r w:rsidR="00982435" w:rsidRPr="001C7D10">
        <w:t>APA’s</w:t>
      </w:r>
      <w:proofErr w:type="spellEnd"/>
      <w:r w:rsidR="00982435" w:rsidRPr="001C7D10">
        <w:t xml:space="preserve">; </w:t>
      </w:r>
      <w:r w:rsidR="005D6748" w:rsidRPr="001C7D10">
        <w:t xml:space="preserve">dringt erop aan dat de geldende regels naar behoren worden nageleefd; verzoekt de administratie van het Parlement na te gaan of het haalbaar is om in de contracten van </w:t>
      </w:r>
      <w:proofErr w:type="spellStart"/>
      <w:r w:rsidR="005D6748" w:rsidRPr="001C7D10">
        <w:t>APA’s</w:t>
      </w:r>
      <w:proofErr w:type="spellEnd"/>
      <w:r w:rsidR="005D6748" w:rsidRPr="001C7D10">
        <w:t xml:space="preserve"> een opzegtermijn in te voeren in het geval van onverwacht, vrijwillig dan wel onvrijwillig, vertrek van een lid van het Europees Parlement;</w:t>
      </w:r>
    </w:p>
    <w:p w:rsidR="005D6748" w:rsidRPr="001C7D10" w:rsidRDefault="00434A68" w:rsidP="005D6748">
      <w:pPr>
        <w:pStyle w:val="NormalHanging12a"/>
      </w:pPr>
      <w:r w:rsidRPr="001C7D10">
        <w:t>69</w:t>
      </w:r>
      <w:r w:rsidR="005D6748" w:rsidRPr="001C7D10">
        <w:t>.</w:t>
      </w:r>
      <w:r w:rsidR="005D6748" w:rsidRPr="001C7D10">
        <w:tab/>
        <w:t xml:space="preserve">merkt op dat </w:t>
      </w:r>
      <w:proofErr w:type="spellStart"/>
      <w:r w:rsidR="005D6748" w:rsidRPr="001C7D10">
        <w:t>APA’s</w:t>
      </w:r>
      <w:proofErr w:type="spellEnd"/>
      <w:r w:rsidR="005D6748" w:rsidRPr="001C7D10">
        <w:t xml:space="preserve"> deelnemen aan officiële dienstreizen naar de drie werklocaties van het Parlement; merkt op dat het Bureau op 11 december 2023 wijzigingen heeft goedgekeurd in de uitvoeringsbepalingen van titel VII van de Regeling welke van toepassing is op de andere personeelsleden van de Europese Unie, die betrekking hebben op de tewerkstelling van </w:t>
      </w:r>
      <w:proofErr w:type="spellStart"/>
      <w:r w:rsidR="005D6748" w:rsidRPr="001C7D10">
        <w:t>APA’s</w:t>
      </w:r>
      <w:proofErr w:type="spellEnd"/>
      <w:r w:rsidR="005D6748" w:rsidRPr="001C7D10">
        <w:t xml:space="preserve">; merkt op dat volgens dit besluit de regels die van toepassing zijn op dienstreizen van ambtenaren en andere personeelsleden van het Parlement mutatis mutandis van toepassing zullen zijn op </w:t>
      </w:r>
      <w:proofErr w:type="spellStart"/>
      <w:r w:rsidR="005D6748" w:rsidRPr="001C7D10">
        <w:t>APA’s</w:t>
      </w:r>
      <w:proofErr w:type="spellEnd"/>
      <w:r w:rsidR="005D6748" w:rsidRPr="001C7D10">
        <w:t xml:space="preserve">; merkt op dat </w:t>
      </w:r>
      <w:proofErr w:type="spellStart"/>
      <w:r w:rsidR="005D6748" w:rsidRPr="001C7D10">
        <w:t>APA’s</w:t>
      </w:r>
      <w:proofErr w:type="spellEnd"/>
      <w:r w:rsidR="005D6748" w:rsidRPr="001C7D10">
        <w:t xml:space="preserve"> die in het bezit zijn van een gevalideerde dienstreisopdracht om tijdens de plenaire vergaderingen van het Europees Parlement naar Straatsburg te reizen, daarheen met een gecharterde trein kunnen reizen; merkt op dat, indien de gecharterde Eurostar-treinen vol zijn, de geaccrediteerde parlementaire medewerkers aanzienlijk slechtere en onbetrouwbaardere reismogelijkheden aangeboden krijgen dan de andere personeelsleden van het Parlement; verzoekt het Parlement na te gaan of een extra trein nodig is; herhaalt dat </w:t>
      </w:r>
      <w:proofErr w:type="spellStart"/>
      <w:r w:rsidR="005D6748" w:rsidRPr="001C7D10">
        <w:t>APA’s</w:t>
      </w:r>
      <w:proofErr w:type="spellEnd"/>
      <w:r w:rsidR="005D6748" w:rsidRPr="001C7D10">
        <w:t xml:space="preserve"> die de leden tijdens de vergaderperioden in Straatsburg vergezellen, in het bezit moeten zijn van een dienstreisopdracht en overeenkomstig de toepasselijke regels moeten worden vergoed;</w:t>
      </w:r>
    </w:p>
    <w:p w:rsidR="005D6748" w:rsidRPr="001C7D10" w:rsidRDefault="005B672E" w:rsidP="005D6748">
      <w:pPr>
        <w:pStyle w:val="NormalHanging12a"/>
      </w:pPr>
      <w:r w:rsidRPr="001C7D10">
        <w:lastRenderedPageBreak/>
        <w:t>7</w:t>
      </w:r>
      <w:r w:rsidR="00434A68" w:rsidRPr="001C7D10">
        <w:t>0</w:t>
      </w:r>
      <w:r w:rsidR="005D6748" w:rsidRPr="001C7D10">
        <w:t>.</w:t>
      </w:r>
      <w:r w:rsidR="005D6748" w:rsidRPr="001C7D10">
        <w:tab/>
        <w:t xml:space="preserve">merkt op dat het besluit van het Bureau inzake de toepasselijke regels voor dienstreizen van commissies buiten de drie werklocaties, zoals gewijzigd in november 2011, na overleg in de Conferentie van voorzitters in april 2011 en in het Bureau in november 2011, momenteel verbiedt dat </w:t>
      </w:r>
      <w:proofErr w:type="spellStart"/>
      <w:r w:rsidR="005D6748" w:rsidRPr="001C7D10">
        <w:t>APA’s</w:t>
      </w:r>
      <w:proofErr w:type="spellEnd"/>
      <w:r w:rsidR="005D6748" w:rsidRPr="001C7D10">
        <w:t xml:space="preserve"> leden vergezellen op officiële dienstreizen van delegaties en commissies van het Parlement; merkt op dat het toestaan van </w:t>
      </w:r>
      <w:proofErr w:type="spellStart"/>
      <w:r w:rsidR="005D6748" w:rsidRPr="001C7D10">
        <w:t>APA’s</w:t>
      </w:r>
      <w:proofErr w:type="spellEnd"/>
      <w:r w:rsidR="005D6748" w:rsidRPr="001C7D10">
        <w:t xml:space="preserve"> onofficieel deel te nemen aan EP-dienstreizen een ernstig reputatierisico voor het Parlement inhoudt en specifieke uitdagingen met betrekking tot hun verzekeringsdekking meebrengt; herinnert eraan dat de leden van het Parlement bij deze dienstreizen al worden vergezeld door vertegenwoordigers van de fracties</w:t>
      </w:r>
      <w:r w:rsidR="00982435" w:rsidRPr="001C7D10">
        <w:t xml:space="preserve">, maar wijst erop dat de technische ondersteuning die </w:t>
      </w:r>
      <w:proofErr w:type="spellStart"/>
      <w:r w:rsidR="00982435" w:rsidRPr="001C7D10">
        <w:t>APA’s</w:t>
      </w:r>
      <w:proofErr w:type="spellEnd"/>
      <w:r w:rsidR="00982435" w:rsidRPr="001C7D10">
        <w:t xml:space="preserve"> tijdens dienstreizen verlenen van cruciaal belang is voor de deelnemende leden; herhaalt zijn reeds meerdere malen in op de plenaire vergadering aangenomen kwijtingsresoluties gedane verzoek om </w:t>
      </w:r>
      <w:proofErr w:type="spellStart"/>
      <w:r w:rsidR="00982435" w:rsidRPr="001C7D10">
        <w:t>APA’s</w:t>
      </w:r>
      <w:proofErr w:type="spellEnd"/>
      <w:r w:rsidR="00982435" w:rsidRPr="001C7D10">
        <w:t xml:space="preserve"> onder nog vast te stellen voorwaarden toe te staan leden te vergezellen op officiële delegaties en dienstreizen van het Parlement buiten de drie vergaderplaatsen; dringt er bij het Bureau en de Conferentie van voorzitters op aan om positief op dit verzoek te reageren</w:t>
      </w:r>
      <w:r w:rsidR="005D6748" w:rsidRPr="001C7D10">
        <w:t>;</w:t>
      </w:r>
    </w:p>
    <w:p w:rsidR="005D6748" w:rsidRPr="001C7D10" w:rsidRDefault="005B672E" w:rsidP="005D6748">
      <w:pPr>
        <w:pStyle w:val="NormalHanging12a"/>
      </w:pPr>
      <w:r w:rsidRPr="001C7D10">
        <w:t>7</w:t>
      </w:r>
      <w:r w:rsidR="00434A68" w:rsidRPr="001C7D10">
        <w:t>1</w:t>
      </w:r>
      <w:r w:rsidR="005D6748" w:rsidRPr="001C7D10">
        <w:t>.</w:t>
      </w:r>
      <w:r w:rsidR="005D6748" w:rsidRPr="001C7D10">
        <w:tab/>
        <w:t xml:space="preserve">herinnert eraan dat </w:t>
      </w:r>
      <w:proofErr w:type="spellStart"/>
      <w:r w:rsidR="005D6748" w:rsidRPr="001C7D10">
        <w:t>APA’s</w:t>
      </w:r>
      <w:proofErr w:type="spellEnd"/>
      <w:r w:rsidR="005D6748" w:rsidRPr="001C7D10">
        <w:t xml:space="preserve">, ongeacht hun ervaring en kwalificaties, zijn uitgesloten van deelname aan de interne vergelijkende onderzoeken van het Europees Parlement; verzoekt het Bureau na te gaan of het mogelijk is om </w:t>
      </w:r>
      <w:proofErr w:type="spellStart"/>
      <w:r w:rsidR="005D6748" w:rsidRPr="001C7D10">
        <w:t>APA’s</w:t>
      </w:r>
      <w:proofErr w:type="spellEnd"/>
      <w:r w:rsidR="005D6748" w:rsidRPr="001C7D10">
        <w:t xml:space="preserve"> op een eerlijke basis en volgens de door de betrokken </w:t>
      </w:r>
      <w:proofErr w:type="spellStart"/>
      <w:r w:rsidR="005D6748" w:rsidRPr="001C7D10">
        <w:t>DG’s</w:t>
      </w:r>
      <w:proofErr w:type="spellEnd"/>
      <w:r w:rsidR="005D6748" w:rsidRPr="001C7D10">
        <w:t xml:space="preserve"> vastgestelde criteria dezelfde mogelijkheden te bieden, zodat </w:t>
      </w:r>
      <w:proofErr w:type="spellStart"/>
      <w:r w:rsidR="005D6748" w:rsidRPr="001C7D10">
        <w:t>APA’s</w:t>
      </w:r>
      <w:proofErr w:type="spellEnd"/>
      <w:r w:rsidR="005D6748" w:rsidRPr="001C7D10">
        <w:t xml:space="preserve">, onder nog vast te stellen voorwaarden, op voet van gelijkheid met het personeel van het Europees Parlement aan interne vergelijkende onderzoeken kunnen deelnemen; merkt op dat </w:t>
      </w:r>
      <w:proofErr w:type="spellStart"/>
      <w:r w:rsidR="005D6748" w:rsidRPr="001C7D10">
        <w:t>APA’s</w:t>
      </w:r>
      <w:proofErr w:type="spellEnd"/>
      <w:r w:rsidR="005D6748" w:rsidRPr="001C7D10">
        <w:t xml:space="preserve"> door jarenlange ervaring een grondig inzicht krijgen in de politieke en technische nuances in verband met de uitoefening van het mandaat van de leden van het Parlement en de verschillende juridische procedures van de Unie; wijst erop dat een grotere betrokkenheid van </w:t>
      </w:r>
      <w:proofErr w:type="spellStart"/>
      <w:r w:rsidR="005D6748" w:rsidRPr="001C7D10">
        <w:t>APA’s</w:t>
      </w:r>
      <w:proofErr w:type="spellEnd"/>
      <w:r w:rsidR="005D6748" w:rsidRPr="001C7D10">
        <w:t xml:space="preserve"> bij de interne structuren van het Parlement zou kunnen leiden tot een meer inclusief, divers en geografisch evenwichtig personeelsbestand; benadrukt het belang van kennisbehoud en -overdracht binnen het Europees Parlement met betrekking tot de interne werkmethoden;</w:t>
      </w:r>
    </w:p>
    <w:p w:rsidR="005D6748" w:rsidRPr="001C7D10" w:rsidRDefault="005B672E" w:rsidP="005D6748">
      <w:pPr>
        <w:pStyle w:val="NormalHanging12a"/>
      </w:pPr>
      <w:r w:rsidRPr="001C7D10">
        <w:t>7</w:t>
      </w:r>
      <w:r w:rsidR="00434A68" w:rsidRPr="001C7D10">
        <w:t>2</w:t>
      </w:r>
      <w:r w:rsidR="005D6748" w:rsidRPr="001C7D10">
        <w:t>.</w:t>
      </w:r>
      <w:r w:rsidR="005D6748" w:rsidRPr="001C7D10">
        <w:tab/>
        <w:t xml:space="preserve">merkt op dat de afkoelingsperiode die van toepassing is op </w:t>
      </w:r>
      <w:proofErr w:type="spellStart"/>
      <w:r w:rsidR="005D6748" w:rsidRPr="001C7D10">
        <w:t>APA’s</w:t>
      </w:r>
      <w:proofErr w:type="spellEnd"/>
      <w:r w:rsidR="005D6748" w:rsidRPr="001C7D10">
        <w:t xml:space="preserve"> ten minste tweemaal zo lang is als de afkoelingsperiode die van toepassing is op leden van het Parlement; verzoekt om een bespreking over de harmonisatie van de afkoelingsperiode voor werknemers van het Europees Parlement;</w:t>
      </w:r>
    </w:p>
    <w:p w:rsidR="005D6748" w:rsidRPr="001C7D10" w:rsidRDefault="005B672E" w:rsidP="005D6748">
      <w:pPr>
        <w:pStyle w:val="NormalHanging12a"/>
      </w:pPr>
      <w:r w:rsidRPr="001C7D10">
        <w:t>7</w:t>
      </w:r>
      <w:r w:rsidR="00434A68" w:rsidRPr="001C7D10">
        <w:t>3</w:t>
      </w:r>
      <w:r w:rsidR="005D6748" w:rsidRPr="001C7D10">
        <w:t>.</w:t>
      </w:r>
      <w:r w:rsidR="005D6748" w:rsidRPr="001C7D10">
        <w:tab/>
        <w:t xml:space="preserve">is ingenomen met de vooruitgang die is geboekt bij de herziening van de regels voor de tewerkstelling van geaccrediteerde parlementaire medewerkers; is verheugd over de positieve harmonisatie die het besluit voor het personeel meebrengt; is ingenomen met het akkoord dat is bereikt over de wederzijdse opzegging van het contract tussen </w:t>
      </w:r>
      <w:proofErr w:type="spellStart"/>
      <w:r w:rsidR="005D6748" w:rsidRPr="001C7D10">
        <w:t>APA’s</w:t>
      </w:r>
      <w:proofErr w:type="spellEnd"/>
      <w:r w:rsidR="005D6748" w:rsidRPr="001C7D10">
        <w:t xml:space="preserve"> en leden van het Parlement; is verheugd over de afstemming van de regels inzake vergoedingen voor dienstreizen tussen </w:t>
      </w:r>
      <w:proofErr w:type="spellStart"/>
      <w:r w:rsidR="005D6748" w:rsidRPr="001C7D10">
        <w:t>APA’s</w:t>
      </w:r>
      <w:proofErr w:type="spellEnd"/>
      <w:r w:rsidR="005D6748" w:rsidRPr="001C7D10">
        <w:t xml:space="preserve"> en personeel; is ingenomen met de herziening van de verplichte opleiding voor </w:t>
      </w:r>
      <w:proofErr w:type="spellStart"/>
      <w:r w:rsidR="005D6748" w:rsidRPr="001C7D10">
        <w:t>APA’s</w:t>
      </w:r>
      <w:proofErr w:type="spellEnd"/>
      <w:r w:rsidR="005D6748" w:rsidRPr="001C7D10">
        <w:t xml:space="preserve"> bij indiensttreding; is verheugd over de herziening van de regels inzake moederschapsverlof voor </w:t>
      </w:r>
      <w:proofErr w:type="spellStart"/>
      <w:r w:rsidR="005D6748" w:rsidRPr="001C7D10">
        <w:t>APA’s</w:t>
      </w:r>
      <w:proofErr w:type="spellEnd"/>
      <w:r w:rsidR="005D6748" w:rsidRPr="001C7D10">
        <w:t xml:space="preserve"> met het oog op een efficiënter gebruik van middelen door leden van het Parlement; prijst het Bureau van het Europees Parlement voor het inwilligen van de verzoeken van de plenaire vergadering van het Europees Parlement en de inbreng van het APA-comité in de afgelopen jaren; moedigt het EP-Bureau aan om dit constructieve werk met het APA-comité over andere nog af te handelen kwesties voort te zetten;</w:t>
      </w:r>
    </w:p>
    <w:p w:rsidR="00E31149" w:rsidRPr="001C7D10" w:rsidRDefault="005B672E" w:rsidP="005D6748">
      <w:pPr>
        <w:pStyle w:val="NormalHanging12a"/>
      </w:pPr>
      <w:r w:rsidRPr="001C7D10">
        <w:t>7</w:t>
      </w:r>
      <w:r w:rsidR="00434A68" w:rsidRPr="001C7D10">
        <w:t>4</w:t>
      </w:r>
      <w:r w:rsidR="005D6748" w:rsidRPr="001C7D10">
        <w:t>.</w:t>
      </w:r>
      <w:r w:rsidR="005D6748" w:rsidRPr="001C7D10">
        <w:tab/>
        <w:t xml:space="preserve">Om de transparantie en verantwoordingsplicht bij de werkzaamheden van het Europees Parlement te vergroten en een eerlijke verdeling van middelen te bevorderen, worden de </w:t>
      </w:r>
      <w:r w:rsidR="005D6748" w:rsidRPr="001C7D10">
        <w:lastRenderedPageBreak/>
        <w:t>volgende herzieningen met betrekking tot parlementaire assistentie en algemene maxima en begroting voorgesteld:</w:t>
      </w:r>
    </w:p>
    <w:p w:rsidR="00E31149" w:rsidRPr="001C7D10" w:rsidRDefault="005D6748" w:rsidP="00E31149">
      <w:pPr>
        <w:pStyle w:val="NormalHanging12a"/>
        <w:ind w:left="1134"/>
      </w:pPr>
      <w:r w:rsidRPr="001C7D10">
        <w:t>1.</w:t>
      </w:r>
      <w:r w:rsidR="00E31149" w:rsidRPr="001C7D10">
        <w:tab/>
      </w:r>
      <w:r w:rsidRPr="001C7D10">
        <w:t>De minimale begrotingstoewijzing voor parlementaire assistentie (</w:t>
      </w:r>
      <w:proofErr w:type="spellStart"/>
      <w:r w:rsidRPr="001C7D10">
        <w:t>APA’s</w:t>
      </w:r>
      <w:proofErr w:type="spellEnd"/>
      <w:r w:rsidRPr="001C7D10">
        <w:t>) bedraagt ten minste 35 %.</w:t>
      </w:r>
    </w:p>
    <w:p w:rsidR="00E31149" w:rsidRPr="001C7D10" w:rsidRDefault="005D6748" w:rsidP="00E31149">
      <w:pPr>
        <w:pStyle w:val="NormalHanging12a"/>
        <w:ind w:left="1134"/>
      </w:pPr>
      <w:r w:rsidRPr="001C7D10">
        <w:t>2.</w:t>
      </w:r>
      <w:r w:rsidR="00E31149" w:rsidRPr="001C7D10">
        <w:tab/>
      </w:r>
      <w:r w:rsidRPr="001C7D10">
        <w:t>De maximale begrotingstoewijzing voor andere begunstigden wordt beperkt tot 65 % en wordt als volgt verdeeld:</w:t>
      </w:r>
    </w:p>
    <w:p w:rsidR="00E31149" w:rsidRPr="001C7D10" w:rsidRDefault="005D6748" w:rsidP="00E31149">
      <w:pPr>
        <w:pStyle w:val="NormalHanging12a"/>
        <w:ind w:left="1701"/>
      </w:pPr>
      <w:r w:rsidRPr="001C7D10">
        <w:t>a.</w:t>
      </w:r>
      <w:r w:rsidR="00E31149" w:rsidRPr="001C7D10">
        <w:tab/>
      </w:r>
      <w:r w:rsidRPr="001C7D10">
        <w:t>de maximale begrotingstoewijzing voor dienstv</w:t>
      </w:r>
      <w:r w:rsidR="00E31149" w:rsidRPr="001C7D10">
        <w:t>erleners wordt beperkt tot 25 %.</w:t>
      </w:r>
    </w:p>
    <w:p w:rsidR="00E31149" w:rsidRPr="001C7D10" w:rsidRDefault="00E31149" w:rsidP="00E31149">
      <w:pPr>
        <w:pStyle w:val="NormalHanging12a"/>
        <w:ind w:left="1701"/>
      </w:pPr>
      <w:r w:rsidRPr="001C7D10">
        <w:t>b.</w:t>
      </w:r>
      <w:r w:rsidRPr="001C7D10">
        <w:tab/>
      </w:r>
      <w:r w:rsidR="005D6748" w:rsidRPr="001C7D10">
        <w:t>de maximale begrotingstoewijzing voor plaatselijke medewerkers wordt beperkt tot 25 %</w:t>
      </w:r>
      <w:r w:rsidRPr="001C7D10">
        <w:t>.</w:t>
      </w:r>
    </w:p>
    <w:p w:rsidR="005D6748" w:rsidRPr="001C7D10" w:rsidRDefault="005D6748" w:rsidP="00E31149">
      <w:pPr>
        <w:pStyle w:val="NormalHanging12a"/>
        <w:ind w:left="1701"/>
      </w:pPr>
      <w:r w:rsidRPr="001C7D10">
        <w:t>c</w:t>
      </w:r>
      <w:r w:rsidR="00E31149" w:rsidRPr="001C7D10">
        <w:t>.</w:t>
      </w:r>
      <w:r w:rsidR="00E31149" w:rsidRPr="001C7D10">
        <w:tab/>
      </w:r>
      <w:r w:rsidRPr="001C7D10">
        <w:t>de maximale begrotingstoewijzing voor stagiairs wordt beperkt tot 15 %;</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7</w:t>
      </w:r>
      <w:r w:rsidR="00434A6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na de twee edities van het “</w:t>
      </w:r>
      <w:proofErr w:type="spellStart"/>
      <w:r w:rsidR="005D6748" w:rsidRPr="001C7D10">
        <w:rPr>
          <w14:textOutline w14:w="0" w14:cap="flat" w14:cmpd="sng" w14:algn="ctr">
            <w14:noFill/>
            <w14:prstDash w14:val="solid"/>
            <w14:bevel/>
          </w14:textOutline>
        </w:rPr>
        <w:t>Schuman</w:t>
      </w:r>
      <w:proofErr w:type="spellEnd"/>
      <w:r w:rsidR="005D6748" w:rsidRPr="001C7D10">
        <w:rPr>
          <w14:textOutline w14:w="0" w14:cap="flat" w14:cmpd="sng" w14:algn="ctr">
            <w14:noFill/>
            <w14:prstDash w14:val="solid"/>
            <w14:bevel/>
          </w14:textOutline>
        </w:rPr>
        <w:t xml:space="preserve"> Recruitment </w:t>
      </w:r>
      <w:proofErr w:type="spellStart"/>
      <w:r w:rsidR="005D6748" w:rsidRPr="001C7D10">
        <w:rPr>
          <w14:textOutline w14:w="0" w14:cap="flat" w14:cmpd="sng" w14:algn="ctr">
            <w14:noFill/>
            <w14:prstDash w14:val="solid"/>
            <w14:bevel/>
          </w14:textOutline>
        </w:rPr>
        <w:t>and</w:t>
      </w:r>
      <w:proofErr w:type="spellEnd"/>
      <w:r w:rsidR="005D6748" w:rsidRPr="001C7D10">
        <w:rPr>
          <w14:textOutline w14:w="0" w14:cap="flat" w14:cmpd="sng" w14:algn="ctr">
            <w14:noFill/>
            <w14:prstDash w14:val="solid"/>
            <w14:bevel/>
          </w14:textOutline>
        </w:rPr>
        <w:t xml:space="preserve"> Development”-programma die in 2022 werden afgerond, 16 % van de geselecteerde kandidaten in 2022 werd aangeworven; benadrukt dat deze actie heeft geleid tot de aanwerving van 50 geslaagde kandidaten uit 16 verschillende lidstaten; merkt op dat negen lidstaten die door weinig of zeer weinig personeelsleden vertegenwoordigd waren, thans beter vertegenwoordigd zijn en door 70 % van de geslaagde kandidaten vertegenwoordigd worden; wijst op de eind 2022 door de secretaris-generaal goedgekeurde oprichting van een alumni-netwerk van voormalige stagiairs van het Parlement;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7</w:t>
      </w:r>
      <w:r w:rsidR="00434A68" w:rsidRPr="001C7D10">
        <w:rPr>
          <w14:textOutline w14:w="0" w14:cap="flat" w14:cmpd="sng" w14:algn="ctr">
            <w14:noFill/>
            <w14:prstDash w14:val="solid"/>
            <w14:bevel/>
          </w14:textOutline>
        </w:rPr>
        <w:t>6</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is ingenomen met het feit dat DG PERS de </w:t>
      </w:r>
      <w:proofErr w:type="spellStart"/>
      <w:r w:rsidR="005D6748" w:rsidRPr="001C7D10">
        <w:rPr>
          <w14:textOutline w14:w="0" w14:cap="flat" w14:cmpd="sng" w14:algn="ctr">
            <w14:noFill/>
            <w14:prstDash w14:val="solid"/>
            <w14:bevel/>
          </w14:textOutline>
        </w:rPr>
        <w:t>Positive</w:t>
      </w:r>
      <w:proofErr w:type="spellEnd"/>
      <w:r w:rsidR="005D6748" w:rsidRPr="001C7D10">
        <w:rPr>
          <w14:textOutline w14:w="0" w14:cap="flat" w14:cmpd="sng" w14:algn="ctr">
            <w14:noFill/>
            <w14:prstDash w14:val="solid"/>
            <w14:bevel/>
          </w14:textOutline>
        </w:rPr>
        <w:t xml:space="preserve"> Action </w:t>
      </w:r>
      <w:proofErr w:type="spellStart"/>
      <w:r w:rsidR="005D6748" w:rsidRPr="001C7D10">
        <w:rPr>
          <w14:textOutline w14:w="0" w14:cap="flat" w14:cmpd="sng" w14:algn="ctr">
            <w14:noFill/>
            <w14:prstDash w14:val="solid"/>
            <w14:bevel/>
          </w14:textOutline>
        </w:rPr>
        <w:t>Scheme</w:t>
      </w:r>
      <w:proofErr w:type="spellEnd"/>
      <w:r w:rsidR="005D6748" w:rsidRPr="001C7D10">
        <w:rPr>
          <w14:textOutline w14:w="0" w14:cap="flat" w14:cmpd="sng" w14:algn="ctr">
            <w14:noFill/>
            <w14:prstDash w14:val="solid"/>
            <w14:bevel/>
          </w14:textOutline>
        </w:rPr>
        <w:t xml:space="preserve"> voor kandidaten met een handicap heeft uitgevoerd, wat heeft geleid tot een aanzienlijk groter aantal sollicitaties dan in voorgaande jaren;</w:t>
      </w:r>
    </w:p>
    <w:p w:rsidR="005D6748" w:rsidRPr="001C7D10" w:rsidRDefault="005B672E" w:rsidP="005D6748">
      <w:pPr>
        <w:pStyle w:val="NormalHanging12a"/>
      </w:pPr>
      <w:r w:rsidRPr="001C7D10">
        <w:t>7</w:t>
      </w:r>
      <w:r w:rsidR="00434A68" w:rsidRPr="001C7D10">
        <w:t>7</w:t>
      </w:r>
      <w:r w:rsidR="005D6748" w:rsidRPr="001C7D10">
        <w:t>.</w:t>
      </w:r>
      <w:r w:rsidR="005D6748" w:rsidRPr="001C7D10">
        <w:tab/>
        <w:t>herinnert aan het besluit van de secretaris-generaal van november 2022 over de nieuwe regels voor telewerken in het Parlement die van toepassing zijn op het secretariaat-generaal van het Parlement; herinnert eraan dat ook leden en fracties kunnen besluiten de regels voor telewerken toe te passen, zoals bepaald in dit besluit; merkt op dat een evenwichtig gebruik van een hybride werkomgeving gunstig en productief is en is derhalve ingenomen met het besluit om mogelijkheden voor telewerk in stand te houden; wijst erop dat fysieke aanwezigheid altijd van cruciaal belang is opdat de interactie tussen alle actoren in alle parlementaire procedures efficiënt en doeltreffend verloopt;</w:t>
      </w:r>
    </w:p>
    <w:p w:rsidR="005D6748" w:rsidRPr="001C7D10" w:rsidRDefault="005B672E" w:rsidP="005D6748">
      <w:pPr>
        <w:pStyle w:val="NormalHanging12a"/>
      </w:pPr>
      <w:r w:rsidRPr="001C7D10">
        <w:t>7</w:t>
      </w:r>
      <w:r w:rsidR="00434A68" w:rsidRPr="001C7D10">
        <w:t>8</w:t>
      </w:r>
      <w:r w:rsidR="005D6748" w:rsidRPr="001C7D10">
        <w:t>.</w:t>
      </w:r>
      <w:r w:rsidR="005D6748" w:rsidRPr="001C7D10">
        <w:tab/>
        <w:t>stelt voor de nieuwe werkmethoden te blijven analyseren, teneinde de behoeften van de administratie van het Parlement (waaronder teamcohesie, interne communicatie en het inwerken van nieuwkomers), die een positief effect zouden hebben op de prestaties van het Parlement en de aantrekkelijkheid van het Parlement als werkgever, met elkaar in overeenstemming te brengen; neemt kennis van de invoering van de mogelijkheid voor personeel om gedurende vijf dagen per jaar vanuit het buitenland te telewerken; merkt op dat sommige maatregelen in verband met de COVID-19-pandemie de arbeidsomstandigheden in specifieke diensten hebben gewijzigd; dringt aan op een proactieve monitoring en evaluatie van de nieuwe werkmethoden, zodat er geen negatieve gevolgen zijn voor het welzijn en de tevredenheid van het personeel;</w:t>
      </w:r>
    </w:p>
    <w:p w:rsidR="005D6748" w:rsidRPr="001C7D10" w:rsidRDefault="00434A68" w:rsidP="005D6748">
      <w:pPr>
        <w:pStyle w:val="NormalHanging12a"/>
      </w:pPr>
      <w:r w:rsidRPr="001C7D10">
        <w:t>79</w:t>
      </w:r>
      <w:r w:rsidR="005D6748" w:rsidRPr="001C7D10">
        <w:t>.</w:t>
      </w:r>
      <w:r w:rsidR="005D6748" w:rsidRPr="001C7D10">
        <w:tab/>
        <w:t xml:space="preserve">stelt vast dat slechts één van de 459 leden van de achtste zittingsperiode die in 2019 niet zijn herkozen, het Parlement een kennisgeving over tewerkstelling na het mandaat heeft </w:t>
      </w:r>
      <w:r w:rsidR="005D6748" w:rsidRPr="001C7D10">
        <w:lastRenderedPageBreak/>
        <w:t>doen toekomen (artikel 6 van de gedragscode); is ingenomen met het verbod voor voormalige leden om in de zes maanden na het einde van hun mandaat lobbyactiviteiten te verrichten en over de invoering van een procedure in geval van niet-naleving; is verheugd dat het niet langer mogelijk is om een voormalig lid binnen de periode van zes maanden na het einde van diens mandaat een lobbyistenpas te verstrekken en dat hun pas voor voormalige leden wordt gedeactiveerd als na deze periode een lobbyistenpas aan het voormalige lid wordt afgegeven; merkt op dat 65 van de 199 ambtenaren die in 2022 zijn opgehouden met voor het Parlement te werken, toestemming hebben gevraagd voor een activiteit na beëindiging van hun dienst (artikel 16 van het Statuut); verzoekt het Parlement strengere regels vast te stellen om draaideurconstructies voor leden en ambtenaren te reguleren;</w:t>
      </w:r>
    </w:p>
    <w:p w:rsidR="00982435" w:rsidRPr="001C7D10" w:rsidRDefault="005B672E" w:rsidP="005D6748">
      <w:pPr>
        <w:pStyle w:val="NormalHanging12a"/>
      </w:pPr>
      <w:r w:rsidRPr="001C7D10">
        <w:t>8</w:t>
      </w:r>
      <w:r w:rsidR="00434A68" w:rsidRPr="001C7D10">
        <w:t>0</w:t>
      </w:r>
      <w:r w:rsidR="00982435" w:rsidRPr="001C7D10">
        <w:t>.</w:t>
      </w:r>
      <w:r w:rsidR="00982435" w:rsidRPr="001C7D10">
        <w:tab/>
        <w:t>is er stellig van overtuigd dat het sponsoren van evenementen en reizen nooit mag dienen als middel om de waarden van de Unie te ondermijnen of vijandige informatie van autoritaire regimes te verspreiden; verzoekt nogmaals om strengere regels voor reizen van leden die worden betaald door vreemde landen en buitenlandse entiteiten; is van mening dat soortgelijke regels moeten worden opgesteld voor reizen van geaccrediteerde medewerkers of fractiemedewerkers;</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Infrastructuur en Logistiek</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8</w:t>
      </w:r>
      <w:r w:rsidR="00434A68" w:rsidRPr="001C7D10">
        <w:rPr>
          <w14:textOutline w14:w="0" w14:cap="flat" w14:cmpd="sng" w14:algn="ctr">
            <w14:noFill/>
            <w14:prstDash w14:val="solid"/>
            <w14:bevel/>
          </w14:textOutline>
        </w:rPr>
        <w:t>1</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herinnert eraan dat het directoraat-generaal Infrastructuur en Logistiek (DG INLO) faciliteiten beheert met een oppervlakte van 1,3 miljoen m² in Brussel, Luxemburg en Straatsburg, evenals de liaisonbureaus en de Europa </w:t>
      </w:r>
      <w:proofErr w:type="spellStart"/>
      <w:r w:rsidR="005D6748" w:rsidRPr="001C7D10">
        <w:rPr>
          <w14:textOutline w14:w="0" w14:cap="flat" w14:cmpd="sng" w14:algn="ctr">
            <w14:noFill/>
            <w14:prstDash w14:val="solid"/>
            <w14:bevel/>
          </w14:textOutline>
        </w:rPr>
        <w:t>Experience</w:t>
      </w:r>
      <w:proofErr w:type="spellEnd"/>
      <w:r w:rsidR="005D6748" w:rsidRPr="001C7D10">
        <w:rPr>
          <w14:textOutline w14:w="0" w14:cap="flat" w14:cmpd="sng" w14:algn="ctr">
            <w14:noFill/>
            <w14:prstDash w14:val="solid"/>
            <w14:bevel/>
          </w14:textOutline>
        </w:rPr>
        <w:t>-faciliteiten in de lidstaten; merkt op dat DG INLO ook zorgt voor catering en vervoer, en de kantoor- en vergaderruimten van het Parlement beheert en uitrust; stelt vast dat op 31 december 2022 DG INLO 652 personeelsleden telde, waarvan 267 ambtenaren, 47 tijdelijke functionarissen en 338 arbeidscontractanten;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8</w:t>
      </w:r>
      <w:r w:rsidR="00434A6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in 2022 de definitieve kredieten van DG INLO in totaal 271 191 093 EUR bedroegen, ofwel 12,5 % van de begroting van het Parlement; benadrukt dat van dat bedrag in totaal 269 189 287 EUR was vastgelegd; is ingenomen met het hoge gebruik van de kredieten; neemt kennis van het feit dat begrotingsposten waar het bestedingspercentage lager was dan 95 %, betrekking hadden op mobiliteit, een niet-geslaagde aanbesteding voor de aankoop van voertuigen en een lager dan verwachte activiteit als gevolg van de COVID-19-pandemie, met lagere uitgaven voor interne vergaderingen als resultaat;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8</w:t>
      </w:r>
      <w:r w:rsidR="00434A68" w:rsidRPr="001C7D10">
        <w:rPr>
          <w14:textOutline w14:w="0" w14:cap="flat" w14:cmpd="sng" w14:algn="ctr">
            <w14:noFill/>
            <w14:prstDash w14:val="solid"/>
            <w14:bevel/>
          </w14:textOutline>
        </w:rPr>
        <w:t>3</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erkent dat de “Gebouwenstrategie van het Parlement voor de periode na 2019” een samenhangend kader biedt voor besluiten en bijdraagt tot de consolidatie van de vastgoedportefeuille van het Parlement terwijl tegelijkertijd de faciliteiten worden aangepast aan de ontwikkeling van vergaderpatronen, de afstand tot de burgers wordt verkleind door de geleidelijke uitrol van “Europa </w:t>
      </w:r>
      <w:proofErr w:type="spellStart"/>
      <w:r w:rsidR="005D6748" w:rsidRPr="001C7D10">
        <w:rPr>
          <w14:textOutline w14:w="0" w14:cap="flat" w14:cmpd="sng" w14:algn="ctr">
            <w14:noFill/>
            <w14:prstDash w14:val="solid"/>
            <w14:bevel/>
          </w14:textOutline>
        </w:rPr>
        <w:t>Experience</w:t>
      </w:r>
      <w:proofErr w:type="spellEnd"/>
      <w:r w:rsidR="005D6748" w:rsidRPr="001C7D10">
        <w:rPr>
          <w14:textOutline w14:w="0" w14:cap="flat" w14:cmpd="sng" w14:algn="ctr">
            <w14:noFill/>
            <w14:prstDash w14:val="solid"/>
            <w14:bevel/>
          </w14:textOutline>
        </w:rPr>
        <w:t>”-centra, de veiligheid van de gebouwen van het Parlement wordt verbeterd en de centrale gebouwen onderling worden verbonden; merkt op dat het merendeel van de beleidsmaatregelen en acties waarnaar in de huidige bouwstrategie wordt verwezen, zijn uitgevoerd of in een vergevorderd stadium zijn;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8</w:t>
      </w:r>
      <w:r w:rsidR="00434A68" w:rsidRPr="001C7D10">
        <w:rPr>
          <w14:textOutline w14:w="0" w14:cap="flat" w14:cmpd="sng" w14:algn="ctr">
            <w14:noFill/>
            <w14:prstDash w14:val="solid"/>
            <w14:bevel/>
          </w14:textOutline>
        </w:rPr>
        <w:t>4</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benadrukt de noodzaak van een doeltreffend en resultaatgericht faciliteitenbeheer van de gebouwen van het Parlement; spreekt zijn tevredenheid uit over de resultaten van de evaluatie van gebouwen van 2022, zoals die in juni 2022 aan het Bureau zijn meegedeeld in de vorm van gebouwenpaspoorten, waarbij de EPIQR-index (Energy </w:t>
      </w:r>
      <w:r w:rsidR="005D6748" w:rsidRPr="001C7D10">
        <w:rPr>
          <w14:textOutline w14:w="0" w14:cap="flat" w14:cmpd="sng" w14:algn="ctr">
            <w14:noFill/>
            <w14:prstDash w14:val="solid"/>
            <w14:bevel/>
          </w14:textOutline>
        </w:rPr>
        <w:lastRenderedPageBreak/>
        <w:t xml:space="preserve">Performance Indoor Environment </w:t>
      </w:r>
      <w:proofErr w:type="spellStart"/>
      <w:r w:rsidR="005D6748" w:rsidRPr="001C7D10">
        <w:rPr>
          <w14:textOutline w14:w="0" w14:cap="flat" w14:cmpd="sng" w14:algn="ctr">
            <w14:noFill/>
            <w14:prstDash w14:val="solid"/>
            <w14:bevel/>
          </w14:textOutline>
        </w:rPr>
        <w:t>Quality</w:t>
      </w:r>
      <w:proofErr w:type="spellEnd"/>
      <w:r w:rsidR="005D6748" w:rsidRPr="001C7D10">
        <w:rPr>
          <w14:textOutline w14:w="0" w14:cap="flat" w14:cmpd="sng" w14:algn="ctr">
            <w14:noFill/>
            <w14:prstDash w14:val="solid"/>
            <w14:bevel/>
          </w14:textOutline>
        </w:rPr>
        <w:t xml:space="preserve"> Retrofit) slechts 0,1 bedroeg, wat getuigt van de over het algemeen uitstekende staat van de gebouwen en van de doeltreffende programmering van preventief en correctief onderhoud en instandhouding door de bevoegde diensten van het Parlement in het kader van de strategie voor geïntegreerd faciliteitenbeheer, gericht op het levenscyclusbeheer van de gebouwenportefeuille van het Parlement, die op 8 maart 2021 door het Bureau is vastgesteld;</w:t>
      </w:r>
    </w:p>
    <w:p w:rsidR="005D6748" w:rsidRPr="001C7D10" w:rsidRDefault="005B672E" w:rsidP="005D6748">
      <w:pPr>
        <w:pStyle w:val="NormalHanging12a"/>
      </w:pPr>
      <w:r w:rsidRPr="001C7D10">
        <w:t>8</w:t>
      </w:r>
      <w:r w:rsidR="00434A68" w:rsidRPr="001C7D10">
        <w:t>5</w:t>
      </w:r>
      <w:r w:rsidR="005D6748" w:rsidRPr="001C7D10">
        <w:t>.</w:t>
      </w:r>
      <w:r w:rsidR="005D6748" w:rsidRPr="001C7D10">
        <w:tab/>
        <w:t>is ingenomen met het streven van DG INLO om ecologisch duurzame oplossingen te ontwikkelen; merkt op dat het Parlement in 2022 meer dan 19 % van zijn eigen energie uit hernieuwbare bronnen haalde; is ingenomen met de uitvoering van een studie over de elektriciteitsproductie ter plaatse in Straatsburg in 2022 en de daaropvolgende, nog lopende installatie van 1 400 m</w:t>
      </w:r>
      <w:r w:rsidR="005D6748" w:rsidRPr="001C7D10">
        <w:rPr>
          <w:vertAlign w:val="superscript"/>
        </w:rPr>
        <w:t>2</w:t>
      </w:r>
      <w:r w:rsidR="005D6748" w:rsidRPr="001C7D10">
        <w:t xml:space="preserve"> aan fotovoltaïsche panelen op de </w:t>
      </w:r>
      <w:proofErr w:type="spellStart"/>
      <w:r w:rsidR="005D6748" w:rsidRPr="001C7D10">
        <w:t>Pflimlin</w:t>
      </w:r>
      <w:proofErr w:type="spellEnd"/>
      <w:r w:rsidR="005D6748" w:rsidRPr="001C7D10">
        <w:t xml:space="preserve">-, de </w:t>
      </w:r>
      <w:proofErr w:type="spellStart"/>
      <w:r w:rsidR="005D6748" w:rsidRPr="001C7D10">
        <w:t>Madariaga</w:t>
      </w:r>
      <w:proofErr w:type="spellEnd"/>
      <w:r w:rsidR="005D6748" w:rsidRPr="001C7D10">
        <w:t>- en Churchillgebouwen; wijst erop dat het Parlement deze energie zou kunnen delen met de stad Straatsburg wanneer de gebouwen van het Parlement grotendeels leeg zijn; verzoekt het Bureau ook te overwegen dakoppervlakken te verhuren aan externe gebruikers voor de installatie van zonnepanelen, en dit aldus te gebruiken als een extra bron van inkomsten voor het Parlement;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8</w:t>
      </w:r>
      <w:r w:rsidR="00434A68" w:rsidRPr="001C7D10">
        <w:rPr>
          <w14:textOutline w14:w="0" w14:cap="flat" w14:cmpd="sng" w14:algn="ctr">
            <w14:noFill/>
            <w14:prstDash w14:val="solid"/>
            <w14:bevel/>
          </w14:textOutline>
        </w:rPr>
        <w:t>6</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neemt kennis van de opening van de oostelijke vleugel van het ADENAUER-gebouw in Luxemburg op 10 mei 2022, die, samen met de ingebruikneming van de westelijke vleugel na de voltooiing van de bouw ervan in 2024, één enkel gebouw zal opleveren waar alle diensten van het Parlement in Luxemburg gehuisvest zijn;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8</w:t>
      </w:r>
      <w:r w:rsidR="00434A68" w:rsidRPr="001C7D10">
        <w:rPr>
          <w14:textOutline w14:w="0" w14:cap="flat" w14:cmpd="sng" w14:algn="ctr">
            <w14:noFill/>
            <w14:prstDash w14:val="solid"/>
            <w14:bevel/>
          </w14:textOutline>
        </w:rPr>
        <w:t>7</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neemt kennis van de opening van de 15 seminarruimten voor bezoekers, een multifunctionele agora en een </w:t>
      </w:r>
      <w:proofErr w:type="spellStart"/>
      <w:r w:rsidR="005D6748" w:rsidRPr="001C7D10">
        <w:rPr>
          <w14:textOutline w14:w="0" w14:cap="flat" w14:cmpd="sng" w14:algn="ctr">
            <w14:noFill/>
            <w14:prstDash w14:val="solid"/>
            <w14:bevel/>
          </w14:textOutline>
        </w:rPr>
        <w:t>Sacharov</w:t>
      </w:r>
      <w:proofErr w:type="spellEnd"/>
      <w:r w:rsidR="005D6748" w:rsidRPr="001C7D10">
        <w:rPr>
          <w14:textOutline w14:w="0" w14:cap="flat" w14:cmpd="sng" w14:algn="ctr">
            <w14:noFill/>
            <w14:prstDash w14:val="solid"/>
            <w14:bevel/>
          </w14:textOutline>
        </w:rPr>
        <w:t>-lounge in het ZWEIG-gebouw, die zullen bijdragen tot een betere bezoekerservaring in het Europees Parlement in Brussel; neemt kennis van de voltooiing van de passage die het ZWEIG-gebouw verbindt met de gebouwen van het Comité van de Regio’s en het Europees Economisch en Sociaal Comité;</w:t>
      </w:r>
    </w:p>
    <w:p w:rsidR="005D6748" w:rsidRPr="001C7D10" w:rsidRDefault="005B672E" w:rsidP="005D6748">
      <w:pPr>
        <w:pStyle w:val="NormalHanging12a"/>
      </w:pPr>
      <w:r w:rsidRPr="001C7D10">
        <w:t>8</w:t>
      </w:r>
      <w:r w:rsidR="00434A68" w:rsidRPr="001C7D10">
        <w:t>8</w:t>
      </w:r>
      <w:r w:rsidR="005D6748" w:rsidRPr="001C7D10">
        <w:t>.</w:t>
      </w:r>
      <w:r w:rsidR="005D6748" w:rsidRPr="001C7D10">
        <w:tab/>
        <w:t>is ingenomen met de inspanningen van het Parlement om het personeel aan te moedigen gebruik te maken van duurzame vervoermiddelen voor woon-werkverkeer door een groter aantal klassieke en elektrische fietsen gratis ter beschikking te stellen en een deel van de kosten voor gebruik van het openbaar vervoer te vergoeden in ruil voor een beperking van de toegang tot parkeerplaatsen; is ingenomen met de nieuwe regeling die voorziet in een prijsverlaging van 90 % voor jaarkaarten voor het openbaar vervoer in Brussel, hetgeen heeft geleid tot een toename van 26,57 % van personeel dat gebruikmaakt van een door het Parlement medegefinancierde jaarkaart;</w:t>
      </w:r>
    </w:p>
    <w:p w:rsidR="005D6748" w:rsidRPr="001C7D10" w:rsidRDefault="00434A68" w:rsidP="005D6748">
      <w:pPr>
        <w:pStyle w:val="NormalHanging12a"/>
      </w:pPr>
      <w:r w:rsidRPr="001C7D10">
        <w:t>89</w:t>
      </w:r>
      <w:r w:rsidR="005D6748" w:rsidRPr="001C7D10">
        <w:t>.</w:t>
      </w:r>
      <w:r w:rsidR="005D6748" w:rsidRPr="001C7D10">
        <w:tab/>
        <w:t>is ingenomen met het feit dat het personeel tijdens de vergaderperioden in Straatsburg gewone en elektrische fietsen kan huren; is ingenomen met de uitbreiding van het aantal fietsen; betreurt het dat de fietsen in de praktijk dagen op voorhand volledig geboekt zijn; verzoekt het Parlement na te gaan of het mogelijk is meer huurfietsen in Straatsburg aan te bieden en de termijnen voor het ophalen ervan te verlengen om aan de vraag van leden en personeel te voldoen en bij te dragen tot de bevordering van duurzame mobiliteit;</w:t>
      </w:r>
    </w:p>
    <w:p w:rsidR="005D6748" w:rsidRPr="001C7D10" w:rsidRDefault="005B672E" w:rsidP="005D6748">
      <w:pPr>
        <w:pStyle w:val="NormalHanging12a"/>
      </w:pPr>
      <w:r w:rsidRPr="001C7D10">
        <w:t>9</w:t>
      </w:r>
      <w:r w:rsidR="00434A68" w:rsidRPr="001C7D10">
        <w:t>0</w:t>
      </w:r>
      <w:r w:rsidR="005D6748" w:rsidRPr="001C7D10">
        <w:t>.</w:t>
      </w:r>
      <w:r w:rsidR="005D6748" w:rsidRPr="001C7D10">
        <w:tab/>
        <w:t>is ingenomen met het feit dat het percentage emissievrije of plug-in hybride elektrische voertuigen in het wagenpark voor personenvervoer is gestegen van 81 % in 2021 naar 97 % in 2022;</w:t>
      </w:r>
    </w:p>
    <w:p w:rsidR="00982435" w:rsidRPr="001C7D10" w:rsidRDefault="005B672E" w:rsidP="005D6748">
      <w:pPr>
        <w:pStyle w:val="NormalHanging12a"/>
      </w:pPr>
      <w:r w:rsidRPr="001C7D10">
        <w:t>9</w:t>
      </w:r>
      <w:r w:rsidR="00434A68" w:rsidRPr="001C7D10">
        <w:t>1</w:t>
      </w:r>
      <w:r w:rsidR="00982435" w:rsidRPr="001C7D10">
        <w:t>.</w:t>
      </w:r>
      <w:r w:rsidR="00982435" w:rsidRPr="001C7D10">
        <w:tab/>
        <w:t xml:space="preserve">wijst erop dat in 2022 een groot deel van de zitplaatsen die beschikbaar waren in het </w:t>
      </w:r>
      <w:r w:rsidR="00982435" w:rsidRPr="001C7D10">
        <w:lastRenderedPageBreak/>
        <w:t>wagenpark ten behoeve van het pendelen tussen Brussel en Straatsburg voor de plenaire vergaderingen onbezet was; herhaalt zijn verzoek aan de administratie van het Parlement om de gebruikersgroep te verbreden en het personeel van het Parlement in staat te stellen zonder aanwezigheid van een lid met de dienstvloot naar en van Straatsburg te reizen, en er tegelijkertijd voor te zorgen dat de zitplaatsen van de leden veilig worden gesteld;</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9</w:t>
      </w:r>
      <w:r w:rsidR="00434A6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erkent het belang en de toegevoegde waarde van de EMAS-certificering van het Parlement met betrekking tot zijn institutionele aanpak op het gebied van duurzaam milieu en circulaire economie; neemt kennis van de maatregelen op het gebied van waterbesparing en afvalbeheer die de administratie in verband daarmee heeft genomen;</w:t>
      </w:r>
    </w:p>
    <w:p w:rsidR="005D6748" w:rsidRPr="001C7D10" w:rsidRDefault="005B672E" w:rsidP="005D6748">
      <w:pPr>
        <w:pStyle w:val="NormalHanging12a"/>
      </w:pPr>
      <w:r w:rsidRPr="001C7D10">
        <w:t>9</w:t>
      </w:r>
      <w:r w:rsidR="00434A68" w:rsidRPr="001C7D10">
        <w:t>3</w:t>
      </w:r>
      <w:r w:rsidR="005D6748" w:rsidRPr="001C7D10">
        <w:t>.</w:t>
      </w:r>
      <w:r w:rsidR="005D6748" w:rsidRPr="001C7D10">
        <w:tab/>
      </w:r>
      <w:r w:rsidR="00982435" w:rsidRPr="001C7D10">
        <w:t>neemt kennis van het unanieme besluit van het Bureau van 23 oktober 2019 om in te stemmen met de oprichting van een IDEA-lab, met als doel het testen van nieuwe, innovatieve oplossingen in de context van kantoor- en faciliteitenbeheer; is ingenomen met de oprichting van een permanent laboratorium voor innovatie, dat kan leiden tot besparingen bij toekomstige renovatieprojecten, en dringt aan op de invoering van een afzonderlijke begrotingslijn; wijst erop dat het IDEA-lab geacht wordt ter beschikking van de leden te staan en eist dat de leden worden geïnformeerd over innovaties en geteste oplossingen die in de toekomst zullen worden uitgerold en over innovaties en oplossingen die worden afgeschreven, met opgave van de redenen hiervoor; is van mening dat een van de prioriteiten van het IDEA-lab een innovatieve architectonische oplossing moet zijn om de ruimte van de ongebruikte douches in de kantoren van de leden beter te benutten; verzoekt de werkgroep inzake gebouwen van het Bureau en de administratie van het Parlement te zorgen voor meer transparantie met betrekking tot de begroting voor het IDEA-lab en de Commissie begrotingscontrole geregeld de lijst van innovatieve oplossingen te doen toekomen en haar te informeren over de kosten daarvan en de feedback daarop, alsook over de mogelijke besparingen indien deze worden gerealiseerd;</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9</w:t>
      </w:r>
      <w:r w:rsidR="00E82278" w:rsidRPr="001C7D10">
        <w:rPr>
          <w14:textOutline w14:w="0" w14:cap="flat" w14:cmpd="sng" w14:algn="ctr">
            <w14:noFill/>
            <w14:prstDash w14:val="solid"/>
            <w14:bevel/>
          </w14:textOutline>
        </w:rPr>
        <w:t>4</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neemt kennis van de verschillende projecten en werkzaamheden op het gebied van toegankelijkheid die op alle drie de werklocaties worden uitgevoerd, alsook in de liaisonbureaus van het Europees Parlement en de Europa </w:t>
      </w:r>
      <w:proofErr w:type="spellStart"/>
      <w:r w:rsidR="005D6748" w:rsidRPr="001C7D10">
        <w:rPr>
          <w14:textOutline w14:w="0" w14:cap="flat" w14:cmpd="sng" w14:algn="ctr">
            <w14:noFill/>
            <w14:prstDash w14:val="solid"/>
            <w14:bevel/>
          </w14:textOutline>
        </w:rPr>
        <w:t>Experience</w:t>
      </w:r>
      <w:proofErr w:type="spellEnd"/>
      <w:r w:rsidR="005D6748" w:rsidRPr="001C7D10">
        <w:rPr>
          <w14:textOutline w14:w="0" w14:cap="flat" w14:cmpd="sng" w14:algn="ctr">
            <w14:noFill/>
            <w14:prstDash w14:val="solid"/>
            <w14:bevel/>
          </w14:textOutline>
        </w:rPr>
        <w:t>-centra, die tot doel hebben te zorgen voor volledige conformiteit met het toepasselijke regelgevingskader, in overeenstemming met het streven van het Parlement om een voor iedereen toegankelijke instelling zonder belemmeringen te zijn;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9</w:t>
      </w:r>
      <w:r w:rsidR="00E8227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erkent dat als gevolg van de Russische aanvalsoorlog tegen Oekraïne en de energiecrisis, verstoringen van de toeleveringsketen en tekorten aan grondstoffen DG INLO ertoe hebben gedwongen zijn projecten te herzien en zijn begroting aan te passen; merkt op dat DG INLO als gevolg van het daaruit voortvloeiende tekort op de energiebegroting sommige projecten moest stilleggen of opschorten om de nodige middelen vrij te maken om de sterke stijging van de kosten het hoofd te bieden; </w:t>
      </w:r>
    </w:p>
    <w:p w:rsidR="005D6748" w:rsidRPr="001C7D10" w:rsidRDefault="005B672E" w:rsidP="005D6748">
      <w:pPr>
        <w:pStyle w:val="NormalHanging12a"/>
      </w:pPr>
      <w:r w:rsidRPr="001C7D10">
        <w:t>9</w:t>
      </w:r>
      <w:r w:rsidR="00E82278" w:rsidRPr="001C7D10">
        <w:t>6</w:t>
      </w:r>
      <w:r w:rsidR="005D6748" w:rsidRPr="001C7D10">
        <w:t>.</w:t>
      </w:r>
      <w:r w:rsidR="005D6748" w:rsidRPr="001C7D10">
        <w:tab/>
        <w:t xml:space="preserve">neemt kennis van de maatregelen die zijn genomen om het energieverbruik van het Parlement te verlagen, zoals het verlagen van de maximale verwarmingstemperaturen in kantoorruimten en het verhogen van de </w:t>
      </w:r>
      <w:proofErr w:type="spellStart"/>
      <w:r w:rsidR="005D6748" w:rsidRPr="001C7D10">
        <w:t>minimumkoeltemperaturen</w:t>
      </w:r>
      <w:proofErr w:type="spellEnd"/>
      <w:r w:rsidR="005D6748" w:rsidRPr="001C7D10">
        <w:t>, het uitschakelen van de verwarmings- en koelingssystemen tijdens het weekend en feestdagen, het verminderen van de verlichting van gevels van gebouwen en het terugschroeven van de binnenverlichtingsniveaus; erkent dat de maatregelen opnieuw moeten worden beoordeeld naarmate de energiecrisis zich ontwikkelt en altijd het welzijn van het personeel moeten waarborgen;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lastRenderedPageBreak/>
        <w:t>9</w:t>
      </w:r>
      <w:r w:rsidR="00E82278" w:rsidRPr="001C7D10">
        <w:rPr>
          <w14:textOutline w14:w="0" w14:cap="flat" w14:cmpd="sng" w14:algn="ctr">
            <w14:noFill/>
            <w14:prstDash w14:val="solid"/>
            <w14:bevel/>
          </w14:textOutline>
        </w:rPr>
        <w:t>7</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erkent dat de verschillende maatregelen die de administratie naar aanleiding van de desbetreffende besluiten van het Bureau van mei en oktober 2022 heeft genomen, hebben geleid tot een aanzienlijke vermindering van het energieverbruik, wat in de periode tussen mei 2022 en oktober 2023 heeft geleid tot een besparing van 10,5 miljoen EUR;</w:t>
      </w:r>
    </w:p>
    <w:p w:rsidR="005D6748" w:rsidRPr="001C7D10" w:rsidRDefault="005B672E" w:rsidP="005D6748">
      <w:pPr>
        <w:pStyle w:val="NormalHanging12a"/>
      </w:pPr>
      <w:r w:rsidRPr="001C7D10">
        <w:t>9</w:t>
      </w:r>
      <w:r w:rsidR="00E82278" w:rsidRPr="001C7D10">
        <w:t>8</w:t>
      </w:r>
      <w:r w:rsidR="005D6748" w:rsidRPr="001C7D10">
        <w:t>.</w:t>
      </w:r>
      <w:r w:rsidR="005D6748" w:rsidRPr="001C7D10">
        <w:tab/>
        <w:t xml:space="preserve">stelt vast dat DG INLO de “Gebouwenstrategie van het Parlement voor de periode na 2019” gedurende het jaar 2022 heeft voortgezet; neemt kennis van de bijdrage van de aankoop van het </w:t>
      </w:r>
      <w:proofErr w:type="spellStart"/>
      <w:r w:rsidR="005D6748" w:rsidRPr="001C7D10">
        <w:t>Trèves</w:t>
      </w:r>
      <w:proofErr w:type="spellEnd"/>
      <w:r w:rsidR="005D6748" w:rsidRPr="001C7D10">
        <w:t xml:space="preserve"> II-gebouw aan de uitvoering van deze strategie en aan de consolidatie van het vastgoed van het Parlement, met name met het oog op de onderlinge verbinding van de centrale gebouwen van het Parlement in Brussel; verzoekt om een tijdschema voor de onderlinge verbinding van </w:t>
      </w:r>
      <w:proofErr w:type="spellStart"/>
      <w:r w:rsidR="005D6748" w:rsidRPr="001C7D10">
        <w:t>Trèves</w:t>
      </w:r>
      <w:proofErr w:type="spellEnd"/>
      <w:r w:rsidR="005D6748" w:rsidRPr="001C7D10">
        <w:t xml:space="preserve"> I en </w:t>
      </w:r>
      <w:proofErr w:type="spellStart"/>
      <w:r w:rsidR="005D6748" w:rsidRPr="001C7D10">
        <w:t>Trèves</w:t>
      </w:r>
      <w:proofErr w:type="spellEnd"/>
      <w:r w:rsidR="005D6748" w:rsidRPr="001C7D10">
        <w:t> II met de belangrijkste centrale gebouwen in Brussel;</w:t>
      </w:r>
    </w:p>
    <w:p w:rsidR="005D6748" w:rsidRPr="001C7D10" w:rsidRDefault="00E82278" w:rsidP="005D6748">
      <w:pPr>
        <w:pStyle w:val="NormalHanging12a"/>
      </w:pPr>
      <w:r w:rsidRPr="001C7D10">
        <w:t>99</w:t>
      </w:r>
      <w:r w:rsidR="005D6748" w:rsidRPr="001C7D10">
        <w:t>.</w:t>
      </w:r>
      <w:r w:rsidR="005D6748" w:rsidRPr="001C7D10">
        <w:tab/>
      </w:r>
      <w:r w:rsidR="00982435" w:rsidRPr="001C7D10">
        <w:t>prijst het Parlement voor de aanpassingswerken op het gebied van toegankelijkheid die tussen 2017 en 2022 in de Brusselse gebouwen zijn uitgevoerd voor een totaalbedrag van 3,3 miljoen EUR</w:t>
      </w:r>
      <w:r w:rsidR="00982435" w:rsidRPr="001C7D10">
        <w:rPr>
          <w:rStyle w:val="FootnoteReference"/>
        </w:rPr>
        <w:footnoteReference w:id="11"/>
      </w:r>
      <w:r w:rsidR="00982435" w:rsidRPr="001C7D10">
        <w:t xml:space="preserve">; is ingenomen met het feit dat de tribune in het bezoekersgedeelte van de grote vergaderzaal in het Spaakgebouw thans toegankelijk is voor personen met beperkte mobiliteit; herinnert eraan dat de Unie het voortouw heeft genomen bij het bevorderen van </w:t>
      </w:r>
      <w:proofErr w:type="spellStart"/>
      <w:r w:rsidR="00982435" w:rsidRPr="001C7D10">
        <w:t>inclusiviteit</w:t>
      </w:r>
      <w:proofErr w:type="spellEnd"/>
      <w:r w:rsidR="00982435" w:rsidRPr="001C7D10">
        <w:t xml:space="preserve"> en gelijkheid voor al haar burgers; herinnert eraan dat elke Europese burger gelijke toegang moet hebben bij een bezoek aan de EU-instellingen; dringt er bij het Parlement op aan een analyse van de behoeften van bezoekers met een handicap te verrichten en verzoekt om de uitvoering van passende maatregelen;</w:t>
      </w:r>
    </w:p>
    <w:p w:rsidR="005D6748" w:rsidRPr="001C7D10" w:rsidRDefault="005B672E" w:rsidP="005D6748">
      <w:pPr>
        <w:pStyle w:val="NormalHanging12a"/>
      </w:pPr>
      <w:r w:rsidRPr="001C7D10">
        <w:t>10</w:t>
      </w:r>
      <w:r w:rsidR="00E82278" w:rsidRPr="001C7D10">
        <w:t>0</w:t>
      </w:r>
      <w:r w:rsidR="005D6748" w:rsidRPr="001C7D10">
        <w:t>.</w:t>
      </w:r>
      <w:r w:rsidR="005D6748" w:rsidRPr="001C7D10">
        <w:tab/>
        <w:t>neemt nota van de notulen van de extra vergadering van het Bureau van 6 juli 2022, die vermelden dat het Bureau kennis heeft genomen van de resultaten van de internationale architectuurwedstrijd voor de renovatie van het SPAAK-gebouw en deze heeft bekrachtigd; merkt op dat het Bureau de selectie van vijf laureaten heeft bekrachtigd; merkt op dat er in 2022 over dit onderwerp geen ander besluit is genomen en dat er dus geen financiële gevolgen waren, maar wijst er tegelijkertijd op dat de renovatiewerkzaamheden zo snel mogelijk van start moeten gaan; benadrukt dat op 14 februari 2024 de definitieve plannen om te beginnen met de renovatiewerkzaamheden snel zijn goedgekeurd op commissieniveau, vanwege de verslechterende staat van het gebouw; wijst erop dat het huidige gebouw een zeer lage energie-efficiëntieklasse heeft en de nodige flexibiliteit mist om geschikt te zijn voor het beoogde doel; benadrukt dat het Europees Parlement een voorloper moet zijn met zijn eigen gebouwenportefeuille op het gebied van energie-efficiëntie en duurzaamheid om de steun van de burgers voor de doelstellingen van de Green Deal te waarborgen; merkt op dat de renovatie zou leiden tot aanzienlijke kostenbesparingen van enkele miljoenen euro’s per jaar en bovendien zou helpen om aan de vereisten van de toekomstige Europese energie-efficiëntierichtlijn en richtlijn energieprestatie van gebouwen te voldoen; </w:t>
      </w:r>
    </w:p>
    <w:p w:rsidR="005D6748" w:rsidRPr="001C7D10" w:rsidRDefault="005B672E" w:rsidP="005D6748">
      <w:pPr>
        <w:pStyle w:val="NormalHanging12a"/>
      </w:pPr>
      <w:r w:rsidRPr="001C7D10">
        <w:t>10</w:t>
      </w:r>
      <w:r w:rsidR="00E82278" w:rsidRPr="001C7D10">
        <w:t>1</w:t>
      </w:r>
      <w:r w:rsidR="005D6748" w:rsidRPr="001C7D10">
        <w:t>.</w:t>
      </w:r>
      <w:r w:rsidR="005D6748" w:rsidRPr="001C7D10">
        <w:tab/>
        <w:t>neemt voorts kennis van het besluit van het Bureau van 6 juli 2022 inzake de gebouwenstrategie voor Straatsburg, waarbij de nadruk ligt op het verbeteren van de ontvangst- en accommodatiecapaciteit, het optimaliseren van het gebruik van de gebouwen van het Parlement, het verbeteren van de toegankelijkheid en het consolideren van de functionaliteit voor het personeel;</w:t>
      </w:r>
    </w:p>
    <w:p w:rsidR="005D6748" w:rsidRPr="001C7D10" w:rsidRDefault="005B672E" w:rsidP="005D6748">
      <w:pPr>
        <w:pStyle w:val="NormalHanging12a"/>
      </w:pPr>
      <w:r w:rsidRPr="001C7D10">
        <w:t>10</w:t>
      </w:r>
      <w:r w:rsidR="00E82278" w:rsidRPr="001C7D10">
        <w:t>2</w:t>
      </w:r>
      <w:r w:rsidR="005D6748" w:rsidRPr="001C7D10">
        <w:t>.</w:t>
      </w:r>
      <w:r w:rsidR="005D6748" w:rsidRPr="001C7D10">
        <w:tab/>
        <w:t xml:space="preserve">merkt op dat de zelfbedieningskantine van het Parlement op de eerste ondergrondse </w:t>
      </w:r>
      <w:r w:rsidR="005D6748" w:rsidRPr="001C7D10">
        <w:lastRenderedPageBreak/>
        <w:t xml:space="preserve">verdieping van het </w:t>
      </w:r>
      <w:proofErr w:type="spellStart"/>
      <w:r w:rsidR="005D6748" w:rsidRPr="001C7D10">
        <w:t>Spinelligebouw</w:t>
      </w:r>
      <w:proofErr w:type="spellEnd"/>
      <w:r w:rsidR="005D6748" w:rsidRPr="001C7D10">
        <w:t xml:space="preserve"> tijdens piekuren vaak overvol is, met lange rijen en wachttijden tot gevolg; verzoekt het Bureau na te denken over het opleggen van toegangsbeperkingen tot de kantines in de hoofdgebouwen van het Parlement voor externe bezoekers en bezoekersgroepen; is bezorgd over de onbevredigende prijs-kwaliteitsverhouding en met name het gebrek aan betaalbare vegetarische opties; verzoekt de administratie oplossingen voor te stellen om deze situatie te verhelpen;</w:t>
      </w:r>
    </w:p>
    <w:p w:rsidR="005D6748" w:rsidRPr="001C7D10" w:rsidRDefault="005B672E" w:rsidP="005D6748">
      <w:pPr>
        <w:pStyle w:val="NormalHanging12a"/>
      </w:pPr>
      <w:r w:rsidRPr="001C7D10">
        <w:t>10</w:t>
      </w:r>
      <w:r w:rsidR="00E82278" w:rsidRPr="001C7D10">
        <w:t>3</w:t>
      </w:r>
      <w:r w:rsidR="005D6748" w:rsidRPr="001C7D10">
        <w:t>.</w:t>
      </w:r>
      <w:r w:rsidR="005D6748" w:rsidRPr="001C7D10">
        <w:tab/>
        <w:t>merkt op dat in 2022, nadat de COVID-gerelateerde capaciteitsbeperkingen waren opgeheven, het aanbod van zitplaatsen in de dienstvloot op maandagen van Brussel naar Straatsburg 250 plaatsen bedroeg en dat in de weken van de vergaderperiodes in 2022 gemiddeld 162 zitplaatsen of 65 % van de beschikbare zitplaatsen in de vloot bezet waren; herhaalt zijn oproep aan de administratie van het Parlement om het gebruik van zitplaatsen uit te breiden en ervoor te zorgen dat de zitplaatsen van de leden veilig worden gesteld om verspilling van middelen te voorkomen;</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Vertaling</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10</w:t>
      </w:r>
      <w:r w:rsidR="00E82278" w:rsidRPr="001C7D10">
        <w:rPr>
          <w14:textOutline w14:w="0" w14:cap="flat" w14:cmpd="sng" w14:algn="ctr">
            <w14:noFill/>
            <w14:prstDash w14:val="solid"/>
            <w14:bevel/>
          </w14:textOutline>
        </w:rPr>
        <w:t>4</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herinnert eraan dat het directoraat-generaal Vertaling (DG TRAD) verantwoordelijk is voor het verstrekken van meertalige wetgeving en andere taalkundige diensten van hoge kwaliteit aan het Europees Parlement, de diensten van het Parlement en alle burgers van de Unie, op basis van het beginsel van volledige hulpbronnenefficiënte meertaligheid; stelt vast dat DG TRAD op 31 december 2022 1 109 personeelsleden telde, waarvan 945 ambtenaren, 97 tijdelijke functionarissen, 66 arbeidscontractanten en 1 uitzendkracht;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10</w:t>
      </w:r>
      <w:r w:rsidR="00E8227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de definitieve kredieten van DG TRAD in 2022 in totaal 17 105 500 EUR bedroegen, ofwel 0,8 % van de begroting van het Parlement; benadrukt dat van dat bedrag in totaal 16 834 967 EUR was vastgelegd; is ingenomen met het hoge gebruik van de kredieten;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10</w:t>
      </w:r>
      <w:r w:rsidR="00E82278" w:rsidRPr="001C7D10">
        <w:rPr>
          <w14:textOutline w14:w="0" w14:cap="flat" w14:cmpd="sng" w14:algn="ctr">
            <w14:noFill/>
            <w14:prstDash w14:val="solid"/>
            <w14:bevel/>
          </w14:textOutline>
        </w:rPr>
        <w:t>6</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het streven van DG TRAD om hoogwaardige taaldiensten tijdig aan te bieden; stelt met tevredenheid vast dat in 2022 meer dan 2,89 miljoen bruto bladzijden zijn vertaald, wat neerkomt op een stijging van 26 % ten opzichte van 2021; stelt met tevredenheid vast dat de overgrote meerderheid van de werkzaamheden op tijd is uitgevoerd (98,5 % in normale omstandigheden en 98,6 % wanneer de aanvragen niet volgens de regels waren);</w:t>
      </w:r>
    </w:p>
    <w:p w:rsidR="005D6748" w:rsidRPr="001C7D10" w:rsidRDefault="005B672E" w:rsidP="005D6748">
      <w:pPr>
        <w:spacing w:after="240"/>
        <w:ind w:left="567" w:hanging="567"/>
        <w:rPr>
          <w14:textOutline w14:w="0" w14:cap="flat" w14:cmpd="sng" w14:algn="ctr">
            <w14:noFill/>
            <w14:prstDash w14:val="solid"/>
            <w14:bevel/>
          </w14:textOutline>
        </w:rPr>
      </w:pPr>
      <w:r w:rsidRPr="001C7D10">
        <w:rPr>
          <w14:textOutline w14:w="0" w14:cap="flat" w14:cmpd="sng" w14:algn="ctr">
            <w14:noFill/>
            <w14:prstDash w14:val="solid"/>
            <w14:bevel/>
          </w14:textOutline>
        </w:rPr>
        <w:t>10</w:t>
      </w:r>
      <w:r w:rsidR="00E82278" w:rsidRPr="001C7D10">
        <w:rPr>
          <w14:textOutline w14:w="0" w14:cap="flat" w14:cmpd="sng" w14:algn="ctr">
            <w14:noFill/>
            <w14:prstDash w14:val="solid"/>
            <w14:bevel/>
          </w14:textOutline>
        </w:rPr>
        <w:t>7</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verheugd over de bevordering en productie van inhoud in de “taal van de burger” door DG TRAD, de eigen benadering van het Parlement van heldere taal, die is afgestemd op de behoeften van de mensen in de 24 officiële talen van de Unie; is ingenomen met de oprichting van een Oekraïens taalteam dat taalkundige diensten verleent in het Oekraïens, met inbegrip van vertalingen, audioproducten en ondertitels voor een speciale website;</w:t>
      </w:r>
    </w:p>
    <w:p w:rsidR="00982435" w:rsidRPr="001C7D10" w:rsidRDefault="005B672E" w:rsidP="005D6748">
      <w:pPr>
        <w:spacing w:after="240"/>
        <w:ind w:left="567" w:hanging="567"/>
        <w:rPr>
          <w:szCs w:val="24"/>
          <w14:textOutline w14:w="0" w14:cap="flat" w14:cmpd="sng" w14:algn="ctr">
            <w14:noFill/>
            <w14:prstDash w14:val="solid"/>
            <w14:bevel/>
          </w14:textOutline>
        </w:rPr>
      </w:pPr>
      <w:r w:rsidRPr="001C7D10">
        <w:t>10</w:t>
      </w:r>
      <w:r w:rsidR="00E82278" w:rsidRPr="001C7D10">
        <w:t>8</w:t>
      </w:r>
      <w:r w:rsidR="00982435" w:rsidRPr="001C7D10">
        <w:t>.</w:t>
      </w:r>
      <w:r w:rsidR="00982435" w:rsidRPr="001C7D10">
        <w:tab/>
        <w:t>herinnert eraan dat de dovengemeenschap al sinds 2016 vraagt om verzoekschriften bij het Parlement te kunnen indienen in de nationale gebarentalen van de EU; benadrukt dat de maatregel de dovengemeenschap in staat zou stellen haar recht uit te oefenen om verzoekschriften in te dienen, een van de grondrechten van alle Europese burgers, verankerd in zowel het Verdrag als het Handvest van de grondrechten</w:t>
      </w:r>
      <w:r w:rsidR="00E82278" w:rsidRPr="001C7D10">
        <w:t xml:space="preserve"> van de Europese Unie</w:t>
      </w:r>
      <w:r w:rsidR="00982435" w:rsidRPr="001C7D10">
        <w:t xml:space="preserve">; neemt kennis van de analyse van DG LINC en DG ITEC van de meest efficiënte oplossing met minimale kosten die in mei 2020 aan de Commissie verzoekschriften is toegezonden; verzoekt de administratie deze oplossing uit te voeren en de indiening van </w:t>
      </w:r>
      <w:r w:rsidR="00982435" w:rsidRPr="001C7D10">
        <w:lastRenderedPageBreak/>
        <w:t>verzoekschriften in de nationale gebarentalen van de EU via het verzoekschriftenportaal mogelijk te maken;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w:t>
      </w:r>
      <w:r w:rsidR="00E82278" w:rsidRPr="001C7D10">
        <w:rPr>
          <w14:textOutline w14:w="0" w14:cap="flat" w14:cmpd="sng" w14:algn="ctr">
            <w14:noFill/>
            <w14:prstDash w14:val="solid"/>
            <w14:bevel/>
          </w14:textOutline>
        </w:rPr>
        <w:t>09</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stelt met tevredenheid vast dat de eerste ronde van het door DG TRAD en DG PERS georganiseerde algemene vergelijkend onderzoek voor taalkundig-intercultureel professionals, dat elf talen bestrijkt, met succes is afgerond; benadrukt dat DG TRAD ook is begonnen met het aanwerven van kandidaten die zijn geslaagd voor zijn allereerste vergelijkend onderzoek voor redacteuren voor heldere teksten; is ingenomen </w:t>
      </w:r>
      <w:proofErr w:type="gramStart"/>
      <w:r w:rsidR="005D6748" w:rsidRPr="001C7D10">
        <w:rPr>
          <w14:textOutline w14:w="0" w14:cap="flat" w14:cmpd="sng" w14:algn="ctr">
            <w14:noFill/>
            <w14:prstDash w14:val="solid"/>
            <w14:bevel/>
          </w14:textOutline>
        </w:rPr>
        <w:t>met</w:t>
      </w:r>
      <w:proofErr w:type="gramEnd"/>
      <w:r w:rsidR="005D6748" w:rsidRPr="001C7D10">
        <w:rPr>
          <w14:textOutline w14:w="0" w14:cap="flat" w14:cmpd="sng" w14:algn="ctr">
            <w14:noFill/>
            <w14:prstDash w14:val="solid"/>
            <w14:bevel/>
          </w14:textOutline>
        </w:rPr>
        <w:t xml:space="preserve"> het feit dat door de samenwerking de aanwerving van hooggekwalificeerde ambtenaren met actuele en toekomstgerichte profielen aanzienlijk is versneld;</w:t>
      </w:r>
    </w:p>
    <w:p w:rsidR="005D6748" w:rsidRPr="001C7D10" w:rsidRDefault="005B672E" w:rsidP="005D6748">
      <w:pPr>
        <w:pStyle w:val="NormalHanging12a"/>
      </w:pPr>
      <w:r w:rsidRPr="001C7D10">
        <w:t>11</w:t>
      </w:r>
      <w:r w:rsidR="00E82278" w:rsidRPr="001C7D10">
        <w:t>0</w:t>
      </w:r>
      <w:r w:rsidR="005D6748" w:rsidRPr="001C7D10">
        <w:t>.</w:t>
      </w:r>
      <w:r w:rsidR="005D6748" w:rsidRPr="001C7D10">
        <w:tab/>
        <w:t>herinnert eraan dat de officiële talen die door de instellingen, organen en instanties van de Unie moeten worden gebruikt, zijn vastgesteld in Verordening nr. 1</w:t>
      </w:r>
      <w:r w:rsidR="005D6748" w:rsidRPr="001C7D10">
        <w:rPr>
          <w:vertAlign w:val="superscript"/>
        </w:rPr>
        <w:footnoteReference w:id="12"/>
      </w:r>
      <w:r w:rsidR="005D6748" w:rsidRPr="001C7D10">
        <w:t xml:space="preserve">; erkent dat DG TRAD ervoor zorgt dat de procedurele inhoud van het Parlement beschikbaar is in alle 24 officiële talen en werktalen van de Unie; is ingenomen met het uitzonderlijke werk dat tolken in 2022 hebben verricht, waarbij zij er voor zover mogelijk voor hebben gezorgd dat openbare debatten in alle officiële EU-talen werden vertolkt; wijst erop dat de leden volgens het Reglement van het Parlement het recht hebben om in elke van de 24 officiële talen van de Unie te spreken, hetgeen de Europese culturele en taalkundige verscheidenheid weerspiegelt en de instellingen van de Unie ook toegankelijker en transparanter maakt voor alle burgers van de Unie; merkt op dat met name één werktaal vaak op grote schaal wordt gebruikt tijdens de werkzaamheden van het Parlement; dringt erop aan dat meertaligheid waar nodig wordt geëerbiedigd door ervoor te zorgen </w:t>
      </w:r>
      <w:proofErr w:type="gramStart"/>
      <w:r w:rsidR="005D6748" w:rsidRPr="001C7D10">
        <w:t>dat</w:t>
      </w:r>
      <w:proofErr w:type="gramEnd"/>
      <w:r w:rsidR="005D6748" w:rsidRPr="001C7D10">
        <w:t xml:space="preserve"> er voldoende personeel beschikbaar is voor vertaling en vertolking;</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11</w:t>
      </w:r>
      <w:r w:rsidR="00E82278" w:rsidRPr="001C7D10">
        <w:rPr>
          <w14:textOutline w14:w="0" w14:cap="flat" w14:cmpd="sng" w14:algn="ctr">
            <w14:noFill/>
            <w14:prstDash w14:val="solid"/>
            <w14:bevel/>
          </w14:textOutline>
        </w:rPr>
        <w:t>1</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benadrukt dat DG TRAD de taalkundige autoriteit van het Europees Parlement is, zowel door de vaststelling van meertalige wetgeving te ondersteunen als door met de invoering van duidelijke taalnormen bij te dragen aan meertalige communicatie in heldere taal met de burgers van de Unie;</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Logistiek en Vertolking voor Conferenties</w:t>
      </w:r>
    </w:p>
    <w:p w:rsidR="005D6748" w:rsidRPr="001C7D10" w:rsidRDefault="005B672E" w:rsidP="005D6748">
      <w:pPr>
        <w:pStyle w:val="NormalHanging12a"/>
      </w:pPr>
      <w:r w:rsidRPr="001C7D10">
        <w:t>11</w:t>
      </w:r>
      <w:r w:rsidR="00E82278" w:rsidRPr="001C7D10">
        <w:t>2</w:t>
      </w:r>
      <w:r w:rsidR="005D6748" w:rsidRPr="001C7D10">
        <w:t>.</w:t>
      </w:r>
      <w:r w:rsidR="005D6748" w:rsidRPr="001C7D10">
        <w:tab/>
        <w:t xml:space="preserve">wijst erop dat het directoraat-generaal Logistiek en Vertolking voor Conferenties (DG LINC) verantwoordelijk is voor het verlenen van taalkundige, technische en logistieke ondersteuning voor vergaderingen en conferenties; stelt vast dat op 31 december 2022 DG LINC 554 personeelsleden telde, waarvan 443 ambtenaren, 29 tijdelijke functionarissen en 82 arbeidscontractanten; benadrukt dat de kwaliteit van de geboden vertolking rechtstreeks van invloed is op de boodschap die aan de burgers </w:t>
      </w:r>
      <w:proofErr w:type="gramStart"/>
      <w:r w:rsidR="005D6748" w:rsidRPr="001C7D10">
        <w:t>van</w:t>
      </w:r>
      <w:proofErr w:type="gramEnd"/>
      <w:r w:rsidR="005D6748" w:rsidRPr="001C7D10">
        <w:t xml:space="preserve"> de Unie wordt overgebracht;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11</w:t>
      </w:r>
      <w:r w:rsidR="00E82278" w:rsidRPr="001C7D10">
        <w:rPr>
          <w14:textOutline w14:w="0" w14:cap="flat" w14:cmpd="sng" w14:algn="ctr">
            <w14:noFill/>
            <w14:prstDash w14:val="solid"/>
            <w14:bevel/>
          </w14:textOutline>
        </w:rPr>
        <w:t>3</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in 2022 de definitieve kredieten van DG LINC 79 569 347 EUR bedroegen, ofwel 3,7 % van de begroting van het Parlement; benadrukt dat van dat bedrag in totaal 79 282 501 EUR was vastgelegd; is ingenomen met het hoge gebruik van de kredieten;</w:t>
      </w:r>
    </w:p>
    <w:p w:rsidR="005D6748" w:rsidRPr="001C7D10" w:rsidRDefault="005B672E" w:rsidP="005D6748">
      <w:pPr>
        <w:pStyle w:val="NormalHanging12a"/>
      </w:pPr>
      <w:r w:rsidRPr="001C7D10">
        <w:t>11</w:t>
      </w:r>
      <w:r w:rsidR="00E82278" w:rsidRPr="001C7D10">
        <w:t>4</w:t>
      </w:r>
      <w:r w:rsidR="005D6748" w:rsidRPr="001C7D10">
        <w:t>.</w:t>
      </w:r>
      <w:r w:rsidR="005D6748" w:rsidRPr="001C7D10">
        <w:tab/>
        <w:t xml:space="preserve">benadrukt dat begin 2022 de vraag naar diensten van DG LINC aanzienlijk toenam, terwijl de COVID-19-beperkingen nog steeds van kracht waren; erkent dat dit de middelen onder druk zette, aangezien meer tolken, technische ondersteuning en complexe planningsoperaties nodig waren als gevolg van </w:t>
      </w:r>
      <w:proofErr w:type="spellStart"/>
      <w:r w:rsidR="005D6748" w:rsidRPr="001C7D10">
        <w:t>social</w:t>
      </w:r>
      <w:proofErr w:type="spellEnd"/>
      <w:r w:rsidR="005D6748" w:rsidRPr="001C7D10">
        <w:t xml:space="preserve"> </w:t>
      </w:r>
      <w:proofErr w:type="spellStart"/>
      <w:r w:rsidR="005D6748" w:rsidRPr="001C7D10">
        <w:t>distancing</w:t>
      </w:r>
      <w:proofErr w:type="spellEnd"/>
      <w:r w:rsidR="005D6748" w:rsidRPr="001C7D10">
        <w:t xml:space="preserve"> en andere </w:t>
      </w:r>
      <w:r w:rsidR="005D6748" w:rsidRPr="001C7D10">
        <w:lastRenderedPageBreak/>
        <w:t>beperkingen; neemt kennis van het feit dat de inflatie gevolgen heeft gehad voor de bezoldiging van externe conferentietolken; merkt op dat de hogere kosten van vertolking gedeeltelijk werden beperkt door vertolking op afstand van de plenaire vergaderingen in Straatsburg vanuit Brussel; merkt op dat het, om de werkomstandigheden te verbeteren, in de eerste plaats nodig is om een betere geluidskwaliteit te bieden en het aantal getolkte uren voor sprekers op afstand te beperken;</w:t>
      </w:r>
    </w:p>
    <w:p w:rsidR="005D6748" w:rsidRPr="001C7D10" w:rsidRDefault="005B672E" w:rsidP="005D6748">
      <w:pPr>
        <w:pStyle w:val="NormalHanging12a"/>
      </w:pPr>
      <w:r w:rsidRPr="001C7D10">
        <w:t>11</w:t>
      </w:r>
      <w:r w:rsidR="00E82278" w:rsidRPr="001C7D10">
        <w:t>5</w:t>
      </w:r>
      <w:r w:rsidR="005D6748" w:rsidRPr="001C7D10">
        <w:t>.</w:t>
      </w:r>
      <w:r w:rsidR="005D6748" w:rsidRPr="001C7D10">
        <w:tab/>
        <w:t xml:space="preserve">neemt kennis van het feit dat tolkenvertegenwoordigers de arbeidsvoorwaarden aanvochten die van toepassing waren op vertolking voor deelnemers op afstand, vanwege de impact op de gezondheid en het welzijn van tolken als gevolg van langdurige vertolking op afstand, met name de gemelde </w:t>
      </w:r>
      <w:proofErr w:type="spellStart"/>
      <w:r w:rsidR="005D6748" w:rsidRPr="001C7D10">
        <w:t>hoorproblemen</w:t>
      </w:r>
      <w:proofErr w:type="spellEnd"/>
      <w:r w:rsidR="005D6748" w:rsidRPr="001C7D10">
        <w:t>; herinnert aan de zorgplicht die de Europese instellingen aan hun werknemers verschuldigd zijn; benadrukt dat de daaruit voortvloeiende vakbondsacties in de zomer en herfst van 2022 hebben geleid tot stakingen van tolken, waardoor sprekers op afstand werden getroffen; merkt op dat de interim-werkregeling voor tolken tijdens vergaderingen met deelname op afstand in werking is getreden op 17 oktober 2022; merkt op dat de regeling het mogelijk heeft gemaakt de vertolking voor sprekers op afstand te herstellen en tegelijkertijd de verkorting van de wekelijkse werktijden voor tolken te handhaven, wat derhalve geleid heeft tot een vermindering van de dienstverlening; merkt op dat de sociale dialoog met het oog op de vaststelling van een permanent kader en het volledig herstel van de vertolkingsdiensten eind 2022 gaande was en in 2023 werd afgerond;</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11</w:t>
      </w:r>
      <w:r w:rsidR="00E82278" w:rsidRPr="001C7D10">
        <w:rPr>
          <w14:textOutline w14:w="0" w14:cap="flat" w14:cmpd="sng" w14:algn="ctr">
            <w14:noFill/>
            <w14:prstDash w14:val="solid"/>
            <w14:bevel/>
          </w14:textOutline>
        </w:rPr>
        <w:t>6</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het feit dat DG LINC in 2022 in staat was de levering van vertolkingsdiensten te consolideren en zich aan te passen aan het uitdagende regelgevingsklimaat; stelt met tevredenheid vast dat DG LINC in 2021 in totaal 5 278 parlementaire vergaderingen van vertolking voorzag en gemiddeld 5 266 tolkuren per werkweek leverde, tegenover 4 172 vergaderingen en 4 039 tolkuren per week; merkt op dat dit nog steeds onder de gemiddelden ligt van de jaren 2017 en 2018 voor COVID;</w:t>
      </w:r>
    </w:p>
    <w:p w:rsidR="005D6748" w:rsidRPr="001C7D10" w:rsidRDefault="005B672E" w:rsidP="005D6748">
      <w:pPr>
        <w:pStyle w:val="NormalHanging12a"/>
      </w:pPr>
      <w:r w:rsidRPr="001C7D10">
        <w:t>11</w:t>
      </w:r>
      <w:r w:rsidR="00E82278" w:rsidRPr="001C7D10">
        <w:t>7</w:t>
      </w:r>
      <w:r w:rsidR="005D6748" w:rsidRPr="001C7D10">
        <w:t>.</w:t>
      </w:r>
      <w:r w:rsidR="005D6748" w:rsidRPr="001C7D10">
        <w:tab/>
      </w:r>
      <w:r w:rsidR="00982435" w:rsidRPr="001C7D10">
        <w:t xml:space="preserve">wijst op artikel 26 van het Handvest van de grondrechten van de Europese Unie; </w:t>
      </w:r>
      <w:r w:rsidR="005D6748" w:rsidRPr="001C7D10">
        <w:t>herhaalt zijn reeds lang bestaande verzoek aan de secretaris-generaal om de haalbaarheid te analyseren van vertolking in internationale gebarentaal voor alle plenaire debatten, en vraagt om een onverwijlde inwilliging van dit verzoek; is bovendien van mening dat er meer personen met een handicap aan het democratische proces van de EU zouden deelnemen indien de plenaire vergaderingen zouden worden vertolkt in de gebarentalen die in elke lidstaat worden gebruikt</w:t>
      </w:r>
      <w:r w:rsidR="00982435" w:rsidRPr="001C7D10">
        <w:t>; benadrukt het belang van het gebruik van digitale instrumenten, waaronder AI-hulpmiddelen; benadrukt ook de behoefte aan toegankelijke informatie door middel van gemakkelijk leesbare modellen, pictogrammen en nieuwe technologieën voor alle personen met een handicap</w:t>
      </w:r>
      <w:r w:rsidR="005D6748" w:rsidRPr="001C7D10">
        <w:t>;</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Financiën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11</w:t>
      </w:r>
      <w:r w:rsidR="00E82278" w:rsidRPr="001C7D10">
        <w:rPr>
          <w14:textOutline w14:w="0" w14:cap="flat" w14:cmpd="sng" w14:algn="ctr">
            <w14:noFill/>
            <w14:prstDash w14:val="solid"/>
            <w14:bevel/>
          </w14:textOutline>
        </w:rPr>
        <w:t>8</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herinnert eraan dat het directoraat-generaal Financiën (DG FINS) het administratieve orgaan is dat verantwoordelijk is voor de begrotings- en financiële aangelegenheden van het Parlement; stelt vast dat DG FINS op 31 december 2022 246 personeelsleden telde, waarvan 149 ambtenaren, 27 tijdelijke functionarissen, 63 arbeidscontractanten en 7 uitzendkrachten;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w:t>
      </w:r>
      <w:r w:rsidR="00E82278" w:rsidRPr="001C7D10">
        <w:rPr>
          <w14:textOutline w14:w="0" w14:cap="flat" w14:cmpd="sng" w14:algn="ctr">
            <w14:noFill/>
            <w14:prstDash w14:val="solid"/>
            <w14:bevel/>
          </w14:textOutline>
        </w:rPr>
        <w:t>19</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de definitieve kredieten van DG FINS in 2022 neerkwamen op 396 723 134 EUR, ofwel 18,4 % van de begroting van het Parlement; benadrukt dat van </w:t>
      </w:r>
      <w:r w:rsidR="005D6748" w:rsidRPr="001C7D10">
        <w:rPr>
          <w14:textOutline w14:w="0" w14:cap="flat" w14:cmpd="sng" w14:algn="ctr">
            <w14:noFill/>
            <w14:prstDash w14:val="solid"/>
            <w14:bevel/>
          </w14:textOutline>
        </w:rPr>
        <w:lastRenderedPageBreak/>
        <w:t>dat bedrag in totaal 395 647 243 EUR was vastgelegd; is ingenomen met het hoge gebruik van de kredieten;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12</w:t>
      </w:r>
      <w:r w:rsidR="00E8227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veel van de taken waarvoor DG FINS verantwoordelijk is, zich in 2022 min of meer op het niveau van vóór de pandemie bevonden; merkt op dat de oorlog in Oekraïne tastbare gevolgen heeft gehad voor de activiteiten van DG FINS en dat het DG blijk moet geven van veerkracht en aanpassingsvermogen om de continuïteit van bepaalde activiteiten in het Parlement te waarborgen, hetgeen het doet door de financiële middelen die nodig zijn om het hoofd te bieden aan de inflatoire schok vrij te maken en opnieuw toe te wijzen;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12</w:t>
      </w:r>
      <w:r w:rsidR="00E82278" w:rsidRPr="001C7D10">
        <w:rPr>
          <w14:textOutline w14:w="0" w14:cap="flat" w14:cmpd="sng" w14:algn="ctr">
            <w14:noFill/>
            <w14:prstDash w14:val="solid"/>
            <w14:bevel/>
          </w14:textOutline>
        </w:rPr>
        <w:t>1</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het feit dat DG FINS naar aanleiding van de aanzienlijke stijging van de inflatie en de rentetarieven evenals de wereldwijde energiecrisis zijn toezicht op de benutting van begrotingskredieten heeft aangescherpt en uitzonderlijke maatregelen heeft moeten nemen om de continuïteit van de werkzaamheden van het Parlement te waarborgen, onder meer door middel van talrijke herschikkingen van de begroting en een verzoek tot wijziging van de begroting in november 2022;</w:t>
      </w:r>
    </w:p>
    <w:p w:rsidR="005D6748" w:rsidRPr="001C7D10" w:rsidRDefault="005B672E" w:rsidP="005D6748">
      <w:pPr>
        <w:pStyle w:val="NormalHanging12a"/>
      </w:pPr>
      <w:r w:rsidRPr="001C7D10">
        <w:t>12</w:t>
      </w:r>
      <w:r w:rsidR="00E82278" w:rsidRPr="001C7D10">
        <w:t>2</w:t>
      </w:r>
      <w:r w:rsidR="005D6748" w:rsidRPr="001C7D10">
        <w:t>.</w:t>
      </w:r>
      <w:r w:rsidR="005D6748" w:rsidRPr="001C7D10">
        <w:tab/>
        <w:t xml:space="preserve">stelt met tevredenheid vast dat DG FINS de efficiëntie van zijn procedures en de inzet van zijn personeel heeft kunnen benutten om de continuïteit van de diensten waarvoor het verantwoordelijk is en de verwezenlijking van de doelstellingen van zijn jaarlijkse werkprogramma te waarborgen; neemt nota van de bezorgdheid van de leden over onnodige en vaak aanzienlijke vertragingen bij de verwerking van vergoedingen, waarbij de gemiddelde tijd voor de vergoeding van reis- en verblijfskosten tot 40 dagen kan oplopen; is ingenomen met het feit dat het Parlement zijn procedures voortdurend moderniseert, in de vorm van automatisering, vereenvoudiging en digitalisering, met als doel de leden betere diensten te bieden; dringt bij DG FINS aan op een verdere optimalisering van de </w:t>
      </w:r>
      <w:proofErr w:type="spellStart"/>
      <w:r w:rsidR="005D6748" w:rsidRPr="001C7D10">
        <w:t>workflows</w:t>
      </w:r>
      <w:proofErr w:type="spellEnd"/>
      <w:r w:rsidR="005D6748" w:rsidRPr="001C7D10">
        <w:t xml:space="preserve"> om de procedures nog te versnellen, met name door zijn ambtenaren te voorzien van de nodige hulpmiddelen en software om de werkdruk efficiënt te beheren, waardoor de verwerkingstijd wordt verkort;</w:t>
      </w:r>
    </w:p>
    <w:p w:rsidR="005D6748" w:rsidRPr="001C7D10" w:rsidRDefault="005B672E" w:rsidP="005D6748">
      <w:pPr>
        <w:pStyle w:val="NormalHanging12a"/>
      </w:pPr>
      <w:r w:rsidRPr="001C7D10">
        <w:t>12</w:t>
      </w:r>
      <w:r w:rsidR="00E82278" w:rsidRPr="001C7D10">
        <w:t>3</w:t>
      </w:r>
      <w:r w:rsidR="005D6748" w:rsidRPr="001C7D10">
        <w:t>.</w:t>
      </w:r>
      <w:r w:rsidR="005D6748" w:rsidRPr="001C7D10">
        <w:tab/>
        <w:t xml:space="preserve">erkent het werk van plaatselijke medewerkers als een essentieel onderdeel van de activiteiten van de leden in hun kiesdistricten en als eerste contactpunt voor burgers; wijst erop dat het proces van aanwerving en ondertekening van contracten voor plaatselijke medewerkers al enkele jaren wordt bemoeilijkt als gevolg van een groot aantal administratieve verzoeken die in dubbele controles en onduidelijke vereisten uitmonden; wijst erop dat DG FINS moet erkennen dat plaatselijke medewerkers onder nationale wetgeving vallen en verzoekt derhalve dat </w:t>
      </w:r>
      <w:proofErr w:type="spellStart"/>
      <w:r w:rsidR="005D6748" w:rsidRPr="001C7D10">
        <w:t>landspecifieke</w:t>
      </w:r>
      <w:proofErr w:type="spellEnd"/>
      <w:r w:rsidR="005D6748" w:rsidRPr="001C7D10">
        <w:t xml:space="preserve"> bureaus het aanwervingsproces behandelen; herinnert er verder aan dat vrijwilligerswerk en politieke activiteiten van lokale medewerkers, binnen de door het Europees Parlement gestelde regels, vaak reguliere bezigheden zijn die geen aanleiding zouden moeten geven tot onnodige controles;</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12</w:t>
      </w:r>
      <w:r w:rsidR="00E82278" w:rsidRPr="001C7D10">
        <w:rPr>
          <w14:textOutline w14:w="0" w14:cap="flat" w14:cmpd="sng" w14:algn="ctr">
            <w14:noFill/>
            <w14:prstDash w14:val="solid"/>
            <w14:bevel/>
          </w14:textOutline>
        </w:rPr>
        <w:t>4</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neemt kennis van de betrokkenheid van DG FINS bij de wijzigingen in het regelgevingskader voor de financiering van politieke structuren; is ingenomen met het feit dat het DG heeft bijgedragen aan de opstelling van het in juli 2022 door het Bureau goedgekeurde voorstel tot wijziging van de regels voor het gebruik van kredieten in verband met de financiering van fracties; merkt op dat deze wijziging rekening houdt met de situatie als gevolg van de COVID-19-pandemie en bij wijze van uitzondering voorziet in een methode om het plafond voor de overdracht van niet-bestede middelen van 2022 naar 2023 te handhaven op 75 % in plaats van 50 %; stelt met tevredenheid vast dat DG FINS ook betrokken was bij de herziening van Verordening (EU, Euratom) </w:t>
      </w:r>
      <w:r w:rsidR="005D6748" w:rsidRPr="001C7D10">
        <w:rPr>
          <w14:textOutline w14:w="0" w14:cap="flat" w14:cmpd="sng" w14:algn="ctr">
            <w14:noFill/>
            <w14:prstDash w14:val="solid"/>
            <w14:bevel/>
          </w14:textOutline>
        </w:rPr>
        <w:lastRenderedPageBreak/>
        <w:t>nr. 1141/2014 van het Europees Parlement en de Raad van 22 oktober 2014 betreffende het statuut en de financiering van Europese politieke partijen en Europese politieke stichtingen</w:t>
      </w:r>
      <w:r w:rsidR="005D6748" w:rsidRPr="001C7D10">
        <w:rPr>
          <w:rStyle w:val="FootnoteReference"/>
          <w:szCs w:val="24"/>
        </w:rPr>
        <w:footnoteReference w:id="13"/>
      </w:r>
      <w:r w:rsidR="005D6748" w:rsidRPr="001C7D10">
        <w:rPr>
          <w14:textOutline w14:w="0" w14:cap="flat" w14:cmpd="sng" w14:algn="ctr">
            <w14:noFill/>
            <w14:prstDash w14:val="solid"/>
            <w14:bevel/>
          </w14:textOutline>
        </w:rPr>
        <w: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12</w:t>
      </w:r>
      <w:r w:rsidR="00E8227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de aanhoudende inspanningen die in 2022 zijn geleverd om procedures te digitaliseren, met inbegrip van de ontwikkeling van nieuwe functionaliteiten en de herziening van de e-Portaalapplicatie; stelt met tevredenheid vast dat het gebruik van de applicatie als gevolg daarvan is toegenomen;</w:t>
      </w:r>
    </w:p>
    <w:p w:rsidR="005D6748" w:rsidRPr="001C7D10" w:rsidRDefault="005B672E" w:rsidP="005D6748">
      <w:pPr>
        <w:pStyle w:val="NormalHanging12a"/>
      </w:pPr>
      <w:r w:rsidRPr="001C7D10">
        <w:t>12</w:t>
      </w:r>
      <w:r w:rsidR="00E82278" w:rsidRPr="001C7D10">
        <w:t>6</w:t>
      </w:r>
      <w:r w:rsidR="005D6748" w:rsidRPr="001C7D10">
        <w:t>.</w:t>
      </w:r>
      <w:r w:rsidR="005D6748" w:rsidRPr="001C7D10">
        <w:tab/>
        <w:t xml:space="preserve">herinnert eraan dat long </w:t>
      </w:r>
      <w:proofErr w:type="spellStart"/>
      <w:r w:rsidR="005D6748" w:rsidRPr="001C7D10">
        <w:t>covid</w:t>
      </w:r>
      <w:proofErr w:type="spellEnd"/>
      <w:r w:rsidR="005D6748" w:rsidRPr="001C7D10">
        <w:t xml:space="preserve"> langdurige zorg vereist waarvoor nog steeds intensieve onderzoeksactiviteiten worden verricht; merkt op dat er langdurig zieken zijn onder leden, personeelsleden en </w:t>
      </w:r>
      <w:proofErr w:type="spellStart"/>
      <w:r w:rsidR="005D6748" w:rsidRPr="001C7D10">
        <w:t>APA’s</w:t>
      </w:r>
      <w:proofErr w:type="spellEnd"/>
      <w:r w:rsidR="005D6748" w:rsidRPr="001C7D10">
        <w:t xml:space="preserve"> van het Europees Parlement, die continue zorg nodig hebben; betreurt het dat de huidige GSZV-regels niet voorzien in adequate vergoedingen, waardoor de betrokkenen met een enorme financiële last worden geconfronteerd; wijst erop dat soortgelijke ongunstige omstandigheden gelden voor tal van personen met auto-immuunziekten die niet naar behoren worden erkend; verzoekt DG FINS en PMO de vergoedingsregels te wijzigen om beter aan hun behoeften te voldoen;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12</w:t>
      </w:r>
      <w:r w:rsidR="00E82278" w:rsidRPr="001C7D10">
        <w:rPr>
          <w14:textOutline w14:w="0" w14:cap="flat" w14:cmpd="sng" w14:algn="ctr">
            <w14:noFill/>
            <w14:prstDash w14:val="solid"/>
            <w14:bevel/>
          </w14:textOutline>
        </w:rPr>
        <w:t>7</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de organisatie van werksessies over specifieke onderwerpen op het gebied van overheidsopdrachten, zoals contractprijsbeheer en fraudebeheer; neemt kennis van de vergelijkende en haalbaarheidsstudies die het model van de Commissie op basis van e-aanbesteding tot het beste hebben bevonden;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12</w:t>
      </w:r>
      <w:r w:rsidR="00E82278" w:rsidRPr="001C7D10">
        <w:rPr>
          <w14:textOutline w14:w="0" w14:cap="flat" w14:cmpd="sng" w14:algn="ctr">
            <w14:noFill/>
            <w14:prstDash w14:val="solid"/>
            <w14:bevel/>
          </w14:textOutline>
        </w:rPr>
        <w:t>8</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DG FINS de diensten coördineert in verband met de organisatie van reizen die zijn afgestemd op de behoeften van de leden en alle administratieve diensten van het Parlement, met inbegrip van het reisbureau; is ingenomen met het feit dat DG FINS, in samenwerking met het reisbureau, inspanningen heeft geleverd om de terugbetaling van de reiskosten van de leden per spoor automatisch te laten verlopen; merkt op dat 2022 het voorlaatste jaar was voor de afloop van het contract van het huidige reisbureau; herhaalt dat het volgende bureau de leden flexibeler en goedkopere oplossingen moet kunnen bieden die vergelijkbaar zijn met het aanbod dat zij op de open markt kunnen vinden;</w:t>
      </w:r>
    </w:p>
    <w:p w:rsidR="005D6748" w:rsidRPr="001C7D10" w:rsidRDefault="005B672E" w:rsidP="005D6748">
      <w:pPr>
        <w:pStyle w:val="NormalHanging12a"/>
      </w:pPr>
      <w:r w:rsidRPr="001C7D10">
        <w:t>1</w:t>
      </w:r>
      <w:r w:rsidR="00E82278" w:rsidRPr="001C7D10">
        <w:t>29</w:t>
      </w:r>
      <w:r w:rsidR="005D6748" w:rsidRPr="001C7D10">
        <w:t>.</w:t>
      </w:r>
      <w:r w:rsidR="005D6748" w:rsidRPr="001C7D10">
        <w:tab/>
        <w:t>is bezorgd over het feit dat in 2022 vijf gevallen van vermoedelijke fraude werden vastgesteld waarbij naar verluidt leden beweerden een specifiek vervoermiddel te gebruiken en in werkelijkheid gebruikmaakten van een goedkoper vervoermiddel; merkt op dat naar verwachting twee opdrachten tot invordering van in totaal 39 807 EUR zullen worden afgegeven en dat de andere gevallen momenteel nader worden onderzocht;, deze hebben betrekking op meerdere begrotingsjaren en zouden 801 000 EUR kunnen bedragen;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13</w:t>
      </w:r>
      <w:r w:rsidR="00E8227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neemt kennis van de aankondiging tijdens de vergadering van het Bureau van 7 maart 2022 inzake de oprichting van een ad-</w:t>
      </w:r>
      <w:proofErr w:type="spellStart"/>
      <w:r w:rsidR="005D6748" w:rsidRPr="001C7D10">
        <w:rPr>
          <w14:textOutline w14:w="0" w14:cap="flat" w14:cmpd="sng" w14:algn="ctr">
            <w14:noFill/>
            <w14:prstDash w14:val="solid"/>
            <w14:bevel/>
          </w14:textOutline>
        </w:rPr>
        <w:t>hocwerkgroep</w:t>
      </w:r>
      <w:proofErr w:type="spellEnd"/>
      <w:r w:rsidR="005D6748" w:rsidRPr="001C7D10">
        <w:rPr>
          <w14:textOutline w14:w="0" w14:cap="flat" w14:cmpd="sng" w14:algn="ctr">
            <w14:noFill/>
            <w14:prstDash w14:val="solid"/>
            <w14:bevel/>
          </w14:textOutline>
        </w:rPr>
        <w:t xml:space="preserve"> van het Bureau over de algemene onkostenvergoeding (AOV), die tot taak heeft de uitvoering van het besluit van het Bureau van 2 juli 2018 tot vaststelling van een lijst van uitgaven die kunnen worden vergoed uit de AOV, te evalueren op basis van de ervaringen die tijdens de negende zittingsperiode zijn opgedaan; merkt op dat het Bureau in zijn vergadering van 17 oktober 2022 een reeks wijzigingen van de uitvoeringsbepalingen van het Statuut van de leden van het Europees Parlement heeft vastgesteld ter verduidelijking van de </w:t>
      </w:r>
      <w:r w:rsidR="005D6748" w:rsidRPr="001C7D10">
        <w:rPr>
          <w14:textOutline w14:w="0" w14:cap="flat" w14:cmpd="sng" w14:algn="ctr">
            <w14:noFill/>
            <w14:prstDash w14:val="solid"/>
            <w14:bevel/>
          </w14:textOutline>
        </w:rPr>
        <w:lastRenderedPageBreak/>
        <w:t>regels die van toepassing zijn op het recht op en het gebruik van de AOV en maatregelen ter vergroting van de transparantie, en ter waarborging van meer rechtszekerheid met betrekking tot het recht op de vergoeding; benadrukt dat de ad-</w:t>
      </w:r>
      <w:proofErr w:type="spellStart"/>
      <w:r w:rsidR="005D6748" w:rsidRPr="001C7D10">
        <w:rPr>
          <w14:textOutline w14:w="0" w14:cap="flat" w14:cmpd="sng" w14:algn="ctr">
            <w14:noFill/>
            <w14:prstDash w14:val="solid"/>
            <w14:bevel/>
          </w14:textOutline>
        </w:rPr>
        <w:t>hocwerkgroep</w:t>
      </w:r>
      <w:proofErr w:type="spellEnd"/>
      <w:r w:rsidR="005D6748" w:rsidRPr="001C7D10">
        <w:rPr>
          <w14:textOutline w14:w="0" w14:cap="flat" w14:cmpd="sng" w14:algn="ctr">
            <w14:noFill/>
            <w14:prstDash w14:val="solid"/>
            <w14:bevel/>
          </w14:textOutline>
        </w:rPr>
        <w:t xml:space="preserve"> is gevraagd terdege rekening te houden met elementen zoals transparantie, verantwoordingsplicht en goed financieel beheer van de aan de leden ter beschikking gestelde middelen, en eveneens rekening te houden met het beginsel van vrijheid en onafhankelijkheid van het parlementaire mandaat en met de doelstelling om geen onnodige administratieve lasten te creëren voor de leden, hun medewerkers en de diensten van het Parlement;</w:t>
      </w:r>
    </w:p>
    <w:p w:rsidR="005D6748" w:rsidRPr="001C7D10" w:rsidRDefault="005B672E" w:rsidP="005D6748">
      <w:pPr>
        <w:pStyle w:val="NormalHanging12a"/>
      </w:pPr>
      <w:r w:rsidRPr="001C7D10">
        <w:t>13</w:t>
      </w:r>
      <w:r w:rsidR="00E82278" w:rsidRPr="001C7D10">
        <w:t>1</w:t>
      </w:r>
      <w:r w:rsidR="005D6748" w:rsidRPr="001C7D10">
        <w:t>.</w:t>
      </w:r>
      <w:r w:rsidR="005D6748" w:rsidRPr="001C7D10">
        <w:tab/>
        <w:t>wijst erop dat in 2022 slechts 32 vrijwillige verklaringen over het gebruik van de AOV door 26 leden zijn ingediend, waarvan 29 een verslag van de controleur bevatten; is ingenomen met de inspanningen van het secretariaat om de leden van het Parlement aan te moedigen meer gebruik te maken van deze opties;</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13</w:t>
      </w:r>
      <w:r w:rsidR="00E8227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wijst erop dat het de leden vrijstaat om zelf of met hulp van een externe controleur hun gebruik van de geldmiddelen die in het kader van de AOV beschikbaar worden gesteld, in detail of per soort kosten te documenteren en om deze informatie geheel of gedeeltelijk op hun ledenpagina op de website van het Parlement te laten publiceren overeenkomstig artikel 11, lid 2, van het Reglement van het Europees Parlement; is ingenomen met het feit dat een vereenvoudigde lijst van soorten kosten is opgenomen in de uitvoeringsbepalingen van het Statuut van de leden en dat er ook een amendement is aangenomen ter verduidelijking van de mogelijkheid voor leden om de vergoeding voor algemene uitgaven aan te wenden in geval dat andere vergoedingen volledig zijn gebruikt;</w:t>
      </w:r>
    </w:p>
    <w:p w:rsidR="005D6748" w:rsidRPr="001C7D10" w:rsidRDefault="005B672E" w:rsidP="005D6748">
      <w:pPr>
        <w:pStyle w:val="NormalHanging12a"/>
      </w:pPr>
      <w:r w:rsidRPr="001C7D10">
        <w:t>13</w:t>
      </w:r>
      <w:r w:rsidR="00E82278" w:rsidRPr="001C7D10">
        <w:t>3</w:t>
      </w:r>
      <w:r w:rsidR="005D6748" w:rsidRPr="001C7D10">
        <w:t>.</w:t>
      </w:r>
      <w:r w:rsidR="005D6748" w:rsidRPr="001C7D10">
        <w:tab/>
        <w:t>herinnert eraan dat OLAF de taak heeft om verdenkingen van ernstig wangedrag door Unie-personeel en leden van de Unie-instellingen te onderzoeken, waaronder mogelijke schendingen van de gedragscode voor de leden van het Parlement; merkt op dat in 2022 geen gevallen waren waarin OLAF om toegang tot kantoren of e-mailaccounts van leden heeft verzocht; merkt op dat een procedure ter versterking van het mandaat van OLAF in het Parlement in gevallen van gegronde verdenkingen ten aanzien van individuele leden, wanneer dit strikt noodzakelijk en evenredig is voor het onderzoek en met volledige inachtneming van de vertrouwelijkheid overeenkomstig het beginsel van immuniteiten zoals vastgelegd in Protocol nr. 7 betreffende de voorrechten en immuniteiten van de Europese Unie, kan worden voltooid; verzoekt het Bureau nogmaals onverwijld een dergelijke procedure in te voeren;</w:t>
      </w:r>
    </w:p>
    <w:p w:rsidR="005D6748" w:rsidRPr="001C7D10" w:rsidRDefault="005B672E" w:rsidP="005D6748">
      <w:pPr>
        <w:pStyle w:val="NormalHanging12a"/>
      </w:pPr>
      <w:r w:rsidRPr="001C7D10">
        <w:t>13</w:t>
      </w:r>
      <w:r w:rsidR="00E82278" w:rsidRPr="001C7D10">
        <w:t>4</w:t>
      </w:r>
      <w:r w:rsidR="005D6748" w:rsidRPr="001C7D10">
        <w:t>.</w:t>
      </w:r>
      <w:r w:rsidR="005D6748" w:rsidRPr="001C7D10">
        <w:tab/>
        <w:t xml:space="preserve">merkt op dat OLAF in 2022 32 zaken waarbij het Parlement betrokken was, heeft onderzocht over kwesties met betrekking tot met name de financiële en sociale rechten van de leden, de financiering van politieke structuren en de uitoefening van werkzaamheden in dienstverband door personeel; benadrukt dat OLAF 14 verslagen heeft uitgebracht, waarvan sommige meer dan één aanbeveling bevatten, en waarvan er 5 financiële aanbevelingen, 5 disciplinaire aanbevelingen, één een administratieve aanbeveling en 7 geen aanbevelingen bevatten; neemt er kennis van dat het Europees Openbaar Ministerie (EOM) in 2022 vier zaken waarbij het Parlement betrokken was, heeft onderzocht over kwesties in verband met de financiële en sociale rechten van de leden en de financiering van politieke structuren; merkt op dat geen van de onderzoeken die in 2022 door het EOM zijn uitgevoerd, in hetzelfde jaar werd afgerond; vraagt de administratie voor zover wettelijk mogelijk of de aanbevelingen van OLAF volledig zijn uitgevoerd en de betreffende bedragen zijn teruggevorderd, alsook om een samenvatting te verstrekken, zonder gevoelige gegevens, van de aard van de </w:t>
      </w:r>
      <w:r w:rsidR="005D6748" w:rsidRPr="001C7D10">
        <w:lastRenderedPageBreak/>
        <w:t>onderzochte gevallen om conclusies te kunnen trekken en verbeteringen door te voeren;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13</w:t>
      </w:r>
      <w:r w:rsidR="00E8227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het Parlement de verzoeken van OLAF om de kantoren van leden van het Parlement te inspecteren en toegang tot hun elektronische servers en apparatuur te krijgen, systematisch heeft afgewezen;</w:t>
      </w:r>
      <w:r w:rsidRPr="001C7D10">
        <w:rPr>
          <w14:textOutline w14:w="0" w14:cap="flat" w14:cmpd="sng" w14:algn="ctr">
            <w14:noFill/>
            <w14:prstDash w14:val="solid"/>
            <w14:bevel/>
          </w14:textOutline>
        </w:rPr>
        <w:t xml:space="preserve"> </w:t>
      </w:r>
      <w:r w:rsidRPr="001C7D10">
        <w:t>benadrukt dat de leden worden beschermd door het feit dat zij niet aansprakelijk zijn voor stemmen die zijn uitgebracht en meningen die zijn geuit bij de uitoefening van hun ambt en dat zij beschermd zijn tegen vervolging en beperking van hun persoonlijke vrijheid tijdens de zittingen van het Parlement; herinnert eraan dat OLAF pas toegang krijgt tot de kantoren van de leden nadat de Voorzitter van het Parlement toegang heeft verleend naar aanleiding van een verzoek van een verantwoordelijke autoriteit van een lidstaat, in de meeste gevallen een rechter; herinnert eraan dat OLAF deze grenzen in acht moet nemen bij de uitvoering van zijn taken en onderzoeken en benadrukt dat verondersteld wangedrag niet kan worden gebruikt als voorwendsel om rechtstreekse toegang te vragen;</w:t>
      </w:r>
    </w:p>
    <w:p w:rsidR="005D6748" w:rsidRPr="001C7D10" w:rsidRDefault="005B672E" w:rsidP="005D6748">
      <w:pPr>
        <w:pStyle w:val="NormalHanging12a"/>
      </w:pPr>
      <w:r w:rsidRPr="001C7D10">
        <w:t>13</w:t>
      </w:r>
      <w:r w:rsidR="00E82278" w:rsidRPr="001C7D10">
        <w:t>6</w:t>
      </w:r>
      <w:r w:rsidR="005D6748" w:rsidRPr="001C7D10">
        <w:t>.</w:t>
      </w:r>
      <w:r w:rsidR="005D6748" w:rsidRPr="001C7D10">
        <w:tab/>
        <w:t>betreurt het dat de afgelopen twaalf jaar ten minste 25 schendingen van de gedragscode door leden hebben plaatsgevonden, maar dat de Voorzitters van het Parlement in geen enkel geval een financiële sanctie hebben opgelegd aan een lid; verzoekt de Voorzitter te overwegen een financiële sanctie op te leggen wanneer is aangetoond dat een lid de gedragscode heeft overtreden, zodat de sanctie daadwerkelijk een afschrikkend effect heeft;</w:t>
      </w:r>
    </w:p>
    <w:p w:rsidR="005D6748" w:rsidRPr="001C7D10" w:rsidRDefault="005B672E" w:rsidP="005D6748">
      <w:pPr>
        <w:pStyle w:val="NormalHanging12a"/>
      </w:pPr>
      <w:r w:rsidRPr="001C7D10">
        <w:t>13</w:t>
      </w:r>
      <w:r w:rsidR="00E82278" w:rsidRPr="001C7D10">
        <w:t>7</w:t>
      </w:r>
      <w:r w:rsidR="005D6748" w:rsidRPr="001C7D10">
        <w:t>.</w:t>
      </w:r>
      <w:r w:rsidR="005D6748" w:rsidRPr="001C7D10">
        <w:tab/>
        <w:t xml:space="preserve">merkt op dat het Europees Parlement in 2022 het bedrag van 261 891 EUR heeft teruggevorderd van individuele leden van het Parlement op begrotingslijn voor ontvangsten 3300 “Terugbetaling van ten onrechte betaalde bedragen”; wijst erop dat een groot deel van dit bedrag geen verband houdt met de vergoeding voor parlementaire assistentie; merkt op dat in het algemeen teruggevorderde bedragen op begrotingslijn voor ontvangsten 3300 (van individuele leden van het Parlement, maar ook van fracties/partijen/stichtingen, derden, personeel, andere personen enz.) voor het merendeel technische terugvorderingen zijn, zoals de regularisatie van uitgaven voor contracten die zijn geëvolueerd of beëindigd, en dat zij voor het verreweg grootste deel geen betrekking hebben op </w:t>
      </w:r>
      <w:proofErr w:type="spellStart"/>
      <w:r w:rsidR="005D6748" w:rsidRPr="001C7D10">
        <w:t>APA’s</w:t>
      </w:r>
      <w:proofErr w:type="spellEnd"/>
      <w:r w:rsidR="005D6748" w:rsidRPr="001C7D10">
        <w:t>; stelt vast dat deze bedragen ook gevallen omvatten die verband houden met de vrijwillige terugbetalingen door een beperkt aantal leden van het Parlement en het specifieke geval van correcties, die te wijten waren aan administratieve fouten in de berekeningen van het Europees Parlement of een wijziging met terugwerkende kracht van de regels in sommige lidstaten alsook verrekening; merkt op dat wijzigingen op het gebied van contracten en mogelijke daarmee verband houdende terugvorderingen na gevalideerde aanpassingen van de contractvoorwaarden ook onder deze categorie vallen;</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Innovatie en Technologische Ondersteuning</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w:t>
      </w:r>
      <w:r w:rsidR="00E82278" w:rsidRPr="001C7D10">
        <w:rPr>
          <w14:textOutline w14:w="0" w14:cap="flat" w14:cmpd="sng" w14:algn="ctr">
            <w14:noFill/>
            <w14:prstDash w14:val="solid"/>
            <w14:bevel/>
          </w14:textOutline>
        </w:rPr>
        <w:t>38</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herinnert eraan dat het directoraat-generaal Innovatie en Technologische Ondersteuning (DG ITEC) het Parlement voorziet van diensten en apparatuur op het gebied van informatie- en communicatietechnologie (ICT), videoconferenties en multimediadiensten, alsmede diensten op h et gebied van publicaties en drukwerk; stelt vast dat DG ITEC op 31 december 2022 543 personeelsleden telde, waarvan 349 ambtenaren, 53 tijdelijke functionarissen en 141 arbeidscontractanten;</w:t>
      </w:r>
    </w:p>
    <w:p w:rsidR="005D6748" w:rsidRPr="001C7D10" w:rsidRDefault="00E82278"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139</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de definitieve kredieten van DG ITEC in 2022 neerkwamen op 134 808 679 EUR, ofwel 6,2 % van de begroting van het Parlement; benadrukt dat van dat bedrag in totaal 134 439 573 EUR was vastgelegd; is ingenomen met het hoge </w:t>
      </w:r>
      <w:r w:rsidR="005D6748" w:rsidRPr="001C7D10">
        <w:rPr>
          <w14:textOutline w14:w="0" w14:cap="flat" w14:cmpd="sng" w14:algn="ctr">
            <w14:noFill/>
            <w14:prstDash w14:val="solid"/>
            <w14:bevel/>
          </w14:textOutline>
        </w:rPr>
        <w:lastRenderedPageBreak/>
        <w:t>gebruik van de kredieten;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14</w:t>
      </w:r>
      <w:r w:rsidR="00E8227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is ingenomen met het feit dat DG ITEC samenwerkt met de directoraten-generaal die zijn diensten gebruiken, om een gebruikersgerichte, veilige, hybride en </w:t>
      </w:r>
      <w:proofErr w:type="spellStart"/>
      <w:r w:rsidR="005D6748" w:rsidRPr="001C7D10">
        <w:rPr>
          <w14:textOutline w14:w="0" w14:cap="flat" w14:cmpd="sng" w14:algn="ctr">
            <w14:noFill/>
            <w14:prstDash w14:val="solid"/>
            <w14:bevel/>
          </w14:textOutline>
        </w:rPr>
        <w:t>gegevensgestuurde</w:t>
      </w:r>
      <w:proofErr w:type="spellEnd"/>
      <w:r w:rsidR="005D6748" w:rsidRPr="001C7D10">
        <w:rPr>
          <w14:textOutline w14:w="0" w14:cap="flat" w14:cmpd="sng" w14:algn="ctr">
            <w14:noFill/>
            <w14:prstDash w14:val="solid"/>
            <w14:bevel/>
          </w14:textOutline>
        </w:rPr>
        <w:t xml:space="preserve"> werkomgeving te creëren voor leden en personeel; neemt met voldoening kennis van de inzet van DG ITEC voor de duurzame en verantwoorde uitrol van innovatieve technologieën zoals artificiële intelligentie en gegevensanalyse om de besluitvormingscapaciteiten van de diensten van het Parlement te vergroten;</w:t>
      </w:r>
    </w:p>
    <w:p w:rsidR="005D6748" w:rsidRPr="001C7D10" w:rsidRDefault="005B672E" w:rsidP="005D6748">
      <w:pPr>
        <w:pStyle w:val="NormalHanging12a"/>
      </w:pPr>
      <w:r w:rsidRPr="001C7D10">
        <w:t>14</w:t>
      </w:r>
      <w:r w:rsidR="00E82278" w:rsidRPr="001C7D10">
        <w:t>1</w:t>
      </w:r>
      <w:r w:rsidR="005D6748" w:rsidRPr="001C7D10">
        <w:t>.</w:t>
      </w:r>
      <w:r w:rsidR="005D6748" w:rsidRPr="001C7D10">
        <w:tab/>
        <w:t xml:space="preserve">herinnert aan de grote rol die kosteloze en opensourcesoftware speelt bij het verbeteren van de beveiliging, aangezien die software het Parlement in staat stelt zwakke plekken te detecteren en te corrigeren, controle te houden over de gegevens die het op zijn servers host en oplossingen vorm te geven op basis van zijn eigen specificaties, waarbij </w:t>
      </w:r>
      <w:proofErr w:type="spellStart"/>
      <w:r w:rsidR="005D6748" w:rsidRPr="001C7D10">
        <w:t>lock</w:t>
      </w:r>
      <w:proofErr w:type="spellEnd"/>
      <w:r w:rsidR="005D6748" w:rsidRPr="001C7D10">
        <w:t>-in kan worden vermeden;</w:t>
      </w:r>
      <w:r w:rsidRPr="001C7D10">
        <w:t xml:space="preserve"> herinnert eraan dat bij de keuze van de gebruikte software alleen hoge normen voor cyberveiligheid mogen worden gehanteerd;</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14</w:t>
      </w:r>
      <w:r w:rsidR="00E8227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de cyberdefensieactiviteiten van het Parlement sterk zijn getekend door de voortdurend toenemende cyberdreigingen en -risico’s rond het Parlement en de andere instellingen, organen en agentschappen van de Unie; is ingenomen met het feit dat er met CERT-EU extra middelen zijn ingezet om het Parlement te begeleiden op het gebied van </w:t>
      </w:r>
      <w:proofErr w:type="spellStart"/>
      <w:r w:rsidR="005D6748" w:rsidRPr="001C7D10">
        <w:rPr>
          <w14:textOutline w14:w="0" w14:cap="flat" w14:cmpd="sng" w14:algn="ctr">
            <w14:noFill/>
            <w14:prstDash w14:val="solid"/>
            <w14:bevel/>
          </w14:textOutline>
        </w:rPr>
        <w:t>cloudinfrastructuurtoepassingen</w:t>
      </w:r>
      <w:proofErr w:type="spellEnd"/>
      <w:r w:rsidR="005D6748" w:rsidRPr="001C7D10">
        <w:rPr>
          <w14:textOutline w14:w="0" w14:cap="flat" w14:cmpd="sng" w14:algn="ctr">
            <w14:noFill/>
            <w14:prstDash w14:val="solid"/>
            <w14:bevel/>
          </w14:textOutline>
        </w:rPr>
        <w:t>, verbeterde inlichtingen over cyberdreigingen, permanent toezicht op de veiligheidsperimeter en identificatie van zwakke punten;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14</w:t>
      </w:r>
      <w:r w:rsidR="00E82278" w:rsidRPr="001C7D10">
        <w:rPr>
          <w14:textOutline w14:w="0" w14:cap="flat" w14:cmpd="sng" w14:algn="ctr">
            <w14:noFill/>
            <w14:prstDash w14:val="solid"/>
            <w14:bevel/>
          </w14:textOutline>
        </w:rPr>
        <w:t>3</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de oprichting in 2022 van het directoraat Cyberbeveiliging, dat verantwoordelijk is voor informatiebeveiliging en bestaat uit drie eenheden die zich bezighouden met beveiligingsoperaties, veiligheidsbeleid en veiligheidsrisico’s; dringt er bij het Parlement op aan deze inspanningen voort te zetten en meer te investeren in cyberbeveiliging; is ingenomen met het feit dat DG ITEC heeft aangeboden om IT-apparatuur te controleren op tekenen van spyware zoals Pegasus; verzoekt DG ITEC op dit gebied actief te blijven;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14</w:t>
      </w:r>
      <w:r w:rsidR="00E82278" w:rsidRPr="001C7D10">
        <w:rPr>
          <w14:textOutline w14:w="0" w14:cap="flat" w14:cmpd="sng" w14:algn="ctr">
            <w14:noFill/>
            <w14:prstDash w14:val="solid"/>
            <w14:bevel/>
          </w14:textOutline>
        </w:rPr>
        <w:t>4</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DG ITEC in het licht van het toegenomen gebruik van draagbare apparaten in 2022 een algemene studie heeft uitgevoerd om verbeteringen van het wifi-netwerk in de gebouwen van het Parlement te plannen; merkt op dat het SPAAK-gebouw in Brussel in 2022 is versterkt met de inzet van 351 extra antennes; erkent de inspanningen die zijn geleverd om het wifi-netwerk in de gebouwen van het Parlement te verbeteren; dringt aan op verdere verbetering van het mobiele netwerk in de gebouwen van het Parlement in Straatsburg om de ontvangst van mobiele telefoons te verbeteren;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14</w:t>
      </w:r>
      <w:r w:rsidR="00E8227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benadrukt dat de wereldwijde inflatie in combinatie met problemen in de toeleveringsketen leidt tot kostenstijgingen op gebieden gaande van hardware tot professionele diensten; is ingenomen met het feit dat DG ITEC de lopende IT-investeringen opnieuw heeft geprioriteerd; is ingenomen met de nieuwe en snellere IT-</w:t>
      </w:r>
      <w:proofErr w:type="spellStart"/>
      <w:r w:rsidR="005D6748" w:rsidRPr="001C7D10">
        <w:rPr>
          <w14:textOutline w14:w="0" w14:cap="flat" w14:cmpd="sng" w14:algn="ctr">
            <w14:noFill/>
            <w14:prstDash w14:val="solid"/>
            <w14:bevel/>
          </w14:textOutline>
        </w:rPr>
        <w:t>governancecyclus</w:t>
      </w:r>
      <w:proofErr w:type="spellEnd"/>
      <w:r w:rsidR="005D6748" w:rsidRPr="001C7D10">
        <w:rPr>
          <w14:textOutline w14:w="0" w14:cap="flat" w14:cmpd="sng" w14:algn="ctr">
            <w14:noFill/>
            <w14:prstDash w14:val="solid"/>
            <w14:bevel/>
          </w14:textOutline>
        </w:rPr>
        <w:t xml:space="preserve"> in het kader van het IT-programma Agile van DG ITEC;</w:t>
      </w:r>
    </w:p>
    <w:p w:rsidR="005D6748" w:rsidRPr="001C7D10" w:rsidRDefault="005B672E" w:rsidP="005D6748">
      <w:pPr>
        <w:spacing w:after="240"/>
        <w:ind w:left="567" w:hanging="567"/>
        <w:rPr>
          <w14:textOutline w14:w="0" w14:cap="flat" w14:cmpd="sng" w14:algn="ctr">
            <w14:noFill/>
            <w14:prstDash w14:val="solid"/>
            <w14:bevel/>
          </w14:textOutline>
        </w:rPr>
      </w:pPr>
      <w:r w:rsidRPr="001C7D10">
        <w:rPr>
          <w14:textOutline w14:w="0" w14:cap="flat" w14:cmpd="sng" w14:algn="ctr">
            <w14:noFill/>
            <w14:prstDash w14:val="solid"/>
            <w14:bevel/>
          </w14:textOutline>
        </w:rPr>
        <w:t>14</w:t>
      </w:r>
      <w:r w:rsidR="00E82278" w:rsidRPr="001C7D10">
        <w:rPr>
          <w14:textOutline w14:w="0" w14:cap="flat" w14:cmpd="sng" w14:algn="ctr">
            <w14:noFill/>
            <w14:prstDash w14:val="solid"/>
            <w14:bevel/>
          </w14:textOutline>
        </w:rPr>
        <w:t>6</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de COVID-19-pandemie een katalysator is geweest voor de steeds sneller verlopende digitale transformatie van het Parlement de voorbije jaren; wijst op de overgang naar een hybride Parlement met geheel flexibele werkregelingen, gaande van fysieke aanwezigheid tot een volledig digitale werkomgeving; is ingenomen met de veerkracht die het Parlement heeft getoond in het licht van de COVID-19-pandemie en het feit dat het snel en flexibel heeft gereageerd en hierbij de vruchten heeft geplukt van </w:t>
      </w:r>
      <w:r w:rsidR="005D6748" w:rsidRPr="001C7D10">
        <w:rPr>
          <w14:textOutline w14:w="0" w14:cap="flat" w14:cmpd="sng" w14:algn="ctr">
            <w14:noFill/>
            <w14:prstDash w14:val="solid"/>
            <w14:bevel/>
          </w14:textOutline>
        </w:rPr>
        <w:lastRenderedPageBreak/>
        <w:t>eerdere investeringen in digitalisering;</w:t>
      </w:r>
    </w:p>
    <w:p w:rsidR="005B672E" w:rsidRPr="001C7D10" w:rsidRDefault="005B672E" w:rsidP="005D6748">
      <w:pPr>
        <w:spacing w:after="240"/>
        <w:ind w:left="567" w:hanging="567"/>
        <w:rPr>
          <w:szCs w:val="24"/>
          <w14:textOutline w14:w="0" w14:cap="flat" w14:cmpd="sng" w14:algn="ctr">
            <w14:noFill/>
            <w14:prstDash w14:val="solid"/>
            <w14:bevel/>
          </w14:textOutline>
        </w:rPr>
      </w:pPr>
      <w:r w:rsidRPr="001C7D10">
        <w:t>14</w:t>
      </w:r>
      <w:r w:rsidR="00E82278" w:rsidRPr="001C7D10">
        <w:t>7</w:t>
      </w:r>
      <w:r w:rsidRPr="001C7D10">
        <w:t>.</w:t>
      </w:r>
      <w:r w:rsidRPr="001C7D10">
        <w:tab/>
        <w:t xml:space="preserve">herinnert aan de reeds lang bestaande vraag van de dovengemeenschap dat het mogelijk wordt gemaakt om verzoekschriften in te dienen in </w:t>
      </w:r>
      <w:proofErr w:type="spellStart"/>
      <w:r w:rsidRPr="001C7D10">
        <w:t>in</w:t>
      </w:r>
      <w:proofErr w:type="spellEnd"/>
      <w:r w:rsidRPr="001C7D10">
        <w:t xml:space="preserve"> de Unie gebruikte nationale gebarentalen; neemt kennis van de besprekingen die zijn gevoerd tijdens de vergadering van de Commissie verzoekschriften op 29/11/2023 en 19/03/2024, die specifiek betrekking hadden op verzoekschrift nr. 1056/2016, en onderstreept de inzet van het Parlement voor een betere toegankelijkheid voor alle Europese burgers; herinnert eraan dat het Reglement van het Parlement voorschrijft dat verzoekschriften schriftelijk worden ingediend; verzoekt de administratie van het Parlement de nodige wijzigingen aan te brengen in het verzoekschriftenportaal om indieners in staat te stellen hun schriftelijke verzoekschrift te ondersteunen met een video-opname in gebarentaal; moedigt de administratie aan relevante belanghebbenden, waaronder vertegenwoordigers van de dovengemeenschap, te vragen om tijdens het uitvoeringsproces input en feedback te geven, om de doeltreffendheid en </w:t>
      </w:r>
      <w:proofErr w:type="spellStart"/>
      <w:r w:rsidRPr="001C7D10">
        <w:t>inclusiviteit</w:t>
      </w:r>
      <w:proofErr w:type="spellEnd"/>
      <w:r w:rsidRPr="001C7D10">
        <w:t xml:space="preserve"> van de voorgestelde maatregelen te waarborgen;</w:t>
      </w:r>
    </w:p>
    <w:p w:rsidR="005D6748" w:rsidRPr="001C7D10" w:rsidRDefault="005B672E" w:rsidP="005D6748">
      <w:pPr>
        <w:pStyle w:val="NormalHanging12a"/>
      </w:pPr>
      <w:r w:rsidRPr="001C7D10">
        <w:t>14</w:t>
      </w:r>
      <w:r w:rsidR="00E82278" w:rsidRPr="001C7D10">
        <w:t>8</w:t>
      </w:r>
      <w:r w:rsidR="005D6748" w:rsidRPr="001C7D10">
        <w:t>.</w:t>
      </w:r>
      <w:r w:rsidR="005D6748" w:rsidRPr="001C7D10">
        <w:tab/>
        <w:t xml:space="preserve">is ingenomen met het feit dat het </w:t>
      </w:r>
      <w:proofErr w:type="spellStart"/>
      <w:r w:rsidR="005D6748" w:rsidRPr="001C7D10">
        <w:t>digitalehandtekeningenportaal</w:t>
      </w:r>
      <w:proofErr w:type="spellEnd"/>
      <w:r w:rsidR="005D6748" w:rsidRPr="001C7D10">
        <w:t xml:space="preserve"> (</w:t>
      </w:r>
      <w:proofErr w:type="spellStart"/>
      <w:r w:rsidR="005D6748" w:rsidRPr="001C7D10">
        <w:t>DiSP</w:t>
      </w:r>
      <w:proofErr w:type="spellEnd"/>
      <w:r w:rsidR="005D6748" w:rsidRPr="001C7D10">
        <w:t>) de leden in staat stelt documenten digitaal te ondertekenen, hetgeen de efficiëntie, traceerbaarheid en transparantie van de procedures verbetert, en merkt op dat de ondertekening van amendementen voor de plenaire vergadering, ongeacht de mogelijkheid om ondertekende amendementen voor de plenaire vergadering per e-mail of via het overdrachtsportaal van het EP naar de plenaire diensten te sturen, nog steeds een verouderde en omslachtige procedure is; verzoekt het Bureau de nodige stappen te zetten om de leden de mogelijkheid te bieden amendementen voor de plenaire vergadering in de toekomst digitaal te ondertekenen;</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Directoraat-generaal Beveiliging en Veiligheid</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w:t>
      </w:r>
      <w:r w:rsidR="00E82278" w:rsidRPr="001C7D10">
        <w:rPr>
          <w14:textOutline w14:w="0" w14:cap="flat" w14:cmpd="sng" w14:algn="ctr">
            <w14:noFill/>
            <w14:prstDash w14:val="solid"/>
            <w14:bevel/>
          </w14:textOutline>
        </w:rPr>
        <w:t>49</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herinnert eraan dat het directoraat-generaal Beveiliging en Veiligheid (DG SAFE) ernaar streeft veiligheidsrisico’s en -bedreigingen voor het Parlement en zijn leden en personeel te voorzien, te voorkomen en te beperken door middel van een </w:t>
      </w:r>
      <w:proofErr w:type="spellStart"/>
      <w:r w:rsidR="005D6748" w:rsidRPr="001C7D10">
        <w:rPr>
          <w14:textOutline w14:w="0" w14:cap="flat" w14:cmpd="sng" w14:algn="ctr">
            <w14:noFill/>
            <w14:prstDash w14:val="solid"/>
            <w14:bevel/>
          </w14:textOutline>
        </w:rPr>
        <w:t>risicogebaseerde</w:t>
      </w:r>
      <w:proofErr w:type="spellEnd"/>
      <w:r w:rsidR="005D6748" w:rsidRPr="001C7D10">
        <w:rPr>
          <w14:textOutline w14:w="0" w14:cap="flat" w14:cmpd="sng" w14:algn="ctr">
            <w14:noFill/>
            <w14:prstDash w14:val="solid"/>
            <w14:bevel/>
          </w14:textOutline>
        </w:rPr>
        <w:t xml:space="preserve"> aanpak waarbij terdege rekening wordt gehouden met de democratische aard van de instelling en de waarden die zij belichaamt, met name openheid en transparantie; stelt vast dat DG ITEC op 31 december 2022 882 personeelsleden telde, waarvan 170 ambtenaren, 22 tijdelijke functionarissen en 690 arbeidscontractanten;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15</w:t>
      </w:r>
      <w:r w:rsidR="00E8227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de definitieve kredieten van DG SAFE in 2022 neerkwamen op 29 507 334 EUR, ofwel 1,4 % van de begroting van het Parlement; benadrukt dat van dat bedrag in totaal 28 370 796 EUR was vastgelegd; is ingenomen met het hoge gebruik van de kredieten;</w:t>
      </w:r>
    </w:p>
    <w:p w:rsidR="005D6748" w:rsidRPr="001C7D10" w:rsidRDefault="005B672E" w:rsidP="005D6748">
      <w:pPr>
        <w:pStyle w:val="NormalHanging12a"/>
      </w:pPr>
      <w:r w:rsidRPr="001C7D10">
        <w:t>15</w:t>
      </w:r>
      <w:r w:rsidR="00E82278" w:rsidRPr="001C7D10">
        <w:t>1</w:t>
      </w:r>
      <w:r w:rsidR="005D6748" w:rsidRPr="001C7D10">
        <w:t>.</w:t>
      </w:r>
      <w:r w:rsidR="005D6748" w:rsidRPr="001C7D10">
        <w:tab/>
        <w:t>is ingenomen met de internalisering van de algemene veiligheidsdiensten in Luxemburg die op 1 januari 2022 in werking is getreden; bevestigt dat het met de voorwaarden die voor functiegroep I worden geboden, moeilijk is om gespecialiseerd personeel op het gebied van veiligheid uit alle lidstaten aan te trekken en aan te werven; wijst met name op de bijzondere situatie in Luxemburg, waar het salaris in deze functiegroep lager is dan het nationale interprofessionele minimumloon, waardoor het Parlement gedwongen is een compenserende toelage te verstrekken;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15</w:t>
      </w:r>
      <w:r w:rsidR="00E8227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wijst erop dat DG SAFE voor een toenemend aantal grootschalige evenementen steeds </w:t>
      </w:r>
      <w:r w:rsidR="005D6748" w:rsidRPr="001C7D10">
        <w:rPr>
          <w14:textOutline w14:w="0" w14:cap="flat" w14:cmpd="sng" w14:algn="ctr">
            <w14:noFill/>
            <w14:prstDash w14:val="solid"/>
            <w14:bevel/>
          </w14:textOutline>
        </w:rPr>
        <w:lastRenderedPageBreak/>
        <w:t>meer verzoeken ontvangt voor de verlening van aanvullende en uitzonderlijke beveiligings- en veiligheidsdiensten op alle werklocaties; erkent dat het voor de veiligheidsdiensten van het Parlement, die slechts over een vast aantal agenten beschikken, niet eenvoudig is om te voldoen aan deze groeiende vraag;</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15</w:t>
      </w:r>
      <w:r w:rsidR="00E82278" w:rsidRPr="001C7D10">
        <w:rPr>
          <w14:textOutline w14:w="0" w14:cap="flat" w14:cmpd="sng" w14:algn="ctr">
            <w14:noFill/>
            <w14:prstDash w14:val="solid"/>
            <w14:bevel/>
          </w14:textOutline>
        </w:rPr>
        <w:t>3</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het feit dat het aantal bezoekers sinds de versoepeling van de COVID-gerelateerde beperkingen in 2022 terug zijn oorspronkelijke peil heeft bereikt; vreest dat het gebrek aan ruimte in Brussel om deelnemers aan evenementen en conferenties te verwelkomen en te accrediteren, een risico kan inhouden voor de veiligheid van het Parlement;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15</w:t>
      </w:r>
      <w:r w:rsidR="00E82278" w:rsidRPr="001C7D10">
        <w:rPr>
          <w14:textOutline w14:w="0" w14:cap="flat" w14:cmpd="sng" w14:algn="ctr">
            <w14:noFill/>
            <w14:prstDash w14:val="solid"/>
            <w14:bevel/>
          </w14:textOutline>
        </w:rPr>
        <w:t>4</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benadrukt dat het belangrijk is om projecten in verband met de liaisonbureaus van het Europees Parlement en de “Europa </w:t>
      </w:r>
      <w:proofErr w:type="spellStart"/>
      <w:r w:rsidR="005D6748" w:rsidRPr="001C7D10">
        <w:rPr>
          <w14:textOutline w14:w="0" w14:cap="flat" w14:cmpd="sng" w14:algn="ctr">
            <w14:noFill/>
            <w14:prstDash w14:val="solid"/>
            <w14:bevel/>
          </w14:textOutline>
        </w:rPr>
        <w:t>Experience</w:t>
      </w:r>
      <w:proofErr w:type="spellEnd"/>
      <w:r w:rsidR="005D6748" w:rsidRPr="001C7D10">
        <w:rPr>
          <w14:textOutline w14:w="0" w14:cap="flat" w14:cmpd="sng" w14:algn="ctr">
            <w14:noFill/>
            <w14:prstDash w14:val="solid"/>
            <w14:bevel/>
          </w14:textOutline>
        </w:rPr>
        <w:t>”-centra grondig te plannen, zodat de uitgaven voor beveiligings- en veiligheidsdiensten en -apparatuur nauwkeurig kunnen worden ingeschat;</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 xml:space="preserve">Horizontale kwesties met gevolgen voor de begroting van het Parlement voor het begrotingsjaar 2022 </w:t>
      </w:r>
    </w:p>
    <w:p w:rsidR="005D6748" w:rsidRPr="001C7D10" w:rsidRDefault="009713DB" w:rsidP="005D6748">
      <w:pPr>
        <w:spacing w:after="240"/>
        <w:rPr>
          <w:b/>
          <w:noProof/>
          <w:u w:val="single"/>
        </w:rPr>
      </w:pPr>
      <w:r w:rsidRPr="001C7D10">
        <w:rPr>
          <w:b/>
          <w:u w:val="single"/>
        </w:rPr>
        <w:t>Intimidatie</w:t>
      </w:r>
    </w:p>
    <w:p w:rsidR="005D6748" w:rsidRPr="001C7D10" w:rsidRDefault="005B672E" w:rsidP="005D6748">
      <w:pPr>
        <w:pStyle w:val="NormalHanging12a"/>
      </w:pPr>
      <w:r w:rsidRPr="001C7D10">
        <w:t>15</w:t>
      </w:r>
      <w:r w:rsidR="00E82278" w:rsidRPr="001C7D10">
        <w:t>5</w:t>
      </w:r>
      <w:r w:rsidR="005D6748" w:rsidRPr="001C7D10">
        <w:t>.</w:t>
      </w:r>
      <w:r w:rsidR="005D6748" w:rsidRPr="001C7D10">
        <w:tab/>
        <w:t>is ingenomen met het nultolerantiebeleid van het Parlement inzake intimidatie en met de gevoerde bewustmakingscampagnes; benadrukt dat de code voor passend gedrag voor de leden van het Parlement tot doel heeft ervoor te zorgen dat de leden zich ten opzichte van iedereen die in het Parlement werkt waardig, beleefd en respectvol en zonder vooroordelen of discriminatie gedragen; wijst erop dat 56 leden van het Parlement in 2022 aan de opleidingssessie hierover hebben deelgenomen; merkt op dat de eerste sessies werden aangeboden in november 2018 en dat sindsdien in totaal 324 huidige leden van het Parlement</w:t>
      </w:r>
      <w:r w:rsidR="0039021F" w:rsidRPr="001C7D10">
        <w:t xml:space="preserve"> </w:t>
      </w:r>
      <w:r w:rsidR="005D6748" w:rsidRPr="001C7D10">
        <w:t>(46 %) aan de opleidingssessie hebben deelgenomen, plus 56 voormalige leden; merkt op dat in 2022 106 personeelsleden en geaccrediteerde parlementaire medewerkers hebben deelgenomen aan opleidingen ter bestrijding van intimidatie; stelt met bezorgdheid vast dat intimidatie op de werkplek blijft bestaan, ondanks de inspanningen om dit fenomeen uit te bannen;</w:t>
      </w:r>
    </w:p>
    <w:p w:rsidR="005D6748" w:rsidRPr="001C7D10" w:rsidRDefault="005B672E" w:rsidP="005D6748">
      <w:pPr>
        <w:pStyle w:val="NormalHanging12a"/>
      </w:pPr>
      <w:r w:rsidRPr="001C7D10">
        <w:t>15</w:t>
      </w:r>
      <w:r w:rsidR="00E82278" w:rsidRPr="001C7D10">
        <w:t>6</w:t>
      </w:r>
      <w:r w:rsidR="005D6748" w:rsidRPr="001C7D10">
        <w:t>.</w:t>
      </w:r>
      <w:r w:rsidR="005D6748" w:rsidRPr="001C7D10">
        <w:tab/>
        <w:t xml:space="preserve">herinnert eraan dat bij voorgaande kwijtingsprocedures herhaaldelijk is verzocht om de invoering van verplichte anti-intimidatiecursussen voor alle leden en </w:t>
      </w:r>
      <w:proofErr w:type="spellStart"/>
      <w:r w:rsidR="005D6748" w:rsidRPr="001C7D10">
        <w:t>APA’s</w:t>
      </w:r>
      <w:proofErr w:type="spellEnd"/>
      <w:r w:rsidR="005D6748" w:rsidRPr="001C7D10">
        <w:t>, alsook personeelsleden, met inbegrip van personen in leidinggevende functies in de verschillende directoraten-generaal en fracties; erkent dat het Bureau, om bij te dragen aan een betere werkomgeving in het Europees Parlement en machtsmisbruik te voorkomen, op 10 juli 2023 zijn goedkeuring heeft gehecht aan een opleidingsconcept inzake succesvol teammanagement en het voorkomen van intimidatie; is verheugd over de inspanningen van het Bureau om de opleidingssessie over intimidatiebestrijding verplicht te stellen voor alle leden, evenals voor afdelingshoofden, directeuren en directeuren-generaal;</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15</w:t>
      </w:r>
      <w:r w:rsidR="00E82278" w:rsidRPr="001C7D10">
        <w:rPr>
          <w14:textOutline w14:w="0" w14:cap="flat" w14:cmpd="sng" w14:algn="ctr">
            <w14:noFill/>
            <w14:prstDash w14:val="solid"/>
            <w14:bevel/>
          </w14:textOutline>
        </w:rPr>
        <w:t>7</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benadrukt dat een verplichte opleiding ter bestrijding van intimidatie moet worden gevolgd door leden, </w:t>
      </w:r>
      <w:proofErr w:type="spellStart"/>
      <w:r w:rsidR="005D6748" w:rsidRPr="001C7D10">
        <w:rPr>
          <w14:textOutline w14:w="0" w14:cap="flat" w14:cmpd="sng" w14:algn="ctr">
            <w14:noFill/>
            <w14:prstDash w14:val="solid"/>
            <w14:bevel/>
          </w14:textOutline>
        </w:rPr>
        <w:t>APA’s</w:t>
      </w:r>
      <w:proofErr w:type="spellEnd"/>
      <w:r w:rsidR="005D6748" w:rsidRPr="001C7D10">
        <w:rPr>
          <w14:textOutline w14:w="0" w14:cap="flat" w14:cmpd="sng" w14:algn="ctr">
            <w14:noFill/>
            <w14:prstDash w14:val="solid"/>
            <w14:bevel/>
          </w14:textOutline>
        </w:rPr>
        <w:t xml:space="preserve"> en personeelsleden</w:t>
      </w:r>
      <w:r w:rsidRPr="001C7D10">
        <w:t>, en dat alle personeelsleden, met inbegrip van medische personeelsleden die een rol spelen bij anti-intimidatieprocedures, speciaal moeten worden opgeleid voor deze procedures</w:t>
      </w:r>
      <w:r w:rsidR="005D6748" w:rsidRPr="001C7D10">
        <w:rPr>
          <w14:textOutline w14:w="0" w14:cap="flat" w14:cmpd="sng" w14:algn="ctr">
            <w14:noFill/>
            <w14:prstDash w14:val="solid"/>
            <w14:bevel/>
          </w14:textOutline>
        </w:rPr>
        <w: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15</w:t>
      </w:r>
      <w:r w:rsidR="00E82278" w:rsidRPr="001C7D10">
        <w:rPr>
          <w14:textOutline w14:w="0" w14:cap="flat" w14:cmpd="sng" w14:algn="ctr">
            <w14:noFill/>
            <w14:prstDash w14:val="solid"/>
            <w14:bevel/>
          </w14:textOutline>
        </w:rPr>
        <w:t>8</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wijst erop dat het adviescomité intimidatie en voorkoming daarvan op het werk in 2022 twee klachten heeft ontvangen, ingediend door twee stagiairs; merkt op dat het comité </w:t>
      </w:r>
      <w:r w:rsidR="005D6748" w:rsidRPr="001C7D10">
        <w:rPr>
          <w14:textOutline w14:w="0" w14:cap="flat" w14:cmpd="sng" w14:algn="ctr">
            <w14:noFill/>
            <w14:prstDash w14:val="solid"/>
            <w14:bevel/>
          </w14:textOutline>
        </w:rPr>
        <w:lastRenderedPageBreak/>
        <w:t xml:space="preserve">daarnaast is geraadpleegd door één personeelslid; </w:t>
      </w:r>
    </w:p>
    <w:p w:rsidR="005D6748" w:rsidRPr="001C7D10" w:rsidRDefault="005B672E" w:rsidP="005D6748">
      <w:pPr>
        <w:spacing w:after="240"/>
        <w:ind w:left="567" w:hanging="567"/>
      </w:pPr>
      <w:r w:rsidRPr="001C7D10">
        <w:rPr>
          <w14:textOutline w14:w="0" w14:cap="flat" w14:cmpd="sng" w14:algn="ctr">
            <w14:noFill/>
            <w14:prstDash w14:val="solid"/>
            <w14:bevel/>
          </w14:textOutline>
        </w:rPr>
        <w:t>1</w:t>
      </w:r>
      <w:r w:rsidR="00E82278" w:rsidRPr="001C7D10">
        <w:rPr>
          <w14:textOutline w14:w="0" w14:cap="flat" w14:cmpd="sng" w14:algn="ctr">
            <w14:noFill/>
            <w14:prstDash w14:val="solid"/>
            <w14:bevel/>
          </w14:textOutline>
        </w:rPr>
        <w:t>59</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benadrukt dat het adviescomité voor de behandeling van klachten over intimidatie door leden een mandaat heeft om beschuldigingen ten aanzien van leden inzake psychologische of seksuele intimidatie afkomstig uit alle personeelscategorieën, inclusief geaccrediteerde parlementaire medewerkers, stagiairs, gedetacheerde nationale deskundigen en fractiemedewerkers, te onderzoeken; merkt op dat het Bureau met het oog op een verdere versterking van het anti-intimidatiebeleid van het Parlement op 20 november 2023 een aantal aanvullende wijzigingen heeft aangenomen op de regels inzake de werking van het adviescomité voor de behandeling van klachten over intimidatie door leden;</w:t>
      </w:r>
      <w:r w:rsidRPr="001C7D10">
        <w:rPr>
          <w14:textOutline w14:w="0" w14:cap="flat" w14:cmpd="sng" w14:algn="ctr">
            <w14:noFill/>
            <w14:prstDash w14:val="solid"/>
            <w14:bevel/>
          </w14:textOutline>
        </w:rPr>
        <w:t xml:space="preserve"> </w:t>
      </w:r>
      <w:r w:rsidRPr="001C7D10">
        <w:t>herhaalt zijn verzoek aan het Bureau om onafhankelijke deskundigen op het gebied van intimidatie op te nemen in beide adviescomités ter ondersteuning van de uitvoering van hun taken;</w:t>
      </w:r>
    </w:p>
    <w:p w:rsidR="005B672E" w:rsidRPr="001C7D10" w:rsidRDefault="005B672E" w:rsidP="005D6748">
      <w:pPr>
        <w:spacing w:after="240"/>
        <w:ind w:left="567" w:hanging="567"/>
        <w:rPr>
          <w:szCs w:val="24"/>
          <w14:textOutline w14:w="0" w14:cap="flat" w14:cmpd="sng" w14:algn="ctr">
            <w14:noFill/>
            <w14:prstDash w14:val="solid"/>
            <w14:bevel/>
          </w14:textOutline>
        </w:rPr>
      </w:pPr>
      <w:r w:rsidRPr="001C7D10">
        <w:t>16</w:t>
      </w:r>
      <w:r w:rsidR="00E82278" w:rsidRPr="001C7D10">
        <w:t>0</w:t>
      </w:r>
      <w:r w:rsidRPr="001C7D10">
        <w:t>.</w:t>
      </w:r>
      <w:r w:rsidRPr="001C7D10">
        <w:tab/>
        <w:t>benadrukt dat seksuele en psychologische intimidatie onder geen beding aanvaardbaar zijn; herinnert eraan dat het Parlement met succes verschillende contactpunten heeft opgezet voor de behandeling van gevallen van intimidatie, zoals het adviescomité voor de behandeling van klachten over intimidatie door leden en het adviescomité intimidatie en voorkoming daarvan op het werk, alsook vertrouwenspersonen; is zeer bezorgd door de onthullingen in de media over vermeende seksuele intimidatie door een lid sinds de zomer van 2022 zonder dat actie is ondernomen; herinnert eraan dat alle fracties sterk worden aangemoedigd om potentiële gevallen aan de genoemde comités te melden en dat het opzetten van externe structuren met hetzelfde doel ertoe leidt dat het protocol tegen intimidatie van het Parlement wordt omzeild en dat een tweeledig systeem wordt ingevoerd; onderstreept dat dit leidt tot ernstige onzekerheid voor slachtoffers en dat zo verschillende regels worden vastgesteld voor verschillende politieke partijen;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16</w:t>
      </w:r>
      <w:r w:rsidR="00E82278" w:rsidRPr="001C7D10">
        <w:rPr>
          <w14:textOutline w14:w="0" w14:cap="flat" w14:cmpd="sng" w14:algn="ctr">
            <w14:noFill/>
            <w14:prstDash w14:val="solid"/>
            <w14:bevel/>
          </w14:textOutline>
        </w:rPr>
        <w:t>1</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in 2022 13 personeelsleden (9 in 2021) de instelling om bijstand hebben verzocht overeenkomstig artikel 24 van het Statuut; merkt op dat zes van deze gevallen (vijf in 2021) betrekking hadden op vermeende intimidatie; benadrukt dat de zes betrokken personeelsleden allemaal </w:t>
      </w:r>
      <w:proofErr w:type="spellStart"/>
      <w:r w:rsidR="005D6748" w:rsidRPr="001C7D10">
        <w:rPr>
          <w14:textOutline w14:w="0" w14:cap="flat" w14:cmpd="sng" w14:algn="ctr">
            <w14:noFill/>
            <w14:prstDash w14:val="solid"/>
            <w14:bevel/>
          </w14:textOutline>
        </w:rPr>
        <w:t>APA’s</w:t>
      </w:r>
      <w:proofErr w:type="spellEnd"/>
      <w:r w:rsidR="005D6748" w:rsidRPr="001C7D10">
        <w:rPr>
          <w14:textOutline w14:w="0" w14:cap="flat" w14:cmpd="sng" w14:algn="ctr">
            <w14:noFill/>
            <w14:prstDash w14:val="solid"/>
            <w14:bevel/>
          </w14:textOutline>
        </w:rPr>
        <w:t xml:space="preserve"> of voormalige </w:t>
      </w:r>
      <w:proofErr w:type="spellStart"/>
      <w:r w:rsidR="005D6748" w:rsidRPr="001C7D10">
        <w:rPr>
          <w14:textOutline w14:w="0" w14:cap="flat" w14:cmpd="sng" w14:algn="ctr">
            <w14:noFill/>
            <w14:prstDash w14:val="solid"/>
            <w14:bevel/>
          </w14:textOutline>
        </w:rPr>
        <w:t>APA’s</w:t>
      </w:r>
      <w:proofErr w:type="spellEnd"/>
      <w:r w:rsidR="005D6748" w:rsidRPr="001C7D10">
        <w:rPr>
          <w14:textOutline w14:w="0" w14:cap="flat" w14:cmpd="sng" w14:algn="ctr">
            <w14:noFill/>
            <w14:prstDash w14:val="solid"/>
            <w14:bevel/>
          </w14:textOutline>
        </w:rPr>
        <w:t xml:space="preserve"> waren en geen ambtenaren;</w:t>
      </w:r>
    </w:p>
    <w:p w:rsidR="005D6748" w:rsidRPr="001C7D10" w:rsidRDefault="005B672E" w:rsidP="005D6748">
      <w:pPr>
        <w:pStyle w:val="NormalHanging12a"/>
      </w:pPr>
      <w:r w:rsidRPr="001C7D10">
        <w:t>1</w:t>
      </w:r>
      <w:r w:rsidR="00E82278" w:rsidRPr="001C7D10">
        <w:t>62</w:t>
      </w:r>
      <w:r w:rsidR="005D6748" w:rsidRPr="001C7D10">
        <w:t>.</w:t>
      </w:r>
      <w:r w:rsidR="005D6748" w:rsidRPr="001C7D10">
        <w:tab/>
        <w:t>is van mening dat ook rekening moet worden gehouden met intimidatie van parlementaire medewerkers door andere parlementaire medewerkers of ambtenaren van het Parlement;</w:t>
      </w:r>
    </w:p>
    <w:p w:rsidR="005D6748" w:rsidRPr="001C7D10" w:rsidRDefault="005D6748" w:rsidP="005D6748">
      <w:pPr>
        <w:spacing w:after="240"/>
        <w:rPr>
          <w:b/>
          <w:noProof/>
          <w:u w:val="single"/>
        </w:rPr>
      </w:pPr>
      <w:r w:rsidRPr="001C7D10">
        <w:rPr>
          <w:b/>
          <w:u w:val="single"/>
        </w:rPr>
        <w:t>Klokkenluiders</w:t>
      </w:r>
    </w:p>
    <w:p w:rsidR="005D6748" w:rsidRPr="001C7D10" w:rsidRDefault="005B672E" w:rsidP="005D6748">
      <w:pPr>
        <w:pStyle w:val="NormalHanging12a"/>
      </w:pPr>
      <w:r w:rsidRPr="001C7D10">
        <w:t>16</w:t>
      </w:r>
      <w:r w:rsidR="00E82278" w:rsidRPr="001C7D10">
        <w:t>3</w:t>
      </w:r>
      <w:r w:rsidR="005D6748" w:rsidRPr="001C7D10">
        <w:t>.</w:t>
      </w:r>
      <w:r w:rsidR="005D6748" w:rsidRPr="001C7D10">
        <w:tab/>
        <w:t>herinnert eraan dat personeelsleden van de instellingen van de Unie verplicht zijn alle informatie te melden die wijst op corruptie, fraude en andere ernstige onregelmatigheden die zij in het kader van hun professionele activiteiten vaststellen; merkt op dat het Parlement in 2022 één geval van klokkenluiden heeft geregistreerd; is ingenomen met de werkzaamheden in 2022 om de interne regels ter uitvoering van artikel 22, punt c), van het Statuut van de ambtenaren van 4 december 2015 te actualiseren met uitgebreidere en meer gedetailleerde interne regels; merkt op dat het Bureau op 20 november 2023 een besluit over de interne regels inzake klokkenluiders heeft vastgesteld, dat van toepassing is met ingang van 1 december 2023, en bepalingen bevat inzake de bescherming van klokkenluiders, de overdracht van bewijsmateriaal aan OLAF en, in voorkomend geval, het EOM, alsmede termijnen voor de behandeling van klachten;</w:t>
      </w:r>
    </w:p>
    <w:p w:rsidR="005D6748" w:rsidRPr="001C7D10" w:rsidRDefault="005B672E" w:rsidP="005D6748">
      <w:pPr>
        <w:pStyle w:val="NormalHanging12a"/>
      </w:pPr>
      <w:r w:rsidRPr="001C7D10">
        <w:lastRenderedPageBreak/>
        <w:t>16</w:t>
      </w:r>
      <w:r w:rsidR="00E82278" w:rsidRPr="001C7D10">
        <w:t>4</w:t>
      </w:r>
      <w:r w:rsidR="005D6748" w:rsidRPr="001C7D10">
        <w:t>.</w:t>
      </w:r>
      <w:r w:rsidR="005D6748" w:rsidRPr="001C7D10">
        <w:tab/>
        <w:t xml:space="preserve">wijst erop dat naar aanleiding van nota nr. 18/2023 van het Bureau betreffende de interne regels inzake klokkenluiders en de aan </w:t>
      </w:r>
      <w:proofErr w:type="spellStart"/>
      <w:r w:rsidR="005D6748" w:rsidRPr="001C7D10">
        <w:t>APA’s</w:t>
      </w:r>
      <w:proofErr w:type="spellEnd"/>
      <w:r w:rsidR="005D6748" w:rsidRPr="001C7D10">
        <w:t xml:space="preserve"> en personeelsleden opgelegde verplichtingen om onregelmatigheden te melden, het van het grootste belang is dat alle diensten binnen het Parlement ook verplicht zijn om alle informatie die zij hebben over fraude, overtredingen van financiële regels of gedragingen die in strijd zijn met de ethische code van het Parlement, te melden; wijst erop dat deze verplichting geldt voor al deze informatie, ongeacht de vertrouwelijkheid ervan, en moet worden gemeld aan de betrokken dienst binnen het Parlement;</w:t>
      </w:r>
    </w:p>
    <w:p w:rsidR="005D6748" w:rsidRPr="001C7D10" w:rsidRDefault="005D6748" w:rsidP="005D6748">
      <w:pPr>
        <w:spacing w:after="240"/>
        <w:rPr>
          <w:b/>
          <w:noProof/>
          <w:u w:val="single"/>
        </w:rPr>
      </w:pPr>
      <w:r w:rsidRPr="001C7D10">
        <w:rPr>
          <w:b/>
          <w:u w:val="single"/>
        </w:rPr>
        <w:t>Vrijwillig pensioenfonds (VPF)</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16</w:t>
      </w:r>
      <w:r w:rsidR="00E82278" w:rsidRPr="001C7D10">
        <w:rPr>
          <w14:textOutline w14:w="0" w14:cap="flat" w14:cmpd="sng" w14:algn="ctr">
            <w14:noFill/>
            <w14:prstDash w14:val="solid"/>
            <w14:bevel/>
          </w14:textOutline>
        </w:rPr>
        <w:t>5</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het actuariële tekort van het vrijwillig pensioenfonds 379 miljoen EUR bedroeg op 31 december 2021 (tegen 371,4 miljoen EUR op 31 december 2020); is ingenomen met de wijzigingen die het Bureau van het Parlement in artikel 76 van de uitvoeringsbepalingen van het Statuut van de leden heeft aangebracht met betrekking tot de aanvullende (vrijwillige) pensioenregeling, die op 1 juli 2023 in werking is getreden en tot doel heeft de toekomstige pensioenverplichtingen van 362,7 miljoen EUR tot naar schatting 139 miljoen EUR te verminderen en het actuariële tekort van het fonds van 310 miljoen EUR tot naar schatting 86 miljoen EUR terug te dringen;</w:t>
      </w:r>
    </w:p>
    <w:p w:rsidR="005D6748" w:rsidRPr="001C7D10" w:rsidRDefault="005B672E" w:rsidP="005D6748">
      <w:pPr>
        <w:pStyle w:val="NormalHanging12a"/>
      </w:pPr>
      <w:r w:rsidRPr="001C7D10">
        <w:t>16</w:t>
      </w:r>
      <w:r w:rsidR="00E82278" w:rsidRPr="001C7D10">
        <w:t>6</w:t>
      </w:r>
      <w:r w:rsidR="005D6748" w:rsidRPr="001C7D10">
        <w:t>.</w:t>
      </w:r>
      <w:r w:rsidR="005D6748" w:rsidRPr="001C7D10">
        <w:tab/>
        <w:t>is ingenomen met de meest recente besluiten van het Bureau; wijst erop dat dit probleem zich in de toekomst opnieuw zal voordoen, aangezien de middelen van het fonds naar verwachting ten laatste in 2027 uitgeput zullen zijn; erkent dat het Parlement niet betrokken is bij het beheer van de beleggingsportefeuille van het VPF; verzoekt de beheerder van het fonds echter het potentiële reputatierisico van zijn investeringen naar behoren te beoordelen; merkt op dat de juridische beoordeling van de meest recente arresten van het Hof van Justitie van de Europese Unie en de gevolgen daarvan voor toekomstige besluiten van het Bureau ook ter beschikking is gesteld van de leden van het Bureau, zodat zij met kennis van zaken besluiten kunnen nemen; merkt op dat er beroepen zijn aangetekend bij het Hof van Justitie van de Europese Unie en dat de kwestie opnieuw zal moeten worden behandeld na uitspraak van de arresten;</w:t>
      </w:r>
    </w:p>
    <w:p w:rsidR="005D6748" w:rsidRPr="001C7D10" w:rsidRDefault="005B672E" w:rsidP="005D6748">
      <w:pPr>
        <w:spacing w:after="240"/>
        <w:ind w:left="567" w:hanging="567"/>
        <w:rPr>
          <w:b/>
          <w:i/>
          <w14:textOutline w14:w="0" w14:cap="flat" w14:cmpd="sng" w14:algn="ctr">
            <w14:noFill/>
            <w14:prstDash w14:val="solid"/>
            <w14:bevel/>
          </w14:textOutline>
        </w:rPr>
      </w:pPr>
      <w:r w:rsidRPr="001C7D10">
        <w:rPr>
          <w14:textOutline w14:w="0" w14:cap="flat" w14:cmpd="sng" w14:algn="ctr">
            <w14:noFill/>
            <w14:prstDash w14:val="solid"/>
            <w14:bevel/>
          </w14:textOutline>
        </w:rPr>
        <w:t>16</w:t>
      </w:r>
      <w:r w:rsidR="00E82278" w:rsidRPr="001C7D10">
        <w:rPr>
          <w14:textOutline w14:w="0" w14:cap="flat" w14:cmpd="sng" w14:algn="ctr">
            <w14:noFill/>
            <w14:prstDash w14:val="solid"/>
            <w14:bevel/>
          </w14:textOutline>
        </w:rPr>
        <w:t>7</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r>
      <w:r w:rsidRPr="001C7D10">
        <w:t xml:space="preserve">verzoekt de administratie en het Bureau de kwestie pas opnieuw te behandelen wanneer de juridische beoordeling door het </w:t>
      </w:r>
      <w:proofErr w:type="spellStart"/>
      <w:r w:rsidRPr="001C7D10">
        <w:t>HvJ</w:t>
      </w:r>
      <w:proofErr w:type="spellEnd"/>
      <w:r w:rsidRPr="001C7D10">
        <w:t>-EU is uitgevoerd, om de toekomst van het VPF in overweging te nemen;</w:t>
      </w:r>
    </w:p>
    <w:p w:rsidR="005D6748" w:rsidRPr="001C7D10" w:rsidRDefault="005D6748" w:rsidP="005D6748">
      <w:pPr>
        <w:spacing w:after="240"/>
        <w:ind w:left="567" w:hanging="567"/>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Jaarverslag over de toekenning van contracten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16</w:t>
      </w:r>
      <w:r w:rsidR="00E82278" w:rsidRPr="001C7D10">
        <w:rPr>
          <w14:textOutline w14:w="0" w14:cap="flat" w14:cmpd="sng" w14:algn="ctr">
            <w14:noFill/>
            <w14:prstDash w14:val="solid"/>
            <w14:bevel/>
          </w14:textOutline>
        </w:rPr>
        <w:t>8</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wijst er nogmaals op dat in het Financieel Reglement wordt bepaald welke informatie inzake de gunning van opdrachten door het Parlement moet worden verstrekt aan de begrotingsautoriteit en aan het publiek; merkt op dat, krachtens het Financieel Reglement, gegunde opdrachten die een waarde vertegenwoordigen van meer dan 15 000 EUR – de drempelwaarde waarboven een mededingingsprocedure verplicht wordt – openbaar moeten worden gemaakt; merkt op dat van de 194 in 2022 gegunde opdrachten, 63 gebaseerd waren op een openbare procedure, met een waarde van 359,3 miljoen EUR, en één op een niet-openbare procedure, met een totale waarde van 460 miljoen EUR; merkt op dat er 126 opdrachten zijn gegund via onderhandelingsprocedures, met een waarde van 48 miljoen EUR;</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w:t>
      </w:r>
      <w:r w:rsidR="00E82278" w:rsidRPr="001C7D10">
        <w:rPr>
          <w14:textOutline w14:w="0" w14:cap="flat" w14:cmpd="sng" w14:algn="ctr">
            <w14:noFill/>
            <w14:prstDash w14:val="solid"/>
            <w14:bevel/>
          </w14:textOutline>
        </w:rPr>
        <w:t>69</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 xml:space="preserve">merkt op dat het totale aantal gegunde contracten in 2022 is gedaald ten opzichte van 2021 (respectievelijk 194 en 221); neemt kennis van de aanzienlijke verlaging van het totale gecontracteerde bedrag, dat in 2022 uitkwam op 410 miljoen EUR, ten opzichte </w:t>
      </w:r>
      <w:r w:rsidR="005D6748" w:rsidRPr="001C7D10">
        <w:rPr>
          <w14:textOutline w14:w="0" w14:cap="flat" w14:cmpd="sng" w14:algn="ctr">
            <w14:noFill/>
            <w14:prstDash w14:val="solid"/>
            <w14:bevel/>
          </w14:textOutline>
        </w:rPr>
        <w:lastRenderedPageBreak/>
        <w:t>van 1 016 miljoen EUR in 2021;</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17</w:t>
      </w:r>
      <w:r w:rsidR="00E8227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neemt kennis van de onderstaande onderverdeling naar soort van de in 2022 en 2021 gegunde opdrachten, met inbegrip van opdrachten voor gebouwen:</w:t>
      </w:r>
    </w:p>
    <w:tbl>
      <w:tblPr>
        <w:tblStyle w:val="TableGrid"/>
        <w:tblW w:w="5000" w:type="pct"/>
        <w:tblLook w:val="04A0" w:firstRow="1" w:lastRow="0" w:firstColumn="1" w:lastColumn="0" w:noHBand="0" w:noVBand="1"/>
      </w:tblPr>
      <w:tblGrid>
        <w:gridCol w:w="2349"/>
        <w:gridCol w:w="1979"/>
        <w:gridCol w:w="1578"/>
        <w:gridCol w:w="1578"/>
        <w:gridCol w:w="1576"/>
      </w:tblGrid>
      <w:tr w:rsidR="005D6748" w:rsidRPr="001C7D10" w:rsidTr="00434A68">
        <w:trPr>
          <w:trHeight w:val="300"/>
        </w:trPr>
        <w:tc>
          <w:tcPr>
            <w:tcW w:w="1296" w:type="pct"/>
            <w:vMerge w:val="restart"/>
            <w:hideMark/>
          </w:tcPr>
          <w:p w:rsidR="005D6748" w:rsidRPr="001C7D10" w:rsidRDefault="005D6748" w:rsidP="00434A68">
            <w:pPr>
              <w:jc w:val="center"/>
              <w:rPr>
                <w:b/>
                <w:bCs/>
                <w:color w:val="000000" w:themeColor="text1"/>
                <w:szCs w:val="24"/>
              </w:rPr>
            </w:pPr>
            <w:r w:rsidRPr="001C7D10">
              <w:rPr>
                <w:b/>
                <w:color w:val="000000" w:themeColor="text1"/>
              </w:rPr>
              <w:t>Soort opdracht</w:t>
            </w:r>
          </w:p>
        </w:tc>
        <w:tc>
          <w:tcPr>
            <w:tcW w:w="1963" w:type="pct"/>
            <w:gridSpan w:val="2"/>
            <w:vMerge w:val="restart"/>
            <w:hideMark/>
          </w:tcPr>
          <w:p w:rsidR="005D6748" w:rsidRPr="001C7D10" w:rsidRDefault="005D6748" w:rsidP="00434A68">
            <w:pPr>
              <w:jc w:val="center"/>
              <w:rPr>
                <w:b/>
                <w:bCs/>
                <w:color w:val="000000" w:themeColor="text1"/>
                <w:szCs w:val="24"/>
              </w:rPr>
            </w:pPr>
            <w:r w:rsidRPr="001C7D10">
              <w:rPr>
                <w:b/>
                <w:color w:val="000000" w:themeColor="text1"/>
              </w:rPr>
              <w:t>2021</w:t>
            </w:r>
          </w:p>
        </w:tc>
        <w:tc>
          <w:tcPr>
            <w:tcW w:w="1741" w:type="pct"/>
            <w:gridSpan w:val="2"/>
            <w:vMerge w:val="restart"/>
            <w:hideMark/>
          </w:tcPr>
          <w:p w:rsidR="005D6748" w:rsidRPr="001C7D10" w:rsidRDefault="005D6748" w:rsidP="00434A68">
            <w:pPr>
              <w:jc w:val="center"/>
              <w:rPr>
                <w:b/>
                <w:bCs/>
                <w:color w:val="000000" w:themeColor="text1"/>
                <w:szCs w:val="24"/>
              </w:rPr>
            </w:pPr>
            <w:r w:rsidRPr="001C7D10">
              <w:rPr>
                <w:b/>
                <w:color w:val="000000" w:themeColor="text1"/>
              </w:rPr>
              <w:t>2022</w:t>
            </w:r>
          </w:p>
        </w:tc>
      </w:tr>
      <w:tr w:rsidR="005D6748" w:rsidRPr="001C7D10" w:rsidTr="00434A68">
        <w:trPr>
          <w:trHeight w:val="315"/>
        </w:trPr>
        <w:tc>
          <w:tcPr>
            <w:tcW w:w="1296" w:type="pct"/>
            <w:vMerge/>
            <w:hideMark/>
          </w:tcPr>
          <w:p w:rsidR="005D6748" w:rsidRPr="001C7D10" w:rsidRDefault="005D6748" w:rsidP="00434A68">
            <w:pPr>
              <w:rPr>
                <w:b/>
                <w:bCs/>
                <w:color w:val="000000" w:themeColor="text1"/>
                <w:szCs w:val="24"/>
              </w:rPr>
            </w:pPr>
          </w:p>
        </w:tc>
        <w:tc>
          <w:tcPr>
            <w:tcW w:w="1963" w:type="pct"/>
            <w:gridSpan w:val="2"/>
            <w:vMerge/>
            <w:hideMark/>
          </w:tcPr>
          <w:p w:rsidR="005D6748" w:rsidRPr="001C7D10" w:rsidRDefault="005D6748" w:rsidP="00434A68">
            <w:pPr>
              <w:rPr>
                <w:b/>
                <w:bCs/>
                <w:color w:val="000000" w:themeColor="text1"/>
                <w:szCs w:val="24"/>
              </w:rPr>
            </w:pPr>
          </w:p>
        </w:tc>
        <w:tc>
          <w:tcPr>
            <w:tcW w:w="1741" w:type="pct"/>
            <w:gridSpan w:val="2"/>
            <w:vMerge/>
            <w:hideMark/>
          </w:tcPr>
          <w:p w:rsidR="005D6748" w:rsidRPr="001C7D10" w:rsidRDefault="005D6748" w:rsidP="00434A68">
            <w:pPr>
              <w:rPr>
                <w:b/>
                <w:bCs/>
                <w:color w:val="000000" w:themeColor="text1"/>
                <w:szCs w:val="24"/>
              </w:rPr>
            </w:pPr>
          </w:p>
        </w:tc>
      </w:tr>
      <w:tr w:rsidR="005D6748" w:rsidRPr="001C7D10" w:rsidTr="00434A68">
        <w:trPr>
          <w:trHeight w:val="315"/>
        </w:trPr>
        <w:tc>
          <w:tcPr>
            <w:tcW w:w="1296" w:type="pct"/>
            <w:vMerge/>
            <w:hideMark/>
          </w:tcPr>
          <w:p w:rsidR="005D6748" w:rsidRPr="001C7D10" w:rsidRDefault="005D6748" w:rsidP="00434A68">
            <w:pPr>
              <w:rPr>
                <w:b/>
                <w:bCs/>
                <w:color w:val="000000" w:themeColor="text1"/>
                <w:szCs w:val="24"/>
              </w:rPr>
            </w:pPr>
          </w:p>
        </w:tc>
        <w:tc>
          <w:tcPr>
            <w:tcW w:w="1092" w:type="pct"/>
            <w:hideMark/>
          </w:tcPr>
          <w:p w:rsidR="005D6748" w:rsidRPr="001C7D10" w:rsidRDefault="005D6748" w:rsidP="00434A68">
            <w:pPr>
              <w:jc w:val="center"/>
              <w:rPr>
                <w:b/>
                <w:bCs/>
                <w:color w:val="000000" w:themeColor="text1"/>
                <w:szCs w:val="24"/>
              </w:rPr>
            </w:pPr>
            <w:r w:rsidRPr="001C7D10">
              <w:rPr>
                <w:b/>
                <w:color w:val="000000" w:themeColor="text1"/>
              </w:rPr>
              <w:t>Aantal</w:t>
            </w:r>
          </w:p>
        </w:tc>
        <w:tc>
          <w:tcPr>
            <w:tcW w:w="871" w:type="pct"/>
            <w:hideMark/>
          </w:tcPr>
          <w:p w:rsidR="005D6748" w:rsidRPr="001C7D10" w:rsidRDefault="005D6748" w:rsidP="00434A68">
            <w:pPr>
              <w:jc w:val="center"/>
              <w:rPr>
                <w:b/>
                <w:bCs/>
                <w:color w:val="000000" w:themeColor="text1"/>
                <w:szCs w:val="24"/>
              </w:rPr>
            </w:pPr>
            <w:r w:rsidRPr="001C7D10">
              <w:rPr>
                <w:b/>
                <w:color w:val="000000" w:themeColor="text1"/>
              </w:rPr>
              <w:t>Percentage</w:t>
            </w:r>
          </w:p>
        </w:tc>
        <w:tc>
          <w:tcPr>
            <w:tcW w:w="871" w:type="pct"/>
            <w:hideMark/>
          </w:tcPr>
          <w:p w:rsidR="005D6748" w:rsidRPr="001C7D10" w:rsidRDefault="005D6748" w:rsidP="00434A68">
            <w:pPr>
              <w:jc w:val="center"/>
              <w:rPr>
                <w:b/>
                <w:bCs/>
                <w:color w:val="000000" w:themeColor="text1"/>
                <w:szCs w:val="24"/>
              </w:rPr>
            </w:pPr>
            <w:r w:rsidRPr="001C7D10">
              <w:rPr>
                <w:b/>
                <w:color w:val="000000" w:themeColor="text1"/>
              </w:rPr>
              <w:t>Aantal</w:t>
            </w:r>
          </w:p>
        </w:tc>
        <w:tc>
          <w:tcPr>
            <w:tcW w:w="870" w:type="pct"/>
            <w:hideMark/>
          </w:tcPr>
          <w:p w:rsidR="005D6748" w:rsidRPr="001C7D10" w:rsidRDefault="005D6748" w:rsidP="00434A68">
            <w:pPr>
              <w:jc w:val="center"/>
              <w:rPr>
                <w:b/>
                <w:bCs/>
                <w:color w:val="000000" w:themeColor="text1"/>
                <w:szCs w:val="24"/>
              </w:rPr>
            </w:pPr>
            <w:r w:rsidRPr="001C7D10">
              <w:rPr>
                <w:b/>
                <w:color w:val="000000" w:themeColor="text1"/>
              </w:rPr>
              <w:t>Percentage</w:t>
            </w:r>
          </w:p>
        </w:tc>
      </w:tr>
      <w:tr w:rsidR="005D6748" w:rsidRPr="001C7D10" w:rsidTr="00434A68">
        <w:trPr>
          <w:trHeight w:val="300"/>
        </w:trPr>
        <w:tc>
          <w:tcPr>
            <w:tcW w:w="1296" w:type="pct"/>
            <w:hideMark/>
          </w:tcPr>
          <w:p w:rsidR="005D6748" w:rsidRPr="001C7D10" w:rsidRDefault="005D6748" w:rsidP="00434A68">
            <w:pPr>
              <w:rPr>
                <w:color w:val="000000" w:themeColor="text1"/>
                <w:szCs w:val="24"/>
              </w:rPr>
            </w:pPr>
            <w:r w:rsidRPr="001C7D10">
              <w:rPr>
                <w:color w:val="000000" w:themeColor="text1"/>
              </w:rPr>
              <w:t> </w:t>
            </w:r>
          </w:p>
        </w:tc>
        <w:tc>
          <w:tcPr>
            <w:tcW w:w="1092" w:type="pct"/>
            <w:hideMark/>
          </w:tcPr>
          <w:p w:rsidR="005D6748" w:rsidRPr="001C7D10" w:rsidRDefault="005D6748" w:rsidP="00434A68">
            <w:pPr>
              <w:jc w:val="center"/>
              <w:rPr>
                <w:color w:val="000000" w:themeColor="text1"/>
                <w:szCs w:val="24"/>
              </w:rPr>
            </w:pPr>
            <w:r w:rsidRPr="001C7D10">
              <w:rPr>
                <w:color w:val="000000" w:themeColor="text1"/>
              </w:rPr>
              <w:t> </w:t>
            </w:r>
          </w:p>
        </w:tc>
        <w:tc>
          <w:tcPr>
            <w:tcW w:w="871" w:type="pct"/>
            <w:hideMark/>
          </w:tcPr>
          <w:p w:rsidR="005D6748" w:rsidRPr="001C7D10" w:rsidRDefault="005D6748" w:rsidP="00434A68">
            <w:pPr>
              <w:rPr>
                <w:color w:val="000000" w:themeColor="text1"/>
                <w:szCs w:val="24"/>
              </w:rPr>
            </w:pPr>
            <w:r w:rsidRPr="001C7D10">
              <w:rPr>
                <w:color w:val="000000" w:themeColor="text1"/>
              </w:rPr>
              <w:t> </w:t>
            </w:r>
          </w:p>
        </w:tc>
        <w:tc>
          <w:tcPr>
            <w:tcW w:w="871" w:type="pct"/>
          </w:tcPr>
          <w:p w:rsidR="005D6748" w:rsidRPr="001C7D10" w:rsidRDefault="005D6748" w:rsidP="00434A68">
            <w:pPr>
              <w:rPr>
                <w:color w:val="000000" w:themeColor="text1"/>
                <w:szCs w:val="24"/>
              </w:rPr>
            </w:pPr>
          </w:p>
        </w:tc>
        <w:tc>
          <w:tcPr>
            <w:tcW w:w="870" w:type="pct"/>
          </w:tcPr>
          <w:p w:rsidR="005D6748" w:rsidRPr="001C7D10" w:rsidRDefault="005D6748" w:rsidP="00434A68">
            <w:pPr>
              <w:jc w:val="right"/>
              <w:rPr>
                <w:color w:val="000000" w:themeColor="text1"/>
                <w:szCs w:val="24"/>
              </w:rPr>
            </w:pPr>
          </w:p>
        </w:tc>
      </w:tr>
      <w:tr w:rsidR="005D6748" w:rsidRPr="001C7D10" w:rsidTr="00434A68">
        <w:trPr>
          <w:trHeight w:val="300"/>
        </w:trPr>
        <w:tc>
          <w:tcPr>
            <w:tcW w:w="1296" w:type="pct"/>
            <w:hideMark/>
          </w:tcPr>
          <w:p w:rsidR="005D6748" w:rsidRPr="001C7D10" w:rsidRDefault="005D6748" w:rsidP="00434A68">
            <w:pPr>
              <w:ind w:firstLineChars="100" w:firstLine="240"/>
              <w:rPr>
                <w:color w:val="000000" w:themeColor="text1"/>
                <w:szCs w:val="24"/>
              </w:rPr>
            </w:pPr>
            <w:r w:rsidRPr="001C7D10">
              <w:rPr>
                <w:color w:val="000000" w:themeColor="text1"/>
              </w:rPr>
              <w:t>Gebouwen</w:t>
            </w:r>
          </w:p>
        </w:tc>
        <w:tc>
          <w:tcPr>
            <w:tcW w:w="1092" w:type="pct"/>
            <w:hideMark/>
          </w:tcPr>
          <w:p w:rsidR="005D6748" w:rsidRPr="001C7D10" w:rsidRDefault="005D6748" w:rsidP="00434A68">
            <w:pPr>
              <w:jc w:val="center"/>
              <w:rPr>
                <w:color w:val="000000" w:themeColor="text1"/>
                <w:szCs w:val="24"/>
              </w:rPr>
            </w:pPr>
            <w:r w:rsidRPr="001C7D10">
              <w:rPr>
                <w:color w:val="000000" w:themeColor="text1"/>
              </w:rPr>
              <w:t>8</w:t>
            </w:r>
          </w:p>
        </w:tc>
        <w:tc>
          <w:tcPr>
            <w:tcW w:w="871" w:type="pct"/>
            <w:hideMark/>
          </w:tcPr>
          <w:p w:rsidR="005D6748" w:rsidRPr="001C7D10" w:rsidRDefault="005D6748" w:rsidP="00434A68">
            <w:pPr>
              <w:jc w:val="center"/>
              <w:rPr>
                <w:color w:val="000000" w:themeColor="text1"/>
                <w:szCs w:val="24"/>
              </w:rPr>
            </w:pPr>
            <w:r w:rsidRPr="001C7D10">
              <w:rPr>
                <w:color w:val="000000" w:themeColor="text1"/>
              </w:rPr>
              <w:t>3,6 %</w:t>
            </w:r>
          </w:p>
        </w:tc>
        <w:tc>
          <w:tcPr>
            <w:tcW w:w="871" w:type="pct"/>
          </w:tcPr>
          <w:p w:rsidR="005D6748" w:rsidRPr="001C7D10" w:rsidRDefault="005D6748" w:rsidP="00434A68">
            <w:pPr>
              <w:jc w:val="center"/>
              <w:rPr>
                <w:color w:val="000000" w:themeColor="text1"/>
                <w:szCs w:val="24"/>
              </w:rPr>
            </w:pPr>
            <w:r w:rsidRPr="001C7D10">
              <w:rPr>
                <w:color w:val="000000" w:themeColor="text1"/>
              </w:rPr>
              <w:t>2</w:t>
            </w:r>
          </w:p>
        </w:tc>
        <w:tc>
          <w:tcPr>
            <w:tcW w:w="870" w:type="pct"/>
          </w:tcPr>
          <w:p w:rsidR="005D6748" w:rsidRPr="001C7D10" w:rsidRDefault="005D6748" w:rsidP="00434A68">
            <w:pPr>
              <w:jc w:val="center"/>
              <w:rPr>
                <w:color w:val="000000" w:themeColor="text1"/>
                <w:szCs w:val="24"/>
              </w:rPr>
            </w:pPr>
            <w:r w:rsidRPr="001C7D10">
              <w:rPr>
                <w:color w:val="000000" w:themeColor="text1"/>
              </w:rPr>
              <w:t>1 %</w:t>
            </w:r>
          </w:p>
        </w:tc>
      </w:tr>
      <w:tr w:rsidR="005D6748" w:rsidRPr="001C7D10" w:rsidTr="00434A68">
        <w:trPr>
          <w:trHeight w:val="300"/>
        </w:trPr>
        <w:tc>
          <w:tcPr>
            <w:tcW w:w="1296" w:type="pct"/>
            <w:hideMark/>
          </w:tcPr>
          <w:p w:rsidR="005D6748" w:rsidRPr="001C7D10" w:rsidRDefault="005D6748" w:rsidP="00434A68">
            <w:pPr>
              <w:ind w:firstLineChars="100" w:firstLine="240"/>
              <w:rPr>
                <w:color w:val="000000" w:themeColor="text1"/>
                <w:szCs w:val="24"/>
              </w:rPr>
            </w:pPr>
            <w:r w:rsidRPr="001C7D10">
              <w:rPr>
                <w:color w:val="000000" w:themeColor="text1"/>
              </w:rPr>
              <w:t>Diensten</w:t>
            </w:r>
          </w:p>
        </w:tc>
        <w:tc>
          <w:tcPr>
            <w:tcW w:w="1092" w:type="pct"/>
            <w:hideMark/>
          </w:tcPr>
          <w:p w:rsidR="005D6748" w:rsidRPr="001C7D10" w:rsidRDefault="005D6748" w:rsidP="00434A68">
            <w:pPr>
              <w:jc w:val="center"/>
              <w:rPr>
                <w:color w:val="000000" w:themeColor="text1"/>
                <w:szCs w:val="24"/>
              </w:rPr>
            </w:pPr>
            <w:r w:rsidRPr="001C7D10">
              <w:rPr>
                <w:color w:val="000000" w:themeColor="text1"/>
              </w:rPr>
              <w:t>176</w:t>
            </w:r>
          </w:p>
        </w:tc>
        <w:tc>
          <w:tcPr>
            <w:tcW w:w="871" w:type="pct"/>
            <w:hideMark/>
          </w:tcPr>
          <w:p w:rsidR="005D6748" w:rsidRPr="001C7D10" w:rsidRDefault="005D6748" w:rsidP="00434A68">
            <w:pPr>
              <w:jc w:val="center"/>
              <w:rPr>
                <w:color w:val="000000" w:themeColor="text1"/>
                <w:szCs w:val="24"/>
              </w:rPr>
            </w:pPr>
            <w:r w:rsidRPr="001C7D10">
              <w:rPr>
                <w:color w:val="000000" w:themeColor="text1"/>
              </w:rPr>
              <w:t>79,6 %.</w:t>
            </w:r>
          </w:p>
        </w:tc>
        <w:tc>
          <w:tcPr>
            <w:tcW w:w="871" w:type="pct"/>
          </w:tcPr>
          <w:p w:rsidR="005D6748" w:rsidRPr="001C7D10" w:rsidRDefault="005D6748" w:rsidP="00434A68">
            <w:pPr>
              <w:jc w:val="center"/>
              <w:rPr>
                <w:color w:val="000000" w:themeColor="text1"/>
                <w:szCs w:val="24"/>
              </w:rPr>
            </w:pPr>
            <w:r w:rsidRPr="001C7D10">
              <w:rPr>
                <w:color w:val="000000" w:themeColor="text1"/>
              </w:rPr>
              <w:t>169</w:t>
            </w:r>
          </w:p>
        </w:tc>
        <w:tc>
          <w:tcPr>
            <w:tcW w:w="870" w:type="pct"/>
          </w:tcPr>
          <w:p w:rsidR="005D6748" w:rsidRPr="001C7D10" w:rsidRDefault="005D6748" w:rsidP="00434A68">
            <w:pPr>
              <w:jc w:val="center"/>
              <w:rPr>
                <w:color w:val="000000" w:themeColor="text1"/>
                <w:szCs w:val="24"/>
              </w:rPr>
            </w:pPr>
            <w:r w:rsidRPr="001C7D10">
              <w:rPr>
                <w:color w:val="000000" w:themeColor="text1"/>
              </w:rPr>
              <w:t>87 %</w:t>
            </w:r>
          </w:p>
        </w:tc>
      </w:tr>
      <w:tr w:rsidR="005D6748" w:rsidRPr="001C7D10" w:rsidTr="00434A68">
        <w:trPr>
          <w:trHeight w:val="300"/>
        </w:trPr>
        <w:tc>
          <w:tcPr>
            <w:tcW w:w="1296" w:type="pct"/>
            <w:hideMark/>
          </w:tcPr>
          <w:p w:rsidR="005D6748" w:rsidRPr="001C7D10" w:rsidRDefault="005D6748" w:rsidP="00434A68">
            <w:pPr>
              <w:ind w:firstLineChars="100" w:firstLine="240"/>
              <w:rPr>
                <w:color w:val="000000" w:themeColor="text1"/>
                <w:szCs w:val="24"/>
              </w:rPr>
            </w:pPr>
            <w:r w:rsidRPr="001C7D10">
              <w:rPr>
                <w:color w:val="000000" w:themeColor="text1"/>
              </w:rPr>
              <w:t>Leveringen</w:t>
            </w:r>
          </w:p>
        </w:tc>
        <w:tc>
          <w:tcPr>
            <w:tcW w:w="1092" w:type="pct"/>
            <w:hideMark/>
          </w:tcPr>
          <w:p w:rsidR="005D6748" w:rsidRPr="001C7D10" w:rsidRDefault="005D6748" w:rsidP="00434A68">
            <w:pPr>
              <w:jc w:val="center"/>
              <w:rPr>
                <w:color w:val="000000" w:themeColor="text1"/>
                <w:szCs w:val="24"/>
              </w:rPr>
            </w:pPr>
            <w:r w:rsidRPr="001C7D10">
              <w:rPr>
                <w:color w:val="000000" w:themeColor="text1"/>
              </w:rPr>
              <w:t>27</w:t>
            </w:r>
          </w:p>
        </w:tc>
        <w:tc>
          <w:tcPr>
            <w:tcW w:w="871" w:type="pct"/>
            <w:hideMark/>
          </w:tcPr>
          <w:p w:rsidR="005D6748" w:rsidRPr="001C7D10" w:rsidRDefault="005D6748" w:rsidP="00434A68">
            <w:pPr>
              <w:jc w:val="center"/>
              <w:rPr>
                <w:color w:val="000000" w:themeColor="text1"/>
                <w:szCs w:val="24"/>
              </w:rPr>
            </w:pPr>
            <w:r w:rsidRPr="001C7D10">
              <w:rPr>
                <w:color w:val="000000" w:themeColor="text1"/>
              </w:rPr>
              <w:t>12,2 %</w:t>
            </w:r>
          </w:p>
        </w:tc>
        <w:tc>
          <w:tcPr>
            <w:tcW w:w="871" w:type="pct"/>
          </w:tcPr>
          <w:p w:rsidR="005D6748" w:rsidRPr="001C7D10" w:rsidRDefault="005D6748" w:rsidP="00434A68">
            <w:pPr>
              <w:jc w:val="center"/>
              <w:rPr>
                <w:color w:val="000000" w:themeColor="text1"/>
                <w:szCs w:val="24"/>
              </w:rPr>
            </w:pPr>
            <w:r w:rsidRPr="001C7D10">
              <w:rPr>
                <w:color w:val="000000" w:themeColor="text1"/>
              </w:rPr>
              <w:t>17</w:t>
            </w:r>
          </w:p>
        </w:tc>
        <w:tc>
          <w:tcPr>
            <w:tcW w:w="870" w:type="pct"/>
          </w:tcPr>
          <w:p w:rsidR="005D6748" w:rsidRPr="001C7D10" w:rsidRDefault="005D6748" w:rsidP="00434A68">
            <w:pPr>
              <w:jc w:val="center"/>
              <w:rPr>
                <w:color w:val="000000" w:themeColor="text1"/>
                <w:szCs w:val="24"/>
              </w:rPr>
            </w:pPr>
            <w:r w:rsidRPr="001C7D10">
              <w:rPr>
                <w:color w:val="000000" w:themeColor="text1"/>
              </w:rPr>
              <w:t>9 %</w:t>
            </w:r>
          </w:p>
        </w:tc>
      </w:tr>
      <w:tr w:rsidR="005D6748" w:rsidRPr="001C7D10" w:rsidTr="00434A68">
        <w:trPr>
          <w:trHeight w:val="300"/>
        </w:trPr>
        <w:tc>
          <w:tcPr>
            <w:tcW w:w="1296" w:type="pct"/>
            <w:hideMark/>
          </w:tcPr>
          <w:p w:rsidR="005D6748" w:rsidRPr="001C7D10" w:rsidRDefault="005D6748" w:rsidP="00434A68">
            <w:pPr>
              <w:ind w:firstLineChars="100" w:firstLine="240"/>
              <w:rPr>
                <w:color w:val="000000" w:themeColor="text1"/>
                <w:szCs w:val="24"/>
              </w:rPr>
            </w:pPr>
            <w:r w:rsidRPr="001C7D10">
              <w:rPr>
                <w:color w:val="000000" w:themeColor="text1"/>
              </w:rPr>
              <w:t>Werken</w:t>
            </w:r>
          </w:p>
        </w:tc>
        <w:tc>
          <w:tcPr>
            <w:tcW w:w="1092" w:type="pct"/>
            <w:hideMark/>
          </w:tcPr>
          <w:p w:rsidR="005D6748" w:rsidRPr="001C7D10" w:rsidRDefault="005D6748" w:rsidP="00434A68">
            <w:pPr>
              <w:jc w:val="center"/>
              <w:rPr>
                <w:color w:val="000000" w:themeColor="text1"/>
                <w:szCs w:val="24"/>
              </w:rPr>
            </w:pPr>
            <w:r w:rsidRPr="001C7D10">
              <w:rPr>
                <w:color w:val="000000" w:themeColor="text1"/>
              </w:rPr>
              <w:t>10</w:t>
            </w:r>
          </w:p>
        </w:tc>
        <w:tc>
          <w:tcPr>
            <w:tcW w:w="871" w:type="pct"/>
            <w:hideMark/>
          </w:tcPr>
          <w:p w:rsidR="005D6748" w:rsidRPr="001C7D10" w:rsidRDefault="005D6748" w:rsidP="00434A68">
            <w:pPr>
              <w:jc w:val="center"/>
              <w:rPr>
                <w:color w:val="000000" w:themeColor="text1"/>
                <w:szCs w:val="24"/>
              </w:rPr>
            </w:pPr>
            <w:r w:rsidRPr="001C7D10">
              <w:rPr>
                <w:color w:val="000000" w:themeColor="text1"/>
              </w:rPr>
              <w:t>4,5 %</w:t>
            </w:r>
          </w:p>
        </w:tc>
        <w:tc>
          <w:tcPr>
            <w:tcW w:w="871" w:type="pct"/>
          </w:tcPr>
          <w:p w:rsidR="005D6748" w:rsidRPr="001C7D10" w:rsidRDefault="005D6748" w:rsidP="00434A68">
            <w:pPr>
              <w:jc w:val="center"/>
              <w:rPr>
                <w:color w:val="000000" w:themeColor="text1"/>
                <w:szCs w:val="24"/>
              </w:rPr>
            </w:pPr>
            <w:r w:rsidRPr="001C7D10">
              <w:rPr>
                <w:color w:val="000000" w:themeColor="text1"/>
              </w:rPr>
              <w:t>6</w:t>
            </w:r>
          </w:p>
        </w:tc>
        <w:tc>
          <w:tcPr>
            <w:tcW w:w="870" w:type="pct"/>
          </w:tcPr>
          <w:p w:rsidR="005D6748" w:rsidRPr="001C7D10" w:rsidRDefault="005D6748" w:rsidP="00434A68">
            <w:pPr>
              <w:jc w:val="center"/>
              <w:rPr>
                <w:color w:val="000000" w:themeColor="text1"/>
                <w:szCs w:val="24"/>
              </w:rPr>
            </w:pPr>
            <w:r w:rsidRPr="001C7D10">
              <w:rPr>
                <w:color w:val="000000" w:themeColor="text1"/>
              </w:rPr>
              <w:t>3 %</w:t>
            </w:r>
          </w:p>
        </w:tc>
      </w:tr>
      <w:tr w:rsidR="005D6748" w:rsidRPr="001C7D10" w:rsidTr="00434A68">
        <w:trPr>
          <w:trHeight w:val="315"/>
        </w:trPr>
        <w:tc>
          <w:tcPr>
            <w:tcW w:w="1296" w:type="pct"/>
            <w:hideMark/>
          </w:tcPr>
          <w:p w:rsidR="005D6748" w:rsidRPr="001C7D10" w:rsidRDefault="005D6748" w:rsidP="00434A68">
            <w:pPr>
              <w:rPr>
                <w:color w:val="000000" w:themeColor="text1"/>
                <w:szCs w:val="24"/>
              </w:rPr>
            </w:pPr>
            <w:r w:rsidRPr="001C7D10">
              <w:rPr>
                <w:color w:val="000000" w:themeColor="text1"/>
              </w:rPr>
              <w:t> </w:t>
            </w:r>
          </w:p>
        </w:tc>
        <w:tc>
          <w:tcPr>
            <w:tcW w:w="1092" w:type="pct"/>
            <w:hideMark/>
          </w:tcPr>
          <w:p w:rsidR="005D6748" w:rsidRPr="001C7D10" w:rsidRDefault="005D6748" w:rsidP="00434A68">
            <w:pPr>
              <w:jc w:val="center"/>
              <w:rPr>
                <w:color w:val="000000" w:themeColor="text1"/>
                <w:szCs w:val="24"/>
              </w:rPr>
            </w:pPr>
            <w:r w:rsidRPr="001C7D10">
              <w:rPr>
                <w:color w:val="000000" w:themeColor="text1"/>
              </w:rPr>
              <w:t> </w:t>
            </w:r>
          </w:p>
        </w:tc>
        <w:tc>
          <w:tcPr>
            <w:tcW w:w="871" w:type="pct"/>
            <w:hideMark/>
          </w:tcPr>
          <w:p w:rsidR="005D6748" w:rsidRPr="001C7D10" w:rsidRDefault="005D6748" w:rsidP="00434A68">
            <w:pPr>
              <w:rPr>
                <w:color w:val="000000" w:themeColor="text1"/>
                <w:szCs w:val="24"/>
              </w:rPr>
            </w:pPr>
            <w:r w:rsidRPr="001C7D10">
              <w:rPr>
                <w:color w:val="000000" w:themeColor="text1"/>
              </w:rPr>
              <w:t> </w:t>
            </w:r>
          </w:p>
        </w:tc>
        <w:tc>
          <w:tcPr>
            <w:tcW w:w="871" w:type="pct"/>
          </w:tcPr>
          <w:p w:rsidR="005D6748" w:rsidRPr="001C7D10" w:rsidRDefault="005D6748" w:rsidP="00434A68">
            <w:pPr>
              <w:rPr>
                <w:color w:val="000000" w:themeColor="text1"/>
                <w:szCs w:val="24"/>
              </w:rPr>
            </w:pPr>
          </w:p>
        </w:tc>
        <w:tc>
          <w:tcPr>
            <w:tcW w:w="870" w:type="pct"/>
          </w:tcPr>
          <w:p w:rsidR="005D6748" w:rsidRPr="001C7D10" w:rsidRDefault="005D6748" w:rsidP="00434A68">
            <w:pPr>
              <w:jc w:val="center"/>
              <w:rPr>
                <w:color w:val="000000" w:themeColor="text1"/>
                <w:szCs w:val="24"/>
              </w:rPr>
            </w:pPr>
          </w:p>
        </w:tc>
      </w:tr>
      <w:tr w:rsidR="005D6748" w:rsidRPr="001C7D10" w:rsidTr="00434A68">
        <w:trPr>
          <w:trHeight w:val="600"/>
        </w:trPr>
        <w:tc>
          <w:tcPr>
            <w:tcW w:w="1296" w:type="pct"/>
            <w:hideMark/>
          </w:tcPr>
          <w:p w:rsidR="005D6748" w:rsidRPr="001C7D10" w:rsidRDefault="005D6748" w:rsidP="00434A68">
            <w:pPr>
              <w:rPr>
                <w:b/>
                <w:bCs/>
                <w:color w:val="000000" w:themeColor="text1"/>
                <w:szCs w:val="24"/>
              </w:rPr>
            </w:pPr>
            <w:r w:rsidRPr="001C7D10">
              <w:rPr>
                <w:b/>
                <w:color w:val="000000" w:themeColor="text1"/>
              </w:rPr>
              <w:t xml:space="preserve">   Totaal</w:t>
            </w:r>
          </w:p>
        </w:tc>
        <w:tc>
          <w:tcPr>
            <w:tcW w:w="1092" w:type="pct"/>
            <w:hideMark/>
          </w:tcPr>
          <w:p w:rsidR="005D6748" w:rsidRPr="001C7D10" w:rsidRDefault="005D6748" w:rsidP="00434A68">
            <w:pPr>
              <w:jc w:val="center"/>
              <w:rPr>
                <w:b/>
                <w:bCs/>
                <w:color w:val="000000" w:themeColor="text1"/>
                <w:szCs w:val="24"/>
              </w:rPr>
            </w:pPr>
            <w:r w:rsidRPr="001C7D10">
              <w:rPr>
                <w:b/>
                <w:color w:val="000000" w:themeColor="text1"/>
              </w:rPr>
              <w:t>221</w:t>
            </w:r>
          </w:p>
        </w:tc>
        <w:tc>
          <w:tcPr>
            <w:tcW w:w="871" w:type="pct"/>
            <w:hideMark/>
          </w:tcPr>
          <w:p w:rsidR="005D6748" w:rsidRPr="001C7D10" w:rsidRDefault="005D6748" w:rsidP="00434A68">
            <w:pPr>
              <w:jc w:val="center"/>
              <w:rPr>
                <w:b/>
                <w:bCs/>
                <w:color w:val="000000" w:themeColor="text1"/>
                <w:szCs w:val="24"/>
              </w:rPr>
            </w:pPr>
            <w:r w:rsidRPr="001C7D10">
              <w:rPr>
                <w:b/>
                <w:color w:val="000000" w:themeColor="text1"/>
              </w:rPr>
              <w:t>100 %</w:t>
            </w:r>
          </w:p>
        </w:tc>
        <w:tc>
          <w:tcPr>
            <w:tcW w:w="871" w:type="pct"/>
          </w:tcPr>
          <w:p w:rsidR="005D6748" w:rsidRPr="001C7D10" w:rsidRDefault="005D6748" w:rsidP="00434A68">
            <w:pPr>
              <w:jc w:val="center"/>
              <w:rPr>
                <w:b/>
                <w:bCs/>
                <w:color w:val="000000" w:themeColor="text1"/>
                <w:szCs w:val="24"/>
              </w:rPr>
            </w:pPr>
            <w:r w:rsidRPr="001C7D10">
              <w:rPr>
                <w:b/>
                <w:color w:val="000000" w:themeColor="text1"/>
              </w:rPr>
              <w:t>194</w:t>
            </w:r>
          </w:p>
        </w:tc>
        <w:tc>
          <w:tcPr>
            <w:tcW w:w="870" w:type="pct"/>
          </w:tcPr>
          <w:p w:rsidR="005D6748" w:rsidRPr="001C7D10" w:rsidRDefault="005D6748" w:rsidP="00434A68">
            <w:pPr>
              <w:jc w:val="center"/>
              <w:rPr>
                <w:b/>
                <w:bCs/>
                <w:color w:val="000000" w:themeColor="text1"/>
                <w:szCs w:val="24"/>
              </w:rPr>
            </w:pPr>
            <w:r w:rsidRPr="001C7D10">
              <w:rPr>
                <w:b/>
                <w:color w:val="000000" w:themeColor="text1"/>
              </w:rPr>
              <w:t>100 %</w:t>
            </w:r>
          </w:p>
        </w:tc>
      </w:tr>
    </w:tbl>
    <w:p w:rsidR="005D6748" w:rsidRPr="001C7D10" w:rsidRDefault="005D6748" w:rsidP="005D6748">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5D6748" w:rsidRPr="001C7D10" w:rsidTr="00434A68">
        <w:trPr>
          <w:trHeight w:val="300"/>
        </w:trPr>
        <w:tc>
          <w:tcPr>
            <w:tcW w:w="1296" w:type="pct"/>
            <w:vMerge w:val="restart"/>
            <w:hideMark/>
          </w:tcPr>
          <w:p w:rsidR="005D6748" w:rsidRPr="001C7D10" w:rsidRDefault="005D6748" w:rsidP="00434A68">
            <w:pPr>
              <w:jc w:val="center"/>
              <w:rPr>
                <w:b/>
                <w:bCs/>
                <w:color w:val="000000" w:themeColor="text1"/>
                <w:szCs w:val="24"/>
              </w:rPr>
            </w:pPr>
            <w:r w:rsidRPr="001C7D10">
              <w:rPr>
                <w:b/>
                <w:color w:val="000000" w:themeColor="text1"/>
              </w:rPr>
              <w:t>Soort opdracht</w:t>
            </w:r>
          </w:p>
        </w:tc>
        <w:tc>
          <w:tcPr>
            <w:tcW w:w="1872" w:type="pct"/>
            <w:gridSpan w:val="2"/>
            <w:vMerge w:val="restart"/>
            <w:hideMark/>
          </w:tcPr>
          <w:p w:rsidR="005D6748" w:rsidRPr="001C7D10" w:rsidRDefault="005D6748" w:rsidP="00434A68">
            <w:pPr>
              <w:jc w:val="center"/>
              <w:rPr>
                <w:b/>
                <w:bCs/>
                <w:color w:val="000000" w:themeColor="text1"/>
                <w:szCs w:val="24"/>
              </w:rPr>
            </w:pPr>
            <w:r w:rsidRPr="001C7D10">
              <w:rPr>
                <w:b/>
                <w:color w:val="000000" w:themeColor="text1"/>
              </w:rPr>
              <w:t>2021</w:t>
            </w:r>
          </w:p>
        </w:tc>
        <w:tc>
          <w:tcPr>
            <w:tcW w:w="1832" w:type="pct"/>
            <w:gridSpan w:val="2"/>
            <w:vMerge w:val="restart"/>
            <w:hideMark/>
          </w:tcPr>
          <w:p w:rsidR="005D6748" w:rsidRPr="001C7D10" w:rsidRDefault="005D6748" w:rsidP="00434A68">
            <w:pPr>
              <w:jc w:val="center"/>
              <w:rPr>
                <w:b/>
                <w:bCs/>
                <w:color w:val="000000" w:themeColor="text1"/>
                <w:szCs w:val="24"/>
              </w:rPr>
            </w:pPr>
            <w:r w:rsidRPr="001C7D10">
              <w:rPr>
                <w:b/>
                <w:color w:val="000000" w:themeColor="text1"/>
              </w:rPr>
              <w:t>2022</w:t>
            </w:r>
          </w:p>
        </w:tc>
      </w:tr>
      <w:tr w:rsidR="005D6748" w:rsidRPr="001C7D10" w:rsidTr="00434A68">
        <w:trPr>
          <w:trHeight w:val="315"/>
        </w:trPr>
        <w:tc>
          <w:tcPr>
            <w:tcW w:w="1296" w:type="pct"/>
            <w:vMerge/>
            <w:hideMark/>
          </w:tcPr>
          <w:p w:rsidR="005D6748" w:rsidRPr="001C7D10" w:rsidRDefault="005D6748" w:rsidP="00434A68">
            <w:pPr>
              <w:rPr>
                <w:b/>
                <w:bCs/>
                <w:color w:val="000000" w:themeColor="text1"/>
                <w:szCs w:val="24"/>
              </w:rPr>
            </w:pPr>
          </w:p>
        </w:tc>
        <w:tc>
          <w:tcPr>
            <w:tcW w:w="1872" w:type="pct"/>
            <w:gridSpan w:val="2"/>
            <w:vMerge/>
            <w:hideMark/>
          </w:tcPr>
          <w:p w:rsidR="005D6748" w:rsidRPr="001C7D10" w:rsidRDefault="005D6748" w:rsidP="00434A68">
            <w:pPr>
              <w:rPr>
                <w:b/>
                <w:bCs/>
                <w:color w:val="000000" w:themeColor="text1"/>
                <w:szCs w:val="24"/>
              </w:rPr>
            </w:pPr>
          </w:p>
        </w:tc>
        <w:tc>
          <w:tcPr>
            <w:tcW w:w="1832" w:type="pct"/>
            <w:gridSpan w:val="2"/>
            <w:vMerge/>
            <w:hideMark/>
          </w:tcPr>
          <w:p w:rsidR="005D6748" w:rsidRPr="001C7D10" w:rsidRDefault="005D6748" w:rsidP="00434A68">
            <w:pPr>
              <w:rPr>
                <w:b/>
                <w:bCs/>
                <w:color w:val="000000" w:themeColor="text1"/>
                <w:szCs w:val="24"/>
              </w:rPr>
            </w:pPr>
          </w:p>
        </w:tc>
      </w:tr>
      <w:tr w:rsidR="005D6748" w:rsidRPr="001C7D10" w:rsidTr="00434A68">
        <w:trPr>
          <w:trHeight w:val="315"/>
        </w:trPr>
        <w:tc>
          <w:tcPr>
            <w:tcW w:w="1296" w:type="pct"/>
            <w:vMerge/>
            <w:hideMark/>
          </w:tcPr>
          <w:p w:rsidR="005D6748" w:rsidRPr="001C7D10" w:rsidRDefault="005D6748" w:rsidP="00434A68">
            <w:pPr>
              <w:rPr>
                <w:b/>
                <w:bCs/>
                <w:color w:val="000000" w:themeColor="text1"/>
                <w:szCs w:val="24"/>
              </w:rPr>
            </w:pPr>
          </w:p>
        </w:tc>
        <w:tc>
          <w:tcPr>
            <w:tcW w:w="1059" w:type="pct"/>
            <w:hideMark/>
          </w:tcPr>
          <w:p w:rsidR="005D6748" w:rsidRPr="001C7D10" w:rsidRDefault="005D6748" w:rsidP="00434A68">
            <w:pPr>
              <w:jc w:val="center"/>
              <w:rPr>
                <w:b/>
                <w:bCs/>
                <w:color w:val="000000" w:themeColor="text1"/>
                <w:szCs w:val="24"/>
              </w:rPr>
            </w:pPr>
            <w:r w:rsidRPr="001C7D10">
              <w:rPr>
                <w:b/>
                <w:color w:val="000000" w:themeColor="text1"/>
              </w:rPr>
              <w:t>Bedrag</w:t>
            </w:r>
          </w:p>
        </w:tc>
        <w:tc>
          <w:tcPr>
            <w:tcW w:w="814" w:type="pct"/>
            <w:hideMark/>
          </w:tcPr>
          <w:p w:rsidR="005D6748" w:rsidRPr="001C7D10" w:rsidRDefault="005D6748" w:rsidP="00434A68">
            <w:pPr>
              <w:jc w:val="center"/>
              <w:rPr>
                <w:b/>
                <w:bCs/>
                <w:color w:val="000000" w:themeColor="text1"/>
                <w:szCs w:val="24"/>
              </w:rPr>
            </w:pPr>
            <w:r w:rsidRPr="001C7D10">
              <w:rPr>
                <w:b/>
                <w:color w:val="000000" w:themeColor="text1"/>
              </w:rPr>
              <w:t>Percentage</w:t>
            </w:r>
          </w:p>
        </w:tc>
        <w:tc>
          <w:tcPr>
            <w:tcW w:w="973" w:type="pct"/>
            <w:hideMark/>
          </w:tcPr>
          <w:p w:rsidR="005D6748" w:rsidRPr="001C7D10" w:rsidRDefault="005D6748" w:rsidP="00434A68">
            <w:pPr>
              <w:jc w:val="center"/>
              <w:rPr>
                <w:b/>
                <w:bCs/>
                <w:color w:val="000000" w:themeColor="text1"/>
                <w:szCs w:val="24"/>
              </w:rPr>
            </w:pPr>
            <w:r w:rsidRPr="001C7D10">
              <w:rPr>
                <w:b/>
                <w:color w:val="000000" w:themeColor="text1"/>
              </w:rPr>
              <w:t>Bedrag</w:t>
            </w:r>
          </w:p>
        </w:tc>
        <w:tc>
          <w:tcPr>
            <w:tcW w:w="859" w:type="pct"/>
            <w:hideMark/>
          </w:tcPr>
          <w:p w:rsidR="005D6748" w:rsidRPr="001C7D10" w:rsidRDefault="005D6748" w:rsidP="00434A68">
            <w:pPr>
              <w:jc w:val="center"/>
              <w:rPr>
                <w:b/>
                <w:bCs/>
                <w:color w:val="000000" w:themeColor="text1"/>
                <w:szCs w:val="24"/>
              </w:rPr>
            </w:pPr>
            <w:r w:rsidRPr="001C7D10">
              <w:rPr>
                <w:b/>
                <w:color w:val="000000" w:themeColor="text1"/>
              </w:rPr>
              <w:t>Percentage</w:t>
            </w:r>
          </w:p>
        </w:tc>
      </w:tr>
      <w:tr w:rsidR="005D6748" w:rsidRPr="001C7D10" w:rsidTr="00434A68">
        <w:trPr>
          <w:trHeight w:val="300"/>
        </w:trPr>
        <w:tc>
          <w:tcPr>
            <w:tcW w:w="1296" w:type="pct"/>
            <w:hideMark/>
          </w:tcPr>
          <w:p w:rsidR="005D6748" w:rsidRPr="001C7D10" w:rsidRDefault="005D6748" w:rsidP="00434A68">
            <w:pPr>
              <w:rPr>
                <w:color w:val="000000" w:themeColor="text1"/>
                <w:szCs w:val="24"/>
              </w:rPr>
            </w:pPr>
          </w:p>
        </w:tc>
        <w:tc>
          <w:tcPr>
            <w:tcW w:w="1059" w:type="pct"/>
            <w:hideMark/>
          </w:tcPr>
          <w:p w:rsidR="005D6748" w:rsidRPr="001C7D10" w:rsidRDefault="005D6748" w:rsidP="00434A68">
            <w:pPr>
              <w:rPr>
                <w:color w:val="000000" w:themeColor="text1"/>
                <w:szCs w:val="24"/>
              </w:rPr>
            </w:pPr>
            <w:r w:rsidRPr="001C7D10">
              <w:rPr>
                <w:color w:val="000000" w:themeColor="text1"/>
              </w:rPr>
              <w:t> </w:t>
            </w:r>
          </w:p>
        </w:tc>
        <w:tc>
          <w:tcPr>
            <w:tcW w:w="814" w:type="pct"/>
            <w:hideMark/>
          </w:tcPr>
          <w:p w:rsidR="005D6748" w:rsidRPr="001C7D10" w:rsidRDefault="005D6748" w:rsidP="00434A68">
            <w:pPr>
              <w:rPr>
                <w:color w:val="000000" w:themeColor="text1"/>
                <w:szCs w:val="24"/>
              </w:rPr>
            </w:pPr>
            <w:r w:rsidRPr="001C7D10">
              <w:rPr>
                <w:color w:val="000000" w:themeColor="text1"/>
              </w:rPr>
              <w:t> </w:t>
            </w:r>
          </w:p>
        </w:tc>
        <w:tc>
          <w:tcPr>
            <w:tcW w:w="973" w:type="pct"/>
            <w:hideMark/>
          </w:tcPr>
          <w:p w:rsidR="005D6748" w:rsidRPr="001C7D10" w:rsidRDefault="005D6748" w:rsidP="00434A68">
            <w:pPr>
              <w:rPr>
                <w:color w:val="000000" w:themeColor="text1"/>
                <w:szCs w:val="24"/>
              </w:rPr>
            </w:pPr>
            <w:r w:rsidRPr="001C7D10">
              <w:rPr>
                <w:color w:val="000000" w:themeColor="text1"/>
              </w:rPr>
              <w:t> </w:t>
            </w:r>
          </w:p>
        </w:tc>
        <w:tc>
          <w:tcPr>
            <w:tcW w:w="859" w:type="pct"/>
            <w:hideMark/>
          </w:tcPr>
          <w:p w:rsidR="005D6748" w:rsidRPr="001C7D10" w:rsidRDefault="005D6748" w:rsidP="00434A68">
            <w:pPr>
              <w:rPr>
                <w:color w:val="000000" w:themeColor="text1"/>
                <w:szCs w:val="24"/>
              </w:rPr>
            </w:pPr>
            <w:r w:rsidRPr="001C7D10">
              <w:rPr>
                <w:color w:val="000000" w:themeColor="text1"/>
              </w:rPr>
              <w:t> </w:t>
            </w:r>
          </w:p>
        </w:tc>
      </w:tr>
      <w:tr w:rsidR="005D6748" w:rsidRPr="001C7D10" w:rsidTr="00434A68">
        <w:trPr>
          <w:trHeight w:val="300"/>
        </w:trPr>
        <w:tc>
          <w:tcPr>
            <w:tcW w:w="1296" w:type="pct"/>
            <w:hideMark/>
          </w:tcPr>
          <w:p w:rsidR="005D6748" w:rsidRPr="001C7D10" w:rsidRDefault="005D6748" w:rsidP="00434A68">
            <w:pPr>
              <w:ind w:firstLineChars="100" w:firstLine="240"/>
              <w:rPr>
                <w:color w:val="000000" w:themeColor="text1"/>
                <w:szCs w:val="24"/>
              </w:rPr>
            </w:pPr>
            <w:r w:rsidRPr="001C7D10">
              <w:rPr>
                <w:color w:val="000000" w:themeColor="text1"/>
              </w:rPr>
              <w:t>Gebouwen</w:t>
            </w:r>
          </w:p>
        </w:tc>
        <w:tc>
          <w:tcPr>
            <w:tcW w:w="1059" w:type="pct"/>
            <w:hideMark/>
          </w:tcPr>
          <w:p w:rsidR="005D6748" w:rsidRPr="001C7D10" w:rsidRDefault="005D6748" w:rsidP="00434A68">
            <w:pPr>
              <w:jc w:val="center"/>
              <w:rPr>
                <w:color w:val="000000" w:themeColor="text1"/>
                <w:szCs w:val="24"/>
              </w:rPr>
            </w:pPr>
            <w:r w:rsidRPr="001C7D10">
              <w:rPr>
                <w:color w:val="000000" w:themeColor="text1"/>
              </w:rPr>
              <w:t>168 302 638</w:t>
            </w:r>
          </w:p>
        </w:tc>
        <w:tc>
          <w:tcPr>
            <w:tcW w:w="814" w:type="pct"/>
            <w:hideMark/>
          </w:tcPr>
          <w:p w:rsidR="005D6748" w:rsidRPr="001C7D10" w:rsidRDefault="005D6748" w:rsidP="00434A68">
            <w:pPr>
              <w:jc w:val="center"/>
              <w:rPr>
                <w:color w:val="000000" w:themeColor="text1"/>
                <w:szCs w:val="24"/>
              </w:rPr>
            </w:pPr>
            <w:r w:rsidRPr="001C7D10">
              <w:rPr>
                <w:color w:val="000000" w:themeColor="text1"/>
              </w:rPr>
              <w:t>17 %</w:t>
            </w:r>
          </w:p>
        </w:tc>
        <w:tc>
          <w:tcPr>
            <w:tcW w:w="973" w:type="pct"/>
          </w:tcPr>
          <w:p w:rsidR="005D6748" w:rsidRPr="001C7D10" w:rsidRDefault="005D6748" w:rsidP="00434A68">
            <w:pPr>
              <w:jc w:val="center"/>
              <w:rPr>
                <w:color w:val="000000" w:themeColor="text1"/>
                <w:szCs w:val="24"/>
              </w:rPr>
            </w:pPr>
            <w:r w:rsidRPr="001C7D10">
              <w:rPr>
                <w:color w:val="000000" w:themeColor="text1"/>
              </w:rPr>
              <w:t>27 804 776</w:t>
            </w:r>
          </w:p>
        </w:tc>
        <w:tc>
          <w:tcPr>
            <w:tcW w:w="859" w:type="pct"/>
          </w:tcPr>
          <w:p w:rsidR="005D6748" w:rsidRPr="001C7D10" w:rsidRDefault="005D6748" w:rsidP="00434A68">
            <w:pPr>
              <w:jc w:val="center"/>
              <w:rPr>
                <w:color w:val="000000" w:themeColor="text1"/>
                <w:szCs w:val="24"/>
              </w:rPr>
            </w:pPr>
            <w:r w:rsidRPr="001C7D10">
              <w:rPr>
                <w:color w:val="000000" w:themeColor="text1"/>
              </w:rPr>
              <w:t>7 %</w:t>
            </w:r>
          </w:p>
        </w:tc>
      </w:tr>
      <w:tr w:rsidR="005D6748" w:rsidRPr="001C7D10" w:rsidTr="00434A68">
        <w:trPr>
          <w:trHeight w:val="300"/>
        </w:trPr>
        <w:tc>
          <w:tcPr>
            <w:tcW w:w="1296" w:type="pct"/>
            <w:hideMark/>
          </w:tcPr>
          <w:p w:rsidR="005D6748" w:rsidRPr="001C7D10" w:rsidRDefault="005D6748" w:rsidP="00434A68">
            <w:pPr>
              <w:ind w:firstLineChars="100" w:firstLine="240"/>
              <w:rPr>
                <w:color w:val="000000" w:themeColor="text1"/>
                <w:szCs w:val="24"/>
              </w:rPr>
            </w:pPr>
            <w:r w:rsidRPr="001C7D10">
              <w:rPr>
                <w:color w:val="000000" w:themeColor="text1"/>
              </w:rPr>
              <w:t>Diensten</w:t>
            </w:r>
          </w:p>
        </w:tc>
        <w:tc>
          <w:tcPr>
            <w:tcW w:w="1059" w:type="pct"/>
            <w:hideMark/>
          </w:tcPr>
          <w:p w:rsidR="005D6748" w:rsidRPr="001C7D10" w:rsidRDefault="005D6748" w:rsidP="00434A68">
            <w:pPr>
              <w:jc w:val="center"/>
              <w:rPr>
                <w:color w:val="000000" w:themeColor="text1"/>
                <w:szCs w:val="24"/>
              </w:rPr>
            </w:pPr>
            <w:r w:rsidRPr="001C7D10">
              <w:rPr>
                <w:color w:val="000000" w:themeColor="text1"/>
              </w:rPr>
              <w:t>634 689 038</w:t>
            </w:r>
          </w:p>
        </w:tc>
        <w:tc>
          <w:tcPr>
            <w:tcW w:w="814" w:type="pct"/>
            <w:hideMark/>
          </w:tcPr>
          <w:p w:rsidR="005D6748" w:rsidRPr="001C7D10" w:rsidRDefault="005D6748" w:rsidP="00434A68">
            <w:pPr>
              <w:jc w:val="center"/>
              <w:rPr>
                <w:color w:val="000000" w:themeColor="text1"/>
                <w:szCs w:val="24"/>
              </w:rPr>
            </w:pPr>
            <w:r w:rsidRPr="001C7D10">
              <w:rPr>
                <w:color w:val="000000" w:themeColor="text1"/>
              </w:rPr>
              <w:t>62 %</w:t>
            </w:r>
          </w:p>
        </w:tc>
        <w:tc>
          <w:tcPr>
            <w:tcW w:w="973" w:type="pct"/>
          </w:tcPr>
          <w:p w:rsidR="005D6748" w:rsidRPr="001C7D10" w:rsidRDefault="005D6748" w:rsidP="00434A68">
            <w:pPr>
              <w:jc w:val="center"/>
              <w:rPr>
                <w:color w:val="000000" w:themeColor="text1"/>
                <w:szCs w:val="24"/>
              </w:rPr>
            </w:pPr>
            <w:r w:rsidRPr="001C7D10">
              <w:rPr>
                <w:color w:val="000000" w:themeColor="text1"/>
              </w:rPr>
              <w:t>283 779 269</w:t>
            </w:r>
          </w:p>
        </w:tc>
        <w:tc>
          <w:tcPr>
            <w:tcW w:w="859" w:type="pct"/>
          </w:tcPr>
          <w:p w:rsidR="005D6748" w:rsidRPr="001C7D10" w:rsidRDefault="005D6748" w:rsidP="00434A68">
            <w:pPr>
              <w:jc w:val="center"/>
              <w:rPr>
                <w:color w:val="000000" w:themeColor="text1"/>
                <w:szCs w:val="24"/>
              </w:rPr>
            </w:pPr>
            <w:r w:rsidRPr="001C7D10">
              <w:rPr>
                <w:color w:val="000000" w:themeColor="text1"/>
              </w:rPr>
              <w:t>69 %</w:t>
            </w:r>
          </w:p>
        </w:tc>
      </w:tr>
      <w:tr w:rsidR="005D6748" w:rsidRPr="001C7D10" w:rsidTr="00434A68">
        <w:trPr>
          <w:trHeight w:val="300"/>
        </w:trPr>
        <w:tc>
          <w:tcPr>
            <w:tcW w:w="1296" w:type="pct"/>
            <w:hideMark/>
          </w:tcPr>
          <w:p w:rsidR="005D6748" w:rsidRPr="001C7D10" w:rsidRDefault="005D6748" w:rsidP="00434A68">
            <w:pPr>
              <w:ind w:firstLineChars="100" w:firstLine="240"/>
              <w:rPr>
                <w:color w:val="000000" w:themeColor="text1"/>
                <w:szCs w:val="24"/>
              </w:rPr>
            </w:pPr>
            <w:r w:rsidRPr="001C7D10">
              <w:rPr>
                <w:color w:val="000000" w:themeColor="text1"/>
              </w:rPr>
              <w:t>Leveringen</w:t>
            </w:r>
          </w:p>
        </w:tc>
        <w:tc>
          <w:tcPr>
            <w:tcW w:w="1059" w:type="pct"/>
            <w:hideMark/>
          </w:tcPr>
          <w:p w:rsidR="005D6748" w:rsidRPr="001C7D10" w:rsidRDefault="005D6748" w:rsidP="00434A68">
            <w:pPr>
              <w:jc w:val="center"/>
              <w:rPr>
                <w:color w:val="000000" w:themeColor="text1"/>
                <w:szCs w:val="24"/>
              </w:rPr>
            </w:pPr>
            <w:r w:rsidRPr="001C7D10">
              <w:rPr>
                <w:color w:val="000000" w:themeColor="text1"/>
              </w:rPr>
              <w:t>136 777 513</w:t>
            </w:r>
          </w:p>
        </w:tc>
        <w:tc>
          <w:tcPr>
            <w:tcW w:w="814" w:type="pct"/>
            <w:hideMark/>
          </w:tcPr>
          <w:p w:rsidR="005D6748" w:rsidRPr="001C7D10" w:rsidRDefault="005D6748" w:rsidP="00434A68">
            <w:pPr>
              <w:jc w:val="center"/>
              <w:rPr>
                <w:color w:val="000000" w:themeColor="text1"/>
                <w:szCs w:val="24"/>
              </w:rPr>
            </w:pPr>
            <w:r w:rsidRPr="001C7D10">
              <w:rPr>
                <w:color w:val="000000" w:themeColor="text1"/>
              </w:rPr>
              <w:t>13 %</w:t>
            </w:r>
          </w:p>
        </w:tc>
        <w:tc>
          <w:tcPr>
            <w:tcW w:w="973" w:type="pct"/>
          </w:tcPr>
          <w:p w:rsidR="005D6748" w:rsidRPr="001C7D10" w:rsidRDefault="005D6748" w:rsidP="00434A68">
            <w:pPr>
              <w:jc w:val="center"/>
              <w:rPr>
                <w:color w:val="000000" w:themeColor="text1"/>
                <w:szCs w:val="24"/>
              </w:rPr>
            </w:pPr>
            <w:r w:rsidRPr="001C7D10">
              <w:rPr>
                <w:color w:val="000000" w:themeColor="text1"/>
              </w:rPr>
              <w:t>47 817 885</w:t>
            </w:r>
          </w:p>
        </w:tc>
        <w:tc>
          <w:tcPr>
            <w:tcW w:w="859" w:type="pct"/>
          </w:tcPr>
          <w:p w:rsidR="005D6748" w:rsidRPr="001C7D10" w:rsidRDefault="005D6748" w:rsidP="00434A68">
            <w:pPr>
              <w:jc w:val="center"/>
              <w:rPr>
                <w:color w:val="000000" w:themeColor="text1"/>
                <w:szCs w:val="24"/>
              </w:rPr>
            </w:pPr>
            <w:r w:rsidRPr="001C7D10">
              <w:rPr>
                <w:color w:val="000000" w:themeColor="text1"/>
              </w:rPr>
              <w:t>12 %</w:t>
            </w:r>
          </w:p>
        </w:tc>
      </w:tr>
      <w:tr w:rsidR="005D6748" w:rsidRPr="001C7D10" w:rsidTr="00434A68">
        <w:trPr>
          <w:trHeight w:val="300"/>
        </w:trPr>
        <w:tc>
          <w:tcPr>
            <w:tcW w:w="1296" w:type="pct"/>
            <w:hideMark/>
          </w:tcPr>
          <w:p w:rsidR="005D6748" w:rsidRPr="001C7D10" w:rsidRDefault="005D6748" w:rsidP="00434A68">
            <w:pPr>
              <w:ind w:firstLineChars="100" w:firstLine="240"/>
              <w:rPr>
                <w:color w:val="000000" w:themeColor="text1"/>
                <w:szCs w:val="24"/>
              </w:rPr>
            </w:pPr>
            <w:r w:rsidRPr="001C7D10">
              <w:rPr>
                <w:color w:val="000000" w:themeColor="text1"/>
              </w:rPr>
              <w:t>Werken</w:t>
            </w:r>
          </w:p>
        </w:tc>
        <w:tc>
          <w:tcPr>
            <w:tcW w:w="1059" w:type="pct"/>
            <w:hideMark/>
          </w:tcPr>
          <w:p w:rsidR="005D6748" w:rsidRPr="001C7D10" w:rsidRDefault="005D6748" w:rsidP="00434A68">
            <w:pPr>
              <w:jc w:val="center"/>
              <w:rPr>
                <w:color w:val="000000" w:themeColor="text1"/>
                <w:szCs w:val="24"/>
              </w:rPr>
            </w:pPr>
            <w:r w:rsidRPr="001C7D10">
              <w:rPr>
                <w:color w:val="000000" w:themeColor="text1"/>
              </w:rPr>
              <w:t>76 247 759</w:t>
            </w:r>
          </w:p>
        </w:tc>
        <w:tc>
          <w:tcPr>
            <w:tcW w:w="814" w:type="pct"/>
            <w:hideMark/>
          </w:tcPr>
          <w:p w:rsidR="005D6748" w:rsidRPr="001C7D10" w:rsidRDefault="005D6748" w:rsidP="00434A68">
            <w:pPr>
              <w:jc w:val="center"/>
              <w:rPr>
                <w:color w:val="000000" w:themeColor="text1"/>
                <w:szCs w:val="24"/>
              </w:rPr>
            </w:pPr>
            <w:r w:rsidRPr="001C7D10">
              <w:rPr>
                <w:color w:val="000000" w:themeColor="text1"/>
              </w:rPr>
              <w:t>8 %</w:t>
            </w:r>
          </w:p>
        </w:tc>
        <w:tc>
          <w:tcPr>
            <w:tcW w:w="973" w:type="pct"/>
          </w:tcPr>
          <w:p w:rsidR="005D6748" w:rsidRPr="001C7D10" w:rsidRDefault="005D6748" w:rsidP="00434A68">
            <w:pPr>
              <w:jc w:val="center"/>
              <w:rPr>
                <w:color w:val="000000" w:themeColor="text1"/>
                <w:szCs w:val="24"/>
              </w:rPr>
            </w:pPr>
            <w:r w:rsidRPr="001C7D10">
              <w:rPr>
                <w:color w:val="000000" w:themeColor="text1"/>
              </w:rPr>
              <w:t xml:space="preserve">50 642 975 </w:t>
            </w:r>
          </w:p>
        </w:tc>
        <w:tc>
          <w:tcPr>
            <w:tcW w:w="859" w:type="pct"/>
          </w:tcPr>
          <w:p w:rsidR="005D6748" w:rsidRPr="001C7D10" w:rsidRDefault="005D6748" w:rsidP="00434A68">
            <w:pPr>
              <w:jc w:val="center"/>
              <w:rPr>
                <w:color w:val="000000" w:themeColor="text1"/>
                <w:szCs w:val="24"/>
              </w:rPr>
            </w:pPr>
            <w:r w:rsidRPr="001C7D10">
              <w:rPr>
                <w:color w:val="000000" w:themeColor="text1"/>
              </w:rPr>
              <w:t>12 %</w:t>
            </w:r>
          </w:p>
        </w:tc>
      </w:tr>
      <w:tr w:rsidR="005D6748" w:rsidRPr="001C7D10" w:rsidTr="00434A68">
        <w:trPr>
          <w:trHeight w:val="315"/>
        </w:trPr>
        <w:tc>
          <w:tcPr>
            <w:tcW w:w="1296" w:type="pct"/>
            <w:hideMark/>
          </w:tcPr>
          <w:p w:rsidR="005D6748" w:rsidRPr="001C7D10" w:rsidRDefault="005D6748" w:rsidP="00434A68">
            <w:pPr>
              <w:rPr>
                <w:color w:val="000000" w:themeColor="text1"/>
                <w:szCs w:val="24"/>
              </w:rPr>
            </w:pPr>
            <w:r w:rsidRPr="001C7D10">
              <w:rPr>
                <w:color w:val="000000" w:themeColor="text1"/>
              </w:rPr>
              <w:t> </w:t>
            </w:r>
          </w:p>
        </w:tc>
        <w:tc>
          <w:tcPr>
            <w:tcW w:w="1059" w:type="pct"/>
            <w:hideMark/>
          </w:tcPr>
          <w:p w:rsidR="005D6748" w:rsidRPr="001C7D10" w:rsidRDefault="005D6748" w:rsidP="00434A68">
            <w:pPr>
              <w:jc w:val="center"/>
              <w:rPr>
                <w:color w:val="000000" w:themeColor="text1"/>
                <w:szCs w:val="24"/>
              </w:rPr>
            </w:pPr>
            <w:r w:rsidRPr="001C7D10">
              <w:rPr>
                <w:color w:val="000000" w:themeColor="text1"/>
              </w:rPr>
              <w:t> </w:t>
            </w:r>
          </w:p>
        </w:tc>
        <w:tc>
          <w:tcPr>
            <w:tcW w:w="814" w:type="pct"/>
            <w:hideMark/>
          </w:tcPr>
          <w:p w:rsidR="005D6748" w:rsidRPr="001C7D10" w:rsidRDefault="005D6748" w:rsidP="00434A68">
            <w:pPr>
              <w:jc w:val="right"/>
              <w:rPr>
                <w:color w:val="000000" w:themeColor="text1"/>
                <w:szCs w:val="24"/>
              </w:rPr>
            </w:pPr>
            <w:r w:rsidRPr="001C7D10">
              <w:rPr>
                <w:color w:val="000000" w:themeColor="text1"/>
              </w:rPr>
              <w:t> </w:t>
            </w:r>
          </w:p>
        </w:tc>
        <w:tc>
          <w:tcPr>
            <w:tcW w:w="973" w:type="pct"/>
          </w:tcPr>
          <w:p w:rsidR="005D6748" w:rsidRPr="001C7D10" w:rsidRDefault="005D6748" w:rsidP="00434A68">
            <w:pPr>
              <w:jc w:val="right"/>
              <w:rPr>
                <w:color w:val="000000" w:themeColor="text1"/>
                <w:szCs w:val="24"/>
              </w:rPr>
            </w:pPr>
          </w:p>
        </w:tc>
        <w:tc>
          <w:tcPr>
            <w:tcW w:w="859" w:type="pct"/>
          </w:tcPr>
          <w:p w:rsidR="005D6748" w:rsidRPr="001C7D10" w:rsidRDefault="005D6748" w:rsidP="00434A68">
            <w:pPr>
              <w:jc w:val="right"/>
              <w:rPr>
                <w:color w:val="000000" w:themeColor="text1"/>
                <w:szCs w:val="24"/>
              </w:rPr>
            </w:pPr>
          </w:p>
        </w:tc>
      </w:tr>
      <w:tr w:rsidR="005D6748" w:rsidRPr="001C7D10" w:rsidTr="00434A68">
        <w:trPr>
          <w:trHeight w:val="600"/>
        </w:trPr>
        <w:tc>
          <w:tcPr>
            <w:tcW w:w="1296" w:type="pct"/>
            <w:hideMark/>
          </w:tcPr>
          <w:p w:rsidR="005D6748" w:rsidRPr="001C7D10" w:rsidRDefault="005D6748" w:rsidP="00434A68">
            <w:pPr>
              <w:rPr>
                <w:b/>
                <w:bCs/>
                <w:color w:val="000000" w:themeColor="text1"/>
                <w:szCs w:val="24"/>
              </w:rPr>
            </w:pPr>
            <w:r w:rsidRPr="001C7D10">
              <w:rPr>
                <w:b/>
                <w:color w:val="000000" w:themeColor="text1"/>
              </w:rPr>
              <w:t xml:space="preserve">   Totaal</w:t>
            </w:r>
          </w:p>
        </w:tc>
        <w:tc>
          <w:tcPr>
            <w:tcW w:w="1059" w:type="pct"/>
            <w:hideMark/>
          </w:tcPr>
          <w:p w:rsidR="005D6748" w:rsidRPr="001C7D10" w:rsidRDefault="005D6748" w:rsidP="00434A68">
            <w:pPr>
              <w:jc w:val="center"/>
              <w:rPr>
                <w:b/>
                <w:bCs/>
                <w:color w:val="000000" w:themeColor="text1"/>
                <w:szCs w:val="24"/>
              </w:rPr>
            </w:pPr>
            <w:r w:rsidRPr="001C7D10">
              <w:rPr>
                <w:b/>
                <w:color w:val="000000" w:themeColor="text1"/>
              </w:rPr>
              <w:t>1 016 016 948</w:t>
            </w:r>
          </w:p>
        </w:tc>
        <w:tc>
          <w:tcPr>
            <w:tcW w:w="814" w:type="pct"/>
            <w:hideMark/>
          </w:tcPr>
          <w:p w:rsidR="005D6748" w:rsidRPr="001C7D10" w:rsidRDefault="005D6748" w:rsidP="00434A68">
            <w:pPr>
              <w:jc w:val="center"/>
              <w:rPr>
                <w:b/>
                <w:bCs/>
                <w:color w:val="000000" w:themeColor="text1"/>
                <w:szCs w:val="24"/>
              </w:rPr>
            </w:pPr>
            <w:r w:rsidRPr="001C7D10">
              <w:rPr>
                <w:b/>
                <w:color w:val="000000" w:themeColor="text1"/>
              </w:rPr>
              <w:t>100 %</w:t>
            </w:r>
          </w:p>
        </w:tc>
        <w:tc>
          <w:tcPr>
            <w:tcW w:w="973" w:type="pct"/>
          </w:tcPr>
          <w:p w:rsidR="005D6748" w:rsidRPr="001C7D10" w:rsidRDefault="005D6748" w:rsidP="00434A68">
            <w:pPr>
              <w:jc w:val="center"/>
              <w:rPr>
                <w:b/>
                <w:bCs/>
                <w:color w:val="000000" w:themeColor="text1"/>
                <w:szCs w:val="24"/>
              </w:rPr>
            </w:pPr>
            <w:r w:rsidRPr="001C7D10">
              <w:rPr>
                <w:b/>
                <w:color w:val="000000" w:themeColor="text1"/>
              </w:rPr>
              <w:t>410 044 905</w:t>
            </w:r>
          </w:p>
        </w:tc>
        <w:tc>
          <w:tcPr>
            <w:tcW w:w="859" w:type="pct"/>
          </w:tcPr>
          <w:p w:rsidR="005D6748" w:rsidRPr="001C7D10" w:rsidRDefault="005D6748" w:rsidP="00434A68">
            <w:pPr>
              <w:jc w:val="center"/>
              <w:rPr>
                <w:b/>
                <w:bCs/>
                <w:color w:val="000000" w:themeColor="text1"/>
                <w:szCs w:val="24"/>
              </w:rPr>
            </w:pPr>
            <w:r w:rsidRPr="001C7D10">
              <w:rPr>
                <w:b/>
                <w:color w:val="000000" w:themeColor="text1"/>
              </w:rPr>
              <w:t>100 %</w:t>
            </w:r>
          </w:p>
        </w:tc>
      </w:tr>
    </w:tbl>
    <w:p w:rsidR="005D6748" w:rsidRPr="001C7D10" w:rsidRDefault="005D6748" w:rsidP="005D6748">
      <w:pPr>
        <w:spacing w:after="240"/>
        <w:ind w:left="567" w:hanging="567"/>
        <w:jc w:val="both"/>
        <w:rPr>
          <w:szCs w:val="24"/>
          <w14:textOutline w14:w="0" w14:cap="flat" w14:cmpd="sng" w14:algn="ctr">
            <w14:noFill/>
            <w14:prstDash w14:val="solid"/>
            <w14:bevel/>
          </w14:textOutline>
        </w:rPr>
      </w:pP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17</w:t>
      </w:r>
      <w:r w:rsidR="00E82278" w:rsidRPr="001C7D10">
        <w:rPr>
          <w14:textOutline w14:w="0" w14:cap="flat" w14:cmpd="sng" w14:algn="ctr">
            <w14:noFill/>
            <w14:prstDash w14:val="solid"/>
            <w14:bevel/>
          </w14:textOutline>
        </w:rPr>
        <w:t>1</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neemt kennis van de onderstaande onderverdeling van de in 2022 en 2021 gegunde opdrachten naargelang het soort procedure, in aantallen en waarde:</w:t>
      </w:r>
    </w:p>
    <w:tbl>
      <w:tblPr>
        <w:tblStyle w:val="TableGrid"/>
        <w:tblW w:w="5000" w:type="pct"/>
        <w:tblLook w:val="04A0" w:firstRow="1" w:lastRow="0" w:firstColumn="1" w:lastColumn="0" w:noHBand="0" w:noVBand="1"/>
      </w:tblPr>
      <w:tblGrid>
        <w:gridCol w:w="3055"/>
        <w:gridCol w:w="1262"/>
        <w:gridCol w:w="1554"/>
        <w:gridCol w:w="1612"/>
        <w:gridCol w:w="1577"/>
      </w:tblGrid>
      <w:tr w:rsidR="005D6748" w:rsidRPr="001C7D10" w:rsidTr="00434A68">
        <w:trPr>
          <w:trHeight w:val="300"/>
        </w:trPr>
        <w:tc>
          <w:tcPr>
            <w:tcW w:w="1541" w:type="pct"/>
            <w:vMerge w:val="restart"/>
            <w:hideMark/>
          </w:tcPr>
          <w:p w:rsidR="005D6748" w:rsidRPr="001C7D10" w:rsidRDefault="005D6748" w:rsidP="00434A68">
            <w:pPr>
              <w:jc w:val="center"/>
              <w:rPr>
                <w:b/>
                <w:bCs/>
                <w:color w:val="000000" w:themeColor="text1"/>
                <w:szCs w:val="24"/>
              </w:rPr>
            </w:pPr>
            <w:r w:rsidRPr="001C7D10">
              <w:rPr>
                <w:b/>
                <w:color w:val="000000" w:themeColor="text1"/>
              </w:rPr>
              <w:t xml:space="preserve">Soort procedure </w:t>
            </w:r>
          </w:p>
        </w:tc>
        <w:tc>
          <w:tcPr>
            <w:tcW w:w="1627" w:type="pct"/>
            <w:gridSpan w:val="2"/>
            <w:vMerge w:val="restart"/>
            <w:hideMark/>
          </w:tcPr>
          <w:p w:rsidR="005D6748" w:rsidRPr="001C7D10" w:rsidRDefault="005D6748" w:rsidP="00434A68">
            <w:pPr>
              <w:jc w:val="center"/>
              <w:rPr>
                <w:b/>
                <w:bCs/>
                <w:color w:val="000000" w:themeColor="text1"/>
                <w:szCs w:val="24"/>
              </w:rPr>
            </w:pPr>
            <w:r w:rsidRPr="001C7D10">
              <w:rPr>
                <w:b/>
                <w:color w:val="000000" w:themeColor="text1"/>
              </w:rPr>
              <w:t>2021</w:t>
            </w:r>
          </w:p>
        </w:tc>
        <w:tc>
          <w:tcPr>
            <w:tcW w:w="1832" w:type="pct"/>
            <w:gridSpan w:val="2"/>
            <w:vMerge w:val="restart"/>
            <w:hideMark/>
          </w:tcPr>
          <w:p w:rsidR="005D6748" w:rsidRPr="001C7D10" w:rsidRDefault="005D6748" w:rsidP="00434A68">
            <w:pPr>
              <w:jc w:val="center"/>
              <w:rPr>
                <w:b/>
                <w:bCs/>
                <w:color w:val="000000" w:themeColor="text1"/>
                <w:szCs w:val="24"/>
              </w:rPr>
            </w:pPr>
            <w:r w:rsidRPr="001C7D10">
              <w:rPr>
                <w:b/>
                <w:color w:val="000000" w:themeColor="text1"/>
              </w:rPr>
              <w:t>2022</w:t>
            </w:r>
          </w:p>
        </w:tc>
      </w:tr>
      <w:tr w:rsidR="005D6748" w:rsidRPr="001C7D10" w:rsidTr="00434A68">
        <w:trPr>
          <w:trHeight w:val="315"/>
        </w:trPr>
        <w:tc>
          <w:tcPr>
            <w:tcW w:w="1541" w:type="pct"/>
            <w:vMerge/>
            <w:hideMark/>
          </w:tcPr>
          <w:p w:rsidR="005D6748" w:rsidRPr="001C7D10" w:rsidRDefault="005D6748" w:rsidP="00434A68">
            <w:pPr>
              <w:rPr>
                <w:b/>
                <w:bCs/>
                <w:color w:val="000000" w:themeColor="text1"/>
                <w:szCs w:val="24"/>
              </w:rPr>
            </w:pPr>
          </w:p>
        </w:tc>
        <w:tc>
          <w:tcPr>
            <w:tcW w:w="1627" w:type="pct"/>
            <w:gridSpan w:val="2"/>
            <w:vMerge/>
            <w:hideMark/>
          </w:tcPr>
          <w:p w:rsidR="005D6748" w:rsidRPr="001C7D10" w:rsidRDefault="005D6748" w:rsidP="00434A68">
            <w:pPr>
              <w:rPr>
                <w:b/>
                <w:bCs/>
                <w:color w:val="000000" w:themeColor="text1"/>
                <w:szCs w:val="24"/>
              </w:rPr>
            </w:pPr>
          </w:p>
        </w:tc>
        <w:tc>
          <w:tcPr>
            <w:tcW w:w="1832" w:type="pct"/>
            <w:gridSpan w:val="2"/>
            <w:vMerge/>
            <w:hideMark/>
          </w:tcPr>
          <w:p w:rsidR="005D6748" w:rsidRPr="001C7D10" w:rsidRDefault="005D6748" w:rsidP="00434A68">
            <w:pPr>
              <w:rPr>
                <w:b/>
                <w:bCs/>
                <w:color w:val="000000" w:themeColor="text1"/>
                <w:szCs w:val="24"/>
              </w:rPr>
            </w:pPr>
          </w:p>
        </w:tc>
      </w:tr>
      <w:tr w:rsidR="005D6748" w:rsidRPr="001C7D10" w:rsidTr="00434A68">
        <w:trPr>
          <w:trHeight w:val="315"/>
        </w:trPr>
        <w:tc>
          <w:tcPr>
            <w:tcW w:w="1541" w:type="pct"/>
            <w:vMerge/>
            <w:hideMark/>
          </w:tcPr>
          <w:p w:rsidR="005D6748" w:rsidRPr="001C7D10" w:rsidRDefault="005D6748" w:rsidP="00434A68">
            <w:pPr>
              <w:rPr>
                <w:b/>
                <w:bCs/>
                <w:color w:val="000000" w:themeColor="text1"/>
                <w:szCs w:val="24"/>
              </w:rPr>
            </w:pPr>
          </w:p>
        </w:tc>
        <w:tc>
          <w:tcPr>
            <w:tcW w:w="733" w:type="pct"/>
            <w:hideMark/>
          </w:tcPr>
          <w:p w:rsidR="005D6748" w:rsidRPr="001C7D10" w:rsidRDefault="005D6748" w:rsidP="00434A68">
            <w:pPr>
              <w:jc w:val="center"/>
              <w:rPr>
                <w:b/>
                <w:bCs/>
                <w:color w:val="000000" w:themeColor="text1"/>
                <w:szCs w:val="24"/>
              </w:rPr>
            </w:pPr>
            <w:r w:rsidRPr="001C7D10">
              <w:rPr>
                <w:b/>
                <w:color w:val="000000" w:themeColor="text1"/>
              </w:rPr>
              <w:t>Aantal</w:t>
            </w:r>
          </w:p>
        </w:tc>
        <w:tc>
          <w:tcPr>
            <w:tcW w:w="894" w:type="pct"/>
            <w:hideMark/>
          </w:tcPr>
          <w:p w:rsidR="005D6748" w:rsidRPr="001C7D10" w:rsidRDefault="005D6748" w:rsidP="00434A68">
            <w:pPr>
              <w:jc w:val="center"/>
              <w:rPr>
                <w:b/>
                <w:bCs/>
                <w:color w:val="000000" w:themeColor="text1"/>
                <w:szCs w:val="24"/>
              </w:rPr>
            </w:pPr>
            <w:r w:rsidRPr="001C7D10">
              <w:rPr>
                <w:b/>
                <w:color w:val="000000" w:themeColor="text1"/>
              </w:rPr>
              <w:t>Percentage</w:t>
            </w:r>
          </w:p>
        </w:tc>
        <w:tc>
          <w:tcPr>
            <w:tcW w:w="926" w:type="pct"/>
            <w:hideMark/>
          </w:tcPr>
          <w:p w:rsidR="005D6748" w:rsidRPr="001C7D10" w:rsidRDefault="005D6748" w:rsidP="00434A68">
            <w:pPr>
              <w:jc w:val="center"/>
              <w:rPr>
                <w:b/>
                <w:bCs/>
                <w:color w:val="000000" w:themeColor="text1"/>
                <w:szCs w:val="24"/>
              </w:rPr>
            </w:pPr>
            <w:r w:rsidRPr="001C7D10">
              <w:rPr>
                <w:b/>
                <w:color w:val="000000" w:themeColor="text1"/>
              </w:rPr>
              <w:t>Aantal</w:t>
            </w:r>
          </w:p>
        </w:tc>
        <w:tc>
          <w:tcPr>
            <w:tcW w:w="906" w:type="pct"/>
            <w:hideMark/>
          </w:tcPr>
          <w:p w:rsidR="005D6748" w:rsidRPr="001C7D10" w:rsidRDefault="005D6748" w:rsidP="00434A68">
            <w:pPr>
              <w:jc w:val="center"/>
              <w:rPr>
                <w:b/>
                <w:bCs/>
                <w:color w:val="000000" w:themeColor="text1"/>
                <w:szCs w:val="24"/>
              </w:rPr>
            </w:pPr>
            <w:r w:rsidRPr="001C7D10">
              <w:rPr>
                <w:b/>
                <w:color w:val="000000" w:themeColor="text1"/>
              </w:rPr>
              <w:t>Percentage</w:t>
            </w:r>
          </w:p>
        </w:tc>
      </w:tr>
      <w:tr w:rsidR="005D6748" w:rsidRPr="001C7D10" w:rsidTr="00434A68">
        <w:trPr>
          <w:trHeight w:val="300"/>
        </w:trPr>
        <w:tc>
          <w:tcPr>
            <w:tcW w:w="1541" w:type="pct"/>
            <w:hideMark/>
          </w:tcPr>
          <w:p w:rsidR="005D6748" w:rsidRPr="001C7D10" w:rsidRDefault="005D6748" w:rsidP="00434A68">
            <w:pPr>
              <w:rPr>
                <w:color w:val="000000" w:themeColor="text1"/>
                <w:szCs w:val="24"/>
              </w:rPr>
            </w:pPr>
            <w:r w:rsidRPr="001C7D10">
              <w:rPr>
                <w:color w:val="000000" w:themeColor="text1"/>
              </w:rPr>
              <w:t> </w:t>
            </w:r>
          </w:p>
        </w:tc>
        <w:tc>
          <w:tcPr>
            <w:tcW w:w="733" w:type="pct"/>
            <w:hideMark/>
          </w:tcPr>
          <w:p w:rsidR="005D6748" w:rsidRPr="001C7D10" w:rsidRDefault="005D6748" w:rsidP="00434A68">
            <w:pPr>
              <w:rPr>
                <w:color w:val="000000" w:themeColor="text1"/>
                <w:szCs w:val="24"/>
              </w:rPr>
            </w:pPr>
            <w:r w:rsidRPr="001C7D10">
              <w:rPr>
                <w:color w:val="000000" w:themeColor="text1"/>
              </w:rPr>
              <w:t> </w:t>
            </w:r>
          </w:p>
        </w:tc>
        <w:tc>
          <w:tcPr>
            <w:tcW w:w="894" w:type="pct"/>
            <w:hideMark/>
          </w:tcPr>
          <w:p w:rsidR="005D6748" w:rsidRPr="001C7D10" w:rsidRDefault="005D6748" w:rsidP="00434A68">
            <w:pPr>
              <w:rPr>
                <w:color w:val="000000" w:themeColor="text1"/>
                <w:szCs w:val="24"/>
              </w:rPr>
            </w:pPr>
            <w:r w:rsidRPr="001C7D10">
              <w:rPr>
                <w:color w:val="000000" w:themeColor="text1"/>
              </w:rPr>
              <w:t> </w:t>
            </w:r>
          </w:p>
        </w:tc>
        <w:tc>
          <w:tcPr>
            <w:tcW w:w="926" w:type="pct"/>
            <w:hideMark/>
          </w:tcPr>
          <w:p w:rsidR="005D6748" w:rsidRPr="001C7D10" w:rsidRDefault="005D6748" w:rsidP="00434A68">
            <w:pPr>
              <w:rPr>
                <w:color w:val="000000" w:themeColor="text1"/>
                <w:szCs w:val="24"/>
              </w:rPr>
            </w:pPr>
            <w:r w:rsidRPr="001C7D10">
              <w:rPr>
                <w:color w:val="000000" w:themeColor="text1"/>
              </w:rPr>
              <w:t> </w:t>
            </w:r>
          </w:p>
        </w:tc>
        <w:tc>
          <w:tcPr>
            <w:tcW w:w="906" w:type="pct"/>
            <w:hideMark/>
          </w:tcPr>
          <w:p w:rsidR="005D6748" w:rsidRPr="001C7D10" w:rsidRDefault="005D6748" w:rsidP="00434A68">
            <w:pPr>
              <w:rPr>
                <w:color w:val="000000" w:themeColor="text1"/>
                <w:szCs w:val="24"/>
              </w:rPr>
            </w:pPr>
            <w:r w:rsidRPr="001C7D10">
              <w:rPr>
                <w:color w:val="000000" w:themeColor="text1"/>
              </w:rPr>
              <w:t> </w:t>
            </w:r>
          </w:p>
        </w:tc>
      </w:tr>
      <w:tr w:rsidR="005D6748" w:rsidRPr="001C7D10" w:rsidTr="00434A68">
        <w:trPr>
          <w:trHeight w:val="300"/>
        </w:trPr>
        <w:tc>
          <w:tcPr>
            <w:tcW w:w="1541" w:type="pct"/>
            <w:hideMark/>
          </w:tcPr>
          <w:p w:rsidR="005D6748" w:rsidRPr="001C7D10" w:rsidRDefault="005D6748" w:rsidP="00434A68">
            <w:pPr>
              <w:ind w:firstLineChars="100" w:firstLine="240"/>
              <w:rPr>
                <w:color w:val="000000" w:themeColor="text1"/>
                <w:szCs w:val="24"/>
              </w:rPr>
            </w:pPr>
            <w:r w:rsidRPr="001C7D10">
              <w:rPr>
                <w:color w:val="000000" w:themeColor="text1"/>
              </w:rPr>
              <w:t>Openbare procedure</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78</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35 %</w:t>
            </w:r>
          </w:p>
        </w:tc>
        <w:tc>
          <w:tcPr>
            <w:tcW w:w="926" w:type="pct"/>
          </w:tcPr>
          <w:p w:rsidR="005D6748" w:rsidRPr="001C7D10" w:rsidRDefault="005D6748" w:rsidP="00434A68">
            <w:pPr>
              <w:jc w:val="center"/>
              <w:rPr>
                <w:color w:val="000000" w:themeColor="text1"/>
                <w:szCs w:val="24"/>
              </w:rPr>
            </w:pPr>
            <w:r w:rsidRPr="001C7D10">
              <w:rPr>
                <w:color w:val="000000" w:themeColor="text1"/>
              </w:rPr>
              <w:t>63</w:t>
            </w:r>
          </w:p>
        </w:tc>
        <w:tc>
          <w:tcPr>
            <w:tcW w:w="906" w:type="pct"/>
          </w:tcPr>
          <w:p w:rsidR="005D6748" w:rsidRPr="001C7D10" w:rsidRDefault="005D6748" w:rsidP="00434A68">
            <w:pPr>
              <w:jc w:val="center"/>
              <w:rPr>
                <w:color w:val="000000" w:themeColor="text1"/>
                <w:szCs w:val="24"/>
              </w:rPr>
            </w:pPr>
            <w:r w:rsidRPr="001C7D10">
              <w:rPr>
                <w:color w:val="000000" w:themeColor="text1"/>
              </w:rPr>
              <w:t>32,5 %</w:t>
            </w:r>
          </w:p>
        </w:tc>
      </w:tr>
      <w:tr w:rsidR="005D6748" w:rsidRPr="001C7D10" w:rsidTr="00434A68">
        <w:trPr>
          <w:trHeight w:val="300"/>
        </w:trPr>
        <w:tc>
          <w:tcPr>
            <w:tcW w:w="1541" w:type="pct"/>
            <w:hideMark/>
          </w:tcPr>
          <w:p w:rsidR="005D6748" w:rsidRPr="001C7D10" w:rsidRDefault="005D6748" w:rsidP="00434A68">
            <w:pPr>
              <w:ind w:firstLineChars="100" w:firstLine="240"/>
              <w:rPr>
                <w:color w:val="000000" w:themeColor="text1"/>
                <w:szCs w:val="24"/>
              </w:rPr>
            </w:pPr>
            <w:r w:rsidRPr="001C7D10">
              <w:rPr>
                <w:color w:val="000000" w:themeColor="text1"/>
              </w:rPr>
              <w:t>Onderhandelingsprocedure</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135</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61 %</w:t>
            </w:r>
          </w:p>
        </w:tc>
        <w:tc>
          <w:tcPr>
            <w:tcW w:w="926" w:type="pct"/>
          </w:tcPr>
          <w:p w:rsidR="005D6748" w:rsidRPr="001C7D10" w:rsidRDefault="005D6748" w:rsidP="00434A68">
            <w:pPr>
              <w:jc w:val="center"/>
              <w:rPr>
                <w:color w:val="000000" w:themeColor="text1"/>
                <w:szCs w:val="24"/>
              </w:rPr>
            </w:pPr>
            <w:r w:rsidRPr="001C7D10">
              <w:rPr>
                <w:color w:val="000000" w:themeColor="text1"/>
              </w:rPr>
              <w:t>126</w:t>
            </w:r>
          </w:p>
        </w:tc>
        <w:tc>
          <w:tcPr>
            <w:tcW w:w="906" w:type="pct"/>
          </w:tcPr>
          <w:p w:rsidR="005D6748" w:rsidRPr="001C7D10" w:rsidRDefault="005D6748" w:rsidP="00434A68">
            <w:pPr>
              <w:jc w:val="center"/>
              <w:rPr>
                <w:color w:val="000000" w:themeColor="text1"/>
                <w:szCs w:val="24"/>
              </w:rPr>
            </w:pPr>
            <w:r w:rsidRPr="001C7D10">
              <w:rPr>
                <w:color w:val="000000" w:themeColor="text1"/>
              </w:rPr>
              <w:t>65 %</w:t>
            </w:r>
          </w:p>
        </w:tc>
      </w:tr>
      <w:tr w:rsidR="005D6748" w:rsidRPr="001C7D10" w:rsidTr="00434A68">
        <w:trPr>
          <w:trHeight w:val="300"/>
        </w:trPr>
        <w:tc>
          <w:tcPr>
            <w:tcW w:w="1541" w:type="pct"/>
            <w:hideMark/>
          </w:tcPr>
          <w:p w:rsidR="005D6748" w:rsidRPr="001C7D10" w:rsidRDefault="005D6748" w:rsidP="00434A68">
            <w:pPr>
              <w:ind w:firstLineChars="100" w:firstLine="240"/>
              <w:rPr>
                <w:color w:val="000000" w:themeColor="text1"/>
                <w:szCs w:val="24"/>
              </w:rPr>
            </w:pPr>
            <w:r w:rsidRPr="001C7D10">
              <w:rPr>
                <w:color w:val="000000" w:themeColor="text1"/>
              </w:rPr>
              <w:t>Niet-openbare procedure</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2</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1 %</w:t>
            </w:r>
          </w:p>
        </w:tc>
        <w:tc>
          <w:tcPr>
            <w:tcW w:w="926" w:type="pct"/>
          </w:tcPr>
          <w:p w:rsidR="005D6748" w:rsidRPr="001C7D10" w:rsidRDefault="005D6748" w:rsidP="00434A68">
            <w:pPr>
              <w:jc w:val="center"/>
              <w:rPr>
                <w:color w:val="000000" w:themeColor="text1"/>
                <w:szCs w:val="24"/>
              </w:rPr>
            </w:pPr>
            <w:r w:rsidRPr="001C7D10">
              <w:rPr>
                <w:color w:val="000000" w:themeColor="text1"/>
              </w:rPr>
              <w:t>1</w:t>
            </w:r>
          </w:p>
        </w:tc>
        <w:tc>
          <w:tcPr>
            <w:tcW w:w="906" w:type="pct"/>
          </w:tcPr>
          <w:p w:rsidR="005D6748" w:rsidRPr="001C7D10" w:rsidRDefault="005D6748" w:rsidP="00434A68">
            <w:pPr>
              <w:jc w:val="center"/>
              <w:rPr>
                <w:color w:val="000000" w:themeColor="text1"/>
                <w:szCs w:val="24"/>
              </w:rPr>
            </w:pPr>
            <w:r w:rsidRPr="001C7D10">
              <w:rPr>
                <w:color w:val="000000" w:themeColor="text1"/>
              </w:rPr>
              <w:t>0,5 %</w:t>
            </w:r>
          </w:p>
        </w:tc>
      </w:tr>
      <w:tr w:rsidR="005D6748" w:rsidRPr="001C7D10" w:rsidTr="00434A68">
        <w:trPr>
          <w:trHeight w:val="300"/>
        </w:trPr>
        <w:tc>
          <w:tcPr>
            <w:tcW w:w="1541" w:type="pct"/>
            <w:hideMark/>
          </w:tcPr>
          <w:p w:rsidR="005D6748" w:rsidRPr="001C7D10" w:rsidRDefault="005D6748" w:rsidP="00434A68">
            <w:pPr>
              <w:ind w:firstLineChars="100" w:firstLine="240"/>
              <w:rPr>
                <w:color w:val="000000" w:themeColor="text1"/>
                <w:szCs w:val="24"/>
              </w:rPr>
            </w:pPr>
            <w:r w:rsidRPr="001C7D10">
              <w:rPr>
                <w:color w:val="000000" w:themeColor="text1"/>
              </w:rPr>
              <w:t>Uitzondering</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2</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1 %</w:t>
            </w:r>
          </w:p>
        </w:tc>
        <w:tc>
          <w:tcPr>
            <w:tcW w:w="926" w:type="pct"/>
          </w:tcPr>
          <w:p w:rsidR="005D6748" w:rsidRPr="001C7D10" w:rsidRDefault="005D6748" w:rsidP="00434A68">
            <w:pPr>
              <w:jc w:val="center"/>
              <w:rPr>
                <w:color w:val="000000" w:themeColor="text1"/>
                <w:szCs w:val="24"/>
              </w:rPr>
            </w:pPr>
            <w:r w:rsidRPr="001C7D10">
              <w:rPr>
                <w:color w:val="000000" w:themeColor="text1"/>
              </w:rPr>
              <w:t>1</w:t>
            </w:r>
          </w:p>
        </w:tc>
        <w:tc>
          <w:tcPr>
            <w:tcW w:w="906" w:type="pct"/>
          </w:tcPr>
          <w:p w:rsidR="005D6748" w:rsidRPr="001C7D10" w:rsidRDefault="005D6748" w:rsidP="00434A68">
            <w:pPr>
              <w:jc w:val="center"/>
              <w:rPr>
                <w:color w:val="000000" w:themeColor="text1"/>
                <w:szCs w:val="24"/>
              </w:rPr>
            </w:pPr>
            <w:r w:rsidRPr="001C7D10">
              <w:rPr>
                <w:color w:val="000000" w:themeColor="text1"/>
              </w:rPr>
              <w:t>0,5 %</w:t>
            </w:r>
          </w:p>
        </w:tc>
      </w:tr>
      <w:tr w:rsidR="005D6748" w:rsidRPr="001C7D10" w:rsidTr="00434A68">
        <w:trPr>
          <w:trHeight w:val="300"/>
        </w:trPr>
        <w:tc>
          <w:tcPr>
            <w:tcW w:w="1541" w:type="pct"/>
            <w:hideMark/>
          </w:tcPr>
          <w:p w:rsidR="005D6748" w:rsidRPr="001C7D10" w:rsidRDefault="005D6748" w:rsidP="00434A68">
            <w:pPr>
              <w:ind w:firstLineChars="100" w:firstLine="240"/>
              <w:rPr>
                <w:color w:val="000000" w:themeColor="text1"/>
                <w:szCs w:val="24"/>
              </w:rPr>
            </w:pPr>
            <w:r w:rsidRPr="001C7D10">
              <w:rPr>
                <w:color w:val="000000" w:themeColor="text1"/>
              </w:rPr>
              <w:t>OIB-lijst</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2</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1 %</w:t>
            </w:r>
          </w:p>
        </w:tc>
        <w:tc>
          <w:tcPr>
            <w:tcW w:w="926" w:type="pct"/>
          </w:tcPr>
          <w:p w:rsidR="005D6748" w:rsidRPr="001C7D10" w:rsidRDefault="005D6748" w:rsidP="00434A68">
            <w:pPr>
              <w:jc w:val="center"/>
              <w:rPr>
                <w:color w:val="000000" w:themeColor="text1"/>
                <w:szCs w:val="24"/>
              </w:rPr>
            </w:pPr>
            <w:r w:rsidRPr="001C7D10">
              <w:rPr>
                <w:color w:val="000000" w:themeColor="text1"/>
              </w:rPr>
              <w:t>1</w:t>
            </w:r>
          </w:p>
        </w:tc>
        <w:tc>
          <w:tcPr>
            <w:tcW w:w="906" w:type="pct"/>
          </w:tcPr>
          <w:p w:rsidR="005D6748" w:rsidRPr="001C7D10" w:rsidRDefault="005D6748" w:rsidP="00434A68">
            <w:pPr>
              <w:jc w:val="center"/>
              <w:rPr>
                <w:color w:val="000000" w:themeColor="text1"/>
                <w:szCs w:val="24"/>
              </w:rPr>
            </w:pPr>
            <w:r w:rsidRPr="001C7D10">
              <w:rPr>
                <w:color w:val="000000" w:themeColor="text1"/>
              </w:rPr>
              <w:t>0,5 %</w:t>
            </w:r>
          </w:p>
        </w:tc>
      </w:tr>
      <w:tr w:rsidR="005D6748" w:rsidRPr="001C7D10" w:rsidTr="00434A68">
        <w:trPr>
          <w:trHeight w:val="300"/>
        </w:trPr>
        <w:tc>
          <w:tcPr>
            <w:tcW w:w="1541" w:type="pct"/>
            <w:hideMark/>
          </w:tcPr>
          <w:p w:rsidR="005D6748" w:rsidRPr="001C7D10" w:rsidRDefault="005D6748" w:rsidP="00434A68">
            <w:pPr>
              <w:ind w:firstLineChars="100" w:firstLine="240"/>
              <w:rPr>
                <w:color w:val="000000" w:themeColor="text1"/>
              </w:rPr>
            </w:pPr>
            <w:r w:rsidRPr="001C7D10">
              <w:rPr>
                <w:color w:val="000000" w:themeColor="text1"/>
              </w:rPr>
              <w:t>Dynamisch</w:t>
            </w:r>
          </w:p>
          <w:p w:rsidR="005D6748" w:rsidRPr="001C7D10" w:rsidRDefault="005D6748" w:rsidP="00434A68">
            <w:pPr>
              <w:ind w:firstLineChars="100" w:firstLine="240"/>
              <w:rPr>
                <w:color w:val="000000" w:themeColor="text1"/>
                <w:szCs w:val="24"/>
              </w:rPr>
            </w:pPr>
            <w:r w:rsidRPr="001C7D10">
              <w:rPr>
                <w:color w:val="000000" w:themeColor="text1"/>
              </w:rPr>
              <w:t>aankoopsysteem</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1</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0,5 %</w:t>
            </w:r>
          </w:p>
        </w:tc>
        <w:tc>
          <w:tcPr>
            <w:tcW w:w="926" w:type="pct"/>
          </w:tcPr>
          <w:p w:rsidR="005D6748" w:rsidRPr="001C7D10" w:rsidRDefault="005D6748" w:rsidP="00434A68">
            <w:pPr>
              <w:jc w:val="center"/>
              <w:rPr>
                <w:color w:val="000000" w:themeColor="text1"/>
                <w:szCs w:val="24"/>
              </w:rPr>
            </w:pPr>
            <w:r w:rsidRPr="001C7D10">
              <w:rPr>
                <w:color w:val="000000" w:themeColor="text1"/>
              </w:rPr>
              <w:t>0</w:t>
            </w:r>
          </w:p>
        </w:tc>
        <w:tc>
          <w:tcPr>
            <w:tcW w:w="906" w:type="pct"/>
          </w:tcPr>
          <w:p w:rsidR="005D6748" w:rsidRPr="001C7D10" w:rsidRDefault="005D6748" w:rsidP="00434A68">
            <w:pPr>
              <w:jc w:val="center"/>
              <w:rPr>
                <w:color w:val="000000" w:themeColor="text1"/>
                <w:szCs w:val="24"/>
              </w:rPr>
            </w:pPr>
            <w:r w:rsidRPr="001C7D10">
              <w:rPr>
                <w:color w:val="000000" w:themeColor="text1"/>
              </w:rPr>
              <w:t>0 %</w:t>
            </w:r>
          </w:p>
        </w:tc>
      </w:tr>
      <w:tr w:rsidR="005D6748" w:rsidRPr="001C7D10" w:rsidTr="00434A68">
        <w:trPr>
          <w:trHeight w:val="300"/>
        </w:trPr>
        <w:tc>
          <w:tcPr>
            <w:tcW w:w="1541" w:type="pct"/>
            <w:hideMark/>
          </w:tcPr>
          <w:p w:rsidR="005D6748" w:rsidRPr="001C7D10" w:rsidRDefault="005D6748" w:rsidP="00434A68">
            <w:pPr>
              <w:ind w:firstLineChars="100" w:firstLine="240"/>
              <w:rPr>
                <w:color w:val="000000" w:themeColor="text1"/>
                <w:szCs w:val="24"/>
              </w:rPr>
            </w:pPr>
            <w:r w:rsidRPr="001C7D10">
              <w:rPr>
                <w:color w:val="000000" w:themeColor="text1"/>
              </w:rPr>
              <w:t>Innovatiepartnerschap</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0</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0 %</w:t>
            </w:r>
          </w:p>
        </w:tc>
        <w:tc>
          <w:tcPr>
            <w:tcW w:w="926" w:type="pct"/>
          </w:tcPr>
          <w:p w:rsidR="005D6748" w:rsidRPr="001C7D10" w:rsidRDefault="005D6748" w:rsidP="00434A68">
            <w:pPr>
              <w:jc w:val="center"/>
              <w:rPr>
                <w:color w:val="000000" w:themeColor="text1"/>
                <w:szCs w:val="24"/>
              </w:rPr>
            </w:pPr>
            <w:r w:rsidRPr="001C7D10">
              <w:rPr>
                <w:color w:val="000000" w:themeColor="text1"/>
              </w:rPr>
              <w:t>0</w:t>
            </w:r>
          </w:p>
        </w:tc>
        <w:tc>
          <w:tcPr>
            <w:tcW w:w="906" w:type="pct"/>
          </w:tcPr>
          <w:p w:rsidR="005D6748" w:rsidRPr="001C7D10" w:rsidRDefault="005D6748" w:rsidP="00434A68">
            <w:pPr>
              <w:jc w:val="center"/>
              <w:rPr>
                <w:color w:val="000000" w:themeColor="text1"/>
                <w:szCs w:val="24"/>
              </w:rPr>
            </w:pPr>
            <w:r w:rsidRPr="001C7D10">
              <w:rPr>
                <w:color w:val="000000" w:themeColor="text1"/>
              </w:rPr>
              <w:t>0 %</w:t>
            </w:r>
          </w:p>
        </w:tc>
      </w:tr>
      <w:tr w:rsidR="005D6748" w:rsidRPr="001C7D10" w:rsidTr="00434A68">
        <w:trPr>
          <w:trHeight w:val="300"/>
        </w:trPr>
        <w:tc>
          <w:tcPr>
            <w:tcW w:w="1541" w:type="pct"/>
            <w:hideMark/>
          </w:tcPr>
          <w:p w:rsidR="005D6748" w:rsidRPr="001C7D10" w:rsidRDefault="005D6748" w:rsidP="00434A68">
            <w:pPr>
              <w:ind w:firstLineChars="100" w:firstLine="240"/>
              <w:rPr>
                <w:color w:val="000000" w:themeColor="text1"/>
                <w:szCs w:val="24"/>
              </w:rPr>
            </w:pPr>
            <w:r w:rsidRPr="001C7D10">
              <w:rPr>
                <w:color w:val="000000" w:themeColor="text1"/>
              </w:rPr>
              <w:t>OP Versneld</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1</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0,5 %</w:t>
            </w:r>
          </w:p>
        </w:tc>
        <w:tc>
          <w:tcPr>
            <w:tcW w:w="926" w:type="pct"/>
          </w:tcPr>
          <w:p w:rsidR="005D6748" w:rsidRPr="001C7D10" w:rsidRDefault="005D6748" w:rsidP="00434A68">
            <w:pPr>
              <w:jc w:val="center"/>
              <w:rPr>
                <w:color w:val="000000" w:themeColor="text1"/>
                <w:szCs w:val="24"/>
              </w:rPr>
            </w:pPr>
            <w:r w:rsidRPr="001C7D10">
              <w:rPr>
                <w:color w:val="000000" w:themeColor="text1"/>
              </w:rPr>
              <w:t>1</w:t>
            </w:r>
          </w:p>
        </w:tc>
        <w:tc>
          <w:tcPr>
            <w:tcW w:w="906" w:type="pct"/>
          </w:tcPr>
          <w:p w:rsidR="005D6748" w:rsidRPr="001C7D10" w:rsidRDefault="005D6748" w:rsidP="00434A68">
            <w:pPr>
              <w:jc w:val="center"/>
              <w:rPr>
                <w:color w:val="000000" w:themeColor="text1"/>
                <w:szCs w:val="24"/>
              </w:rPr>
            </w:pPr>
            <w:r w:rsidRPr="001C7D10">
              <w:rPr>
                <w:color w:val="000000" w:themeColor="text1"/>
              </w:rPr>
              <w:t>0,5 %</w:t>
            </w:r>
          </w:p>
        </w:tc>
      </w:tr>
      <w:tr w:rsidR="005D6748" w:rsidRPr="001C7D10" w:rsidTr="00434A68">
        <w:trPr>
          <w:trHeight w:val="315"/>
        </w:trPr>
        <w:tc>
          <w:tcPr>
            <w:tcW w:w="1541" w:type="pct"/>
            <w:hideMark/>
          </w:tcPr>
          <w:p w:rsidR="005D6748" w:rsidRPr="001C7D10" w:rsidRDefault="005D6748" w:rsidP="00434A68">
            <w:pPr>
              <w:rPr>
                <w:color w:val="000000" w:themeColor="text1"/>
                <w:szCs w:val="24"/>
              </w:rPr>
            </w:pPr>
            <w:r w:rsidRPr="001C7D10">
              <w:rPr>
                <w:color w:val="000000" w:themeColor="text1"/>
              </w:rPr>
              <w:lastRenderedPageBreak/>
              <w:t xml:space="preserve">    Prijsvraag</w:t>
            </w:r>
          </w:p>
        </w:tc>
        <w:tc>
          <w:tcPr>
            <w:tcW w:w="733" w:type="pct"/>
            <w:hideMark/>
          </w:tcPr>
          <w:p w:rsidR="005D6748" w:rsidRPr="001C7D10" w:rsidRDefault="005D6748" w:rsidP="00434A68">
            <w:pPr>
              <w:jc w:val="center"/>
              <w:rPr>
                <w:color w:val="000000" w:themeColor="text1"/>
                <w:szCs w:val="24"/>
              </w:rPr>
            </w:pPr>
            <w:r w:rsidRPr="001C7D10">
              <w:rPr>
                <w:color w:val="000000" w:themeColor="text1"/>
              </w:rPr>
              <w:t>0</w:t>
            </w:r>
          </w:p>
        </w:tc>
        <w:tc>
          <w:tcPr>
            <w:tcW w:w="894" w:type="pct"/>
            <w:hideMark/>
          </w:tcPr>
          <w:p w:rsidR="005D6748" w:rsidRPr="001C7D10" w:rsidRDefault="005D6748" w:rsidP="00434A68">
            <w:pPr>
              <w:jc w:val="center"/>
              <w:rPr>
                <w:color w:val="000000" w:themeColor="text1"/>
                <w:szCs w:val="24"/>
              </w:rPr>
            </w:pPr>
            <w:r w:rsidRPr="001C7D10">
              <w:rPr>
                <w:color w:val="000000" w:themeColor="text1"/>
              </w:rPr>
              <w:t>0 %</w:t>
            </w:r>
          </w:p>
        </w:tc>
        <w:tc>
          <w:tcPr>
            <w:tcW w:w="926" w:type="pct"/>
          </w:tcPr>
          <w:p w:rsidR="005D6748" w:rsidRPr="001C7D10" w:rsidRDefault="005D6748" w:rsidP="00434A68">
            <w:pPr>
              <w:jc w:val="center"/>
              <w:rPr>
                <w:color w:val="000000" w:themeColor="text1"/>
                <w:szCs w:val="24"/>
              </w:rPr>
            </w:pPr>
            <w:r w:rsidRPr="001C7D10">
              <w:rPr>
                <w:color w:val="000000" w:themeColor="text1"/>
              </w:rPr>
              <w:t>1</w:t>
            </w:r>
          </w:p>
        </w:tc>
        <w:tc>
          <w:tcPr>
            <w:tcW w:w="906" w:type="pct"/>
          </w:tcPr>
          <w:p w:rsidR="005D6748" w:rsidRPr="001C7D10" w:rsidRDefault="005D6748" w:rsidP="00434A68">
            <w:pPr>
              <w:jc w:val="center"/>
              <w:rPr>
                <w:color w:val="000000" w:themeColor="text1"/>
                <w:szCs w:val="24"/>
              </w:rPr>
            </w:pPr>
            <w:r w:rsidRPr="001C7D10">
              <w:rPr>
                <w:color w:val="000000" w:themeColor="text1"/>
              </w:rPr>
              <w:t>0,5 %</w:t>
            </w:r>
          </w:p>
        </w:tc>
      </w:tr>
      <w:tr w:rsidR="005D6748" w:rsidRPr="001C7D10" w:rsidTr="00434A68">
        <w:trPr>
          <w:trHeight w:val="600"/>
        </w:trPr>
        <w:tc>
          <w:tcPr>
            <w:tcW w:w="1541" w:type="pct"/>
            <w:hideMark/>
          </w:tcPr>
          <w:p w:rsidR="005D6748" w:rsidRPr="001C7D10" w:rsidRDefault="005D6748" w:rsidP="00434A68">
            <w:pPr>
              <w:rPr>
                <w:b/>
                <w:bCs/>
                <w:color w:val="000000" w:themeColor="text1"/>
                <w:szCs w:val="24"/>
              </w:rPr>
            </w:pPr>
            <w:r w:rsidRPr="001C7D10">
              <w:rPr>
                <w:b/>
                <w:color w:val="000000" w:themeColor="text1"/>
              </w:rPr>
              <w:t xml:space="preserve">   Totaal</w:t>
            </w:r>
          </w:p>
        </w:tc>
        <w:tc>
          <w:tcPr>
            <w:tcW w:w="733" w:type="pct"/>
            <w:hideMark/>
          </w:tcPr>
          <w:p w:rsidR="005D6748" w:rsidRPr="001C7D10" w:rsidRDefault="005D6748" w:rsidP="00434A68">
            <w:pPr>
              <w:jc w:val="center"/>
              <w:rPr>
                <w:b/>
                <w:bCs/>
                <w:color w:val="000000" w:themeColor="text1"/>
                <w:szCs w:val="24"/>
              </w:rPr>
            </w:pPr>
            <w:r w:rsidRPr="001C7D10">
              <w:rPr>
                <w:b/>
                <w:color w:val="000000" w:themeColor="text1"/>
              </w:rPr>
              <w:t>221</w:t>
            </w:r>
          </w:p>
        </w:tc>
        <w:tc>
          <w:tcPr>
            <w:tcW w:w="894" w:type="pct"/>
            <w:hideMark/>
          </w:tcPr>
          <w:p w:rsidR="005D6748" w:rsidRPr="001C7D10" w:rsidRDefault="005D6748" w:rsidP="00434A68">
            <w:pPr>
              <w:jc w:val="center"/>
              <w:rPr>
                <w:b/>
                <w:bCs/>
                <w:color w:val="000000" w:themeColor="text1"/>
                <w:szCs w:val="24"/>
              </w:rPr>
            </w:pPr>
            <w:r w:rsidRPr="001C7D10">
              <w:rPr>
                <w:b/>
                <w:color w:val="000000" w:themeColor="text1"/>
              </w:rPr>
              <w:t>100 %</w:t>
            </w:r>
          </w:p>
        </w:tc>
        <w:tc>
          <w:tcPr>
            <w:tcW w:w="926" w:type="pct"/>
          </w:tcPr>
          <w:p w:rsidR="005D6748" w:rsidRPr="001C7D10" w:rsidRDefault="005D6748" w:rsidP="00434A68">
            <w:pPr>
              <w:jc w:val="center"/>
              <w:rPr>
                <w:b/>
                <w:bCs/>
                <w:color w:val="000000" w:themeColor="text1"/>
                <w:szCs w:val="24"/>
              </w:rPr>
            </w:pPr>
            <w:r w:rsidRPr="001C7D10">
              <w:rPr>
                <w:b/>
                <w:color w:val="000000" w:themeColor="text1"/>
              </w:rPr>
              <w:t>194</w:t>
            </w:r>
          </w:p>
        </w:tc>
        <w:tc>
          <w:tcPr>
            <w:tcW w:w="906" w:type="pct"/>
          </w:tcPr>
          <w:p w:rsidR="005D6748" w:rsidRPr="001C7D10" w:rsidRDefault="005D6748" w:rsidP="00434A68">
            <w:pPr>
              <w:jc w:val="center"/>
              <w:rPr>
                <w:b/>
                <w:bCs/>
                <w:color w:val="000000" w:themeColor="text1"/>
                <w:szCs w:val="24"/>
              </w:rPr>
            </w:pPr>
            <w:r w:rsidRPr="001C7D10">
              <w:rPr>
                <w:b/>
                <w:color w:val="000000" w:themeColor="text1"/>
              </w:rPr>
              <w:t>100 %</w:t>
            </w:r>
          </w:p>
        </w:tc>
      </w:tr>
    </w:tbl>
    <w:p w:rsidR="005D6748" w:rsidRPr="001C7D10" w:rsidRDefault="005D6748" w:rsidP="005D6748">
      <w:pPr>
        <w:rPr>
          <w:noProof/>
        </w:rPr>
      </w:pPr>
    </w:p>
    <w:p w:rsidR="005D6748" w:rsidRPr="001C7D10" w:rsidRDefault="005D6748" w:rsidP="005D6748">
      <w:pPr>
        <w:spacing w:after="240"/>
        <w:jc w:val="both"/>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Fracties (begrotingspost 400)</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17</w:t>
      </w:r>
      <w:r w:rsidR="00E82278" w:rsidRPr="001C7D10">
        <w:rPr>
          <w14:textOutline w14:w="0" w14:cap="flat" w14:cmpd="sng" w14:algn="ctr">
            <w14:noFill/>
            <w14:prstDash w14:val="solid"/>
            <w14:bevel/>
          </w14:textOutline>
        </w:rPr>
        <w:t>2</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de voor 2022 op begrotingspost 400 opgenomen kredieten voor de fracties en de niet-</w:t>
      </w:r>
      <w:proofErr w:type="spellStart"/>
      <w:r w:rsidR="005D6748" w:rsidRPr="001C7D10">
        <w:rPr>
          <w14:textOutline w14:w="0" w14:cap="flat" w14:cmpd="sng" w14:algn="ctr">
            <w14:noFill/>
            <w14:prstDash w14:val="solid"/>
            <w14:bevel/>
          </w14:textOutline>
        </w:rPr>
        <w:t>fractiegebonden</w:t>
      </w:r>
      <w:proofErr w:type="spellEnd"/>
      <w:r w:rsidR="005D6748" w:rsidRPr="001C7D10">
        <w:rPr>
          <w14:textOutline w14:w="0" w14:cap="flat" w14:cmpd="sng" w14:algn="ctr">
            <w14:noFill/>
            <w14:prstDash w14:val="solid"/>
            <w14:bevel/>
          </w14:textOutline>
        </w:rPr>
        <w:t xml:space="preserve"> leden als volgt werden gebruikt</w:t>
      </w:r>
      <w:r w:rsidR="005D6748" w:rsidRPr="001C7D10">
        <w:rPr>
          <w:rStyle w:val="FootnoteReference"/>
          <w:szCs w:val="24"/>
        </w:rPr>
        <w:footnoteReference w:id="14"/>
      </w:r>
      <w:r w:rsidR="005D6748" w:rsidRPr="001C7D10">
        <w:rPr>
          <w14:textOutline w14:w="0" w14:cap="flat" w14:cmpd="sng" w14:algn="ctr">
            <w14:noFill/>
            <w14:prstDash w14:val="solid"/>
            <w14:bevel/>
          </w14:textOutline>
        </w:rPr>
        <w:t>:</w:t>
      </w:r>
    </w:p>
    <w:p w:rsidR="005D6748" w:rsidRPr="001C7D10" w:rsidRDefault="005D6748" w:rsidP="005D6748">
      <w:pPr>
        <w:widowControl/>
        <w:rPr>
          <w:noProof/>
        </w:rPr>
      </w:pPr>
      <w:r w:rsidRPr="001C7D10">
        <w:br w:type="page"/>
      </w:r>
    </w:p>
    <w:p w:rsidR="005D6748" w:rsidRPr="001C7D10" w:rsidRDefault="005D6748" w:rsidP="005D6748">
      <w:pPr>
        <w:rPr>
          <w:noProof/>
        </w:rPr>
        <w:sectPr w:rsidR="005D6748" w:rsidRPr="001C7D10" w:rsidSect="00FE1DA6">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308"/>
        <w:gridCol w:w="980"/>
        <w:gridCol w:w="1087"/>
        <w:gridCol w:w="892"/>
        <w:gridCol w:w="1976"/>
        <w:gridCol w:w="1087"/>
        <w:gridCol w:w="894"/>
        <w:gridCol w:w="1087"/>
        <w:gridCol w:w="892"/>
        <w:gridCol w:w="1976"/>
        <w:gridCol w:w="1087"/>
      </w:tblGrid>
      <w:tr w:rsidR="005D6748" w:rsidRPr="001C7D10" w:rsidTr="00434A68">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lastRenderedPageBreak/>
              <w:t>Fractie</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5D6748" w:rsidRPr="001C7D10" w:rsidRDefault="005D6748" w:rsidP="00434A68">
            <w:pPr>
              <w:widowControl/>
              <w:jc w:val="center"/>
              <w:rPr>
                <w:color w:val="000000"/>
                <w:sz w:val="16"/>
                <w:szCs w:val="16"/>
              </w:rPr>
            </w:pPr>
            <w:r w:rsidRPr="001C7D10">
              <w:rPr>
                <w:color w:val="000000"/>
                <w:sz w:val="16"/>
                <w:szCs w:val="16"/>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5D6748" w:rsidRPr="001C7D10" w:rsidRDefault="005D6748" w:rsidP="00434A68">
            <w:pPr>
              <w:widowControl/>
              <w:jc w:val="center"/>
              <w:rPr>
                <w:color w:val="000000"/>
                <w:sz w:val="16"/>
                <w:szCs w:val="16"/>
              </w:rPr>
            </w:pPr>
            <w:r w:rsidRPr="001C7D10">
              <w:rPr>
                <w:color w:val="000000"/>
                <w:sz w:val="16"/>
                <w:szCs w:val="16"/>
              </w:rPr>
              <w:t>2021</w:t>
            </w:r>
          </w:p>
        </w:tc>
      </w:tr>
      <w:tr w:rsidR="005D6748" w:rsidRPr="001C7D10" w:rsidTr="00434A68">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5D6748" w:rsidRPr="001C7D10" w:rsidRDefault="005D6748" w:rsidP="00434A68">
            <w:pPr>
              <w:widowControl/>
              <w:rPr>
                <w:color w:val="000000"/>
                <w:sz w:val="16"/>
                <w:szCs w:val="16"/>
              </w:rPr>
            </w:pP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Jaarlijkse kredieten</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Eigen middelen en overgedragen kredieten</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Uitgaven</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Gebruikmakingspercentage van de jaarlijkse kredieten</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Overdrachten naar de volgende periode</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Jaarlijkse kredieten</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Eigen middelen en overgedragen kredieten</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Uitgaven</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Gebruikmakingspercentage van de jaarlijkse kredieten</w:t>
            </w:r>
          </w:p>
        </w:tc>
        <w:tc>
          <w:tcPr>
            <w:tcW w:w="412" w:type="pct"/>
            <w:tcBorders>
              <w:top w:val="nil"/>
              <w:left w:val="nil"/>
              <w:bottom w:val="single" w:sz="8" w:space="0" w:color="auto"/>
              <w:right w:val="single" w:sz="8" w:space="0" w:color="auto"/>
            </w:tcBorders>
            <w:shd w:val="clear" w:color="auto" w:fill="auto"/>
            <w:vAlign w:val="center"/>
            <w:hideMark/>
          </w:tcPr>
          <w:p w:rsidR="005D6748" w:rsidRPr="001C7D10" w:rsidRDefault="005D6748" w:rsidP="00434A68">
            <w:pPr>
              <w:widowControl/>
              <w:jc w:val="center"/>
              <w:rPr>
                <w:color w:val="000000"/>
                <w:sz w:val="16"/>
                <w:szCs w:val="16"/>
              </w:rPr>
            </w:pPr>
            <w:r w:rsidRPr="001C7D10">
              <w:rPr>
                <w:color w:val="000000"/>
                <w:sz w:val="16"/>
                <w:szCs w:val="16"/>
              </w:rPr>
              <w:t>Overdrachten naar de volgende periode</w:t>
            </w:r>
          </w:p>
        </w:tc>
      </w:tr>
      <w:tr w:rsidR="005D6748" w:rsidRPr="001C7D10" w:rsidTr="00434A68">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D6748" w:rsidRPr="001C7D10" w:rsidRDefault="005D6748" w:rsidP="00434A68">
            <w:pPr>
              <w:widowControl/>
              <w:rPr>
                <w:b/>
                <w:bCs/>
                <w:color w:val="000000"/>
                <w:sz w:val="16"/>
                <w:szCs w:val="16"/>
              </w:rPr>
            </w:pPr>
            <w:r w:rsidRPr="001C7D10">
              <w:rPr>
                <w:b/>
                <w:color w:val="000000"/>
                <w:sz w:val="16"/>
                <w:szCs w:val="16"/>
              </w:rPr>
              <w:t>Europese Volkspartij (PPE)</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16 739</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12 640</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18 651</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10 729</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16 750</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10 229</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13 646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12 562</w:t>
            </w:r>
          </w:p>
        </w:tc>
      </w:tr>
      <w:tr w:rsidR="005D6748" w:rsidRPr="001C7D10" w:rsidTr="00434A68">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D6748" w:rsidRPr="001C7D10" w:rsidRDefault="005D6748" w:rsidP="00434A68">
            <w:pPr>
              <w:widowControl/>
              <w:rPr>
                <w:b/>
                <w:bCs/>
                <w:color w:val="000000"/>
                <w:sz w:val="16"/>
                <w:szCs w:val="16"/>
              </w:rPr>
            </w:pPr>
            <w:r w:rsidRPr="001C7D10">
              <w:rPr>
                <w:b/>
                <w:color w:val="000000"/>
                <w:sz w:val="16"/>
                <w:szCs w:val="16"/>
              </w:rPr>
              <w:t>Progressieve Alliantie van Socialisten en Democraten in het Europees Parlement (S&amp;D)</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13 804</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10 258</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15 016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9 046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13 584</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9 829</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12 295</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10 188</w:t>
            </w:r>
          </w:p>
        </w:tc>
      </w:tr>
      <w:tr w:rsidR="005D6748" w:rsidRPr="001C7D10" w:rsidTr="00434A68">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D6748" w:rsidRPr="001C7D10" w:rsidRDefault="005D6748" w:rsidP="00434A68">
            <w:pPr>
              <w:widowControl/>
              <w:rPr>
                <w:b/>
                <w:bCs/>
                <w:color w:val="000000"/>
                <w:sz w:val="16"/>
                <w:szCs w:val="16"/>
              </w:rPr>
            </w:pPr>
            <w:proofErr w:type="spellStart"/>
            <w:r w:rsidRPr="001C7D10">
              <w:rPr>
                <w:b/>
                <w:color w:val="000000"/>
                <w:sz w:val="16"/>
                <w:szCs w:val="16"/>
              </w:rPr>
              <w:t>Renew</w:t>
            </w:r>
            <w:proofErr w:type="spellEnd"/>
            <w:r w:rsidRPr="001C7D10">
              <w:rPr>
                <w:b/>
                <w:color w:val="000000"/>
                <w:sz w:val="16"/>
                <w:szCs w:val="16"/>
              </w:rPr>
              <w:t xml:space="preserve"> Europe (voorheen de Alliantie van Liberalen en Democraten voor Europa (ALDE))</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9 799</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6 950</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11 384</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5 365</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9 192</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6 948</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6 997</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6 894</w:t>
            </w:r>
          </w:p>
        </w:tc>
      </w:tr>
      <w:tr w:rsidR="005D6748" w:rsidRPr="001C7D10" w:rsidTr="00434A68">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D6748" w:rsidRPr="001C7D10" w:rsidRDefault="005D6748" w:rsidP="00434A68">
            <w:pPr>
              <w:widowControl/>
              <w:rPr>
                <w:b/>
                <w:bCs/>
                <w:color w:val="000000"/>
                <w:sz w:val="16"/>
                <w:szCs w:val="16"/>
              </w:rPr>
            </w:pPr>
            <w:r w:rsidRPr="001C7D10">
              <w:rPr>
                <w:b/>
                <w:color w:val="000000"/>
                <w:sz w:val="16"/>
                <w:szCs w:val="16"/>
              </w:rPr>
              <w:t>De Groenen/Vrije Europese Alliantie (</w:t>
            </w:r>
            <w:proofErr w:type="spellStart"/>
            <w:r w:rsidRPr="001C7D10">
              <w:rPr>
                <w:b/>
                <w:color w:val="000000"/>
                <w:sz w:val="16"/>
                <w:szCs w:val="16"/>
              </w:rPr>
              <w:t>Verts</w:t>
            </w:r>
            <w:proofErr w:type="spellEnd"/>
            <w:r w:rsidRPr="001C7D10">
              <w:rPr>
                <w:b/>
                <w:color w:val="000000"/>
                <w:sz w:val="16"/>
                <w:szCs w:val="16"/>
              </w:rPr>
              <w:t>/ALE)</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6 941</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5 196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7 964</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4 173</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6 927</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4 891</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6 126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5 196</w:t>
            </w:r>
          </w:p>
        </w:tc>
      </w:tr>
      <w:tr w:rsidR="005D6748" w:rsidRPr="001C7D10" w:rsidTr="00434A68">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D6748" w:rsidRPr="001C7D10" w:rsidRDefault="005D6748" w:rsidP="00434A68">
            <w:pPr>
              <w:widowControl/>
              <w:rPr>
                <w:b/>
                <w:bCs/>
                <w:color w:val="000000"/>
                <w:sz w:val="16"/>
                <w:szCs w:val="16"/>
              </w:rPr>
            </w:pPr>
            <w:r w:rsidRPr="001C7D10">
              <w:rPr>
                <w:b/>
                <w:color w:val="000000"/>
                <w:sz w:val="16"/>
                <w:szCs w:val="16"/>
              </w:rPr>
              <w:t xml:space="preserve">Identiteit en Democratie (ID)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6 348</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5 157</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6 958</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4 547</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6 874</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4 762</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5 940</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5 155</w:t>
            </w:r>
          </w:p>
        </w:tc>
      </w:tr>
      <w:tr w:rsidR="005D6748" w:rsidRPr="001C7D10" w:rsidTr="00434A68">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D6748" w:rsidRPr="001C7D10" w:rsidRDefault="005D6748" w:rsidP="00434A68">
            <w:pPr>
              <w:widowControl/>
              <w:rPr>
                <w:b/>
                <w:bCs/>
                <w:color w:val="000000"/>
                <w:sz w:val="16"/>
                <w:szCs w:val="16"/>
              </w:rPr>
            </w:pPr>
            <w:r w:rsidRPr="001C7D10">
              <w:rPr>
                <w:b/>
                <w:color w:val="000000"/>
                <w:sz w:val="16"/>
                <w:szCs w:val="16"/>
              </w:rPr>
              <w:t>Europese Conservatieven en Hervormers (ECR)</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6 184</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3 847</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6 960</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3 071</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6 005</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3 982</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6 269</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3 718</w:t>
            </w:r>
          </w:p>
        </w:tc>
      </w:tr>
      <w:tr w:rsidR="005D6748" w:rsidRPr="001C7D10" w:rsidTr="00434A68">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D6748" w:rsidRPr="001C7D10" w:rsidRDefault="005D6748" w:rsidP="00434A68">
            <w:pPr>
              <w:widowControl/>
              <w:rPr>
                <w:b/>
                <w:bCs/>
                <w:color w:val="000000"/>
                <w:sz w:val="16"/>
                <w:szCs w:val="16"/>
              </w:rPr>
            </w:pPr>
            <w:r w:rsidRPr="001C7D10">
              <w:rPr>
                <w:b/>
                <w:color w:val="000000"/>
                <w:sz w:val="16"/>
                <w:szCs w:val="16"/>
              </w:rPr>
              <w:t xml:space="preserve">The </w:t>
            </w:r>
            <w:proofErr w:type="spellStart"/>
            <w:r w:rsidRPr="001C7D10">
              <w:rPr>
                <w:b/>
                <w:color w:val="000000"/>
                <w:sz w:val="16"/>
                <w:szCs w:val="16"/>
              </w:rPr>
              <w:t>Left</w:t>
            </w:r>
            <w:proofErr w:type="spellEnd"/>
            <w:r w:rsidRPr="001C7D10">
              <w:rPr>
                <w:b/>
                <w:color w:val="000000"/>
                <w:sz w:val="16"/>
                <w:szCs w:val="16"/>
              </w:rPr>
              <w:t xml:space="preserve"> – Europees Unitair Links/Noords Groen Links (GUE/NGL)</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3 858</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2 036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4 498</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116,59 %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1 396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3 806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2 266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4 036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2 036</w:t>
            </w:r>
          </w:p>
        </w:tc>
      </w:tr>
      <w:tr w:rsidR="005D6748" w:rsidRPr="001C7D10" w:rsidTr="00434A68">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D6748" w:rsidRPr="001C7D10" w:rsidRDefault="005D6748" w:rsidP="00434A68">
            <w:pPr>
              <w:widowControl/>
              <w:rPr>
                <w:b/>
                <w:bCs/>
                <w:color w:val="000000"/>
                <w:sz w:val="16"/>
                <w:szCs w:val="16"/>
              </w:rPr>
            </w:pPr>
            <w:r w:rsidRPr="001C7D10">
              <w:rPr>
                <w:b/>
                <w:color w:val="000000"/>
                <w:sz w:val="16"/>
                <w:szCs w:val="16"/>
              </w:rPr>
              <w:t>Niet-</w:t>
            </w:r>
            <w:proofErr w:type="spellStart"/>
            <w:r w:rsidRPr="001C7D10">
              <w:rPr>
                <w:b/>
                <w:color w:val="000000"/>
                <w:sz w:val="16"/>
                <w:szCs w:val="16"/>
              </w:rPr>
              <w:t>fractiegebonden</w:t>
            </w:r>
            <w:proofErr w:type="spellEnd"/>
            <w:r w:rsidRPr="001C7D10">
              <w:rPr>
                <w:b/>
                <w:color w:val="000000"/>
                <w:sz w:val="16"/>
                <w:szCs w:val="16"/>
              </w:rPr>
              <w:t xml:space="preserve"> leden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2 326</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861</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994</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1 520</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1 862</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1041</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595</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5D6748" w:rsidRPr="001C7D10" w:rsidRDefault="005D6748" w:rsidP="00434A68">
            <w:pPr>
              <w:widowControl/>
              <w:jc w:val="right"/>
              <w:rPr>
                <w:color w:val="000000"/>
                <w:sz w:val="16"/>
                <w:szCs w:val="16"/>
              </w:rPr>
            </w:pPr>
            <w:r w:rsidRPr="001C7D10">
              <w:rPr>
                <w:color w:val="000000"/>
                <w:sz w:val="16"/>
                <w:szCs w:val="16"/>
              </w:rPr>
              <w:t>861</w:t>
            </w:r>
          </w:p>
        </w:tc>
      </w:tr>
      <w:tr w:rsidR="005D6748" w:rsidRPr="001C7D10" w:rsidTr="00434A68">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Totaal</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66 000</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46 945</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72 426</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39 846</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65 000</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43 948</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55 904</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5D6748" w:rsidRPr="001C7D10" w:rsidRDefault="005D6748" w:rsidP="00434A68">
            <w:pPr>
              <w:widowControl/>
              <w:jc w:val="right"/>
              <w:rPr>
                <w:b/>
                <w:bCs/>
                <w:color w:val="000000"/>
                <w:sz w:val="16"/>
                <w:szCs w:val="16"/>
              </w:rPr>
            </w:pPr>
            <w:r w:rsidRPr="001C7D10">
              <w:rPr>
                <w:b/>
                <w:color w:val="000000"/>
                <w:sz w:val="16"/>
                <w:szCs w:val="16"/>
              </w:rPr>
              <w:t>46 611</w:t>
            </w:r>
          </w:p>
        </w:tc>
      </w:tr>
    </w:tbl>
    <w:p w:rsidR="005D6748" w:rsidRPr="001C7D10" w:rsidRDefault="005D6748" w:rsidP="005D6748">
      <w:pPr>
        <w:rPr>
          <w:noProof/>
          <w:sz w:val="16"/>
          <w:szCs w:val="16"/>
        </w:rPr>
      </w:pPr>
    </w:p>
    <w:p w:rsidR="005D6748" w:rsidRPr="001C7D10" w:rsidRDefault="005D6748" w:rsidP="005D6748">
      <w:pPr>
        <w:widowControl/>
        <w:rPr>
          <w:noProof/>
        </w:rPr>
      </w:pPr>
      <w:r w:rsidRPr="001C7D10">
        <w:br w:type="page"/>
      </w:r>
    </w:p>
    <w:p w:rsidR="005D6748" w:rsidRPr="001C7D10" w:rsidRDefault="005D6748" w:rsidP="005D6748">
      <w:pPr>
        <w:rPr>
          <w:noProof/>
        </w:rPr>
        <w:sectPr w:rsidR="005D6748" w:rsidRPr="001C7D10" w:rsidSect="00FE1DA6">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lastRenderedPageBreak/>
        <w:t>17</w:t>
      </w:r>
      <w:r w:rsidR="00E82278" w:rsidRPr="001C7D10">
        <w:rPr>
          <w14:textOutline w14:w="0" w14:cap="flat" w14:cmpd="sng" w14:algn="ctr">
            <w14:noFill/>
            <w14:prstDash w14:val="solid"/>
            <w14:bevel/>
          </w14:textOutline>
        </w:rPr>
        <w:t>3</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het feit dat de onafhankelijke externe auditors voor de fracties alleen verklaringen zonder beperkingen hebben afgegeven voor het begrotingsjaar 2022;</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17</w:t>
      </w:r>
      <w:r w:rsidR="00E82278" w:rsidRPr="001C7D10">
        <w:rPr>
          <w14:textOutline w14:w="0" w14:cap="flat" w14:cmpd="sng" w14:algn="ctr">
            <w14:noFill/>
            <w14:prstDash w14:val="solid"/>
            <w14:bevel/>
          </w14:textOutline>
        </w:rPr>
        <w:t>4</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herinnert eraan dat deze kredieten bestemd zijn voor activiteiten in verband met de politieke activiteiten van de Unie en dat de fracties voor het gebruik ervan verantwoording verschuldigd zijn aan het Parlement;</w:t>
      </w:r>
    </w:p>
    <w:p w:rsidR="005D6748" w:rsidRPr="001C7D10" w:rsidRDefault="005D6748" w:rsidP="005D6748">
      <w:pPr>
        <w:spacing w:after="240"/>
        <w:rPr>
          <w:b/>
          <w:bCs/>
          <w:i/>
          <w:iCs/>
          <w:szCs w:val="24"/>
          <w14:textOutline w14:w="0" w14:cap="flat" w14:cmpd="sng" w14:algn="ctr">
            <w14:noFill/>
            <w14:prstDash w14:val="solid"/>
            <w14:bevel/>
          </w14:textOutline>
        </w:rPr>
      </w:pPr>
      <w:r w:rsidRPr="001C7D10">
        <w:rPr>
          <w:b/>
          <w:i/>
          <w14:textOutline w14:w="0" w14:cap="flat" w14:cmpd="sng" w14:algn="ctr">
            <w14:noFill/>
            <w14:prstDash w14:val="solid"/>
            <w14:bevel/>
          </w14:textOutline>
        </w:rPr>
        <w:t>Europese politieke partijen en Europese politieke stichtingen</w:t>
      </w:r>
    </w:p>
    <w:p w:rsidR="005D6748" w:rsidRPr="001C7D10" w:rsidRDefault="005B672E" w:rsidP="005D6748">
      <w:pPr>
        <w:pStyle w:val="NormalHanging12a"/>
      </w:pPr>
      <w:r w:rsidRPr="001C7D10">
        <w:t>17</w:t>
      </w:r>
      <w:r w:rsidR="00E82278" w:rsidRPr="001C7D10">
        <w:t>5</w:t>
      </w:r>
      <w:r w:rsidR="005D6748" w:rsidRPr="001C7D10">
        <w:t>.</w:t>
      </w:r>
      <w:r w:rsidR="005D6748" w:rsidRPr="001C7D10">
        <w:tab/>
        <w:t>merkt op dat de Autoriteit Europese politieke partijen en Europese politieke stichtingen in 2022 het recht heeft gegeven te worden gehoord, en in negen gevallen de gelegenheid heeft geboden om corrigerende maatregelen te nemen; merkt voorts op dat het hier ging om gevallen met betrekking tot rapportagevereisten, regels inzake inkomsten en gezamenlijke activiteiten; benadrukt dat uit de eerste controles van de Autoriteit blijkt dat de onmiddellijk relevante corrigerende maatregelen in al deze gevallen door de betrokken Europese politieke partijen en stichtingen zijn uitgevoerd; neemt er nota van dat de Autoriteit erop zal blijven toezien dat corrigerende maatregelen met een langdurig effect zorgen voor een duurzame naleving op de betrokken gebieden; is tevreden met het feit dat er in 2022 geen sancties hoefden te worden vastgesteld;</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17</w:t>
      </w:r>
      <w:r w:rsidR="00E82278" w:rsidRPr="001C7D10">
        <w:rPr>
          <w14:textOutline w14:w="0" w14:cap="flat" w14:cmpd="sng" w14:algn="ctr">
            <w14:noFill/>
            <w14:prstDash w14:val="solid"/>
            <w14:bevel/>
          </w14:textOutline>
        </w:rPr>
        <w:t>6</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is ingenomen met het feit dat de Autoriteit ter voorbereiding van de Europese verkiezingen van 2024 de samenwerkingsnetwerken actief versterkt door te onderzoeken welke nieuwe partnerschappen er kunnen worden gesloten om de democratische integriteit te beschermen;</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17</w:t>
      </w:r>
      <w:r w:rsidR="00E82278" w:rsidRPr="001C7D10">
        <w:rPr>
          <w14:textOutline w14:w="0" w14:cap="flat" w14:cmpd="sng" w14:algn="ctr">
            <w14:noFill/>
            <w14:prstDash w14:val="solid"/>
            <w14:bevel/>
          </w14:textOutline>
        </w:rPr>
        <w:t>7</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stelt met bezorgdheid vast dat de Autoriteit meldt dat zij met een tekort aan personele middelen kampt; benadrukt dat deze kwestie naar verwachting dringender zal worden als gevolg van de veranderende uitdagingen in de aanloop naar de Europese verkiezingen van 2024, waaronder met name de noodzaak om de democratische integriteit te beschermen tegen nieuwe vormen van buitenlandse inmenging, alsook de noodzakelijke administratieve uitvoering van eventuele nieuwe taken voor de Autoriteit die zouden voortvloeien uit de lopende onderhandelingen over een herschikking van Verordening (EU, Euratom) nr. 1141/2014;</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17</w:t>
      </w:r>
      <w:r w:rsidR="00E82278" w:rsidRPr="001C7D10">
        <w:rPr>
          <w14:textOutline w14:w="0" w14:cap="flat" w14:cmpd="sng" w14:algn="ctr">
            <w14:noFill/>
            <w14:prstDash w14:val="solid"/>
            <w14:bevel/>
          </w14:textOutline>
        </w:rPr>
        <w:t>8</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herinnert aan de sleutelrol die een levendige en veerkrachtige Europese democratie, geschraagd door het pluralisme van politieke partijen op het niveau van de Unie, speelt; benadrukt derhalve dat voor een gelijk speelveld moet worden gezorgd en dat de naleving moet worden gecontroleerd met volledige inachtneming van de procedurele rechten; is in dit verband ingenomen met het essentiële werk van de Autoriteit, die onafhankelijk en in nauwe samenwerking met het Parlement controleert of de Europese politieke partijen en stichtingen het rechtskader naleven, de burgers transparantie bieden en bijdragen tot de integriteit van de verkiezingen voor het Parlement;</w:t>
      </w: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w:t>
      </w:r>
      <w:r w:rsidR="00E82278" w:rsidRPr="001C7D10">
        <w:rPr>
          <w14:textOutline w14:w="0" w14:cap="flat" w14:cmpd="sng" w14:algn="ctr">
            <w14:noFill/>
            <w14:prstDash w14:val="solid"/>
            <w14:bevel/>
          </w14:textOutline>
        </w:rPr>
        <w:t>79</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de voor 2022 op begrotingspost 402 opgenomen kredieten als volgt werden gebruikt</w:t>
      </w:r>
      <w:r w:rsidR="005D6748" w:rsidRPr="001C7D10">
        <w:rPr>
          <w:rStyle w:val="FootnoteReference"/>
          <w:szCs w:val="24"/>
        </w:rPr>
        <w:footnoteReference w:id="15"/>
      </w:r>
      <w:r w:rsidR="005D6748" w:rsidRPr="001C7D10">
        <w:rPr>
          <w14:textOutline w14:w="0" w14:cap="flat" w14:cmpd="sng" w14:algn="ctr">
            <w14:noFill/>
            <w14:prstDash w14:val="solid"/>
            <w14:bevel/>
          </w14:textOutline>
        </w:rPr>
        <w:t>:</w:t>
      </w:r>
    </w:p>
    <w:p w:rsidR="005D6748" w:rsidRPr="001C7D10" w:rsidRDefault="005D6748" w:rsidP="005D6748">
      <w:pPr>
        <w:widowControl/>
        <w:rPr>
          <w:noProof/>
        </w:rPr>
      </w:pPr>
      <w:r w:rsidRPr="001C7D10">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5D6748" w:rsidRPr="001C7D10" w:rsidTr="00434A68">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lastRenderedPageBreak/>
              <w:t>Partij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Afkorting</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Eigen middelen</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 xml:space="preserve">Definitieve bijdrage EP </w:t>
            </w:r>
            <w:r w:rsidRPr="001C7D10">
              <w:rPr>
                <w:sz w:val="20"/>
                <w:vertAlign w:val="superscript"/>
                <w14:textOutline w14:w="0" w14:cap="flat" w14:cmpd="sng" w14:algn="ctr">
                  <w14:noFill/>
                  <w14:prstDash w14:val="solid"/>
                  <w14:bevel/>
                </w14:textOutline>
              </w:rPr>
              <w:t>(</w:t>
            </w:r>
            <w:r w:rsidRPr="001C7D10">
              <w:rPr>
                <w:rStyle w:val="FootnoteReference"/>
                <w:sz w:val="20"/>
              </w:rPr>
              <w:footnoteReference w:id="16"/>
            </w:r>
            <w:r w:rsidRPr="001C7D10">
              <w:rPr>
                <w:sz w:val="20"/>
                <w:vertAlign w:val="superscript"/>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Totaal ontvangsten</w:t>
            </w:r>
            <w:r w:rsidRPr="001C7D10">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EP-bijdrage als % van de subsidiabele uitgaven (max.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Ontvangstenoverschot (overgedragen naar de reserve of verlies)</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Europese Volkspartij</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448 128</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 xml:space="preserve">Partij van de Europese </w:t>
            </w:r>
            <w:proofErr w:type="spellStart"/>
            <w:r w:rsidRPr="001C7D10">
              <w:rPr>
                <w:sz w:val="20"/>
                <w14:textOutline w14:w="0" w14:cap="flat" w14:cmpd="sng" w14:algn="ctr">
                  <w14:noFill/>
                  <w14:prstDash w14:val="solid"/>
                  <w14:bevel/>
                </w14:textOutline>
              </w:rPr>
              <w:t>Sociaal-democraten</w:t>
            </w:r>
            <w:proofErr w:type="spellEnd"/>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675 194</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Alliantie van Liberalen en Democraten voor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560 139</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Europese Groene Partij</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VERT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846 993</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Partij van Europees Links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 xml:space="preserve"> 40 396</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Europese Democratische Partij</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127 134</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Europese Vrije Alliantie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 xml:space="preserve">EVA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100 217</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Partij van de Europese Conservatieven en Hervormers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 xml:space="preserve"> -</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Europese Christelijke Politieke Beweging</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 xml:space="preserve"> - </w:t>
            </w:r>
          </w:p>
        </w:tc>
      </w:tr>
      <w:tr w:rsidR="005D6748" w:rsidRPr="001C7D10" w:rsidTr="00434A68">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14:textOutline w14:w="0" w14:cap="flat" w14:cmpd="sng" w14:algn="ctr">
                  <w14:noFill/>
                  <w14:prstDash w14:val="solid"/>
                  <w14:bevel/>
                </w14:textOutline>
              </w:rPr>
              <w:t>Partij voor Identiteit en Democratie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18"/>
                <w14:textOutline w14:w="0" w14:cap="flat" w14:cmpd="sng" w14:algn="ctr">
                  <w14:noFill/>
                  <w14:prstDash w14:val="solid"/>
                  <w14:bevel/>
                </w14:textOutline>
              </w:rPr>
              <w:t>ID-partij</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right"/>
              <w:rPr>
                <w:sz w:val="20"/>
                <w14:textOutline w14:w="0" w14:cap="flat" w14:cmpd="sng" w14:algn="ctr">
                  <w14:noFill/>
                  <w14:prstDash w14:val="solid"/>
                  <w14:bevel/>
                </w14:textOutline>
              </w:rPr>
            </w:pPr>
            <w:r w:rsidRPr="001C7D10">
              <w:rPr>
                <w:sz w:val="20"/>
              </w:rPr>
              <w:t xml:space="preserve"> - </w:t>
            </w:r>
          </w:p>
        </w:tc>
      </w:tr>
      <w:tr w:rsidR="005D6748" w:rsidRPr="001C7D10" w:rsidTr="00434A68">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right"/>
              <w:rPr>
                <w:sz w:val="20"/>
                <w14:textOutline w14:w="0" w14:cap="flat" w14:cmpd="sng" w14:algn="ctr">
                  <w14:noFill/>
                  <w14:prstDash w14:val="solid"/>
                  <w14:bevel/>
                </w14:textOutline>
              </w:rPr>
            </w:pPr>
            <w:r w:rsidRPr="001C7D10">
              <w:rPr>
                <w:b/>
                <w:sz w:val="20"/>
                <w14:textOutline w14:w="0" w14:cap="flat" w14:cmpd="sng" w14:algn="ctr">
                  <w14:noFill/>
                  <w14:prstDash w14:val="solid"/>
                  <w14:bevel/>
                </w14:textOutline>
              </w:rPr>
              <w:t>TOTAAL</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5D6748" w:rsidRPr="001C7D10" w:rsidRDefault="005D6748" w:rsidP="00434A68">
            <w:pPr>
              <w:jc w:val="right"/>
              <w:rPr>
                <w:b/>
                <w:bCs/>
                <w:sz w:val="20"/>
              </w:rPr>
            </w:pPr>
            <w:r w:rsidRPr="001C7D10">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5D6748" w:rsidRPr="001C7D10" w:rsidRDefault="005D6748" w:rsidP="00434A68">
            <w:pPr>
              <w:jc w:val="right"/>
              <w:rPr>
                <w:b/>
                <w:bCs/>
                <w:sz w:val="20"/>
              </w:rPr>
            </w:pPr>
            <w:r w:rsidRPr="001C7D10">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5D6748" w:rsidRPr="001C7D10" w:rsidRDefault="005D6748" w:rsidP="00434A68">
            <w:pPr>
              <w:jc w:val="right"/>
              <w:rPr>
                <w:b/>
                <w:bCs/>
                <w:sz w:val="20"/>
              </w:rPr>
            </w:pPr>
            <w:r w:rsidRPr="001C7D10">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5D6748" w:rsidRPr="001C7D10" w:rsidRDefault="005D6748" w:rsidP="00434A68">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5D6748" w:rsidRPr="001C7D10" w:rsidRDefault="005D6748" w:rsidP="00434A68">
            <w:pPr>
              <w:jc w:val="right"/>
              <w:rPr>
                <w:b/>
                <w:sz w:val="20"/>
              </w:rPr>
            </w:pPr>
            <w:r w:rsidRPr="001C7D10">
              <w:rPr>
                <w:b/>
                <w:sz w:val="20"/>
              </w:rPr>
              <w:t>2 798 201</w:t>
            </w:r>
          </w:p>
        </w:tc>
      </w:tr>
    </w:tbl>
    <w:p w:rsidR="005D6748" w:rsidRPr="001C7D10" w:rsidRDefault="005D6748" w:rsidP="005D6748">
      <w:pPr>
        <w:rPr>
          <w:noProof/>
        </w:rPr>
      </w:pPr>
    </w:p>
    <w:p w:rsidR="005D6748" w:rsidRPr="001C7D10" w:rsidRDefault="005B672E" w:rsidP="005D6748">
      <w:pPr>
        <w:spacing w:after="240"/>
        <w:ind w:left="567" w:hanging="567"/>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18</w:t>
      </w:r>
      <w:r w:rsidR="00E82278" w:rsidRPr="001C7D10">
        <w:rPr>
          <w14:textOutline w14:w="0" w14:cap="flat" w14:cmpd="sng" w14:algn="ctr">
            <w14:noFill/>
            <w14:prstDash w14:val="solid"/>
            <w14:bevel/>
          </w14:textOutline>
        </w:rPr>
        <w:t>0</w:t>
      </w:r>
      <w:r w:rsidR="005D6748" w:rsidRPr="001C7D10">
        <w:rPr>
          <w14:textOutline w14:w="0" w14:cap="flat" w14:cmpd="sng" w14:algn="ctr">
            <w14:noFill/>
            <w14:prstDash w14:val="solid"/>
            <w14:bevel/>
          </w14:textOutline>
        </w:rPr>
        <w:t>.</w:t>
      </w:r>
      <w:r w:rsidR="005D6748" w:rsidRPr="001C7D10">
        <w:rPr>
          <w14:textOutline w14:w="0" w14:cap="flat" w14:cmpd="sng" w14:algn="ctr">
            <w14:noFill/>
            <w14:prstDash w14:val="solid"/>
            <w14:bevel/>
          </w14:textOutline>
        </w:rPr>
        <w:tab/>
        <w:t>merkt op dat de voor 2022 op begrotingspost 403 opgenomen kredieten als volgt werden gebruikt</w:t>
      </w:r>
      <w:r w:rsidR="005D6748" w:rsidRPr="001C7D10">
        <w:rPr>
          <w:rStyle w:val="FootnoteReference"/>
          <w:szCs w:val="24"/>
        </w:rPr>
        <w:footnoteReference w:id="17"/>
      </w:r>
      <w:r w:rsidR="005D6748" w:rsidRPr="001C7D10">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5D6748" w:rsidRPr="001C7D10" w:rsidTr="00434A68">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lastRenderedPageBreak/>
              <w:t>Stichting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Afkorting</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Gelieerd aan partij</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Eigen middelen</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Definitieve subsidie EP</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Totaal ontvangsten</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EP-subsidie als % van de subsidiabele kosten (max.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center"/>
              <w:rPr>
                <w:szCs w:val="24"/>
                <w14:textOutline w14:w="0" w14:cap="flat" w14:cmpd="sng" w14:algn="ctr">
                  <w14:noFill/>
                  <w14:prstDash w14:val="solid"/>
                  <w14:bevel/>
                </w14:textOutline>
              </w:rPr>
            </w:pPr>
            <w:r w:rsidRPr="001C7D10">
              <w:rPr>
                <w:sz w:val="20"/>
                <w14:textOutline w14:w="0" w14:cap="flat" w14:cmpd="sng" w14:algn="ctr">
                  <w14:noFill/>
                  <w14:prstDash w14:val="solid"/>
                  <w14:bevel/>
                </w14:textOutline>
              </w:rPr>
              <w:t>Ontvangstenoverschot (overgedragen naar de reserve of verlies)</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rPr>
              <w:t>Wilfried Martens Centrum voor Europese Studies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235 689</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rPr>
              <w:t>Stichting voor Europese Progressieve Studies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288 687</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rPr>
              <w:t>Europees Liberaal Forum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 xml:space="preserve"> - </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rPr>
              <w:t>Groene Europese Stichting</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VERT</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 xml:space="preserve"> - </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proofErr w:type="spellStart"/>
            <w:r w:rsidRPr="001C7D10">
              <w:rPr>
                <w:sz w:val="20"/>
              </w:rPr>
              <w:t>Transform</w:t>
            </w:r>
            <w:proofErr w:type="spellEnd"/>
            <w:r w:rsidRPr="001C7D10">
              <w:rPr>
                <w:sz w:val="20"/>
              </w:rPr>
              <w:t xml:space="preserve"> Europe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 xml:space="preserve"> 3 696 </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rPr>
              <w:t>Instituut van Europese Democraten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95 00 %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 xml:space="preserve"> - </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proofErr w:type="spellStart"/>
            <w:r w:rsidRPr="001C7D10">
              <w:rPr>
                <w:sz w:val="20"/>
              </w:rPr>
              <w:t>Coppieters</w:t>
            </w:r>
            <w:proofErr w:type="spellEnd"/>
            <w:r w:rsidRPr="001C7D10">
              <w:rPr>
                <w:sz w:val="20"/>
              </w:rPr>
              <w:t xml:space="preserve"> Foundation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proofErr w:type="spellStart"/>
            <w:r w:rsidRPr="001C7D10">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EVA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95 00 %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 xml:space="preserve"> 23 981 </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r w:rsidRPr="001C7D10">
              <w:rPr>
                <w:sz w:val="20"/>
              </w:rPr>
              <w:t xml:space="preserve">New </w:t>
            </w:r>
            <w:proofErr w:type="spellStart"/>
            <w:r w:rsidRPr="001C7D10">
              <w:rPr>
                <w:sz w:val="20"/>
              </w:rPr>
              <w:t>Direction</w:t>
            </w:r>
            <w:proofErr w:type="spellEnd"/>
            <w:r w:rsidRPr="001C7D10">
              <w:rPr>
                <w:sz w:val="20"/>
              </w:rPr>
              <w:t xml:space="preserve"> – Stichting voor Europese Hervorming</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ECR-partij</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 xml:space="preserve"> - </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14:textOutline w14:w="0" w14:cap="flat" w14:cmpd="sng" w14:algn="ctr">
                  <w14:noFill/>
                  <w14:prstDash w14:val="solid"/>
                  <w14:bevel/>
                </w14:textOutline>
              </w:rPr>
            </w:pPr>
            <w:proofErr w:type="spellStart"/>
            <w:r w:rsidRPr="001C7D10">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 xml:space="preserve"> - </w:t>
            </w:r>
          </w:p>
        </w:tc>
      </w:tr>
      <w:tr w:rsidR="005D6748" w:rsidRPr="001C7D10" w:rsidTr="00434A68">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D6748" w:rsidRPr="001C7D10" w:rsidRDefault="005D6748" w:rsidP="00434A68">
            <w:pPr>
              <w:widowControl/>
              <w:jc w:val="center"/>
              <w:rPr>
                <w:sz w:val="20"/>
                <w:lang w:val="fr-FR"/>
                <w14:textOutline w14:w="0" w14:cap="flat" w14:cmpd="sng" w14:algn="ctr">
                  <w14:noFill/>
                  <w14:prstDash w14:val="solid"/>
                  <w14:bevel/>
                </w14:textOutline>
              </w:rPr>
            </w:pPr>
            <w:proofErr w:type="spellStart"/>
            <w:r w:rsidRPr="001C7D10">
              <w:rPr>
                <w:sz w:val="20"/>
                <w:lang w:val="fr-FR"/>
              </w:rPr>
              <w:t>Stichting</w:t>
            </w:r>
            <w:proofErr w:type="spellEnd"/>
            <w:r w:rsidRPr="001C7D10">
              <w:rPr>
                <w:sz w:val="20"/>
                <w:lang w:val="fr-FR"/>
              </w:rPr>
              <w:t xml:space="preserve"> Association pour l’Identité et Démocratie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ID-stichting</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center"/>
              <w:rPr>
                <w:sz w:val="20"/>
              </w:rPr>
            </w:pPr>
            <w:r w:rsidRPr="001C7D10">
              <w:rPr>
                <w:sz w:val="20"/>
              </w:rPr>
              <w:t>ID-partij</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D6748" w:rsidRPr="001C7D10" w:rsidRDefault="005D6748" w:rsidP="00434A68">
            <w:pPr>
              <w:jc w:val="right"/>
              <w:rPr>
                <w:sz w:val="20"/>
              </w:rPr>
            </w:pPr>
            <w:r w:rsidRPr="001C7D1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5D6748" w:rsidRPr="001C7D10" w:rsidRDefault="005D6748" w:rsidP="00434A68">
            <w:pPr>
              <w:jc w:val="right"/>
              <w:rPr>
                <w:sz w:val="20"/>
              </w:rPr>
            </w:pPr>
            <w:r w:rsidRPr="001C7D10">
              <w:rPr>
                <w:sz w:val="20"/>
              </w:rPr>
              <w:t xml:space="preserve"> - </w:t>
            </w:r>
          </w:p>
        </w:tc>
      </w:tr>
      <w:tr w:rsidR="005D6748" w:rsidRPr="001C7D10" w:rsidTr="00434A68">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widowControl/>
              <w:jc w:val="right"/>
              <w:rPr>
                <w:b/>
                <w:szCs w:val="24"/>
                <w14:textOutline w14:w="0" w14:cap="flat" w14:cmpd="sng" w14:algn="ctr">
                  <w14:noFill/>
                  <w14:prstDash w14:val="solid"/>
                  <w14:bevel/>
                </w14:textOutline>
              </w:rPr>
            </w:pPr>
            <w:r w:rsidRPr="001C7D10">
              <w:rPr>
                <w:b/>
                <w:sz w:val="20"/>
                <w14:textOutline w14:w="0" w14:cap="flat" w14:cmpd="sng" w14:algn="ctr">
                  <w14:noFill/>
                  <w14:prstDash w14:val="solid"/>
                  <w14:bevel/>
                </w14:textOutline>
              </w:rPr>
              <w:t>TOTAAL</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D6748" w:rsidRPr="001C7D10" w:rsidRDefault="005D6748" w:rsidP="00434A68">
            <w:pPr>
              <w:rPr>
                <w:szCs w:val="24"/>
                <w14:textOutline w14:w="0" w14:cap="flat" w14:cmpd="sng" w14:algn="ctr">
                  <w14:noFill/>
                  <w14:prstDash w14:val="solid"/>
                  <w14:bevel/>
                </w14:textOutline>
              </w:rPr>
            </w:pPr>
            <w:r w:rsidRPr="001C7D10">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5D6748" w:rsidRPr="001C7D10" w:rsidRDefault="005D6748" w:rsidP="00434A68">
            <w:pPr>
              <w:jc w:val="right"/>
              <w:rPr>
                <w:b/>
                <w:sz w:val="20"/>
              </w:rPr>
            </w:pPr>
            <w:r w:rsidRPr="001C7D10">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5D6748" w:rsidRPr="001C7D10" w:rsidRDefault="005D6748" w:rsidP="00434A68">
            <w:pPr>
              <w:jc w:val="right"/>
              <w:rPr>
                <w:b/>
                <w:sz w:val="20"/>
              </w:rPr>
            </w:pPr>
            <w:r w:rsidRPr="001C7D10">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5D6748" w:rsidRPr="001C7D10" w:rsidRDefault="005D6748" w:rsidP="00434A68">
            <w:pPr>
              <w:jc w:val="right"/>
              <w:rPr>
                <w:b/>
                <w:sz w:val="20"/>
              </w:rPr>
            </w:pPr>
            <w:r w:rsidRPr="001C7D10">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5D6748" w:rsidRPr="001C7D10" w:rsidRDefault="005D6748" w:rsidP="00434A68">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5D6748" w:rsidRPr="001C7D10" w:rsidRDefault="005D6748" w:rsidP="00434A68">
            <w:pPr>
              <w:jc w:val="right"/>
              <w:rPr>
                <w:b/>
                <w:sz w:val="20"/>
              </w:rPr>
            </w:pPr>
            <w:r w:rsidRPr="001C7D10">
              <w:rPr>
                <w:b/>
                <w:sz w:val="20"/>
              </w:rPr>
              <w:t>552 053</w:t>
            </w:r>
          </w:p>
        </w:tc>
      </w:tr>
    </w:tbl>
    <w:p w:rsidR="005D6748" w:rsidRPr="001C7D10" w:rsidRDefault="005D6748" w:rsidP="005D6748">
      <w:pPr>
        <w:rPr>
          <w:noProof/>
        </w:rPr>
      </w:pPr>
    </w:p>
    <w:sectPr w:rsidR="005D6748" w:rsidRPr="001C7D10" w:rsidSect="00FE1DA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A68" w:rsidRPr="00FE1DA6" w:rsidRDefault="00434A68">
      <w:r w:rsidRPr="00FE1DA6">
        <w:separator/>
      </w:r>
    </w:p>
  </w:endnote>
  <w:endnote w:type="continuationSeparator" w:id="0">
    <w:p w:rsidR="00434A68" w:rsidRPr="00FE1DA6" w:rsidRDefault="00434A68">
      <w:r w:rsidRPr="00FE1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68" w:rsidRPr="00FE1DA6" w:rsidRDefault="00434A68" w:rsidP="00434A68">
    <w:pPr>
      <w:pStyle w:val="EPFooter"/>
    </w:pPr>
    <w:r w:rsidRPr="00FE1DA6">
      <w:t>PE</w:t>
    </w:r>
    <w:r w:rsidRPr="00FE1DA6">
      <w:rPr>
        <w:rStyle w:val="HideTWBExt"/>
      </w:rPr>
      <w:t>&lt;</w:t>
    </w:r>
    <w:proofErr w:type="spellStart"/>
    <w:r w:rsidRPr="00FE1DA6">
      <w:rPr>
        <w:rStyle w:val="HideTWBExt"/>
      </w:rPr>
      <w:t>NoPE</w:t>
    </w:r>
    <w:proofErr w:type="spellEnd"/>
    <w:r w:rsidRPr="00FE1DA6">
      <w:rPr>
        <w:rStyle w:val="HideTWBExt"/>
      </w:rPr>
      <w:t>&gt;</w:t>
    </w:r>
    <w:r w:rsidRPr="00FE1DA6">
      <w:t>753.634</w:t>
    </w:r>
    <w:r w:rsidRPr="00FE1DA6">
      <w:rPr>
        <w:rStyle w:val="HideTWBExt"/>
      </w:rPr>
      <w:t>&lt;/</w:t>
    </w:r>
    <w:proofErr w:type="spellStart"/>
    <w:r w:rsidRPr="00FE1DA6">
      <w:rPr>
        <w:rStyle w:val="HideTWBExt"/>
      </w:rPr>
      <w:t>NoPE</w:t>
    </w:r>
    <w:proofErr w:type="spellEnd"/>
    <w:r w:rsidRPr="00FE1DA6">
      <w:rPr>
        <w:rStyle w:val="HideTWBExt"/>
      </w:rPr>
      <w:t>&gt;&lt;Version&gt;</w:t>
    </w:r>
    <w:r w:rsidRPr="00FE1DA6">
      <w:t>v02-00</w:t>
    </w:r>
    <w:r w:rsidRPr="00FE1DA6">
      <w:rPr>
        <w:rStyle w:val="HideTWBExt"/>
      </w:rPr>
      <w:t>&lt;/Version&gt;</w:t>
    </w:r>
    <w:r w:rsidRPr="00FE1DA6">
      <w:tab/>
    </w:r>
    <w:r w:rsidRPr="00FE1DA6">
      <w:fldChar w:fldCharType="begin"/>
    </w:r>
    <w:r w:rsidRPr="00FE1DA6">
      <w:instrText xml:space="preserve"> PAGE  \* MERGEFORMAT </w:instrText>
    </w:r>
    <w:r w:rsidRPr="00FE1DA6">
      <w:fldChar w:fldCharType="separate"/>
    </w:r>
    <w:r w:rsidRPr="00FE1DA6">
      <w:rPr>
        <w:noProof/>
      </w:rPr>
      <w:t>2</w:t>
    </w:r>
    <w:r w:rsidRPr="00FE1DA6">
      <w:fldChar w:fldCharType="end"/>
    </w:r>
    <w:r w:rsidRPr="00FE1DA6">
      <w:t>/</w:t>
    </w:r>
    <w:r w:rsidR="00501CF4">
      <w:fldChar w:fldCharType="begin"/>
    </w:r>
    <w:r w:rsidR="00501CF4">
      <w:instrText xml:space="preserve"> NUMPAGES  \* MERGEFORMAT </w:instrText>
    </w:r>
    <w:r w:rsidR="00501CF4">
      <w:fldChar w:fldCharType="separate"/>
    </w:r>
    <w:r w:rsidRPr="00FE1DA6">
      <w:rPr>
        <w:noProof/>
      </w:rPr>
      <w:t>3</w:t>
    </w:r>
    <w:r w:rsidR="00501CF4">
      <w:rPr>
        <w:noProof/>
      </w:rPr>
      <w:fldChar w:fldCharType="end"/>
    </w:r>
    <w:r w:rsidRPr="00FE1DA6">
      <w:tab/>
    </w:r>
    <w:r w:rsidRPr="00FE1DA6">
      <w:rPr>
        <w:rStyle w:val="HideTWBExt"/>
      </w:rPr>
      <w:t>&lt;PathFdR&gt;</w:t>
    </w:r>
    <w:r w:rsidRPr="00FE1DA6">
      <w:t>RR\1298085NL.docx</w:t>
    </w:r>
    <w:r w:rsidRPr="00FE1DA6">
      <w:rPr>
        <w:rStyle w:val="HideTWBExt"/>
      </w:rPr>
      <w:t>&lt;/</w:t>
    </w:r>
    <w:proofErr w:type="spellStart"/>
    <w:r w:rsidRPr="00FE1DA6">
      <w:rPr>
        <w:rStyle w:val="HideTWBExt"/>
      </w:rPr>
      <w:t>PathFdR</w:t>
    </w:r>
    <w:proofErr w:type="spellEnd"/>
    <w:r w:rsidRPr="00FE1DA6">
      <w:rPr>
        <w:rStyle w:val="HideTWBExt"/>
      </w:rPr>
      <w:t>&gt;</w:t>
    </w:r>
  </w:p>
  <w:p w:rsidR="00434A68" w:rsidRPr="00FE1DA6" w:rsidRDefault="00434A68" w:rsidP="00434A68">
    <w:pPr>
      <w:pStyle w:val="EPFooter2"/>
    </w:pPr>
    <w:r w:rsidRPr="00FE1DA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68" w:rsidRPr="00FE1DA6" w:rsidRDefault="00434A68" w:rsidP="00434A68">
    <w:pPr>
      <w:pStyle w:val="EPFooter"/>
    </w:pPr>
    <w:r w:rsidRPr="00FE1DA6">
      <w:rPr>
        <w:rStyle w:val="HideTWBExt"/>
      </w:rPr>
      <w:t>&lt;PathFdR&gt;</w:t>
    </w:r>
    <w:r w:rsidRPr="00FE1DA6">
      <w:t>RR\1298085NL.docx</w:t>
    </w:r>
    <w:r w:rsidRPr="00FE1DA6">
      <w:rPr>
        <w:rStyle w:val="HideTWBExt"/>
      </w:rPr>
      <w:t>&lt;/</w:t>
    </w:r>
    <w:proofErr w:type="spellStart"/>
    <w:r w:rsidRPr="00FE1DA6">
      <w:rPr>
        <w:rStyle w:val="HideTWBExt"/>
      </w:rPr>
      <w:t>PathFdR</w:t>
    </w:r>
    <w:proofErr w:type="spellEnd"/>
    <w:r w:rsidRPr="00FE1DA6">
      <w:rPr>
        <w:rStyle w:val="HideTWBExt"/>
      </w:rPr>
      <w:t>&gt;</w:t>
    </w:r>
    <w:r w:rsidRPr="00FE1DA6">
      <w:tab/>
    </w:r>
    <w:r w:rsidRPr="00FE1DA6">
      <w:tab/>
      <w:t>PE</w:t>
    </w:r>
    <w:r w:rsidRPr="00FE1DA6">
      <w:rPr>
        <w:rStyle w:val="HideTWBExt"/>
      </w:rPr>
      <w:t>&lt;</w:t>
    </w:r>
    <w:proofErr w:type="spellStart"/>
    <w:r w:rsidRPr="00FE1DA6">
      <w:rPr>
        <w:rStyle w:val="HideTWBExt"/>
      </w:rPr>
      <w:t>NoPE</w:t>
    </w:r>
    <w:proofErr w:type="spellEnd"/>
    <w:r w:rsidRPr="00FE1DA6">
      <w:rPr>
        <w:rStyle w:val="HideTWBExt"/>
      </w:rPr>
      <w:t>&gt;</w:t>
    </w:r>
    <w:r w:rsidRPr="00FE1DA6">
      <w:t>753.634</w:t>
    </w:r>
    <w:r w:rsidRPr="00FE1DA6">
      <w:rPr>
        <w:rStyle w:val="HideTWBExt"/>
      </w:rPr>
      <w:t>&lt;/</w:t>
    </w:r>
    <w:proofErr w:type="spellStart"/>
    <w:r w:rsidRPr="00FE1DA6">
      <w:rPr>
        <w:rStyle w:val="HideTWBExt"/>
      </w:rPr>
      <w:t>NoPE</w:t>
    </w:r>
    <w:proofErr w:type="spellEnd"/>
    <w:r w:rsidRPr="00FE1DA6">
      <w:rPr>
        <w:rStyle w:val="HideTWBExt"/>
      </w:rPr>
      <w:t>&gt;&lt;Version&gt;</w:t>
    </w:r>
    <w:r w:rsidRPr="00FE1DA6">
      <w:t>v02-00</w:t>
    </w:r>
    <w:r w:rsidRPr="00FE1DA6">
      <w:rPr>
        <w:rStyle w:val="HideTWBExt"/>
      </w:rPr>
      <w:t>&lt;/Version&gt;</w:t>
    </w:r>
  </w:p>
  <w:p w:rsidR="00434A68" w:rsidRPr="00FE1DA6" w:rsidRDefault="00434A68" w:rsidP="00434A68">
    <w:pPr>
      <w:pStyle w:val="EPFooter2"/>
    </w:pPr>
    <w:r w:rsidRPr="00FE1DA6">
      <w:t>NL</w:t>
    </w:r>
    <w:r w:rsidRPr="00FE1DA6">
      <w:tab/>
    </w:r>
    <w:r w:rsidRPr="00FE1DA6">
      <w:rPr>
        <w:b w:val="0"/>
        <w:i/>
        <w:color w:val="C0C0C0"/>
        <w:sz w:val="22"/>
      </w:rPr>
      <w:t>In verscheidenheid verenigd</w:t>
    </w:r>
    <w:r w:rsidRPr="00FE1DA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68" w:rsidRPr="00FE1DA6" w:rsidRDefault="00434A6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68" w:rsidRPr="00FE1DA6" w:rsidRDefault="00434A6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68" w:rsidRPr="00FE1DA6" w:rsidRDefault="00434A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A68" w:rsidRPr="00FE1DA6" w:rsidRDefault="00434A68">
      <w:r w:rsidRPr="00FE1DA6">
        <w:separator/>
      </w:r>
    </w:p>
  </w:footnote>
  <w:footnote w:type="continuationSeparator" w:id="0">
    <w:p w:rsidR="00434A68" w:rsidRPr="00FE1DA6" w:rsidRDefault="00434A68">
      <w:r w:rsidRPr="00FE1DA6">
        <w:continuationSeparator/>
      </w:r>
    </w:p>
  </w:footnote>
  <w:footnote w:id="1">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PB L 45 van 24.2.2022, blz. 1.</w:t>
      </w:r>
    </w:p>
  </w:footnote>
  <w:footnote w:id="2">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PB C, C/2023/2, 12.10.2023.</w:t>
      </w:r>
    </w:p>
  </w:footnote>
  <w:footnote w:id="3">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PB C 210 van 15.6.2023, blz. 1.</w:t>
      </w:r>
    </w:p>
  </w:footnote>
  <w:footnote w:id="4">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PB C, C/2023/103, 4.10.2023.</w:t>
      </w:r>
    </w:p>
  </w:footnote>
  <w:footnote w:id="5">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PB C, C/2023/112, 12.10.2023.</w:t>
      </w:r>
    </w:p>
  </w:footnote>
  <w:footnote w:id="6">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PB L 193 van 30.7.2018, blz. 1.</w:t>
      </w:r>
    </w:p>
  </w:footnote>
  <w:footnote w:id="7">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Verordening (EU, Euratom) 2020/2093 van de Raad van 17 december 2020 tot bepaling van het meerjarig financieel kader voor de jaren 2021-2027 (PB L 433 I van 22.12.2020, blz. 11).</w:t>
      </w:r>
    </w:p>
  </w:footnote>
  <w:footnote w:id="8">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Interinstitutioneel Akkoord van 20 mei 2021 tussen het Europees Parlement, de Raad van de Europese Unie en de Europese Commissie over een verplicht transparantieregister</w:t>
      </w:r>
      <w:r>
        <w:rPr>
          <w:sz w:val="24"/>
          <w:lang w:val="nl-NL"/>
        </w:rPr>
        <w:t xml:space="preserve"> (</w:t>
      </w:r>
      <w:r w:rsidRPr="00FE1DA6">
        <w:rPr>
          <w:sz w:val="24"/>
          <w:lang w:val="nl-NL"/>
        </w:rPr>
        <w:t>PB L 207 van 11.6.2021, blz. 1</w:t>
      </w:r>
      <w:r>
        <w:rPr>
          <w:sz w:val="24"/>
          <w:lang w:val="nl-NL"/>
        </w:rPr>
        <w:t>)</w:t>
      </w:r>
      <w:r w:rsidRPr="00FE1DA6">
        <w:rPr>
          <w:sz w:val="24"/>
          <w:lang w:val="nl-NL"/>
        </w:rPr>
        <w:t>.</w:t>
      </w:r>
    </w:p>
  </w:footnote>
  <w:footnote w:id="9">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P9_</w:t>
      </w:r>
      <w:proofErr w:type="gramStart"/>
      <w:r w:rsidRPr="00FE1DA6">
        <w:rPr>
          <w:sz w:val="24"/>
          <w:lang w:val="nl-NL"/>
        </w:rPr>
        <w:t>TA(</w:t>
      </w:r>
      <w:proofErr w:type="gramEnd"/>
      <w:r w:rsidRPr="00FE1DA6">
        <w:rPr>
          <w:sz w:val="24"/>
          <w:lang w:val="nl-NL"/>
        </w:rPr>
        <w:t>2024)0036.</w:t>
      </w:r>
    </w:p>
  </w:footnote>
  <w:footnote w:id="10">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r>
      <w:proofErr w:type="gramStart"/>
      <w:r w:rsidRPr="00FE1DA6">
        <w:rPr>
          <w:sz w:val="24"/>
          <w:lang w:val="nl-NL"/>
        </w:rPr>
        <w:t>https://www.eca.europa.eu/other%20publications/pl1407_letter/pl1407_letter_nl.pdf</w:t>
      </w:r>
      <w:proofErr w:type="gramEnd"/>
    </w:p>
  </w:footnote>
  <w:footnote w:id="11">
    <w:p w:rsidR="00434A68" w:rsidRPr="001C7D10" w:rsidRDefault="00434A68" w:rsidP="001C7D10">
      <w:pPr>
        <w:pStyle w:val="FootnoteText"/>
        <w:ind w:left="567" w:hanging="567"/>
        <w:rPr>
          <w:sz w:val="24"/>
          <w:szCs w:val="24"/>
          <w:lang w:val="nl-NL"/>
        </w:rPr>
      </w:pPr>
      <w:r w:rsidRPr="001C7D10">
        <w:rPr>
          <w:rStyle w:val="FootnoteReference"/>
          <w:sz w:val="24"/>
          <w:szCs w:val="24"/>
        </w:rPr>
        <w:footnoteRef/>
      </w:r>
      <w:r w:rsidRPr="001C7D10">
        <w:rPr>
          <w:sz w:val="24"/>
          <w:szCs w:val="24"/>
          <w:lang w:val="nl-NL"/>
        </w:rPr>
        <w:tab/>
        <w:t>Nota van de werkgroep inzake gebouwen, vervoer en een groen Parlement aan het Bureau (2023)10939, punt 16)</w:t>
      </w:r>
      <w:r w:rsidR="0039021F">
        <w:rPr>
          <w:sz w:val="24"/>
          <w:szCs w:val="24"/>
          <w:lang w:val="nl-NL"/>
        </w:rPr>
        <w:t>.</w:t>
      </w:r>
    </w:p>
  </w:footnote>
  <w:footnote w:id="12">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Verordening nr. 1 tot regeling van het taalgebruik in de Europese Economische Gemeenschap (PB P 17 van 6.10.1957, blz. 385).</w:t>
      </w:r>
    </w:p>
  </w:footnote>
  <w:footnote w:id="13">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PB L 317 van 4.11.2014, blz. 1.</w:t>
      </w:r>
    </w:p>
  </w:footnote>
  <w:footnote w:id="14">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 xml:space="preserve"> </w:t>
      </w:r>
      <w:r w:rsidRPr="00FE1DA6">
        <w:rPr>
          <w:sz w:val="24"/>
          <w:lang w:val="nl-NL"/>
        </w:rPr>
        <w:tab/>
        <w:t>Alle bedragen × 1 000 EUR.</w:t>
      </w:r>
    </w:p>
  </w:footnote>
  <w:footnote w:id="15">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Alle bedragen × 1 000 EUR.</w:t>
      </w:r>
    </w:p>
  </w:footnote>
  <w:footnote w:id="16">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Samengesteld uit het tweede deel van de definitieve financiering van 2021 en het eerste deel van de definitieve financiering van 2022 overeenkomstig het besluit van het Bureau van 26 februari 2024.</w:t>
      </w:r>
    </w:p>
  </w:footnote>
  <w:footnote w:id="17">
    <w:p w:rsidR="00434A68" w:rsidRPr="00FE1DA6" w:rsidRDefault="00434A68" w:rsidP="00FE1DA6">
      <w:pPr>
        <w:pStyle w:val="FootnoteText"/>
        <w:ind w:left="567" w:hanging="567"/>
        <w:rPr>
          <w:sz w:val="24"/>
          <w:lang w:val="nl-NL"/>
        </w:rPr>
      </w:pPr>
      <w:r w:rsidRPr="00FE1DA6">
        <w:rPr>
          <w:rStyle w:val="FootnoteReference"/>
          <w:sz w:val="24"/>
          <w:lang w:val="nl-NL"/>
        </w:rPr>
        <w:footnoteRef/>
      </w:r>
      <w:r w:rsidRPr="00FE1DA6">
        <w:rPr>
          <w:sz w:val="24"/>
          <w:lang w:val="nl-NL"/>
        </w:rPr>
        <w:tab/>
        <w:t>Alle bedragen × 1 000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68" w:rsidRPr="00FE1DA6" w:rsidRDefault="00434A6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68" w:rsidRPr="00FE1DA6" w:rsidRDefault="00434A6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68" w:rsidRPr="00FE1DA6" w:rsidRDefault="00434A6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NL"/>
    <w:docVar w:name="dvnumam" w:val="0"/>
    <w:docVar w:name="dvpe" w:val="753.634"/>
    <w:docVar w:name="dvrapporteur" w:val="Rapporteur: "/>
    <w:docVar w:name="dvtitre" w:val="1. Besluit van het Europees Parlement van 11 april 2024 over het verlenen van kwijting voor de uitvoering van de algemene begroting van de Europese Unie voor het begrotingsjaar 2022, afdeling I – Europees Parlement(2023/2130(DEC))"/>
  </w:docVars>
  <w:rsids>
    <w:rsidRoot w:val="00C97EF7"/>
    <w:rsid w:val="00002272"/>
    <w:rsid w:val="00064002"/>
    <w:rsid w:val="000677B9"/>
    <w:rsid w:val="000831BA"/>
    <w:rsid w:val="000A42CC"/>
    <w:rsid w:val="000E7DD9"/>
    <w:rsid w:val="0010095E"/>
    <w:rsid w:val="00125B37"/>
    <w:rsid w:val="00187494"/>
    <w:rsid w:val="001C7D10"/>
    <w:rsid w:val="001F32AE"/>
    <w:rsid w:val="002767FF"/>
    <w:rsid w:val="002B18FE"/>
    <w:rsid w:val="002B5493"/>
    <w:rsid w:val="00343214"/>
    <w:rsid w:val="00361C00"/>
    <w:rsid w:val="00384D6E"/>
    <w:rsid w:val="0039021F"/>
    <w:rsid w:val="00395FA1"/>
    <w:rsid w:val="003E15D4"/>
    <w:rsid w:val="00411CCE"/>
    <w:rsid w:val="0041666E"/>
    <w:rsid w:val="00421060"/>
    <w:rsid w:val="00434A68"/>
    <w:rsid w:val="00471C19"/>
    <w:rsid w:val="004867E3"/>
    <w:rsid w:val="00494A28"/>
    <w:rsid w:val="004C0004"/>
    <w:rsid w:val="004C5D52"/>
    <w:rsid w:val="00501CF4"/>
    <w:rsid w:val="0050519A"/>
    <w:rsid w:val="005072A1"/>
    <w:rsid w:val="00514517"/>
    <w:rsid w:val="00545827"/>
    <w:rsid w:val="00560270"/>
    <w:rsid w:val="005B672E"/>
    <w:rsid w:val="005C2568"/>
    <w:rsid w:val="005D674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3DB"/>
    <w:rsid w:val="00981893"/>
    <w:rsid w:val="0098243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830"/>
    <w:rsid w:val="00C941CB"/>
    <w:rsid w:val="00C97EF7"/>
    <w:rsid w:val="00CC2357"/>
    <w:rsid w:val="00CF071A"/>
    <w:rsid w:val="00D058B8"/>
    <w:rsid w:val="00D56C11"/>
    <w:rsid w:val="00D834A0"/>
    <w:rsid w:val="00D872DF"/>
    <w:rsid w:val="00D91E21"/>
    <w:rsid w:val="00DA7FCD"/>
    <w:rsid w:val="00E31149"/>
    <w:rsid w:val="00E365E1"/>
    <w:rsid w:val="00E820A4"/>
    <w:rsid w:val="00E82278"/>
    <w:rsid w:val="00EB006A"/>
    <w:rsid w:val="00EB4772"/>
    <w:rsid w:val="00ED169E"/>
    <w:rsid w:val="00ED4235"/>
    <w:rsid w:val="00F04346"/>
    <w:rsid w:val="00F075DC"/>
    <w:rsid w:val="00F149E9"/>
    <w:rsid w:val="00F5134D"/>
    <w:rsid w:val="00F74202"/>
    <w:rsid w:val="00F87713"/>
    <w:rsid w:val="00FB4360"/>
    <w:rsid w:val="00FD0C70"/>
    <w:rsid w:val="00FE1DA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034C6"/>
  <w15:chartTrackingRefBased/>
  <w15:docId w15:val="{E3723988-D06A-48C5-ACD2-E3468735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D6748"/>
    <w:rPr>
      <w:b/>
      <w:kern w:val="28"/>
      <w:sz w:val="28"/>
      <w:lang w:val="fr-FR" w:eastAsia="fr-FR"/>
    </w:rPr>
  </w:style>
  <w:style w:type="character" w:customStyle="1" w:styleId="Heading2Char">
    <w:name w:val="Heading 2 Char"/>
    <w:basedOn w:val="DefaultParagraphFont"/>
    <w:link w:val="Heading2"/>
    <w:semiHidden/>
    <w:rsid w:val="005D6748"/>
    <w:rPr>
      <w:sz w:val="24"/>
      <w:lang w:val="fr-FR" w:eastAsia="fr-FR"/>
    </w:rPr>
  </w:style>
  <w:style w:type="character" w:customStyle="1" w:styleId="Heading3Char">
    <w:name w:val="Heading 3 Char"/>
    <w:basedOn w:val="DefaultParagraphFont"/>
    <w:link w:val="Heading3"/>
    <w:semiHidden/>
    <w:rsid w:val="005D6748"/>
    <w:rPr>
      <w:rFonts w:ascii="Arial" w:hAnsi="Arial"/>
      <w:sz w:val="24"/>
      <w:lang w:val="fr-FR" w:eastAsia="fr-FR"/>
    </w:rPr>
  </w:style>
  <w:style w:type="character" w:customStyle="1" w:styleId="Heading4Char">
    <w:name w:val="Heading 4 Char"/>
    <w:basedOn w:val="DefaultParagraphFont"/>
    <w:link w:val="Heading4"/>
    <w:semiHidden/>
    <w:rsid w:val="005D6748"/>
    <w:rPr>
      <w:sz w:val="24"/>
      <w:lang w:val="en-US" w:eastAsia="fr-FR"/>
    </w:rPr>
  </w:style>
  <w:style w:type="character" w:customStyle="1" w:styleId="Heading5Char">
    <w:name w:val="Heading 5 Char"/>
    <w:basedOn w:val="DefaultParagraphFont"/>
    <w:link w:val="Heading5"/>
    <w:semiHidden/>
    <w:rsid w:val="005D6748"/>
    <w:rPr>
      <w:sz w:val="24"/>
      <w:lang w:val="en-US" w:eastAsia="fr-FR"/>
    </w:rPr>
  </w:style>
  <w:style w:type="character" w:customStyle="1" w:styleId="Heading6Char">
    <w:name w:val="Heading 6 Char"/>
    <w:basedOn w:val="DefaultParagraphFont"/>
    <w:link w:val="Heading6"/>
    <w:semiHidden/>
    <w:rsid w:val="005D6748"/>
    <w:rPr>
      <w:i/>
      <w:sz w:val="22"/>
      <w:lang w:val="nl-NL"/>
    </w:rPr>
  </w:style>
  <w:style w:type="character" w:customStyle="1" w:styleId="Heading7Char">
    <w:name w:val="Heading 7 Char"/>
    <w:basedOn w:val="DefaultParagraphFont"/>
    <w:link w:val="Heading7"/>
    <w:semiHidden/>
    <w:rsid w:val="005D6748"/>
    <w:rPr>
      <w:rFonts w:ascii="Arial" w:hAnsi="Arial"/>
      <w:sz w:val="24"/>
      <w:lang w:val="nl-NL"/>
    </w:rPr>
  </w:style>
  <w:style w:type="character" w:customStyle="1" w:styleId="Heading8Char">
    <w:name w:val="Heading 8 Char"/>
    <w:basedOn w:val="DefaultParagraphFont"/>
    <w:link w:val="Heading8"/>
    <w:semiHidden/>
    <w:rsid w:val="005D6748"/>
    <w:rPr>
      <w:rFonts w:ascii="Arial" w:hAnsi="Arial"/>
      <w:i/>
      <w:sz w:val="24"/>
      <w:lang w:val="nl-NL"/>
    </w:rPr>
  </w:style>
  <w:style w:type="character" w:customStyle="1" w:styleId="Heading9Char">
    <w:name w:val="Heading 9 Char"/>
    <w:basedOn w:val="DefaultParagraphFont"/>
    <w:link w:val="Heading9"/>
    <w:semiHidden/>
    <w:rsid w:val="005D6748"/>
    <w:rPr>
      <w:rFonts w:ascii="Arial" w:hAnsi="Arial"/>
      <w:b/>
      <w:i/>
      <w:sz w:val="18"/>
      <w:lang w:val="nl-NL"/>
    </w:rPr>
  </w:style>
  <w:style w:type="paragraph" w:styleId="TOCHeading">
    <w:name w:val="TOC Heading"/>
    <w:basedOn w:val="Normal"/>
    <w:next w:val="Normal"/>
    <w:unhideWhenUsed/>
    <w:qFormat/>
    <w:rsid w:val="005D6748"/>
    <w:pPr>
      <w:widowControl/>
      <w:spacing w:after="240"/>
    </w:pPr>
    <w:rPr>
      <w:lang w:val="en-GB"/>
    </w:rPr>
  </w:style>
  <w:style w:type="paragraph" w:customStyle="1" w:styleId="EPFooter2">
    <w:name w:val="EPFooter2"/>
    <w:basedOn w:val="Normal"/>
    <w:next w:val="Normal"/>
    <w:link w:val="EPFooter2Char"/>
    <w:rsid w:val="005D674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D6748"/>
    <w:pPr>
      <w:spacing w:before="480" w:after="240"/>
    </w:pPr>
  </w:style>
  <w:style w:type="paragraph" w:customStyle="1" w:styleId="TOCPage">
    <w:name w:val="TOC Page"/>
    <w:basedOn w:val="Normal"/>
    <w:next w:val="TOC1"/>
    <w:rsid w:val="005D6748"/>
    <w:pPr>
      <w:keepNext/>
      <w:spacing w:after="240"/>
      <w:jc w:val="right"/>
    </w:pPr>
    <w:rPr>
      <w:rFonts w:ascii="Arial" w:hAnsi="Arial"/>
      <w:b/>
    </w:rPr>
  </w:style>
  <w:style w:type="paragraph" w:customStyle="1" w:styleId="PageHeading">
    <w:name w:val="PageHeading"/>
    <w:basedOn w:val="Normal"/>
    <w:rsid w:val="005D6748"/>
    <w:pPr>
      <w:keepNext/>
      <w:spacing w:after="480"/>
      <w:jc w:val="center"/>
    </w:pPr>
    <w:rPr>
      <w:rFonts w:ascii="Arial" w:hAnsi="Arial" w:cs="Arial"/>
      <w:b/>
    </w:rPr>
  </w:style>
  <w:style w:type="paragraph" w:customStyle="1" w:styleId="NormalBold">
    <w:name w:val="NormalBold"/>
    <w:basedOn w:val="Normal"/>
    <w:rsid w:val="005D6748"/>
    <w:rPr>
      <w:b/>
    </w:rPr>
  </w:style>
  <w:style w:type="paragraph" w:customStyle="1" w:styleId="NormalHanging12a">
    <w:name w:val="NormalHanging12a"/>
    <w:basedOn w:val="Normal"/>
    <w:link w:val="NormalHanging12aChar"/>
    <w:rsid w:val="005D6748"/>
    <w:pPr>
      <w:spacing w:after="240"/>
      <w:ind w:left="567" w:hanging="567"/>
    </w:pPr>
  </w:style>
  <w:style w:type="paragraph" w:customStyle="1" w:styleId="CoverNormal24a">
    <w:name w:val="CoverNormal24a"/>
    <w:basedOn w:val="Normal"/>
    <w:rsid w:val="005D6748"/>
    <w:pPr>
      <w:spacing w:after="480"/>
      <w:ind w:left="1417"/>
    </w:pPr>
  </w:style>
  <w:style w:type="paragraph" w:customStyle="1" w:styleId="CoverNormal">
    <w:name w:val="CoverNormal"/>
    <w:basedOn w:val="Normal"/>
    <w:rsid w:val="005D6748"/>
    <w:pPr>
      <w:ind w:left="1418"/>
    </w:pPr>
  </w:style>
  <w:style w:type="paragraph" w:customStyle="1" w:styleId="CoverReference">
    <w:name w:val="CoverReference"/>
    <w:basedOn w:val="Normal"/>
    <w:rsid w:val="005D6748"/>
    <w:pPr>
      <w:spacing w:before="1080"/>
      <w:jc w:val="right"/>
    </w:pPr>
    <w:rPr>
      <w:rFonts w:ascii="Arial" w:hAnsi="Arial" w:cs="Arial"/>
      <w:b/>
    </w:rPr>
  </w:style>
  <w:style w:type="paragraph" w:customStyle="1" w:styleId="CoverDocType24a">
    <w:name w:val="CoverDocType24a"/>
    <w:basedOn w:val="Normal"/>
    <w:rsid w:val="005D6748"/>
    <w:pPr>
      <w:spacing w:after="480"/>
      <w:ind w:left="1418"/>
    </w:pPr>
    <w:rPr>
      <w:rFonts w:ascii="Arial" w:hAnsi="Arial"/>
      <w:b/>
      <w:sz w:val="48"/>
    </w:rPr>
  </w:style>
  <w:style w:type="paragraph" w:customStyle="1" w:styleId="CoverDate">
    <w:name w:val="CoverDate"/>
    <w:basedOn w:val="Normal"/>
    <w:rsid w:val="005D6748"/>
    <w:pPr>
      <w:spacing w:before="240" w:after="1200"/>
    </w:pPr>
  </w:style>
  <w:style w:type="paragraph" w:customStyle="1" w:styleId="EPBody">
    <w:name w:val="EPBody"/>
    <w:basedOn w:val="Normal"/>
    <w:rsid w:val="005D6748"/>
    <w:pPr>
      <w:jc w:val="center"/>
    </w:pPr>
    <w:rPr>
      <w:rFonts w:ascii="Arial" w:hAnsi="Arial" w:cs="Arial"/>
      <w:i/>
      <w:sz w:val="22"/>
      <w:szCs w:val="22"/>
    </w:rPr>
  </w:style>
  <w:style w:type="paragraph" w:customStyle="1" w:styleId="EPFooter">
    <w:name w:val="EPFooter"/>
    <w:basedOn w:val="Normal"/>
    <w:link w:val="EPFooterChar"/>
    <w:rsid w:val="005D6748"/>
    <w:pPr>
      <w:tabs>
        <w:tab w:val="center" w:pos="4535"/>
        <w:tab w:val="right" w:pos="9071"/>
      </w:tabs>
      <w:spacing w:before="240" w:after="240"/>
    </w:pPr>
    <w:rPr>
      <w:color w:val="010000"/>
      <w:sz w:val="22"/>
    </w:rPr>
  </w:style>
  <w:style w:type="paragraph" w:styleId="Header">
    <w:name w:val="header"/>
    <w:basedOn w:val="Normal"/>
    <w:link w:val="HeaderChar"/>
    <w:rsid w:val="005D6748"/>
    <w:pPr>
      <w:tabs>
        <w:tab w:val="center" w:pos="4513"/>
        <w:tab w:val="right" w:pos="9026"/>
      </w:tabs>
    </w:pPr>
  </w:style>
  <w:style w:type="character" w:customStyle="1" w:styleId="HeaderChar">
    <w:name w:val="Header Char"/>
    <w:basedOn w:val="DefaultParagraphFont"/>
    <w:link w:val="Header"/>
    <w:rsid w:val="005D6748"/>
    <w:rPr>
      <w:sz w:val="24"/>
      <w:lang w:val="nl-NL"/>
    </w:rPr>
  </w:style>
  <w:style w:type="character" w:customStyle="1" w:styleId="NormalHanging12aChar">
    <w:name w:val="NormalHanging12a Char"/>
    <w:basedOn w:val="DefaultParagraphFont"/>
    <w:link w:val="NormalHanging12a"/>
    <w:locked/>
    <w:rsid w:val="005D6748"/>
    <w:rPr>
      <w:sz w:val="24"/>
      <w:lang w:val="nl-NL"/>
    </w:rPr>
  </w:style>
  <w:style w:type="character" w:styleId="CommentReference">
    <w:name w:val="annotation reference"/>
    <w:basedOn w:val="DefaultParagraphFont"/>
    <w:uiPriority w:val="99"/>
    <w:rsid w:val="005D6748"/>
    <w:rPr>
      <w:sz w:val="16"/>
      <w:szCs w:val="16"/>
    </w:rPr>
  </w:style>
  <w:style w:type="paragraph" w:styleId="CommentText">
    <w:name w:val="annotation text"/>
    <w:basedOn w:val="Normal"/>
    <w:link w:val="CommentTextChar"/>
    <w:uiPriority w:val="99"/>
    <w:rsid w:val="005D6748"/>
    <w:rPr>
      <w:sz w:val="20"/>
    </w:rPr>
  </w:style>
  <w:style w:type="character" w:customStyle="1" w:styleId="CommentTextChar">
    <w:name w:val="Comment Text Char"/>
    <w:basedOn w:val="DefaultParagraphFont"/>
    <w:link w:val="CommentText"/>
    <w:uiPriority w:val="99"/>
    <w:rsid w:val="005D6748"/>
    <w:rPr>
      <w:lang w:val="nl-NL"/>
    </w:rPr>
  </w:style>
  <w:style w:type="paragraph" w:styleId="CommentSubject">
    <w:name w:val="annotation subject"/>
    <w:basedOn w:val="CommentText"/>
    <w:next w:val="CommentText"/>
    <w:link w:val="CommentSubjectChar"/>
    <w:unhideWhenUsed/>
    <w:rsid w:val="005D6748"/>
    <w:rPr>
      <w:b/>
      <w:bCs/>
    </w:rPr>
  </w:style>
  <w:style w:type="character" w:customStyle="1" w:styleId="CommentSubjectChar">
    <w:name w:val="Comment Subject Char"/>
    <w:basedOn w:val="CommentTextChar"/>
    <w:link w:val="CommentSubject"/>
    <w:rsid w:val="005D6748"/>
    <w:rPr>
      <w:b/>
      <w:bCs/>
      <w:lang w:val="nl-NL"/>
    </w:rPr>
  </w:style>
  <w:style w:type="paragraph" w:styleId="BalloonText">
    <w:name w:val="Balloon Text"/>
    <w:basedOn w:val="Normal"/>
    <w:link w:val="BalloonTextChar"/>
    <w:unhideWhenUsed/>
    <w:rsid w:val="005D6748"/>
    <w:rPr>
      <w:rFonts w:ascii="Segoe UI" w:hAnsi="Segoe UI" w:cs="Segoe UI"/>
      <w:sz w:val="18"/>
      <w:szCs w:val="18"/>
    </w:rPr>
  </w:style>
  <w:style w:type="character" w:customStyle="1" w:styleId="BalloonTextChar">
    <w:name w:val="Balloon Text Char"/>
    <w:basedOn w:val="DefaultParagraphFont"/>
    <w:link w:val="BalloonText"/>
    <w:rsid w:val="005D6748"/>
    <w:rPr>
      <w:rFonts w:ascii="Segoe UI" w:hAnsi="Segoe UI" w:cs="Segoe UI"/>
      <w:sz w:val="18"/>
      <w:szCs w:val="18"/>
      <w:lang w:val="nl-NL"/>
    </w:rPr>
  </w:style>
  <w:style w:type="paragraph" w:customStyle="1" w:styleId="Body">
    <w:name w:val="Body"/>
    <w:rsid w:val="005D6748"/>
    <w:pPr>
      <w:widowControl w:val="0"/>
    </w:pPr>
    <w:rPr>
      <w:color w:val="000000"/>
      <w:sz w:val="24"/>
      <w:szCs w:val="24"/>
      <w:u w:color="000000"/>
      <w:lang w:val="nl-NL"/>
      <w14:textOutline w14:w="0" w14:cap="flat" w14:cmpd="sng" w14:algn="ctr">
        <w14:noFill/>
        <w14:prstDash w14:val="solid"/>
        <w14:bevel/>
      </w14:textOutline>
    </w:rPr>
  </w:style>
  <w:style w:type="paragraph" w:styleId="ListParagraph">
    <w:name w:val="List Paragraph"/>
    <w:qFormat/>
    <w:rsid w:val="005D6748"/>
    <w:pPr>
      <w:widowControl w:val="0"/>
      <w:ind w:left="720"/>
    </w:pPr>
    <w:rPr>
      <w:rFonts w:eastAsia="Arial Unicode MS" w:cs="Arial Unicode MS"/>
      <w:color w:val="000000"/>
      <w:sz w:val="24"/>
      <w:szCs w:val="24"/>
      <w:u w:color="000000"/>
      <w:lang w:val="nl-NL"/>
    </w:rPr>
  </w:style>
  <w:style w:type="paragraph" w:customStyle="1" w:styleId="Normal12Hanging">
    <w:name w:val="Normal12Hanging"/>
    <w:basedOn w:val="Normal"/>
    <w:rsid w:val="005D6748"/>
    <w:pPr>
      <w:spacing w:after="240"/>
      <w:ind w:left="567" w:hanging="567"/>
    </w:pPr>
  </w:style>
  <w:style w:type="character" w:styleId="Hyperlink">
    <w:name w:val="Hyperlink"/>
    <w:basedOn w:val="DefaultParagraphFont"/>
    <w:rsid w:val="005D6748"/>
    <w:rPr>
      <w:color w:val="0563C1" w:themeColor="hyperlink"/>
      <w:u w:val="single"/>
    </w:rPr>
  </w:style>
  <w:style w:type="character" w:customStyle="1" w:styleId="HRtextbodyChar">
    <w:name w:val="HR_text body_ Char"/>
    <w:basedOn w:val="DefaultParagraphFont"/>
    <w:link w:val="HRtextbody"/>
    <w:locked/>
    <w:rsid w:val="005D6748"/>
    <w:rPr>
      <w:rFonts w:ascii="Arial" w:hAnsi="Arial" w:cs="Arial"/>
      <w:color w:val="595959"/>
    </w:rPr>
  </w:style>
  <w:style w:type="paragraph" w:customStyle="1" w:styleId="HRtextbody">
    <w:name w:val="HR_text body_"/>
    <w:basedOn w:val="Normal"/>
    <w:link w:val="HRtextbodyChar"/>
    <w:rsid w:val="005D6748"/>
    <w:pPr>
      <w:widowControl/>
      <w:jc w:val="both"/>
    </w:pPr>
    <w:rPr>
      <w:rFonts w:ascii="Arial" w:hAnsi="Arial" w:cs="Arial"/>
      <w:color w:val="595959"/>
      <w:sz w:val="20"/>
      <w:lang w:val="en-GB"/>
    </w:rPr>
  </w:style>
  <w:style w:type="character" w:styleId="Strong">
    <w:name w:val="Strong"/>
    <w:basedOn w:val="DefaultParagraphFont"/>
    <w:uiPriority w:val="22"/>
    <w:qFormat/>
    <w:rsid w:val="005D6748"/>
    <w:rPr>
      <w:b/>
      <w:bCs/>
    </w:rPr>
  </w:style>
  <w:style w:type="paragraph" w:styleId="Revision">
    <w:name w:val="Revision"/>
    <w:hidden/>
    <w:uiPriority w:val="99"/>
    <w:semiHidden/>
    <w:rsid w:val="005D6748"/>
    <w:rPr>
      <w:sz w:val="24"/>
      <w:lang w:val="nl-NL"/>
    </w:rPr>
  </w:style>
  <w:style w:type="character" w:customStyle="1" w:styleId="ui-provider">
    <w:name w:val="ui-provider"/>
    <w:basedOn w:val="DefaultParagraphFont"/>
    <w:rsid w:val="005D6748"/>
  </w:style>
  <w:style w:type="paragraph" w:customStyle="1" w:styleId="title-article-norm">
    <w:name w:val="title-article-norm"/>
    <w:basedOn w:val="Normal"/>
    <w:rsid w:val="005D6748"/>
    <w:pPr>
      <w:widowControl/>
      <w:spacing w:before="100" w:beforeAutospacing="1" w:after="100" w:afterAutospacing="1"/>
    </w:pPr>
    <w:rPr>
      <w:szCs w:val="24"/>
    </w:rPr>
  </w:style>
  <w:style w:type="character" w:customStyle="1" w:styleId="EPFooter2Char">
    <w:name w:val="EPFooter2 Char"/>
    <w:basedOn w:val="DefaultParagraphFont"/>
    <w:link w:val="EPFooter2"/>
    <w:rsid w:val="005D6748"/>
    <w:rPr>
      <w:rFonts w:ascii="Arial" w:hAnsi="Arial" w:cs="Arial"/>
      <w:b/>
      <w:sz w:val="48"/>
      <w:lang w:val="nl-NL"/>
    </w:rPr>
  </w:style>
  <w:style w:type="character" w:customStyle="1" w:styleId="EPFooterChar">
    <w:name w:val="EPFooter Char"/>
    <w:basedOn w:val="DefaultParagraphFont"/>
    <w:link w:val="EPFooter"/>
    <w:rsid w:val="005D6748"/>
    <w:rPr>
      <w:color w:val="010000"/>
      <w:sz w:val="22"/>
      <w:lang w:val="nl-NL"/>
    </w:rPr>
  </w:style>
  <w:style w:type="paragraph" w:customStyle="1" w:styleId="Normal24a">
    <w:name w:val="Normal24a"/>
    <w:basedOn w:val="Normal"/>
    <w:rsid w:val="005D6748"/>
    <w:pPr>
      <w:spacing w:after="480"/>
    </w:pPr>
  </w:style>
  <w:style w:type="paragraph" w:customStyle="1" w:styleId="NormalBoldCenter">
    <w:name w:val="NormalBoldCenter"/>
    <w:basedOn w:val="Normal"/>
    <w:rsid w:val="005D6748"/>
    <w:pPr>
      <w:jc w:val="center"/>
    </w:pPr>
    <w:rPr>
      <w:b/>
    </w:rPr>
  </w:style>
  <w:style w:type="paragraph" w:customStyle="1" w:styleId="Normal12a">
    <w:name w:val="Normal12a"/>
    <w:basedOn w:val="Normal"/>
    <w:rsid w:val="005D6748"/>
    <w:pPr>
      <w:spacing w:after="240"/>
    </w:pPr>
  </w:style>
  <w:style w:type="paragraph" w:customStyle="1" w:styleId="PageHeadingNotTOC">
    <w:name w:val="PageHeadingNotTOC"/>
    <w:basedOn w:val="Normal"/>
    <w:rsid w:val="005D6748"/>
    <w:pPr>
      <w:keepNext/>
      <w:spacing w:after="480"/>
      <w:jc w:val="center"/>
    </w:pPr>
    <w:rPr>
      <w:rFonts w:ascii="Arial" w:hAnsi="Arial" w:cs="Arial"/>
      <w:b/>
    </w:rPr>
  </w:style>
  <w:style w:type="paragraph" w:customStyle="1" w:styleId="NumPar1">
    <w:name w:val="NumPar 1"/>
    <w:basedOn w:val="Normal"/>
    <w:rsid w:val="005D6748"/>
    <w:pPr>
      <w:numPr>
        <w:numId w:val="3"/>
      </w:numPr>
    </w:pPr>
  </w:style>
  <w:style w:type="paragraph" w:customStyle="1" w:styleId="NumPar2">
    <w:name w:val="NumPar 2"/>
    <w:basedOn w:val="Normal"/>
    <w:rsid w:val="005D6748"/>
    <w:pPr>
      <w:numPr>
        <w:ilvl w:val="1"/>
        <w:numId w:val="3"/>
      </w:numPr>
    </w:pPr>
  </w:style>
  <w:style w:type="paragraph" w:customStyle="1" w:styleId="NumPar3">
    <w:name w:val="NumPar 3"/>
    <w:basedOn w:val="Normal"/>
    <w:rsid w:val="005D6748"/>
    <w:pPr>
      <w:numPr>
        <w:ilvl w:val="2"/>
        <w:numId w:val="3"/>
      </w:numPr>
    </w:pPr>
  </w:style>
  <w:style w:type="paragraph" w:customStyle="1" w:styleId="NumPar4">
    <w:name w:val="NumPar 4"/>
    <w:basedOn w:val="Normal"/>
    <w:rsid w:val="005D6748"/>
    <w:pPr>
      <w:numPr>
        <w:ilvl w:val="3"/>
        <w:numId w:val="3"/>
      </w:numPr>
    </w:pPr>
  </w:style>
  <w:style w:type="paragraph" w:customStyle="1" w:styleId="NumPar5">
    <w:name w:val="NumPar 5"/>
    <w:basedOn w:val="Normal"/>
    <w:rsid w:val="005D6748"/>
    <w:pPr>
      <w:numPr>
        <w:ilvl w:val="4"/>
        <w:numId w:val="3"/>
      </w:numPr>
    </w:pPr>
  </w:style>
  <w:style w:type="paragraph" w:customStyle="1" w:styleId="NumPar6">
    <w:name w:val="NumPar 6"/>
    <w:basedOn w:val="Normal"/>
    <w:rsid w:val="005D6748"/>
    <w:pPr>
      <w:numPr>
        <w:ilvl w:val="5"/>
        <w:numId w:val="3"/>
      </w:numPr>
    </w:pPr>
  </w:style>
  <w:style w:type="paragraph" w:customStyle="1" w:styleId="NumPar7">
    <w:name w:val="NumPar 7"/>
    <w:basedOn w:val="Normal"/>
    <w:rsid w:val="005D6748"/>
    <w:pPr>
      <w:numPr>
        <w:ilvl w:val="6"/>
        <w:numId w:val="3"/>
      </w:numPr>
    </w:pPr>
  </w:style>
  <w:style w:type="paragraph" w:customStyle="1" w:styleId="RollCallSymbols14pt">
    <w:name w:val="RollCallSymbols14pt"/>
    <w:basedOn w:val="Normal"/>
    <w:rsid w:val="005D674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D6748"/>
    <w:pPr>
      <w:tabs>
        <w:tab w:val="center" w:pos="284"/>
        <w:tab w:val="left" w:pos="426"/>
      </w:tabs>
    </w:pPr>
    <w:rPr>
      <w:snapToGrid w:val="0"/>
      <w:lang w:eastAsia="en-US"/>
    </w:rPr>
  </w:style>
  <w:style w:type="paragraph" w:customStyle="1" w:styleId="RollCallVotes">
    <w:name w:val="RollCallVotes"/>
    <w:basedOn w:val="Normal"/>
    <w:rsid w:val="005D6748"/>
    <w:pPr>
      <w:spacing w:before="120" w:after="120"/>
      <w:jc w:val="center"/>
    </w:pPr>
    <w:rPr>
      <w:b/>
      <w:bCs/>
      <w:snapToGrid w:val="0"/>
      <w:sz w:val="16"/>
      <w:lang w:eastAsia="en-US"/>
    </w:rPr>
  </w:style>
  <w:style w:type="paragraph" w:customStyle="1" w:styleId="RollCallTable">
    <w:name w:val="RollCallTable"/>
    <w:basedOn w:val="Normal"/>
    <w:rsid w:val="005D6748"/>
    <w:pPr>
      <w:spacing w:before="120" w:after="120"/>
    </w:pPr>
    <w:rPr>
      <w:snapToGrid w:val="0"/>
      <w:sz w:val="16"/>
      <w:lang w:eastAsia="en-US"/>
    </w:rPr>
  </w:style>
  <w:style w:type="character" w:styleId="FollowedHyperlink">
    <w:name w:val="FollowedHyperlink"/>
    <w:basedOn w:val="DefaultParagraphFont"/>
    <w:rsid w:val="005D6748"/>
    <w:rPr>
      <w:color w:val="954F72" w:themeColor="followedHyperlink"/>
      <w:u w:val="single"/>
    </w:rPr>
  </w:style>
  <w:style w:type="paragraph" w:styleId="Footer">
    <w:name w:val="footer"/>
    <w:basedOn w:val="Normal"/>
    <w:link w:val="FooterChar"/>
    <w:rsid w:val="005D6748"/>
    <w:pPr>
      <w:tabs>
        <w:tab w:val="center" w:pos="4513"/>
        <w:tab w:val="right" w:pos="9026"/>
      </w:tabs>
    </w:pPr>
  </w:style>
  <w:style w:type="character" w:customStyle="1" w:styleId="FooterChar">
    <w:name w:val="Footer Char"/>
    <w:basedOn w:val="DefaultParagraphFont"/>
    <w:link w:val="Footer"/>
    <w:rsid w:val="005D674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350F5-D8BC-4F4A-9361-403345458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18426</Words>
  <Characters>104666</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2024-05-15T10:57:00Z</dcterms:created>
  <dcterms:modified xsi:type="dcterms:W3CDTF">2024-05-15T10:57:00Z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P9_TA(2024)0229_</vt:lpwstr>
  </property>
  <property fmtid="{D5CDD505-2E9C-101B-9397-08002B2CF9AE}" pid="4" name="&lt;Type&gt;">
    <vt:lpwstr>RR</vt:lpwstr>
  </property>
</Properties>
</file>