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57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577F" w:rsidRDefault="001447C3" w:rsidP="0010095E">
            <w:pPr>
              <w:pStyle w:val="EPName"/>
            </w:pPr>
            <w:r w:rsidRPr="00B9577F">
              <w:t>Parlament Europejski</w:t>
            </w:r>
          </w:p>
          <w:p w:rsidR="00751A4A" w:rsidRPr="00B957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577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9577F" w:rsidRDefault="00187494" w:rsidP="0010095E">
            <w:pPr>
              <w:pStyle w:val="EPLogo"/>
            </w:pPr>
            <w:r w:rsidRPr="00B957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577F" w:rsidRDefault="00D058B8" w:rsidP="004C5D52">
      <w:pPr>
        <w:pStyle w:val="LineTop"/>
      </w:pPr>
    </w:p>
    <w:p w:rsidR="00680577" w:rsidRPr="00B9577F" w:rsidRDefault="001447C3" w:rsidP="00680577">
      <w:pPr>
        <w:pStyle w:val="EPBodyTA1"/>
      </w:pPr>
      <w:r w:rsidRPr="00B9577F">
        <w:t>TEKSTY PRZYJĘTE</w:t>
      </w:r>
    </w:p>
    <w:p w:rsidR="00D058B8" w:rsidRPr="00B9577F" w:rsidRDefault="00D058B8" w:rsidP="00D058B8">
      <w:pPr>
        <w:pStyle w:val="LineBottom"/>
      </w:pPr>
    </w:p>
    <w:p w:rsidR="001447C3" w:rsidRPr="00B9577F" w:rsidRDefault="001447C3" w:rsidP="001447C3">
      <w:pPr>
        <w:pStyle w:val="ATHeading1"/>
      </w:pPr>
      <w:bookmarkStart w:id="0" w:name="TANumber"/>
      <w:r w:rsidRPr="00B9577F">
        <w:t>P9_TA(2024)0</w:t>
      </w:r>
      <w:bookmarkEnd w:id="0"/>
      <w:r w:rsidR="006350AB">
        <w:t>229</w:t>
      </w:r>
    </w:p>
    <w:p w:rsidR="001447C3" w:rsidRPr="00491BDA" w:rsidRDefault="00491BDA" w:rsidP="001447C3">
      <w:pPr>
        <w:pStyle w:val="ATHeading2"/>
      </w:pPr>
      <w:r w:rsidRPr="00491BDA">
        <w:rPr>
          <w:bCs/>
        </w:rPr>
        <w:t>Absolutorium za rok 2022: budżet ogólny UE - Parlament Europejski</w:t>
      </w:r>
    </w:p>
    <w:p w:rsidR="001447C3" w:rsidRPr="00B9577F" w:rsidRDefault="001447C3" w:rsidP="001447C3">
      <w:pPr>
        <w:rPr>
          <w:i/>
          <w:vanish/>
        </w:rPr>
      </w:pPr>
      <w:r w:rsidRPr="00B9577F">
        <w:rPr>
          <w:i/>
        </w:rPr>
        <w:fldChar w:fldCharType="begin"/>
      </w:r>
      <w:r w:rsidRPr="00B9577F">
        <w:rPr>
          <w:i/>
        </w:rPr>
        <w:instrText xml:space="preserve"> TC"(</w:instrText>
      </w:r>
      <w:bookmarkStart w:id="1" w:name="DocNumber"/>
      <w:r w:rsidRPr="00B9577F">
        <w:rPr>
          <w:i/>
        </w:rPr>
        <w:instrText>A9-0067/2024</w:instrText>
      </w:r>
      <w:bookmarkEnd w:id="1"/>
      <w:r w:rsidRPr="00B9577F">
        <w:rPr>
          <w:i/>
        </w:rPr>
        <w:instrText xml:space="preserve"> - Sprawozdawca: Andrey Novakov)"\l3 \n&gt; \* MERGEFORMAT </w:instrText>
      </w:r>
      <w:r w:rsidRPr="00B9577F">
        <w:rPr>
          <w:i/>
        </w:rPr>
        <w:fldChar w:fldCharType="end"/>
      </w:r>
    </w:p>
    <w:p w:rsidR="001447C3" w:rsidRPr="00B9577F" w:rsidRDefault="001447C3" w:rsidP="001447C3">
      <w:pPr>
        <w:rPr>
          <w:vanish/>
        </w:rPr>
      </w:pPr>
      <w:bookmarkStart w:id="2" w:name="Commission"/>
      <w:r w:rsidRPr="00B9577F">
        <w:rPr>
          <w:vanish/>
        </w:rPr>
        <w:t>Komisja Kontroli Budżetowej</w:t>
      </w:r>
      <w:bookmarkEnd w:id="2"/>
    </w:p>
    <w:p w:rsidR="001447C3" w:rsidRPr="00B9577F" w:rsidRDefault="001447C3" w:rsidP="001447C3">
      <w:pPr>
        <w:rPr>
          <w:vanish/>
        </w:rPr>
      </w:pPr>
      <w:bookmarkStart w:id="3" w:name="PE"/>
      <w:r w:rsidRPr="00B9577F">
        <w:rPr>
          <w:vanish/>
        </w:rPr>
        <w:t>PE753.634</w:t>
      </w:r>
      <w:bookmarkEnd w:id="3"/>
    </w:p>
    <w:p w:rsidR="001447C3" w:rsidRPr="00B9577F" w:rsidRDefault="00491BDA" w:rsidP="001447C3">
      <w:pPr>
        <w:pStyle w:val="ATHeading3"/>
      </w:pPr>
      <w:bookmarkStart w:id="4" w:name="Sujet"/>
      <w:r>
        <w:t xml:space="preserve">1. </w:t>
      </w:r>
      <w:r w:rsidR="001447C3" w:rsidRPr="00B9577F">
        <w:t xml:space="preserve">Decyzja Parlamentu Europejskiego z dnia </w:t>
      </w:r>
      <w:r>
        <w:t>11 kwietnia</w:t>
      </w:r>
      <w:r w:rsidR="001447C3" w:rsidRPr="00B9577F">
        <w:t xml:space="preserve"> 2024 r. w sprawie absolutorium z wykonania budżetu ogólnego Unii Europejskiej za rok budżetowy 2022, sekcja I – Parlament Europejski</w:t>
      </w:r>
      <w:bookmarkEnd w:id="4"/>
      <w:r w:rsidR="001447C3" w:rsidRPr="00B9577F">
        <w:t xml:space="preserve"> </w:t>
      </w:r>
      <w:bookmarkStart w:id="5" w:name="References"/>
      <w:r w:rsidR="001447C3" w:rsidRPr="00B9577F">
        <w:t>(2023/2130(DEC))</w:t>
      </w:r>
      <w:bookmarkEnd w:id="5"/>
    </w:p>
    <w:p w:rsidR="00B01728" w:rsidRPr="00B9577F" w:rsidRDefault="00B01728" w:rsidP="00B01728">
      <w:pPr>
        <w:pStyle w:val="EPComma"/>
        <w:rPr>
          <w:noProof/>
        </w:rPr>
      </w:pPr>
      <w:bookmarkStart w:id="6" w:name="TextBodyBegin"/>
      <w:bookmarkEnd w:id="6"/>
      <w:r w:rsidRPr="00B9577F">
        <w:rPr>
          <w:i/>
        </w:rPr>
        <w:t>Parlament Europejski</w:t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budżet ogólny Unii Europejskiej na rok budżetowy 2022</w:t>
      </w:r>
      <w:r w:rsidRPr="00B9577F">
        <w:rPr>
          <w:rStyle w:val="FootnoteReference"/>
          <w:noProof/>
        </w:rPr>
        <w:footnoteReference w:id="1"/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skonsolidowane roczne sprawozdanie finansowe Unii Europejskiej za rok budżetowy 2022 (COM</w:t>
      </w:r>
      <w:proofErr w:type="gramStart"/>
      <w:r w:rsidRPr="00B9577F">
        <w:t>(2023)0391 – C</w:t>
      </w:r>
      <w:proofErr w:type="gramEnd"/>
      <w:r w:rsidRPr="00B9577F">
        <w:t>9</w:t>
      </w:r>
      <w:r w:rsidRPr="00B9577F">
        <w:noBreakHyphen/>
        <w:t>0248/2023)</w:t>
      </w:r>
      <w:r w:rsidRPr="00B9577F">
        <w:rPr>
          <w:rStyle w:val="FootnoteReference"/>
          <w:noProof/>
        </w:rPr>
        <w:footnoteReference w:id="2"/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sprawozdanie z zarządzania budżetem i finansami za rok budżetowy 2022, sekcja I – Parlament Europejski</w:t>
      </w:r>
      <w:r w:rsidRPr="00B9577F">
        <w:rPr>
          <w:rStyle w:val="FootnoteReference"/>
          <w:noProof/>
        </w:rPr>
        <w:footnoteReference w:id="3"/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sprawozdanie roczne audytora wewnętrznego za rok budżetowy 2022,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sprawozdanie roczne Trybunału Obrachunkowego dotyczące wykonania budżetu za rok budżetowy 2022 wraz z odpowiedziami instytucji</w:t>
      </w:r>
      <w:r w:rsidRPr="00B9577F">
        <w:rPr>
          <w:rStyle w:val="FootnoteReference"/>
          <w:noProof/>
        </w:rPr>
        <w:footnoteReference w:id="4"/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poświadczenie wiarygodności</w:t>
      </w:r>
      <w:r w:rsidRPr="00B9577F">
        <w:rPr>
          <w:rStyle w:val="FootnoteReference"/>
          <w:noProof/>
        </w:rPr>
        <w:footnoteReference w:id="5"/>
      </w:r>
      <w:r w:rsidRPr="00B9577F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art. 314 ust. 10 i art. 318 Traktatu o funkcjonowaniu Unii Europejskiej,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 xml:space="preserve">uwzględniając rozporządzenie Parlamentu Europejskiego i Rady (UE, </w:t>
      </w:r>
      <w:proofErr w:type="spellStart"/>
      <w:r w:rsidRPr="00B9577F">
        <w:t>Euratom</w:t>
      </w:r>
      <w:proofErr w:type="spellEnd"/>
      <w:r w:rsidRPr="00B9577F">
        <w:t xml:space="preserve">) 2018/1046 z dnia 18 lipca 2018 r. w sprawie zasad finansowych mających zastosowanie do budżetu ogólnego Unii, zmieniające rozporządzenia (UE) nr 1296/2013, (UE) nr 1301/2013, (UE) nr 1303/2013, (UE) nr 1304/2013, (UE) nr 1309/2013, (UE) nr 1316/2013, (UE) nr 223/2014 i (UE) nr 283/2014 oraz decyzję nr 541/2014/UE, a także uchylające rozporządzenie (UE, </w:t>
      </w:r>
      <w:proofErr w:type="spellStart"/>
      <w:r w:rsidRPr="00B9577F">
        <w:t>Euratom</w:t>
      </w:r>
      <w:proofErr w:type="spellEnd"/>
      <w:r w:rsidRPr="00B9577F">
        <w:t>) nr 966/2012</w:t>
      </w:r>
      <w:r w:rsidRPr="00B9577F">
        <w:rPr>
          <w:rStyle w:val="FootnoteReference"/>
          <w:noProof/>
        </w:rPr>
        <w:footnoteReference w:id="6"/>
      </w:r>
      <w:r w:rsidRPr="00B9577F">
        <w:t xml:space="preserve">, w szczególności jego art. 260, </w:t>
      </w:r>
      <w:r w:rsidRPr="00B9577F">
        <w:lastRenderedPageBreak/>
        <w:t>261 i 262,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decyzję Prezydium z dnia 10 grudnia 2018 r. w sprawie przepisów wewnętrznych dotyczących wykonania budżetu Parlamentu Europejskiego, w szczególności jej art. 34,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art. 100 i art. 104 ust. 3 Regulaminu oraz załącznik V do Regulaminu,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opinię przedstawioną przez Komisję Prawną,</w:t>
      </w:r>
    </w:p>
    <w:p w:rsidR="00B01728" w:rsidRPr="00B9577F" w:rsidRDefault="00B01728" w:rsidP="00B01728">
      <w:pPr>
        <w:pStyle w:val="NormalHanging12a"/>
      </w:pPr>
      <w:r w:rsidRPr="00B9577F">
        <w:t>–</w:t>
      </w:r>
      <w:r w:rsidRPr="00B9577F">
        <w:tab/>
        <w:t>uwzględniając sprawozdanie Komisji Kontroli Budżetowej (A9-0067/2024),</w:t>
      </w:r>
    </w:p>
    <w:p w:rsidR="00B01728" w:rsidRPr="00B9577F" w:rsidRDefault="00B01728" w:rsidP="00B01728">
      <w:pPr>
        <w:pStyle w:val="NormalHanging12a"/>
        <w:widowControl/>
      </w:pPr>
      <w:r w:rsidRPr="00B9577F">
        <w:t>A.</w:t>
      </w:r>
      <w:r w:rsidRPr="00B9577F">
        <w:tab/>
      </w:r>
      <w:proofErr w:type="gramStart"/>
      <w:r w:rsidRPr="00B9577F">
        <w:t>mając</w:t>
      </w:r>
      <w:proofErr w:type="gramEnd"/>
      <w:r w:rsidRPr="00B9577F">
        <w:t xml:space="preserve"> na uwadze, że 22 czerwca 2023 r. przewodnicząca przyjęła sprawozdanie finansowe Parlamentu Europejskiego za rok budżetowy 2022;</w:t>
      </w:r>
    </w:p>
    <w:p w:rsidR="00B01728" w:rsidRPr="00B9577F" w:rsidRDefault="00B01728" w:rsidP="00B01728">
      <w:pPr>
        <w:pStyle w:val="NormalHanging12a"/>
        <w:widowControl/>
      </w:pPr>
      <w:r w:rsidRPr="00B9577F">
        <w:t>B.</w:t>
      </w:r>
      <w:r w:rsidRPr="00B9577F">
        <w:tab/>
        <w:t>mając na uwadze, że sekretarz generalny, jako główny delegowany urzędnik zatwierdzający, potwierdził 26 czerwca 2023 r., iż uzyskał wystarczającą pewność, że zasoby przeznaczone na budżet Parlamentu wykorzystano zgodnie z przeznaczeniem oraz zgodnie z zasadami należytego zarządzania finansami, a wprowadzone procedury kontroli dają niezbędne gwarancje legalności i prawidłowości operacji leżących u podstaw rozliczeń;</w:t>
      </w:r>
    </w:p>
    <w:p w:rsidR="00B01728" w:rsidRPr="00B9577F" w:rsidRDefault="00B01728" w:rsidP="00B01728">
      <w:pPr>
        <w:pStyle w:val="NormalHanging12a"/>
        <w:widowControl/>
      </w:pPr>
      <w:r w:rsidRPr="00B9577F">
        <w:t>C.</w:t>
      </w:r>
      <w:r w:rsidRPr="00B9577F">
        <w:tab/>
      </w:r>
      <w:proofErr w:type="gramStart"/>
      <w:r w:rsidRPr="00B9577F">
        <w:t>mając</w:t>
      </w:r>
      <w:proofErr w:type="gramEnd"/>
      <w:r w:rsidRPr="00B9577F">
        <w:t xml:space="preserve"> na uwadze, że Trybunał Obrachunkowy stwierdził podczas kontroli, iż w odniesieniu do wydatków administracyjnych oraz pozostałych wydatków w 2022 r. nie odnotował istotnych niedociągnięć w zbadanych sprawozdaniach rocznych z działalności instytucji i organów, wymaganych na mocy rozporządzenia (UE, </w:t>
      </w:r>
      <w:proofErr w:type="spellStart"/>
      <w:r w:rsidRPr="00B9577F">
        <w:t>Euratom</w:t>
      </w:r>
      <w:proofErr w:type="spellEnd"/>
      <w:r w:rsidRPr="00B9577F">
        <w:t>) 2018/1046;</w:t>
      </w:r>
    </w:p>
    <w:p w:rsidR="00B01728" w:rsidRPr="00B9577F" w:rsidRDefault="00B01728" w:rsidP="00B01728">
      <w:pPr>
        <w:pStyle w:val="NormalHanging12a"/>
        <w:widowControl/>
      </w:pPr>
      <w:r w:rsidRPr="00B9577F">
        <w:t>D.</w:t>
      </w:r>
      <w:r w:rsidRPr="00B9577F">
        <w:tab/>
      </w:r>
      <w:proofErr w:type="gramStart"/>
      <w:r w:rsidRPr="00B9577F">
        <w:t>mając</w:t>
      </w:r>
      <w:proofErr w:type="gramEnd"/>
      <w:r w:rsidRPr="00B9577F">
        <w:t xml:space="preserve"> na uwadze, że na mocy art. 262 ust. 1 rozporządzenia (UE, </w:t>
      </w:r>
      <w:proofErr w:type="spellStart"/>
      <w:r w:rsidRPr="00B9577F">
        <w:t>Euratom</w:t>
      </w:r>
      <w:proofErr w:type="spellEnd"/>
      <w:r w:rsidRPr="00B9577F">
        <w:t>) 2018/1046 każda instytucja unijna musi podjąć wszelkie stosowne działania w celu uwzględnienia uwag towarzyszących decyzji Parlamentu Europejskiego w sprawie absolutorium;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1.</w:t>
      </w:r>
      <w:r w:rsidRPr="00B9577F">
        <w:tab/>
      </w:r>
      <w:proofErr w:type="gramStart"/>
      <w:r w:rsidRPr="00B9577F">
        <w:t>udziela</w:t>
      </w:r>
      <w:proofErr w:type="gramEnd"/>
      <w:r w:rsidRPr="00B9577F">
        <w:t xml:space="preserve"> swojej przewodniczącej absolutorium z wykonania budżetu Parlamentu Europejskiego za rok budżetowy 2022;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2.</w:t>
      </w:r>
      <w:r w:rsidRPr="00B9577F">
        <w:tab/>
      </w:r>
      <w:proofErr w:type="gramStart"/>
      <w:r w:rsidRPr="00B9577F">
        <w:t>przedstawia</w:t>
      </w:r>
      <w:proofErr w:type="gramEnd"/>
      <w:r w:rsidRPr="00B9577F">
        <w:t xml:space="preserve"> swoje uwagi w poniższej rezolucji;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3.</w:t>
      </w:r>
      <w:r w:rsidRPr="00B9577F">
        <w:tab/>
      </w:r>
      <w:proofErr w:type="gramStart"/>
      <w:r w:rsidRPr="00B9577F">
        <w:t>zobowiązuje</w:t>
      </w:r>
      <w:proofErr w:type="gramEnd"/>
      <w:r w:rsidRPr="00B9577F">
        <w:t xml:space="preserve"> swoją przewodniczącą do przekazania niniejszej decyzji wraz z rezolucją, która stanowi jej integralną część, Radzie, Komisji i Trybunałowi Obrachunkowemu oraz do zarządzenia jej publikacji w </w:t>
      </w:r>
      <w:r w:rsidRPr="00B9577F">
        <w:rPr>
          <w:i/>
        </w:rPr>
        <w:t>Dzienniku Urzędowym Unii Europejskiej</w:t>
      </w:r>
      <w:r w:rsidRPr="00B9577F">
        <w:t xml:space="preserve"> (seria L).</w:t>
      </w:r>
    </w:p>
    <w:p w:rsidR="00B01728" w:rsidRPr="00B9577F" w:rsidRDefault="00B01728" w:rsidP="00B01728"/>
    <w:p w:rsidR="00B01728" w:rsidRPr="00B9577F" w:rsidRDefault="00B01728" w:rsidP="00B01728">
      <w:pPr>
        <w:pStyle w:val="PageHeading"/>
        <w:sectPr w:rsidR="00B01728" w:rsidRPr="00B9577F" w:rsidSect="00B9577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01728" w:rsidRPr="00B9577F" w:rsidRDefault="00B01728" w:rsidP="00491BDA">
      <w:pPr>
        <w:pStyle w:val="ATHeading3"/>
        <w:rPr>
          <w:noProof/>
        </w:rPr>
      </w:pPr>
      <w:bookmarkStart w:id="7" w:name="_Toc161825457"/>
      <w:r w:rsidRPr="00B9577F">
        <w:lastRenderedPageBreak/>
        <w:t>2</w:t>
      </w:r>
      <w:r w:rsidR="00491BDA" w:rsidRPr="00B9577F">
        <w:t>. Rezo</w:t>
      </w:r>
      <w:r w:rsidR="00491BDA">
        <w:t>lucja</w:t>
      </w:r>
      <w:r w:rsidR="00491BDA" w:rsidRPr="00B9577F">
        <w:t xml:space="preserve"> Parlamentu Europejskiego</w:t>
      </w:r>
      <w:bookmarkEnd w:id="7"/>
      <w:r w:rsidR="00491BDA">
        <w:t xml:space="preserve"> z dnia 11 kwietnia 2024 r. zawierająca</w:t>
      </w:r>
      <w:r w:rsidRPr="00B9577F">
        <w:t xml:space="preserve"> uwagi stanowiące integralną część decyzji w sprawie absolutorium z wykonania budżetu ogólnego Unii Europejskiej za rok budżetowy 2022, sekcja I - Parlament Europejski</w:t>
      </w:r>
      <w:r w:rsidR="00491BDA">
        <w:t xml:space="preserve"> </w:t>
      </w:r>
      <w:r w:rsidRPr="00B9577F">
        <w:t>(2023/2130(DEC))</w:t>
      </w:r>
    </w:p>
    <w:p w:rsidR="00B01728" w:rsidRPr="00B9577F" w:rsidRDefault="00B01728" w:rsidP="00B01728">
      <w:pPr>
        <w:pStyle w:val="EPComma"/>
        <w:rPr>
          <w:noProof/>
        </w:rPr>
      </w:pPr>
      <w:r w:rsidRPr="00B9577F">
        <w:rPr>
          <w:i/>
        </w:rPr>
        <w:t>Parlament Europejski</w:t>
      </w:r>
      <w:r w:rsidRPr="00B9577F">
        <w:t>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swoją decyzję w sprawie absolutorium z wykonania budżetu ogólnego Unii Europejskiej za rok budżetowy 2022, sekcja I – Parlament Europejski,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art. 100 i art. 104 ust. 3 Regulaminu oraz załącznik V do Regulaminu,</w:t>
      </w:r>
    </w:p>
    <w:p w:rsidR="00B01728" w:rsidRPr="00B9577F" w:rsidRDefault="00B01728" w:rsidP="00B01728">
      <w:pPr>
        <w:pStyle w:val="NormalHanging12a"/>
        <w:rPr>
          <w:noProof/>
        </w:rPr>
      </w:pPr>
      <w:r w:rsidRPr="00B9577F">
        <w:t>–</w:t>
      </w:r>
      <w:r w:rsidRPr="00B9577F">
        <w:tab/>
        <w:t>uwzględniając opinię przedstawioną przez Komisję Prawną,</w:t>
      </w:r>
    </w:p>
    <w:p w:rsidR="00B01728" w:rsidRPr="00B9577F" w:rsidRDefault="00B01728" w:rsidP="00B01728">
      <w:pPr>
        <w:pStyle w:val="NormalHanging12a"/>
      </w:pPr>
      <w:r w:rsidRPr="00B9577F">
        <w:t>–</w:t>
      </w:r>
      <w:r w:rsidRPr="00B9577F">
        <w:tab/>
        <w:t>uwzględniając sprawozdanie Komisji Kontroli Budżetowej (A9-0067/2024),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A.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mając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na uwadze, że w poświadczeniu końcowego sprawozdania finansowego księgowy Parlamentu Europejskiego („Parlamentu”) stwierdził, iż uzyskał wystarczającą pewność, że przedstawia ono rzetelnie we wszystkich istotnych aspektach sytuację finansową, wyniki operacji i przepływy pieniężne w Parlamencie;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B.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  <w:t>mając na uwadze, że zgodnie ze zwykłą procedurą przesłano 60 pytań do administracji Parlamentu, a otrzymane pisemne odpowiedzi zostały publicznie omówione przez parlamentarną Komisję Kontroli Budżetowej 4 grudnia 2023 r. w obecności sekretarza generalnego, dyrektora Urzędu ds. Europejskich Partii Politycznych i Europejskich Fundacji Politycznych („Urzędu”) oraz audytora wewnętrznego;</w:t>
      </w:r>
    </w:p>
    <w:p w:rsidR="00B01728" w:rsidRDefault="00B01728" w:rsidP="00B01728">
      <w:pPr>
        <w:pStyle w:val="NormalHanging12a"/>
      </w:pPr>
      <w:r w:rsidRPr="00B9577F">
        <w:t>C.</w:t>
      </w:r>
      <w:r w:rsidRPr="00B9577F">
        <w:tab/>
      </w:r>
      <w:proofErr w:type="gramStart"/>
      <w:r w:rsidRPr="00B9577F">
        <w:t>mając</w:t>
      </w:r>
      <w:proofErr w:type="gramEnd"/>
      <w:r w:rsidRPr="00B9577F">
        <w:t xml:space="preserve"> na uwadze, że jakość, wydajność i skuteczność, a także przejrzystość zarządzania finansami publicznymi zawsze można poprawić; mając na uwadze, że gruntowna kontrola jest niezbędna, aby dopilnować, by administracja Parlamentu i jego polityczni przywódcy byli rozliczani przed obywatelami Unii; mając na uwadze, że uczciwość Parlamentu ma zasadnicze znaczenie dla funkcjonowania demokracji europejskiej i zwiększa zaufanie obywateli do instytucji europejskich;</w:t>
      </w:r>
    </w:p>
    <w:p w:rsidR="00A05A95" w:rsidRDefault="00A05A95" w:rsidP="00B01728">
      <w:pPr>
        <w:pStyle w:val="NormalHanging12a"/>
      </w:pPr>
      <w:r>
        <w:t>D</w:t>
      </w:r>
      <w:r w:rsidRPr="007F0A80">
        <w:t>.</w:t>
      </w:r>
      <w:r w:rsidRPr="00A05A95">
        <w:tab/>
      </w:r>
      <w:proofErr w:type="gramStart"/>
      <w:r w:rsidRPr="007F0A80">
        <w:t>mając</w:t>
      </w:r>
      <w:proofErr w:type="gramEnd"/>
      <w:r w:rsidRPr="007F0A80">
        <w:t xml:space="preserve"> na uwadze, że zagraniczne ingerencje, manipulowanie informacjami i dezinformacja stanowią poważne naruszenie unijnych wartości, na których opiera się Unia; mając na uwadze, że parlamentarna Komisja Specjalna ds. Obcych Ingerencji we Wszystkie Procesy Demokratyczne w Unii, w tym Dezinformacji (INGE), utworzona w czerwcu 2022 r., szczegółowo ujawniła działania i operacje państw trzecich mające na celu infiltrację europejskich demokracji i instytucji unijnych, wpływanie na nie i ingerowanie w nie;</w:t>
      </w:r>
    </w:p>
    <w:p w:rsidR="00A05A95" w:rsidRPr="00A05A95" w:rsidRDefault="00A05A95" w:rsidP="00B01728">
      <w:pPr>
        <w:pStyle w:val="NormalHanging12a"/>
      </w:pPr>
      <w:r>
        <w:t>E</w:t>
      </w:r>
      <w:r w:rsidRPr="007F0A80">
        <w:t>.</w:t>
      </w:r>
      <w:r w:rsidRPr="00A05A95">
        <w:tab/>
      </w:r>
      <w:proofErr w:type="gramStart"/>
      <w:r w:rsidRPr="007F0A80">
        <w:t>mając</w:t>
      </w:r>
      <w:proofErr w:type="gramEnd"/>
      <w:r w:rsidRPr="007F0A80">
        <w:t xml:space="preserve"> na uwadze, że rzekomo zapłacono posłom za promowanie rosyjskiej propagandy;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Zarządzanie budżetem i finansami przez Parlament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ostateczna kwota środków w budżecie Parlamentu na rok 2022 wyniosła 2 161 mln EUR, tj. 19,55 % środków w dziale 7 wieloletnich ram finansowych</w:t>
      </w:r>
      <w:r w:rsidRPr="00B9577F">
        <w:rPr>
          <w:rStyle w:val="FootnoteReference"/>
          <w:szCs w:val="24"/>
        </w:rPr>
        <w:footnoteReference w:id="7"/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przeznaczonych na wydatki administracyjne wszystkich instytucji unijnych w 2022 r.;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w stosunku do budżetu w 2021 r. (2 064 mln EUR) kwota ta wzrosła o 4,76 %;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całkowita kwota dochodów zaksięgowanych na dzień 31 grudnia 2022 r. wyniosła 250 473 772 EUR (w porównaniu z 215 332 108 EUR w 2021 r.); zauważa, że dochody przeznaczone na określony cel udostępnione w 2022 r. wyniosły 61 267 620 EUR (w porównaniu z 37 150 962 EUR w 2021 r.);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3.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zwraca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uwagę, że 76,5 % łącznej kwoty zobowiązań przeznaczono na pięć rozdziałów: Rozdział 10 „Członkowie instytucji”; Rozdział 12 „Urzędnicy i pracownicy tymczasowi”; Rozdział 14 „Inni pracownicy i usługi zewnętrzne”; Rozdział 20 „Budynki i koszty dodatkowe” oraz Rozdział 42 „Wydatki związane z asystentami posłów”;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4.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następujące dane liczbowe, na podstawie których zamknięto księgi dochodów i wydatków Parlamentu za rok budżetowy 2022:</w:t>
      </w:r>
    </w:p>
    <w:tbl>
      <w:tblPr>
        <w:tblW w:w="8891" w:type="dxa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9"/>
        <w:gridCol w:w="2702"/>
      </w:tblGrid>
      <w:tr w:rsidR="00B01728" w:rsidRPr="00B9577F" w:rsidTr="006350AB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rPr>
                <w:b/>
              </w:rPr>
              <w:t>a</w:t>
            </w:r>
            <w:proofErr w:type="gramEnd"/>
            <w:r w:rsidRPr="00B9577F">
              <w:rPr>
                <w:b/>
              </w:rPr>
              <w:t>) Dostępne środki (EUR)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na 2022 r.: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2 161 651 286,00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przeniesione nieautomatycznie z roku budżetowego 2021: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22 007 230,00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przeniesione automatycznie z roku budżetowego 2021: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380 099 194,75</w:t>
            </w:r>
          </w:p>
        </w:tc>
      </w:tr>
      <w:tr w:rsidR="00B01728" w:rsidRPr="00B9577F" w:rsidTr="006350AB">
        <w:trPr>
          <w:trHeight w:val="248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odpowiadające dochodom przeznaczonym na określony cel na 2022 r.: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61 267 620,37</w:t>
            </w:r>
          </w:p>
        </w:tc>
      </w:tr>
      <w:tr w:rsidR="00B01728" w:rsidRPr="00B9577F" w:rsidTr="006350AB">
        <w:trPr>
          <w:trHeight w:val="248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przeniesione odpowiadające dochodom przeznaczonym na określony cel z 2021 r.: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39 603 266,73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r w:rsidRPr="00B9577F">
              <w:t xml:space="preserve">Ogółem: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2 664 628 597,85</w:t>
            </w:r>
          </w:p>
        </w:tc>
      </w:tr>
      <w:tr w:rsidR="00B01728" w:rsidRPr="00B9577F" w:rsidTr="006350AB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B9577F">
              <w:rPr>
                <w:b/>
              </w:rPr>
              <w:t>b</w:t>
            </w:r>
            <w:proofErr w:type="gramEnd"/>
            <w:r w:rsidRPr="00B9577F">
              <w:rPr>
                <w:b/>
              </w:rPr>
              <w:t>) Wykorzystanie środków w roku budżetowym 2022 (EUR)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zobowiązania</w:t>
            </w:r>
            <w:proofErr w:type="gramEnd"/>
            <w:r w:rsidRPr="00B9577F">
              <w:t xml:space="preserve">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2 607 456 700,15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dokonane</w:t>
            </w:r>
            <w:proofErr w:type="gramEnd"/>
            <w:r w:rsidRPr="00B9577F">
              <w:t xml:space="preserve"> płatności: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2 186 635 235,75</w:t>
            </w:r>
          </w:p>
        </w:tc>
      </w:tr>
      <w:tr w:rsidR="00B01728" w:rsidRPr="00B9577F" w:rsidTr="006350AB">
        <w:trPr>
          <w:trHeight w:val="247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przeniesione automatycznie, w tym środki wynikające z dochodów przeznaczonych na określony cel: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</w:p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428 826 276,81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przeniesione nieautomatycznie: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0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anulowane: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49 167 085,50</w:t>
            </w:r>
          </w:p>
        </w:tc>
      </w:tr>
      <w:tr w:rsidR="00B01728" w:rsidRPr="00B9577F" w:rsidTr="006350AB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B9577F">
              <w:rPr>
                <w:b/>
              </w:rPr>
              <w:t>c</w:t>
            </w:r>
            <w:proofErr w:type="gramEnd"/>
            <w:r w:rsidRPr="00B9577F">
              <w:rPr>
                <w:b/>
              </w:rPr>
              <w:t>) Wpływy do budżetu (EUR)</w:t>
            </w:r>
          </w:p>
        </w:tc>
      </w:tr>
      <w:tr w:rsidR="00B01728" w:rsidRPr="00B9577F" w:rsidTr="006350AB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t>środki</w:t>
            </w:r>
            <w:proofErr w:type="gramEnd"/>
            <w:r w:rsidRPr="00B9577F">
              <w:t xml:space="preserve"> otrzymane w 2022 r.: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250 473 772,00</w:t>
            </w:r>
          </w:p>
        </w:tc>
      </w:tr>
      <w:tr w:rsidR="00B01728" w:rsidRPr="00B9577F" w:rsidTr="006350AB">
        <w:trPr>
          <w:trHeight w:val="32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</w:pPr>
            <w:proofErr w:type="gramStart"/>
            <w:r w:rsidRPr="00B9577F">
              <w:rPr>
                <w:b/>
              </w:rPr>
              <w:t>d</w:t>
            </w:r>
            <w:proofErr w:type="gramEnd"/>
            <w:r w:rsidRPr="00B9577F">
              <w:rPr>
                <w:b/>
              </w:rPr>
              <w:t>) Całkowity bilans na dzień 31 grudnia 2022 r. (EUR)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1728" w:rsidRPr="00B9577F" w:rsidRDefault="00B01728" w:rsidP="006350AB">
            <w:pPr>
              <w:autoSpaceDE w:val="0"/>
              <w:autoSpaceDN w:val="0"/>
              <w:adjustRightInd w:val="0"/>
              <w:jc w:val="right"/>
            </w:pPr>
            <w:r w:rsidRPr="00B9577F">
              <w:t>1 735 834 446,00</w:t>
            </w:r>
          </w:p>
        </w:tc>
      </w:tr>
    </w:tbl>
    <w:p w:rsidR="00B01728" w:rsidRPr="00B9577F" w:rsidRDefault="00B01728" w:rsidP="00B01728">
      <w:pPr>
        <w:pStyle w:val="NormalHanging12a"/>
        <w:spacing w:before="240"/>
      </w:pPr>
      <w:r w:rsidRPr="00B9577F">
        <w:t>5.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w roku budżetowym 2022 Komisja Budżetowa Parlamentu zatwierdziła 21 przesunięć („przesunięć C”) zgodnie z art. 31 i 49 rozporządzenia finansowego na kwotę 88 449 115 EUR, czyli 4,09 % ostatecznej kwoty środków; zauważa, że przewodnicząca zatwierdziła 11 przesunięć („przesunięć P”) na kwotę 34 246 879 EUR, czyli 1,6 % budżetu na 2022 r.; zwraca się z zapytaniem, między którymi liniami budżetowymi dokonano wspomnianych przesunięć P; wzywa przewodniczącą do proaktywnego informowania Komisji Kontroli Budżetowej o odnośnych kwotach i liniach budżetowych;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6.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szacuje się, iż pandemia COVID-19 spowodowała umiarkowaną nadwyżkę w wysokości 16 417 325 EUR, którą przesunięto z pozycji takich jak te związane z kosztami podróży, organizacją i przyjmowaniem grup odwiedzających, funkcjonowaniem centrów dla odwiedzających Parlamentu, zewnętrznymi szkoleniami bezpośrednimi, dokumentacją/publikacjami oraz krajowymi asystentami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parlamentarnymi i stażystami posłów; zauważa, że jednocześnie pandemia COVID-19 spowodowała konieczność zasilenia innych linii budżetowych o łączną kwotę 7 549 000 EUR; podkreśla, że pozycje te dotyczą głównie zapewniania wsparcia finansowego pracownikom pracującym w domu, zdrowia i profilaktyki oraz dodatkowych wydatków na tłumaczenia ustne w celu wsparcia telepracy oraz wielojęzycznych posiedzeń zdalnych i hybrydowych;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7.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rok 2022 był rokiem przejściowym dla instytucji Unii, w tym Parlamentu; zauważa, że środki wprowadzone w wyniku pandemii COVID-19 zostały zniesione w czerwcu 2022 r.; z zadowoleniem przyjmuje wysiłki wszystkich dyrekcji generalnych i sekretarza generalnego na rzecz wprowadzenia narzędzi niezbędnych do wznowienia prac parlamentarnych, tak aby Parlament funkcjonował w taki sam sposób jak przed pandemią COVID-19; z zadowoleniem przyjmuje pomyślne wznowienie od marca 2022 r. sesji plenarnych z obecnością na miejscu; zauważa, że nastąpiło to po dwuletnim okresie, w którym ponad 12 000 operacji głosowania musiało odbyć się zdalnie podczas co najmniej 175 sesji głosowania rozłożonych na 30 sesji miesięcznych; </w:t>
      </w:r>
    </w:p>
    <w:p w:rsidR="00B01728" w:rsidRPr="00B9577F" w:rsidRDefault="00B01728" w:rsidP="00B01728">
      <w:pPr>
        <w:pStyle w:val="NormalHanging12a"/>
      </w:pPr>
      <w:r w:rsidRPr="00B9577F">
        <w:t>8.</w:t>
      </w:r>
      <w:r w:rsidRPr="00B9577F">
        <w:tab/>
      </w:r>
      <w:proofErr w:type="gramStart"/>
      <w:r w:rsidRPr="00B9577F">
        <w:t>odnotowuje</w:t>
      </w:r>
      <w:proofErr w:type="gramEnd"/>
      <w:r w:rsidRPr="00B9577F">
        <w:t>, że rosyjska wojna napastnicza przeciwko Ukrainie i wyjątkowo wysoki poziom inflacji, która pod koniec 2022 r. nadal wynosiła 10,4 % rocznie dla Unii, miały głęboki wpływ na rok budżetowy 2022; przyznaje, że administracja Parlamentu włożyła znaczne wysiłki na rzecz wykonania budżetu w celu zaspokojenia pilnych potrzeb wynikających z sytuacji kryzysowej; z zadowoleniem przyjmuje przekazanie przez Parlament sprzętu technicznego Ukrainie, aby wesprzeć ją w trudnych czasach wojny;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Opinie Europejskiego Trybunału Obrachunkowego na temat wiarygodności rozliczeń za rok 2022 oraz legalności i prawidłowości transakcji leżących u ich podstaw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9.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Europejski Trybunał Obrachunkowy („Trybunał”) przeprowadza szczegółową kontrolę wydatków administracyjnych i innych wydatków łącznie dla wszystkich instytucji unijnych; podkreśla, że wydatki administracyjne obejmują wydatki na zasoby kadrowe, w tym emerytury, oraz wydatki na budynki, wyposażenie, energię, telekomunikację i informatykę; w 2022 r. wydatki na zasoby kadrowe stanowiły około 70 % łącznych wydatków administracyjnych; zaznacza, że praca Trybunału na przestrzeni wielu lat wskazuje, iż ogólnie wydatki te są obarczone niskim ryzykiem;</w:t>
      </w:r>
    </w:p>
    <w:p w:rsidR="00B01728" w:rsidRPr="00B9577F" w:rsidRDefault="00B01728" w:rsidP="00B01728">
      <w:pPr>
        <w:pStyle w:val="NormalHanging12a"/>
      </w:pPr>
      <w:r w:rsidRPr="00B9577F">
        <w:t>10.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nakłady na dział 7 wieloletnich ram finansowych „Europejska administracja publiczna” wyniosły 11,6 mld EUR, czyli 5,9 % budżetu Unii w 2022 r., z czego na Parlament przypadło 2,2 mld EUR, czyli 18,9 %; z satysfakcją odnotowuje stwierdzenie przez Trybunał, że poziom błędu w wydatkach w obszarze „Europejska administracja publiczna” nie był istotny; wzywa Parlament do zbadania i zidentyfikowania rodzajów transakcji, w których poziom błędu był wysoki, choć poniżej progu istotności, oraz do rozważenia zmian w procedurze służących unikaniu i wykrywaniu podobnych błędów w przyszłości;</w:t>
      </w:r>
    </w:p>
    <w:p w:rsidR="00B01728" w:rsidRPr="00B9577F" w:rsidRDefault="00B01728" w:rsidP="00B01728">
      <w:pPr>
        <w:pStyle w:val="NormalHanging12a"/>
      </w:pPr>
      <w:r w:rsidRPr="00B9577F">
        <w:t>11.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sprawozdanie roczne Trybunału dotyczące wykonania budżetu za rok budżetowy 2022 zawiera konkretne ustalenia odnoszące się do Parlamentu; odnotowuje zalecenie Trybunału, zgodnie z którym administracja Parlamentu powinna wzmocnić wytyczne dotyczące wykorzystania środków budżetowych przez grupy polityczne oraz nadal pracować nad ulepszeniem przepisów wewnętrznych i zapewnieniem zgodności z przepisami i procedurami dotyczącymi udzielania zamówień;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12.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Trybunał dobrał próbę 13 transakcji dla Parlamentu i stwierdził błędy kwantyfikowalne w trzech z nich; zauważa, że zamówienia publiczne były jedną z kwestii poruszonych przez Trybunał; podkreśla, że tego rodzaju ustalenia były również poruszane w przeszłości;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13.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przyjmuje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do wiadomości uwagi Trybunału dotyczące przepisów wewnętrznych Parlamentu; przypomina, że grupy polityczne zarządzają przyznanymi im środkami zgodnie z zasadami pośredniego zarządzania funduszami w analogicznym zastosowaniu art. 62 ust. 1 lit. c) rozporządzenia finansowego; uważa, że te zasady zastępują „umowy o przyznanie wkładu” (o których mowa w art. 155 ust. 6 rozporządzenia finansowego);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14.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zgodnie z przepisami wewnętrznymi Parlamentu grupy polityczne są odpowiedzialne przed instytucją za zarządzanie środkami w granicach uprawnień przyznanych im przez Prezydium; zauważa, że środki mają być zarządzane zgodnie z tymi przepisami i że należy podjąć odpowiednie działania, aby zapobiec wszelkim niezgodnościom;</w:t>
      </w:r>
    </w:p>
    <w:p w:rsidR="00B01728" w:rsidRPr="00B9577F" w:rsidRDefault="00B01728" w:rsidP="00B01728">
      <w:pPr>
        <w:pStyle w:val="NormalHanging12a"/>
      </w:pPr>
      <w:r w:rsidRPr="00B9577F">
        <w:t>15.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grupy polityczne otrzymują pomoc i wskazówki od Parlamentu, gdy się o nie zwrócą; zauważa, że w 2022 r. działy finansowe grup politycznych zintensyfikowały podpisywanie umów z delegaturami krajowymi w celu zapewnienia należytego zarządzania środkami ujętymi w linii 400;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16.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zobowiązanie administracji do wzmocnienia wytycznych dla grup politycznych w zakresie właściwego wdrażania przepisów wewnętrznych Parlamentu oraz do wspierania ich w celu poprawy ich wewnętrznego zarządzania finansami; z zadowoleniem przyjmuje fakt, że administracja doprecyzuje wytyczne dotyczące udzielania zamówień przez grupy polityczne;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Roczne sprawozdanie audytora wewnętrznego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17.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na posiedzeniu komisji przedmiotowo właściwej z audytorem wewnętrznym, które odbyło się 4 grudnia 2023 r., audytor wewnętrzny przedstawił swoje sprawozdanie roczne i opisał przeprowadzone przez siebie kontrole wiarygodności oraz świadczone usługi konsultingowe, a także poinformował o wynikach obecnej sytuacji, która w 2022 r. obejmowała przekrojowe działania następcze w związku z otwartymi działaniami wynikającymi ze sprawozdań z audytu wewnętrznego, audyt wyjazdów służbowych pracowników, przegląd ram zarządzania ryzykiem Parlamentu, audyt procedury udzielania zamówień w DG INLO, audyt zakupu i użytkowania sprzętu i usług bezpieczeństwa w DG SAFE, audyt finansowania europejskich partii politycznych i europejskich fundacji politycznych – drugie zadanie, a także okresowy przegląd projektu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budynku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ADENAUER 2 – etap 3 (zakończenie budowy skrzydła wschodniego);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18.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i popiera działania uzgodnione przez audytora wewnętrznego z właściwymi dyrekcjami generalnymi w związku z zadaniami poświadczającymi w odniesieniu do audytu wyjazdów służbowych pracowników, w odniesieniu do przeglądu ram zarządzania ryzykiem Parlamentu oraz w odniesieniu do audytu procedury udzielania zamówień w DG INLO;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19.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zadania poświadczające, w odniesieniu do których przygotowywane są obecnie wstępne wnioski lub w odniesieniu do których nadal trwają prace w terenie i które są obecnie realizowane zgodnie z procesem przewidzianym w karcie audytora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wewnętrznego;</w:t>
      </w:r>
    </w:p>
    <w:p w:rsidR="00B01728" w:rsidRPr="00B9577F" w:rsidRDefault="00B01728" w:rsidP="00B01728">
      <w:pPr>
        <w:pStyle w:val="NormalHanging12a"/>
      </w:pPr>
      <w:r w:rsidRPr="00B9577F">
        <w:t>20.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proces działań następczych w 2022 r. doprowadził do zamknięcia 38 z 92 otwartych działań, w odniesieniu do których uzgodnione terminy wdrożenia już upłynęły; wyraża zaniepokojenie faktem, że na dzień 31 grudnia 2022 r. 29 otwartych działań było opóźnionych o ponad 12 miesięcy; oczekuje, że poszczególne dyrekcje generalne zapewnią zamknięcie zaległych działań bez dalszej zwłoki, a uzgodnione działania zostaną wdrożone zgodnie z terminami określonymi w sprawozdaniu rocznym audytora wewnętrznego;</w:t>
      </w:r>
    </w:p>
    <w:p w:rsidR="00B01728" w:rsidRPr="00B9577F" w:rsidRDefault="00B01728" w:rsidP="00B01728">
      <w:pPr>
        <w:pStyle w:val="NormalHanging12a"/>
      </w:pPr>
      <w:r w:rsidRPr="00B9577F">
        <w:t>21.</w:t>
      </w:r>
      <w:r w:rsidRPr="00B9577F">
        <w:tab/>
      </w:r>
      <w:proofErr w:type="gramStart"/>
      <w:r w:rsidRPr="00B9577F">
        <w:t>uznaje</w:t>
      </w:r>
      <w:proofErr w:type="gramEnd"/>
      <w:r w:rsidRPr="00B9577F">
        <w:t>, że zgodnie z art. 118 ust. 9 rozporządzenia finansowego sprawozdania i ustalenia audytora wewnętrznego oraz sprawozdanie danej instytucji unijnej są udostępniane publicznie niezwłocznie po zatwierdzeniu przez audytora wewnętrznego działań podjętych w celu wdrożenia zaleceń zawartych w tych sprawozdaniach i ustaleniach; odnotowuje, że w praktyce sprawozdania i ustalenia są publikowane dopiero po wdrożeniu wszystkich zaleceń</w:t>
      </w:r>
      <w:r w:rsidR="006350AB" w:rsidRPr="007F0A80">
        <w:t>, co de facto opóźnia publikację o kilka lat; wzywa Prezydium do publicznego udostępniania każdego sprawozdania z audytu wewnętrznego rok po jego sfinalizowaniu, po zatwierdzeniu przez audytora wewnętrznego działań podjętych w celu wdrożenia zalecenia z poprzedniego roku</w:t>
      </w:r>
      <w:r w:rsidRPr="00B9577F">
        <w:t xml:space="preserve">; przypomina, że posłowie mogą mieć dostęp do dokumentów poufnych wyłącznie zgodnie </w:t>
      </w:r>
      <w:proofErr w:type="gramStart"/>
      <w:r w:rsidRPr="00B9577F">
        <w:t>z</w:t>
      </w:r>
      <w:proofErr w:type="gramEnd"/>
      <w:r w:rsidRPr="00B9577F">
        <w:t xml:space="preserve"> przepisami Prezydium, w oparciu o zasadę ograniczonego dostępu; przypomina, że wszyscy członkowie Komisji Kontroli Budżetowej mają prawo zwrócić się o poufny dostęp do sprawozdania z audytu wewnętrznego w odniesieniu do procedury udzielania absolutorium; przyjmuje z zadowoleniem, że audytor wewnętrzny składa Komisji Kontroli Budżetowej sprawozdania z przeprowadzonych corocznych działań audytowych;</w:t>
      </w:r>
    </w:p>
    <w:p w:rsidR="00B01728" w:rsidRPr="00B9577F" w:rsidRDefault="00B01728" w:rsidP="00B01728">
      <w:pPr>
        <w:pStyle w:val="NormalHanging12a"/>
      </w:pPr>
      <w:r w:rsidRPr="00B9577F">
        <w:t>22.</w:t>
      </w:r>
      <w:r w:rsidRPr="00B9577F">
        <w:tab/>
      </w:r>
      <w:proofErr w:type="gramStart"/>
      <w:r w:rsidRPr="00B9577F">
        <w:t>zauważa</w:t>
      </w:r>
      <w:proofErr w:type="gramEnd"/>
      <w:r w:rsidRPr="00B9577F">
        <w:t xml:space="preserve">, że w związku ze stanowiskiem, które pozostało nieobsadzone przez cały rok i było przewidziane dla audytora systemów informacyjnych, w 2022 r. nie można było przeprowadzić jednego planowanego audytu w dziedzinie IT (dotyczącego świadomości pracowników w dziedzinie </w:t>
      </w:r>
      <w:proofErr w:type="spellStart"/>
      <w:r w:rsidRPr="00B9577F">
        <w:t>cyberbezpieczeństwa</w:t>
      </w:r>
      <w:proofErr w:type="spellEnd"/>
      <w:r w:rsidRPr="00B9577F">
        <w:t>); zwraca uwagę na trudności ze znalezieniem konkretnych profili personelu audytowego, w tym w dziedzinie IT, w celu przeprowadzenia zaplanowanych audytów zgodnie z ich wymogami; wzywa Służbę Audytu Wewnętrznego do zajęcia się tą kwestią, aby zapewnić przeprowadzenie zaległego audytu przed kolejnym cyklem udzielania absolutorium;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23.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w ramach programu zapewniania jakości i poprawy jakości na 2022 r. Służba Audytu Wewnętrznego nadal dążyła do wzmocnienia swojej działalności w zakresie zapewniania obiektywnej pewności organom decyzyjnym i nadzorczym, urzędnikom zatwierdzającym i kierownictwu; odnotowuje, że audytor wewnętrzny oświadczył, że nie otrzymał od nikogo żadnych wytycznych ani wskazówek, które mogłyby zagrozić jego niezależności;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Działania w następstwie rezolucji w sprawie absolutorium za rok 2021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24.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pisemne odpowiedzi udzielone Komisji Kontroli Budżetowej Parlamentu 13 września 2023 r. w związku z rezolucją w sprawie absolutorium za rok 2021, wystąpienie sekretarza generalnego dotyczące kwestii zawartych w rezolucji Parlamentu w sprawie absolutorium za rok 2021 oraz wymianę poglądów z posłami, która po nim nastąpiła;</w:t>
      </w:r>
    </w:p>
    <w:p w:rsidR="00B01728" w:rsidRPr="00B9577F" w:rsidRDefault="00B01728" w:rsidP="00B01728">
      <w:pPr>
        <w:pStyle w:val="NormalHanging12a"/>
      </w:pPr>
      <w:r w:rsidRPr="00B9577F">
        <w:lastRenderedPageBreak/>
        <w:t>25.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w sytuacji, gdy na posiedzeniu plenarnym posłowie apelują o wdrożenie przez Parlament różnych przepisów lub środków, zaproponowane przepisy lub środki muszą zostać omówione i poddane pod głosowanie w Prezydium; przypomina, w świetle art. 25 Regulaminu, że do kompetencji Prezydium należy podejmowanie decyzji w sprawach finansowych, organizacyjnych i administracyjnych dotyczących posłów; przypomina, że w skład Prezydium wchodzą: Przewodniczący Parlamentu Europejskiego, 14 wiceprzewodniczących i 5 kwestorów (bez prawa głosu); są oni wybrani demokratycznie przez Parlament; zauważa, że członkowie Prezydium rozpatrują projekt preliminarza budżetowego Parlamentu; przypomina, że absolutorium jest elementem demokratycznej kontroli i że konkretne żądania przyjęte przez zgromadzenie plenarne w rezolucjach w sprawie </w:t>
      </w:r>
      <w:proofErr w:type="gramStart"/>
      <w:r w:rsidRPr="00B9577F">
        <w:t>absolutorium</w:t>
      </w:r>
      <w:proofErr w:type="gramEnd"/>
      <w:r w:rsidRPr="00B9577F">
        <w:t xml:space="preserve"> powinny znaleźć odzwierciedlenie w dyskusjach Prezydium;</w:t>
      </w:r>
    </w:p>
    <w:p w:rsidR="00B01728" w:rsidRPr="00B9577F" w:rsidRDefault="00B01728" w:rsidP="00B01728">
      <w:pPr>
        <w:pStyle w:val="NormalHanging12a"/>
      </w:pPr>
      <w:r w:rsidRPr="00B9577F">
        <w:t>26.</w:t>
      </w:r>
      <w:r w:rsidRPr="00B9577F">
        <w:tab/>
      </w:r>
      <w:proofErr w:type="gramStart"/>
      <w:r w:rsidRPr="00B9577F">
        <w:t>jest</w:t>
      </w:r>
      <w:proofErr w:type="gramEnd"/>
      <w:r w:rsidRPr="00B9577F">
        <w:t xml:space="preserve"> świadomy faktu, że od wybuchu pandemii COVID-19 w marcu 2020 r. do czasu stopniowego znoszenia ograniczeń sanitarnych na początku 2022 r. obrady Prezydium koncentrowały się przede wszystkim na decyzjach mających na celu ochronę integralności posłów i personelu przy jednoczesnym zapewnieniu ciągłości działania i wdrażaniu praktycznych środków solidarności wobec trzech państw członkowskich goszczących Parlament;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Urzędu Przewodniczącego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27.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Dyrekcja Generalna ds. Urzędu Przewodniczącego (DG PRES) zapewnia wiedzę fachową i ułatwia prace legislacyjne i parlamentarne Przewodniczącego PE, zgromadzenia plenarnego i organów zarządzających Parlamentu oraz posłów i posłanek na każdym etapie procesu parlamentarnego i legislacyjnego; przypomina, że odpowiada również za stosunki międzyinstytucjonalne, za wsparcie protokolarne podczas oficjalnych wizyt i wydarzeń sponsorowanych przez Przewodniczącego, za zarządzanie informacjami niejawnymi Unii oraz za zarządzanie korespondencją urzędową i listami poleconymi, a także że odpowiadała za stosunki międzyparlamentarne do listopada 2022 r.; zauważa, że na dzień 31 grudnia 2022 r. w dyrekcji pracowało 364 pracowników, w tym 307 urzędników, 19 pracowników zatrudnionych na czas określony, 37 pracowników kontraktowych i 1 pracownik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agencji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pracy tymczasowej; 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28.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PRES wyniosły w 2022 r. 1 275 565 EUR, co stanowi 0,1 % budżetu Parlamentu; podkreśla, że z tej kwoty zaciągnięto zobowiązania na łączną kwotę 1 169 055,78 EUR; z zadowoleniem przyjmuje wysoki poziom wykorzystania środków;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29.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postępy we wdrażaniu różnych elementów programu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eLegislate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 wykorzystaniem technologii XML w celu szybszego i łatwiejszego sporządzania zarówno poprawek do wniosków ustawodawczych, jak i dokumentów przygotowawczych do międzyinstytucjonalnych negocjacji ustawodawczych; wzywa różne zaangażowane służby do dalszego wzmożenia wysiłków i dopilnowania, aby wszystkie etapy parlamentarnego procesu legislacyjnego były wspomagane narzędziami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eLegislate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od początku procesu legislacyjnego w 10.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kadencji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parlamentarnej;</w:t>
      </w:r>
    </w:p>
    <w:p w:rsidR="00B01728" w:rsidRPr="00B9577F" w:rsidRDefault="00B01728" w:rsidP="00B01728">
      <w:pPr>
        <w:pStyle w:val="NormalHanging12a"/>
        <w:rPr>
          <w:iCs/>
        </w:rPr>
      </w:pPr>
      <w:r w:rsidRPr="00B9577F">
        <w:t>30.</w:t>
      </w:r>
      <w:r w:rsidRPr="00B9577F">
        <w:tab/>
      </w:r>
      <w:proofErr w:type="gramStart"/>
      <w:r w:rsidRPr="00B9577F">
        <w:t>podkreśla</w:t>
      </w:r>
      <w:proofErr w:type="gramEnd"/>
      <w:r w:rsidRPr="00B9577F">
        <w:t xml:space="preserve">, że przejrzystość, odpowiedzialność i uczciwość to podstawowe zasady etyczne obowiązujące w instytucjach Unii, w szczególności w Parlamencie, który jest ośrodkiem europejskiej demokracji; z zadowoleniem przyjmuje szybkie działania podjęte przez Parlament w grudniu 2022 r. w kontekście wydarzeń związanych z </w:t>
      </w:r>
      <w:r w:rsidRPr="00B9577F">
        <w:lastRenderedPageBreak/>
        <w:t xml:space="preserve">podejrzeniami o korupcję wśród posłów i pracowników; z zadowoleniem przyjmuje wkład DG PRES wniesiony na rzecz 14-punktowego planu działania zaproponowanego przez przewodniczącą, a także wysiłki dyrekcji na rzecz wdrożenia nowych przepisów dotyczących uczciwości i przejrzystości; ponadto z zadowoleniem przyjmuje wysiłki władz politycznych Parlamentu na rzecz zwiększenia przejrzystości, uczciwości i rozliczalności w Parlamencie; wzywa administrację do śledzenia budżetowych i finansowych skutków tych </w:t>
      </w:r>
      <w:proofErr w:type="gramStart"/>
      <w:r w:rsidRPr="00B9577F">
        <w:t>środków</w:t>
      </w:r>
      <w:proofErr w:type="gramEnd"/>
      <w:r w:rsidRPr="00B9577F">
        <w:t>; zauważa, że Parlament potwierdza zaufanie do procesu decyzyjnego Unii, bowiem poprzez swoje działania wzmacnia przejrzystość, etykę i dobre postępowanie w najbardziej reprezentatywnej instytucji unijnej;</w:t>
      </w:r>
      <w:r w:rsidR="000D0D7B">
        <w:t xml:space="preserve"> </w:t>
      </w:r>
      <w:r w:rsidRPr="00B9577F">
        <w:t xml:space="preserve">przypomina, że wydarzenia te są powszechnie znane jako </w:t>
      </w:r>
      <w:proofErr w:type="spellStart"/>
      <w:r w:rsidRPr="00B9577F">
        <w:t>Katargate</w:t>
      </w:r>
      <w:proofErr w:type="spellEnd"/>
      <w:r w:rsidRPr="00B9577F">
        <w:t>;</w:t>
      </w:r>
    </w:p>
    <w:p w:rsidR="00B01728" w:rsidRPr="00B9577F" w:rsidRDefault="00B01728" w:rsidP="00B01728">
      <w:pPr>
        <w:pStyle w:val="NormalHanging12a"/>
      </w:pPr>
      <w:r w:rsidRPr="00B9577F">
        <w:t>3</w:t>
      </w:r>
      <w:r w:rsidR="000D0D7B">
        <w:t>1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rok 2022 był pierwszym rokiem pełnego wdrożenia obowiązkowego rejestru służącego przejrzystości na mocy zmienionego porozumienia międzyinstytucjonalnego przyjętego w lipcu 2021 r.</w:t>
      </w:r>
      <w:r w:rsidRPr="00B9577F">
        <w:rPr>
          <w:rStyle w:val="FootnoteReference"/>
        </w:rPr>
        <w:footnoteReference w:id="8"/>
      </w:r>
      <w:r w:rsidRPr="00B9577F">
        <w:t xml:space="preserve"> przez Parlament, Komisję i Radę; zauważa, że porozumienie międzyinstytucjonalne wprowadza pewne zasady mające na celu wzmocnienie wspólnej kultury przejrzystości, ale pozostawia trzem sygnatariuszom wdrożenie warunkowości i późniejszych środków uzupełniających, które uznają za stosowne; zwraca uwagę, że Parlament poprawił warunkowość, natomiast zaangażowanie Rady jest nadal ograniczone;</w:t>
      </w:r>
    </w:p>
    <w:p w:rsidR="00B01728" w:rsidRPr="00B9577F" w:rsidRDefault="00B01728" w:rsidP="00B01728">
      <w:pPr>
        <w:pStyle w:val="NormalHanging12a"/>
      </w:pPr>
      <w:r w:rsidRPr="00B9577F">
        <w:t>3</w:t>
      </w:r>
      <w:r w:rsidR="000D0D7B">
        <w:t>2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 o znaczeniu tego rejestru, który jest kluczowym narzędziem wspierania przejrzystej i etycznej reprezentacji interesów na szczeblu Unii, wprowadzającym obowiązkową rejestrację jako warunek wstępny umożliwiający przedstawicielom grup interesu angażowanie się w określone działania w instytucjach Unii, w tym w Parlamencie; wzywa do zapewnienia wszelkich niezbędnych środków w celu zagwarantowania skutecznego egzekwowania przepisów wewnętrznych związanych z rejestrem służącym przejrzystości, w tym, w razie potrzeby, do nakładania odpowiednich sankcji;</w:t>
      </w:r>
    </w:p>
    <w:p w:rsidR="00B01728" w:rsidRDefault="00B01728" w:rsidP="00B01728">
      <w:pPr>
        <w:pStyle w:val="NormalHanging12a"/>
      </w:pPr>
      <w:r w:rsidRPr="00B9577F">
        <w:t>3</w:t>
      </w:r>
      <w:r w:rsidR="000D0D7B">
        <w:t>3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częstsze wykorzystywanie rejestru służącego przejrzystości jako narzędzia informacyjnego i referencyjnego dla działań związanych z reprezentowaniem interesów na szczeblu Unii, czego dowodem jest wzrost liczby wniosków o rejestrację i większa liczba odwiedzin strony internetowej w ujęciu rok do roku; z zadowoleniem przyjmuje regularne działania w zakresie komunikacji, wsparcia i podnoszenia świadomości, podejmowane przez sekretariat wśród zainteresowanych stron zarówno w instytucjach, jak i poza nimi, a także opracowanie rozwiązań informatycznych w celu poprawy rejestru służącego przejrzystości; przypomina, że konieczne jest dalsze nasilenie kontroli jakości danych nowych wnioskodawców; zauważa, że jakość wpisów do rejestru służącego przejrzystości poprawiła się w ostatnich latach dzięki zwiększonemu ukierunkowanemu monitorowaniu jakości oraz w wyniku dochodzeń prowadzonych przez sekretariat na podstawie skarg lub dochodzeń z własnej inicjatywy, oraz wyraża uznanie dla roli wspólnego sekretariatu w tej poprawie pomimo ograniczonych zasobów</w:t>
      </w:r>
      <w:proofErr w:type="gramStart"/>
      <w:r w:rsidRPr="00B9577F">
        <w:t>;  zauważa</w:t>
      </w:r>
      <w:proofErr w:type="gramEnd"/>
      <w:r w:rsidRPr="00B9577F">
        <w:t xml:space="preserve">, że ukierunkowane kontrole jakości 4 238 wpisów przeprowadzone przez sekretariat w 2022 r. wykazały, że od samego początku 44 % wpisów zapewniało zadowalającą jakość danych (liczba podobna do 2021 r., +4 %), podczas gdy dodatkowe 35,2 % przedstawicieli grup interesu poprawiło informacje w następstwie ukierunkowanych kontroli, a 13,6 % wpisów usunięto w wyniku kontroli ze względu na </w:t>
      </w:r>
      <w:proofErr w:type="spellStart"/>
      <w:r w:rsidRPr="00B9577F">
        <w:t>niekwalifikowalność</w:t>
      </w:r>
      <w:proofErr w:type="spellEnd"/>
      <w:r w:rsidRPr="00B9577F">
        <w:t xml:space="preserve"> lub brak aktualizacji; podkreśla </w:t>
      </w:r>
      <w:r w:rsidRPr="00B9577F">
        <w:lastRenderedPageBreak/>
        <w:t xml:space="preserve">konieczność przeznaczenia dodatkowych środków dla sekretariatu, aby umożliwić kontrolę rejestru służącego przejrzystości w celu zapewnienia </w:t>
      </w:r>
      <w:proofErr w:type="gramStart"/>
      <w:r w:rsidRPr="00B9577F">
        <w:t>jakości</w:t>
      </w:r>
      <w:proofErr w:type="gramEnd"/>
      <w:r w:rsidRPr="00B9577F">
        <w:t xml:space="preserve"> danych; apeluje o rozszerzenie jego zakresu na przedstawicieli państw niebędących członkami UE; zaleca stosowanie rozwiązań informatycznych w celu włączenia rejestru służącego przejrzystości we wszystkie działania Parlamentu z udziałem podmiotów zewnętrznych, aby umożliwić rejestrowanie i śledzenie udziału tych podmiotów za pośrednictwem odpowiednich baz danych;</w:t>
      </w:r>
    </w:p>
    <w:p w:rsidR="006350AB" w:rsidRPr="006350AB" w:rsidRDefault="00BD4ABE" w:rsidP="00B01728">
      <w:pPr>
        <w:pStyle w:val="NormalHanging12a"/>
      </w:pPr>
      <w:r w:rsidRPr="00BD4ABE">
        <w:t>3</w:t>
      </w:r>
      <w:r w:rsidR="000D0D7B">
        <w:t>4</w:t>
      </w:r>
      <w:r w:rsidR="006350AB" w:rsidRPr="007F0A80">
        <w:t>.</w:t>
      </w:r>
      <w:r w:rsidR="006350AB" w:rsidRPr="006350AB">
        <w:tab/>
      </w:r>
      <w:proofErr w:type="gramStart"/>
      <w:r w:rsidR="006350AB" w:rsidRPr="007F0A80">
        <w:t>ponownie</w:t>
      </w:r>
      <w:proofErr w:type="gramEnd"/>
      <w:r w:rsidR="006350AB" w:rsidRPr="007F0A80">
        <w:t xml:space="preserve"> wyraża zaniepokojenie ingerencją zagraniczną na dużą skalę i kampaniami dezinformacyjnymi wymierzonymi w Unię, w szczególności ze strony Rosji; podkreśla, że należy wzmocnić kulturę bezpieczeństwa w Parlamencie; wzywa do zapewnienia obowiązkowych i regularnych szkoleń dla posłów do PE i pracowników, odpowiedniego poświadczenia bezpieczeństwa i wzmocnionej kontroli pracowników, w szczególności pracowników, którzy uczestniczą w posiedzeniach przy drzwiach zamkniętych; apeluje o ściślejszą kontrolę organizowanych wydarzeń, zapraszanych do Parlamentu gości zewnętrznych oraz dostępu do platform komunikacyjnych Parlamentu; wzywa do pilnego przeprowadzenia dochodzenia w sprawie domniemanych rosyjskich wpływów w Parlamencie;</w:t>
      </w:r>
    </w:p>
    <w:p w:rsidR="00B01728" w:rsidRPr="00B9577F" w:rsidRDefault="00B01728" w:rsidP="00B01728">
      <w:pPr>
        <w:pStyle w:val="NormalHanging12a"/>
      </w:pPr>
      <w:r w:rsidRPr="00B9577F">
        <w:t>3</w:t>
      </w:r>
      <w:r w:rsidR="000D0D7B">
        <w:t>5</w:t>
      </w:r>
      <w:r w:rsidRPr="00B9577F">
        <w:t>.</w:t>
      </w:r>
      <w:r w:rsidRPr="00B9577F">
        <w:tab/>
      </w:r>
      <w:proofErr w:type="gramStart"/>
      <w:r w:rsidRPr="00B9577F">
        <w:t>w</w:t>
      </w:r>
      <w:proofErr w:type="gramEnd"/>
      <w:r w:rsidRPr="00B9577F">
        <w:t xml:space="preserve"> związku z wydarzeniami dotyczącymi rzekomej korupcji w Parlamencie Europejskim, które miały miejsce pod koniec 2022 r., wzywa do ustanowienia solidnych standardów przejrzystości i dostępu do instytucji Unii dla wszystkich podmiotów wymienionych w rejestrze służącym przejrzystości; przypomina, że organizacje pozarządowe były rzekomo wykorzystywane jako wektory obcej ingerencji w procesy decyzyjne Parlamentu; ponownie podkreśla w tym kontekście, że należy przeprowadzić kompleksowy wstępny przegląd finansowy wszystkich podmiotów, ujawniający wszystkie źródła ich finansowania, zanim zostaną one wpisane do rejestru służącego przejrzystości; przypomina o obowiązku rejestracji w rejestrze służącym przejrzystości przed uczestnictwem w organizacji wydarzeń i konferencji w pomieszczeniach Parlamentu;</w:t>
      </w:r>
    </w:p>
    <w:p w:rsidR="00B01728" w:rsidRPr="00B9577F" w:rsidRDefault="00B01728" w:rsidP="00B01728">
      <w:pPr>
        <w:pStyle w:val="NormalHanging12a"/>
      </w:pPr>
      <w:r w:rsidRPr="00B9577F">
        <w:t>3</w:t>
      </w:r>
      <w:r w:rsidR="000D0D7B">
        <w:t>6</w:t>
      </w:r>
      <w:r w:rsidRPr="00B9577F">
        <w:t>.</w:t>
      </w:r>
      <w:r w:rsidRPr="00B9577F">
        <w:tab/>
      </w:r>
      <w:proofErr w:type="gramStart"/>
      <w:r w:rsidRPr="00B9577F">
        <w:t>wzywa</w:t>
      </w:r>
      <w:proofErr w:type="gramEnd"/>
      <w:r w:rsidRPr="00B9577F">
        <w:t xml:space="preserve"> Komisję, aby zapewniła możliwość skutecznego śledzenia wszystkich środków finansowych z UE od bezpośredniego odbiorcy po beneficjenta końcowego, gdy środki są przekazywane wzdłuż łańcucha, co odzwierciedlono we wniosku w sprawie przekształcenia rozporządzenia finansowego i o co wnioskowano w sprawozdaniu z własnej inicjatywy „Przejrzystość i odpowiedzialność organizacji pozarządowych finansowanych z budżetu UE” przyjętym 17 stycznia 2024 r.</w:t>
      </w:r>
      <w:r w:rsidRPr="00B9577F">
        <w:rPr>
          <w:rStyle w:val="FootnoteReference"/>
        </w:rPr>
        <w:footnoteReference w:id="9"/>
      </w:r>
      <w:r w:rsidRPr="00B9577F">
        <w:t xml:space="preserve">; wzywa do zmiany wytycznych dotyczących rejestracji w rejestrze służącym przejrzystości w celu ujawniania wszystkich wpływających i wypływających środków, w tym przekazywania środków przez jedną zainteresowaną stronę innej zainteresowanej stronie; podkreśla, że wszystkie rejestrujące się jednostki lub podmioty otrzymujące pieniądze od osób trzecich, które nie mają obowiązku </w:t>
      </w:r>
      <w:proofErr w:type="gramStart"/>
      <w:r w:rsidRPr="00B9577F">
        <w:t>rejestrowania</w:t>
      </w:r>
      <w:proofErr w:type="gramEnd"/>
      <w:r w:rsidRPr="00B9577F">
        <w:t xml:space="preserve"> się w rejestrze służącym przejrzystości, muszą ujawniać źródła swojego finansowania;</w:t>
      </w:r>
    </w:p>
    <w:p w:rsidR="00B01728" w:rsidRDefault="00B01728" w:rsidP="00B01728">
      <w:pPr>
        <w:pStyle w:val="NormalHanging12a"/>
      </w:pPr>
      <w:r w:rsidRPr="00B9577F">
        <w:t>3</w:t>
      </w:r>
      <w:r w:rsidR="000D0D7B">
        <w:t>7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art. 11 Regulaminu zobowiązuje posłów do publikowania informacji o spotkaniach z przedstawicielami grup interesu; z dużym zaniepokojeniem odnotowuje fakt, że w okresie do 26 stycznia 2023 r. 261 obecnych posłów nie poinformowało na stronie internetowej Parlamentu o ani jednym spotkaniu z przedstawicielami grupy interesu; przypomina, że informacje i zawiadomienia przypominające dotyczące obowiązku publikowania informacji o spotkaniach należy wysyłać do wszystkich </w:t>
      </w:r>
      <w:r w:rsidRPr="00B9577F">
        <w:lastRenderedPageBreak/>
        <w:t>posłów w regularnych odstępach czasu;</w:t>
      </w:r>
    </w:p>
    <w:p w:rsidR="006350AB" w:rsidRPr="006350AB" w:rsidRDefault="00BD4ABE" w:rsidP="00B01728">
      <w:pPr>
        <w:pStyle w:val="NormalHanging12a"/>
      </w:pPr>
      <w:r w:rsidRPr="00BD4ABE">
        <w:t>3</w:t>
      </w:r>
      <w:r w:rsidR="000D0D7B">
        <w:t>8</w:t>
      </w:r>
      <w:r w:rsidR="006350AB" w:rsidRPr="007F0A80">
        <w:t>.</w:t>
      </w:r>
      <w:r w:rsidR="006350AB" w:rsidRPr="006350AB">
        <w:tab/>
      </w:r>
      <w:proofErr w:type="gramStart"/>
      <w:r w:rsidR="006350AB" w:rsidRPr="007F0A80">
        <w:t>odnotowuje</w:t>
      </w:r>
      <w:proofErr w:type="gramEnd"/>
      <w:r w:rsidR="006350AB" w:rsidRPr="007F0A80">
        <w:t xml:space="preserve"> zmieniony kodeks postępowania posłów oraz większy nacisk na uczciwość i przejrzystość w odniesieniu do oświadczeń majątkowych posłów, potencjalnego konfliktu interesów, spotkań z przedstawicielami i oświadczeń o podmiotach, od których sprawozdawcy otrzymali informacje; podkreśla, że nowe przepisy są mile widziane, ale ich interpretacja wzbudziła wiele wątpliwości i wymaga działań ze strony administracji Parlamentu i Komitetu ds. Kodeksu Postępowania; podkreśla, że aby posłowie przestrzegali nowych przepisów, konieczna jest jasna i wiarygodna interpretacja, aby zapewnić najwyższy poziom pewności prawa; wzywa do regularnego wysyłania aktualizacji informacji do biur poselskich, aby umożliwić większą widoczność i dostępność;</w:t>
      </w:r>
    </w:p>
    <w:p w:rsidR="00B01728" w:rsidRPr="00B9577F" w:rsidRDefault="000D0D7B" w:rsidP="00B01728">
      <w:pPr>
        <w:pStyle w:val="NormalHanging12a"/>
      </w:pPr>
      <w:r>
        <w:t>39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uważa</w:t>
      </w:r>
      <w:proofErr w:type="gramEnd"/>
      <w:r w:rsidR="00B01728" w:rsidRPr="00B9577F">
        <w:t>, że głosowanie imienne jest kluczowym instrumentem przejrzystości i odpowiedzialności wobec obywateli Unii; wzywa do wprowadzenia automatycznego głosowania imiennego w każdym głosowaniu końcowym, z wyjątkiem głosowań tajnych, oraz do zwiększenia liczby głosowań imiennych, o które może wnioskować grupa polityczna podczas jednej sesji miesięcznej, zgodnie z art. 190 ust. 2, lub do wyłączenia z tego ograniczenia procedur ustawodawczych;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40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odnotowuje udaną organizację wyborów przewodniczącej, wiceprzewodniczących i kwestorów w połowie kadencji w 2022 r. w formie zdalnej, zgodnie z decyzją Konferencji Przewodniczących; uznaje znaczenie systemu głosowania zdalnego na posiedzeniu plenarnym dla pomyślnego przeprowadzenia tak delikatnego i złożonego głosowania tajnego;</w:t>
      </w:r>
    </w:p>
    <w:p w:rsidR="00B01728" w:rsidRPr="00B9577F" w:rsidRDefault="00B01728" w:rsidP="00B01728">
      <w:pPr>
        <w:pStyle w:val="NormalHanging12a"/>
      </w:pPr>
      <w:r w:rsidRPr="00B9577F">
        <w:t>4</w:t>
      </w:r>
      <w:r w:rsidR="000D0D7B">
        <w:t>1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 o zmianach w Regulaminie Parlamentu Europejskiego z 20 grudnia 2020 r. umożliwiających głosowanie zdalne oraz o tym, że głosowanie zdalne nie jest obecnie dozwolone w komisjach, chyba że przewodnicząca stwierdzi istnienie nadzwyczajnych okoliczności; ponawia swój wniosek do Prezydium, kilkakrotnie przyjmowany na szczeblu plenarnym, o umożliwienie posłom korzystania z prawa do głosowania zdalnego podczas urlopu macierzyńskiego lub ojcowskiego, podczas długotrwałej choroby lub w przypadku siły wyższej, co pozwala czerpać korzyści z ogromnego wysiłku administracyjnego i inwestycji finansowych, jakie Parlament poczynił na rzecz rozwiązań technicznych umożliwiających głosowanie zdalne;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DG PRES zdołała zaspokoić potrzeby, które pojawiły się po opracowaniu preliminarza na 2022 r., pomimo zmiennej sytuacji sanitarnej i jej wpływu na poziom działalności parlamentarnej; zauważa, że wygenerowała również nadwyżkę, która mogła zostać wykorzystana na sfinansowanie potrzeb innych dyrekcji generalnych, wynikających z wysokiej inflacji w 2022 r.;</w:t>
      </w:r>
    </w:p>
    <w:p w:rsidR="00B01728" w:rsidRPr="00B9577F" w:rsidRDefault="00B01728" w:rsidP="00B01728">
      <w:pPr>
        <w:pStyle w:val="NormalHanging12a"/>
      </w:pPr>
      <w:r w:rsidRPr="00B9577F">
        <w:t>4</w:t>
      </w:r>
      <w:r w:rsidR="000D0D7B">
        <w:t>3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>, że zgodnie z Traktatem o Unii Europejskiej, w szczególności z Protokołem nr 6 dołączonym do traktatów, Parlament ma siedzibę w Strasburgu, gdzie odbywa się 12 miesięcznych sesji plenarnych, w tym sesja budżetowa; podkreśla, że wstrzymanie sesji w Strasburgu oraz uczestnictwo zdalne są związane z wyjątkowymi okolicznościami pandemii COVID-19; przypomina, że każda zmiana traktatów wymaga jednomyślności państw członkowskich; przypomina, że zdecydowana większość w Parlamencie popiera utworzenie jednej siedziby w celu zapewnienia efektywnego wydatkowania pieniędzy podatników Unii i przyjęcia na siebie instytucjonalnej odpowiedzialności za zmniejszenie śladu węglowego; zauważa, że trwałe zmiany wymagałyby zmiany traktatu;</w:t>
      </w:r>
    </w:p>
    <w:p w:rsidR="00B01728" w:rsidRPr="00B9577F" w:rsidRDefault="00B01728" w:rsidP="00B01728">
      <w:pPr>
        <w:pStyle w:val="NormalHanging12a"/>
      </w:pPr>
      <w:r w:rsidRPr="00B9577F">
        <w:lastRenderedPageBreak/>
        <w:t>4</w:t>
      </w:r>
      <w:r w:rsidR="000D0D7B">
        <w:t>4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według Sekretariatu Generalnego Parlamentu Europejskiego zawieszenie sesji miesięcznych w Strasburgu w czasie pandemii COVID-19 przyczyniło się do całkowitych oszczędności w wysokości 26 260 608 EUR, a także do znacznego zmniejszenia śladu węglowego Parlamentu; podkreśla, że według szacunków Trybunału przeniesienie działalności ze Strasburga do Brukseli mogłoby przynieść oszczędności wynoszące 114 mln EUR rocznie oraz jednorazowe oszczędności w wysokości 616 mln EUR w przypadku sprzedaży budynków w Strasburgu bądź jednorazowy koszt wynoszący 40 mln EUR, gdyby budynki te nie zostały sprzedane</w:t>
      </w:r>
      <w:r w:rsidRPr="00B9577F">
        <w:rPr>
          <w:vertAlign w:val="superscript"/>
        </w:rPr>
        <w:footnoteReference w:id="10"/>
      </w:r>
      <w:r w:rsidRPr="00B9577F">
        <w:t xml:space="preserve">; uważa, że biorąc pod uwagę obecny kryzys klimatyczny, utrzymanie siedziby w Strasburgu jest nieodpowiedzialne; wzywa Radę do uwzględnienia stanowiska Parlamentu i podjęcia pilnych działań w </w:t>
      </w:r>
      <w:proofErr w:type="gramStart"/>
      <w:r w:rsidRPr="00B9577F">
        <w:t>tej</w:t>
      </w:r>
      <w:proofErr w:type="gramEnd"/>
      <w:r w:rsidRPr="00B9577F">
        <w:t xml:space="preserve"> sprawie;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Komunikacji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Dyrekcja Generalna ds. Komunikacji (DG COMM) jest dyrekcją generalną, której pracownicy znajdują się w Brukseli, Strasburgu i biurach kontaktowych w każdym z 27 państw członkowskich, a także w Londynie, w Waszyngtonie (do 1 listopada 2022 r., kiedy te dwa biura kontaktowe PE zostały przeniesione do nowej Dyrekcji Generalnej ds. Partnerstwa na rzecz Demokracji Parlamentarnej) oraz w Domu Jeana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Monneta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Bazoches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(Francja);</w:t>
      </w:r>
    </w:p>
    <w:p w:rsidR="00B01728" w:rsidRDefault="00B01728" w:rsidP="00B01728">
      <w:pPr>
        <w:pStyle w:val="NormalHanging12a"/>
      </w:pPr>
      <w:r w:rsidRPr="00B9577F">
        <w:t>4</w:t>
      </w:r>
      <w:r w:rsidR="000D0D7B">
        <w:t>6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>, że do głównych zadań DG COMM należy współpraca z mediami, informowanie, wyjaśnianie i zwiększanie widoczności prac Parlamentu, podnoszenie świadomości na temat Parlamentu wśród obywateli, zainteresowanych stron i liderów opinii za pośrednictwem biur kontaktowych Parlamentu Europejskiego znajdujących się w państwach członkowskich, wspieranie interakcji z obywatelami poprzez szerzej zakrojone projekty, wydarzenia i kampanie informacyjne dla zwiedzających oraz wzmocnioną obecność w mediach społecznościowych, a także zapewnianie posłom i grupom politycznym wiedzy fachowej na tematy takie jak analizy i strategie medialne i monitorowanie opinii publicznej, a także zwalczanie dezinformacji wszelkimi środkami, zwłaszcza w okresie poprzedzającym wybory;</w:t>
      </w:r>
    </w:p>
    <w:p w:rsidR="00466927" w:rsidRPr="00466927" w:rsidRDefault="00BD4ABE" w:rsidP="00B01728">
      <w:pPr>
        <w:pStyle w:val="NormalHanging12a"/>
      </w:pPr>
      <w:r w:rsidRPr="00BD4ABE">
        <w:t>4</w:t>
      </w:r>
      <w:r w:rsidR="000D0D7B">
        <w:t>7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podkreśla</w:t>
      </w:r>
      <w:proofErr w:type="gramEnd"/>
      <w:r w:rsidR="00466927" w:rsidRPr="007F0A80">
        <w:t>, że Parlament Europejski i inne instytucje Unii muszą dysponować odpowiednimi zasobami w celu zabezpieczenia swojej przestrzeni informacyjnej przed kampaniami manipulowania informacjami, przy jednoczesnym pełnym poszanowaniu wartości Unii;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COMM wyniosły w 2022 r. 121 235 650 EUR, co stanowi 5,6 % budżetu Parlamentu; podkreśla, że z tej kwoty zaciągnięto zobowiązania na łączną kwotę 121 146 177 EUR; z zadowoleniem przyjmuje wysoki poziom wykorzystania środków;</w:t>
      </w:r>
    </w:p>
    <w:p w:rsidR="00B01728" w:rsidRPr="00B9577F" w:rsidRDefault="000D0D7B" w:rsidP="00B01728">
      <w:pPr>
        <w:pStyle w:val="NormalHanging12a"/>
      </w:pPr>
      <w:r>
        <w:t>49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dostrzega</w:t>
      </w:r>
      <w:proofErr w:type="gramEnd"/>
      <w:r w:rsidR="00B01728" w:rsidRPr="00B9577F">
        <w:t xml:space="preserve"> złożony charakter działań DG COMM; dostrzega potrzebę zwiększenia widoczności prac Parlamentu i wzmocnienia zaufania obywateli do instytucji Parlamentu, co wymagałoby zwiększenia budżetu DG COMM;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50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w pierwszych czterech miesiącach 2022 r. na wykonanie budżetu DG COMM nadal miała wpływ pandemia COVID-19, w szczególności w odniesieniu do grup odwiedzających i obiektów dla odwiedzających; zauważa, że znaczna część nadwyżek spowodowanych zawieszeniem działalności została ponownie przydzielona 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innym służbom Parlamentu w celu sfinansowania innych priorytetów i przeciwdziałania wpływowi inflacji na wydatki na personel; zauważa, że na szereg działań DG COMM, takich jak usługi audiowizualne, poważny wpływ wywarł również znaczny wzrost cen;</w:t>
      </w:r>
    </w:p>
    <w:p w:rsidR="00B01728" w:rsidRPr="00B9577F" w:rsidRDefault="000D0D7B" w:rsidP="00B01728">
      <w:pPr>
        <w:pStyle w:val="NormalHanging12a"/>
      </w:pPr>
      <w:r>
        <w:t>51</w:t>
      </w:r>
      <w:r w:rsidR="00B01728" w:rsidRPr="00B9577F">
        <w:t>.</w:t>
      </w:r>
      <w:r w:rsidR="00B01728" w:rsidRPr="00B9577F">
        <w:tab/>
        <w:t>zauważa, że 10 marca 2022 r. przewodnicząca wydała zmienioną decyzję w sprawie środków bezpieczeństwa mających na celu ograniczenie rozprzestrzeniania się COVID-19, co oznaczało przywrócenie fizycznej obecności w przypadku kilku działań, w tym ponowne przyjmowanie grup odwiedzających; z zadowoleniem przyjmuje decyzję o zwiększeniu o 10 % wypłacanego w 2022 r. wkładu finansowego na podróże, zakwaterowanie, posiłki i drobne wydatki lokalne dla zaproszonych grup odwiedzających; wzywa Prezydium do wycofania decyzji o zmniejszeniu rocznego limitu zaproszonych odwiedzających na jednego posła ze 110 do 100 i z 55 do 50 w latach wyborczych; podkreśla, że decyzja o przeniesieniu niewykorzystanego limitu z 2020 r. na lata 2022, 2023 i 2024 pozostała niezmieniona</w:t>
      </w:r>
      <w:proofErr w:type="gramStart"/>
      <w:r w:rsidR="00B01728" w:rsidRPr="00B9577F">
        <w:t>; domaga</w:t>
      </w:r>
      <w:proofErr w:type="gramEnd"/>
      <w:r w:rsidR="00B01728" w:rsidRPr="00B9577F">
        <w:t xml:space="preserve"> się od Prezydium usunięcia akredytowanych </w:t>
      </w:r>
      <w:proofErr w:type="gramStart"/>
      <w:r w:rsidR="00B01728" w:rsidRPr="00B9577F">
        <w:t>asystentów</w:t>
      </w:r>
      <w:proofErr w:type="gramEnd"/>
      <w:r w:rsidR="00B01728" w:rsidRPr="00B9577F">
        <w:t xml:space="preserve"> parlamentarnych z wykazu dozwolonych kierowników grup i pozostawienia w tej roli jedynie członków zaproszonej grupy lub profesjonalistów, takich jak upoważnieni płatnicy czy biura podróży, aby zapobiec nakładaniu na akredytowanych asystentów parlamentarnych odpowiedzialności finansowej, która może opiewać na znaczące kwoty;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następstwie kryzysu energetycznego w Unii znacznie wzrosły ceny podróży i posiłków; odnotowuje planowany przegląd przepisów dotyczących wypłaty dofinansowania zaproszonym grupom odwiedzających;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stopniowe wycofywanie ograniczeń związanych z pandemią COVID-19 w państwach członkowskich umożliwiło biurom kontaktowym PE wznowienie działalności w normalnych warunkach z systematycznym dodawaniem elementów hybrydowych; podkreśla, że w biurach kontaktowych PE zorganizowano szereg działań związanych z Europejskim Rokiem Młodzieży; zauważa, że w państwach członkowskich posłowie są systematycznie zapraszani do udziału w wydarzeniach i działaniach z udziałem mediów, zainteresowanych stron, organizacji społeczeństwa obywatelskiego i społeczności młodzieży; zauważa, że biura kontaktowe promują również udział posłów w wydarzeniach i działaniach stron trzecich;</w:t>
      </w:r>
    </w:p>
    <w:p w:rsidR="00B01728" w:rsidRPr="00B9577F" w:rsidRDefault="00B01728" w:rsidP="00B01728">
      <w:pPr>
        <w:pStyle w:val="NormalHanging12a"/>
      </w:pPr>
      <w:r w:rsidRPr="00B9577F">
        <w:t>5</w:t>
      </w:r>
      <w:r w:rsidR="000D0D7B">
        <w:t>4</w:t>
      </w:r>
      <w:r w:rsidRPr="00B9577F">
        <w:t>.</w:t>
      </w:r>
      <w:r w:rsidRPr="00B9577F">
        <w:tab/>
      </w:r>
      <w:proofErr w:type="gramStart"/>
      <w:r w:rsidRPr="00B9577F">
        <w:t>odnotowuje</w:t>
      </w:r>
      <w:proofErr w:type="gramEnd"/>
      <w:r w:rsidRPr="00B9577F">
        <w:t>, że posłowie mieli możliwość wzięcia udziału w debatach plenarnych z biur kontaktowych PE w państwach członkowskich, w których zostali wybrani, ze względu na wyjątkowe środki mające zastosowanie z powodu pandemii i że działania DG COMM ułatwiły taki udział; z zadowoleniem przyjmuje zwiększone wysiłki DG COMM na rzecz wykorzystania nowych technologii w celu ułatwienia pracy posłom podczas pandemii COVID-19; przyznaje, że zdalny dostęp mediów krajowych do działań komunikacyjnych Parlamentu umożliwił interakcję z obywatelami Unii;</w:t>
      </w:r>
    </w:p>
    <w:p w:rsidR="00B01728" w:rsidRDefault="00B01728" w:rsidP="00B01728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2022 r. DG COMM zakończyła większość prac przygotowawczych przed wyborami europejskimi w 2024 r.; zwraca uwagę, że w 2022 r. Prezydium Parlamentu zatwierdziło strategię komunikacyjną dotyczącą wyborów w 2024 r.; zauważa, że w połowie 2022 r. ogłoszono ogólnoeuropejskie zaproszenie do składania wniosków, które doprowadziło do przyznania 19 dotacji w celu finansowania działań w zakresie budowania zdolności lub działań na rzecz zaangażowania obywateli w związku z wyborami europejskimi;</w:t>
      </w:r>
    </w:p>
    <w:p w:rsidR="00466927" w:rsidRPr="00466927" w:rsidRDefault="00BD4ABE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D4ABE">
        <w:t>5</w:t>
      </w:r>
      <w:r w:rsidR="000D0D7B">
        <w:t>6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z</w:t>
      </w:r>
      <w:proofErr w:type="gramEnd"/>
      <w:r w:rsidR="00466927" w:rsidRPr="007F0A80">
        <w:t xml:space="preserve"> zadowoleniem przyjmuje </w:t>
      </w:r>
      <w:r w:rsidR="000D0D7B">
        <w:t xml:space="preserve">zatwierdzenie </w:t>
      </w:r>
      <w:r w:rsidR="00466927" w:rsidRPr="007F0A80">
        <w:t xml:space="preserve">europejskiego aktu o wolności mediów, który ma na celu wprowadzenie nowego zbioru przepisów promujących pluralizm i </w:t>
      </w:r>
      <w:r w:rsidR="00466927" w:rsidRPr="007F0A80">
        <w:lastRenderedPageBreak/>
        <w:t>niezależność mediów w całej Unii; jest zdania, że stanowi on dodatkowe narzędzie w ramach ciągłych wysiłków Unii na rzecz zwalczania systematycznych kampanii zagranicznych manipulacji informacjami i ingerencji w informacje, mających na celu destabilizację Unii;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centra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to pozytywne przedsięwzięcie umożliwiające promowanie pracy Unii i wyjaśnianie obywatelom polityki Unii; z satysfakcją odnotowuje zwiększoną liczbę wizyt w centrach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w ciągu ostatnich dwóch lat; zauważa, że centra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przyjmują co miesiąc tysiące odwiedzających; zauważa, że pomimo kryzysu inflacyjnego w 2022 r. otwarto dwa nowe centra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(w Paryżu i Rzymie), co umożliwiło biurom kontaktowym skorzystanie z różnych możliwości komunikacyjnych i rozszerzenie ich sieci; odnotowuje, że do końca 2022 r. zrealizowano ponad 80 % celów dotyczących uruchamiania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01728" w:rsidRDefault="00B01728" w:rsidP="00B01728">
      <w:pPr>
        <w:pStyle w:val="NormalHanging12a"/>
      </w:pPr>
      <w:r w:rsidRPr="00B9577F">
        <w:t>5</w:t>
      </w:r>
      <w:r w:rsidR="000D0D7B">
        <w:t>8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 o toczącej się walce, w którą zaangażowana jest Unia, na rzecz ochrony europejskich wartości i utrzymania integralności naszych procesów demokratycznych; z zadowoleniem przyjmuje działania podjęte przez Parlament w dążeniu do realizacji tych celów oraz walkę z dezinformacją i manipulacją informacjami; wzywa do nasilenia tych działań w świetle zbliżających się wyborów europejskich, a także w szczególności wzywa DG COMM do dalszego opracowywania i wdrażania skutecznych strategii przeciwdziałania dezinformacji i manipulacji informacjami, zwłaszcza w kontekście wyborów; podkreśla, że jedną z najpotężniejszych broni w walce z dezinformacją jest pozytywna, oparta na faktach komunikacja na temat działań Parlamentu;</w:t>
      </w:r>
    </w:p>
    <w:p w:rsidR="00466927" w:rsidRPr="00466927" w:rsidRDefault="000D0D7B" w:rsidP="00B01728">
      <w:pPr>
        <w:pStyle w:val="NormalHanging12a"/>
      </w:pPr>
      <w:r>
        <w:t>59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uważa</w:t>
      </w:r>
      <w:proofErr w:type="gramEnd"/>
      <w:r w:rsidR="00466927" w:rsidRPr="007F0A80">
        <w:t>, że możliwość dostępu do zasobów Parlamentu, takich jak studia nagrań wideo lub inne platformy komunikacyjne, nie może być wykorzystywana do podważania wartości Unii ani do rozpowszechniania wrogich informacji przez reżimy autorytarne;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Personelu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60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Dyrekcja Generalna ds. Personelu (DG PERS) jest odpowiedzialna za odpowiednie i skuteczne zarządzanie zasobami ludzkimi w Parlamencie i zapewnia posłom wsparcie wysoko wykwalifikowanej siły roboczej, aby umożliwić im należyte wykonywanie mandatu;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61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PERS wyniosły w 2022 r. 1 090 141 584 EUR, co stanowi 50,4 % budżetu Parlamentu; podkreśla, że z tej kwoty zaciągnięto zobowiązania na łączną kwotę 1 087 939 413 EUR; z zadowoleniem przyjmuje wysoki poziom wykorzystania środków;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62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2022 r. Parlament zatrudnił mniej urzędników po konkursach organizowanych przez Europejski Urząd Doboru Kadr (EPSO) (48 urzędników) niż po konkursach wewnętrznych i otwartych organizowanych przez Parlament (139 urzędników); ubolewa, że EPSO napotkało różne problemy z nadzorowaniem testów online i systemem językowym konkursów; dostrzega ogólne trudności napotykane przez DG PERS i inne dyrekcje generalne w przyciąganiu i zatrzymywaniu talentów, co ma wpływ na wyniki pracowników Parlamentu; apeluje o bardziej skuteczne, lepiej ukierunkowane i krótsze procedury naboru, które doprowadziłyby do zwiększenia atrakcyjności Parlamentu jako pracodawcy i umożliwiłyby dyrekcjom generalnym szybkie rekrutowanie profili specjalistycznych niezbędnych do wspierania ich pracy;</w:t>
      </w:r>
    </w:p>
    <w:p w:rsidR="00B01728" w:rsidRPr="00B9577F" w:rsidRDefault="000D0D7B" w:rsidP="00B01728">
      <w:pPr>
        <w:pStyle w:val="NormalHanging12a"/>
      </w:pPr>
      <w:r>
        <w:lastRenderedPageBreak/>
        <w:t>63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podkreśla</w:t>
      </w:r>
      <w:proofErr w:type="gramEnd"/>
      <w:r w:rsidR="00B01728" w:rsidRPr="00B9577F">
        <w:t>, że zapewnienie sprawiedliwej równowagi geograficznej jest ważnym elementem tworzenia prawdziwie europejskiej służby publicznej; zauważa, że na przestrzeni lat Parlament podjął szereg środków w tym zakresie; zauważa, że można jeszcze poprawić sytuację; zauważa, że Prezydium stworzyło ramy prawne dla organizacji konkursów dla poszczególnych krajów i postanowiło zorganizować pierwszy z takich konkursów; podkreśla, że konkursy powinny zawsze opierać się na przygotowaniu zawodowym kandydata, niezależnie od jego wieku, płci czy religii;</w:t>
      </w:r>
    </w:p>
    <w:p w:rsidR="00B01728" w:rsidRPr="00B9577F" w:rsidRDefault="00B01728" w:rsidP="00B01728">
      <w:pPr>
        <w:pStyle w:val="NormalHanging12a"/>
      </w:pPr>
      <w:r w:rsidRPr="00B9577F">
        <w:t>6</w:t>
      </w:r>
      <w:r w:rsidR="000D0D7B">
        <w:t>4</w:t>
      </w:r>
      <w:r w:rsidRPr="00B9577F">
        <w:t>.</w:t>
      </w:r>
      <w:r w:rsidRPr="00B9577F">
        <w:tab/>
        <w:t>przypomina, że 13 stycznia 2020 r. Prezydium zatwierdziło nowe i bardziej ambitne cele dotyczące równowagi płci na stanowiskach kierowniczych wyższego i średniego szczebla w administracji Parlamentu; cele te mają zostać osiągnięte do 2024 r. i zakładają, że kobiety powinny zajmować 50 % stanowisk kierowników działów, 50 % stanowisk dyrektorów i 40 % stanowisk dyrektorów generalnych</w:t>
      </w:r>
      <w:proofErr w:type="gramStart"/>
      <w:r w:rsidRPr="00B9577F">
        <w:t>; przypomina</w:t>
      </w:r>
      <w:proofErr w:type="gramEnd"/>
      <w:r w:rsidRPr="00B9577F">
        <w:t xml:space="preserve">, że opracowano następnie plan działania w sprawie równości płci na lata 2021–2022, mający na celu ułatwienie wdrażania tych celów, a także kompleksowe uwzględnienie problematyki płci we wszystkich działaniach Parlamentu, który to plan został zatwierdzony przez Prezydium 6 lipca 2020 r.; zauważa, że w 2022 r. kobiety zajmowały 28,6 % stanowisk dyrektorów generalnych; z zadowoleniem przyjmuje fakt, że kobiety zajmowały 50,8 % </w:t>
      </w:r>
      <w:proofErr w:type="gramStart"/>
      <w:r w:rsidRPr="00B9577F">
        <w:t>stanowisk</w:t>
      </w:r>
      <w:proofErr w:type="gramEnd"/>
      <w:r w:rsidRPr="00B9577F">
        <w:t xml:space="preserve"> dyrektorskich i 43,5 % stanowisk kierowników działów;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przyznaje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kilka dyrekcji generalnych wyraziło obawy dotyczące przyciągania talentów i wyspecjalizowanych profili, które są niezbędne do prowadzenia podstawowej działalności Parlamentu; zauważa, że ewentualną internalizację można rozważyć jedynie w odniesieniu do usług, które są niezbędne; podkreśla, że niektóre usługi są wykonywane przez usługodawców zewnętrznych ze względu na ich specyficzny charakter, który nie spełnia warunków internalizacji; jest zatem zdania, że internalizacja usług niespełniających tych warunków nie powinna być brana pod uwagę przez organy zarządzające;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pracę wykonaną przez DG PERS z akredytowanymi asystentami parlamentarnymi; podkreśla, że punkt informacyjny (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Infodesk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) DG PERS zorganizował 85 sesji informacyjnych dla urzędników, pracowników zatrudnionych na czas określony, pracowników kontraktowych i akredytowanych asystentów parlamentarnych, a także sześć seminariów internetowych poświęconych emeryturze oraz 14 sesji informacyjnych dla nowych stażystów posłów; z zadowoleniem przyjmuje prace Działu Front Office dla Akredytowanych Asystentów Parlamentarnych związane z rekrutacją i zarządzaniem umowami akredytowanych asystentów parlamentarnych oraz pełnienie przez ten dział roli punktu kontaktowego w odniesieniu do wszystkich powiązanych pytań i procedur; zauważa, że dział ten odpowiedział na 12 405 wniosków o udzielenie informacji, w tym na temat rekrutacji,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zmiany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umowy, przedłużenia, rezygnacji i rozwiązania umowy; zauważa z zadowoleniem, że 100 % umów z akredytowanymi asystentami parlamentarnymi sporządzono w ciągu 10 dni roboczych;</w:t>
      </w:r>
    </w:p>
    <w:p w:rsidR="00B01728" w:rsidRPr="00B9577F" w:rsidRDefault="00B01728" w:rsidP="00B01728">
      <w:pPr>
        <w:pStyle w:val="NormalHanging12a"/>
      </w:pPr>
      <w:r w:rsidRPr="00B9577F">
        <w:t>6</w:t>
      </w:r>
      <w:r w:rsidR="000D0D7B">
        <w:t>7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odnotowuje, że – zgodnie z wnioskiem zawartym w rezolucji w sprawie absolutorium za 2021 r. – na posiedzeniu 10 lipca 2023 r. Prezydium zwróciło się o wprowadzenie możliwości negocjowanego rozwiązania umowy między posłem a jego akredytowanym asystentem parlamentarnym w przypadkach, w których konieczne jest rozwiązanie umowy z akredytowanym asystentem parlamentarnym z powodów innych niż utrata zaufania;</w:t>
      </w:r>
    </w:p>
    <w:p w:rsidR="00B01728" w:rsidRPr="00B9577F" w:rsidRDefault="00B01728" w:rsidP="00B01728">
      <w:pPr>
        <w:pStyle w:val="NormalHanging12a"/>
      </w:pPr>
      <w:r w:rsidRPr="00B9577F">
        <w:t>6</w:t>
      </w:r>
      <w:r w:rsidR="000D0D7B">
        <w:t>8</w:t>
      </w:r>
      <w:r w:rsidRPr="00B9577F">
        <w:t>.</w:t>
      </w:r>
      <w:r w:rsidRPr="00B9577F">
        <w:tab/>
        <w:t xml:space="preserve">przyznaje, że praca akredytowanych asystentów parlamentarnych stanowi integralną </w:t>
      </w:r>
      <w:r w:rsidRPr="00B9577F">
        <w:lastRenderedPageBreak/>
        <w:t xml:space="preserve">część pracy posłów oraz że odgrywają oni ważną rolę w procedurach legislacyjnych Unii; zauważa, że po przyjęciu statutu akredytowanych asystentów parlamentarnych w 2009 </w:t>
      </w:r>
      <w:proofErr w:type="gramStart"/>
      <w:r w:rsidRPr="00B9577F">
        <w:t>r.  z</w:t>
      </w:r>
      <w:proofErr w:type="gramEnd"/>
      <w:r w:rsidRPr="00B9577F">
        <w:t xml:space="preserve"> upływem lat </w:t>
      </w:r>
      <w:r w:rsidR="00466927" w:rsidRPr="007F0A80">
        <w:t>wzrasta uznanie dla ich pracy</w:t>
      </w:r>
      <w:r w:rsidRPr="00B9577F">
        <w:t>; odnotowuje wysiłki podjęte przez Parlament w celu stworzenia ram zapewniających wsparcie akredytowanym asystentom parlamentarnym</w:t>
      </w:r>
      <w:r w:rsidR="00466927" w:rsidRPr="007F0A80">
        <w:t>; wzywa Prezydium Parlamentu Europejskiego i administrację Parlamentu do regularnego i formalnego konsultowania się z Komitetem Akredytowanych Asystentów Parlamentarnych w sprawie zmian i reform, które mają bezpośredni wpływ na prawa akredytowanych asystentów parlamentarnych</w:t>
      </w:r>
      <w:r w:rsidRPr="00B9577F">
        <w:t xml:space="preserve">; apeluje o należyte przestrzeganie obowiązujących przepisów; wzywa administrację Parlamentu do zbadania możliwości wprowadzenia w umowach </w:t>
      </w:r>
      <w:proofErr w:type="gramStart"/>
      <w:r w:rsidRPr="00B9577F">
        <w:t>akredytowanych</w:t>
      </w:r>
      <w:proofErr w:type="gramEnd"/>
      <w:r w:rsidRPr="00B9577F">
        <w:t xml:space="preserve"> asystentów parlamentarnych okresu wypowiedzenia w przypadku nieoczekiwanego odejścia posła, zarówno dobrowolnego, jak i wymuszonego;</w:t>
      </w:r>
      <w:r w:rsidRPr="00B9577F">
        <w:rPr>
          <w:b/>
          <w:i/>
        </w:rPr>
        <w:t> </w:t>
      </w:r>
    </w:p>
    <w:p w:rsidR="00B01728" w:rsidRPr="00B9577F" w:rsidRDefault="000D0D7B" w:rsidP="00B01728">
      <w:pPr>
        <w:pStyle w:val="NormalHanging12a"/>
      </w:pPr>
      <w:r>
        <w:t>69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 xml:space="preserve">, że akredytowani asystenci parlamentarni uczestniczą w oficjalnych wyjazdach służbowych do trzech miejsc pracy Parlamentu; odnotowuje, że 11 grudnia 2023 r. Prezydium przyjęło zmiany do „Przepisów wykonawczych do tytułu VII Warunków zatrudnienia innych pracowników Unii Europejskiej” regulujące zatrudnienie akredytowanych asystentów parlamentarnych; zauważa, że zgodnie z tą decyzją zasady mające zastosowanie do podróży służbowych podejmowanych przez urzędników i innych pracowników Parlamentu będą miały zastosowanie odpowiednio do akredytowanych asystentów parlamentarnych; zauważa, że jeżeli akredytowani asystenci parlamentarni posiadają zatwierdzone polecenie wyjazdu służbowego do Strasburga podczas sesji plenarnych Parlamentu Europejskiego, mogą tam podróżować pociągiem czarterowym; zauważa, że w przypadku zapełnienia wyczarterowanych pociągów </w:t>
      </w:r>
      <w:proofErr w:type="spellStart"/>
      <w:r w:rsidR="00B01728" w:rsidRPr="00B9577F">
        <w:t>Eurostar</w:t>
      </w:r>
      <w:proofErr w:type="spellEnd"/>
      <w:r w:rsidR="00B01728" w:rsidRPr="00B9577F">
        <w:t xml:space="preserve"> akredytowanym asystentom parlamentarnym </w:t>
      </w:r>
      <w:proofErr w:type="gramStart"/>
      <w:r w:rsidR="00B01728" w:rsidRPr="00B9577F">
        <w:t>oferuje</w:t>
      </w:r>
      <w:proofErr w:type="gramEnd"/>
      <w:r w:rsidR="00B01728" w:rsidRPr="00B9577F">
        <w:t xml:space="preserve"> się znacznie gorsze i mniej niezawodne opcje podróży niż innym członkom personelu Parlamentu; wzywa Parlament do zbadania potrzeby wprowadzenia dodatkowego pociągu; ponownie podkreśla, że akredytowani asystenci parlamentarni towarzyszący posłom podczas sesji miesięcznych w Strasburgu powinni otrzymać polecenie wyjazdu służbowego i otrzymać zwrot kosztów zgodnie z obowiązującymi przepisami;</w:t>
      </w:r>
    </w:p>
    <w:p w:rsidR="00B01728" w:rsidRPr="00B9577F" w:rsidRDefault="000D0D7B" w:rsidP="00B01728">
      <w:pPr>
        <w:pStyle w:val="NormalHanging12a"/>
      </w:pPr>
      <w:r>
        <w:t>70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>, że decyzja Prezydium w sprawie mających zastosowanie przepisów dotyczących wizyt komisji parlamentarnych poza trzema miejscami pracy PE, zmieniona w listopadzie 2011 r. w następstwie dyskusji na posiedzeniu Konferencji Przewodniczących w kwietniu 2011 r. i na posiedzeniu Prezydium w listopadzie 2011 r., zabrania obecnie akredytowanym asystentom parlamentarnym towarzyszenia posłom podczas oficjalnych delegacji Parlamentu i wizyt komisji parlamentarnych; zauważa, że pozwalanie akredytowanym asystentom parlamentarnym na nieoficjalne uczestnictwo w wizytach PE naraża Parlament na poważne ryzyko utraty reputacji i wiąże się ze szczególnymi wyzwaniami w odniesieniu do ochrony ubezpieczeniowej asystentów; przypomina, że posłom do PE już teraz towarzyszą w tych wyjazdach przedstawiciele grup politycznych</w:t>
      </w:r>
      <w:r w:rsidR="00466927" w:rsidRPr="007F0A80">
        <w:t xml:space="preserve">, ale </w:t>
      </w:r>
      <w:proofErr w:type="gramStart"/>
      <w:r w:rsidR="00466927" w:rsidRPr="007F0A80">
        <w:t>zwraca</w:t>
      </w:r>
      <w:proofErr w:type="gramEnd"/>
      <w:r w:rsidR="00466927" w:rsidRPr="007F0A80">
        <w:t xml:space="preserve"> uwagę, że wsparcie techniczne zapewniane przez akredytowanych asystentów parlamentarnych podczas wyjazdów służbowych ma kluczowe znaczenie dla uczestniczących posłów;</w:t>
      </w:r>
      <w:r w:rsidR="00466927" w:rsidRPr="00466927">
        <w:t xml:space="preserve"> </w:t>
      </w:r>
      <w:r w:rsidR="00466927" w:rsidRPr="007F0A80">
        <w:t>ponawia swój od dawna zgłaszany apel o umożliwienie akredytowanym asystentom parlamentarnym – pod pewnymi warunkami, które należy jeszcze określić – towarzyszenia posłom w oficjalnych delegacjach i misjach Parlamentu poza trzema miejscami pracy, co zostało podkreślone przez zgromadzenie plenarne w kilku rezolucjach w sprawie absolutorium; wzywa Prezydium i Konferencję Przewodniczących do pozytywnego ustosunkowania się do tego żądania</w:t>
      </w:r>
      <w:r w:rsidR="00B01728" w:rsidRPr="00B9577F">
        <w:t>;</w:t>
      </w:r>
    </w:p>
    <w:p w:rsidR="00B01728" w:rsidRPr="00B9577F" w:rsidRDefault="000D0D7B" w:rsidP="00B01728">
      <w:pPr>
        <w:pStyle w:val="NormalHanging12a"/>
      </w:pPr>
      <w:r>
        <w:t>71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przypomina</w:t>
      </w:r>
      <w:proofErr w:type="gramEnd"/>
      <w:r w:rsidR="00B01728" w:rsidRPr="00B9577F">
        <w:t xml:space="preserve">, że akredytowani asystenci parlamentarni, niezależnie od doświadczenia i </w:t>
      </w:r>
      <w:r w:rsidR="00B01728" w:rsidRPr="00B9577F">
        <w:lastRenderedPageBreak/>
        <w:t xml:space="preserve">kwalifikacji, są wykluczeni z udziału w wewnętrznych konkursach Parlamentu Europejskiego; zwraca się do Prezydium o zbadanie możliwości przyznania akredytowanym asystentom parlamentarnym takich samych możliwości, na sprawiedliwych zasadach i zgodnie z kryteriami ustalonymi przez odpowiednie dyrekcje generalne, aby umożliwić im – na warunkach, które jeszcze należy określić – udział w konkursach wewnętrznych na równi z personelem Parlamentu Europejskiego; zauważa, że dzięki wieloletniemu doświadczeniu akredytowani asystenci parlamentarni dogłębnie rozumieją polityczne i techniczne niuanse związane z wykonywaniem mandatu posła do Parlamentu Europejskiego, a także różne procedury prawne Unii; podkreśla, że większe zaangażowanie akredytowanych asystentów parlamentarnych w </w:t>
      </w:r>
      <w:proofErr w:type="gramStart"/>
      <w:r w:rsidR="00B01728" w:rsidRPr="00B9577F">
        <w:t>wewnętrzne</w:t>
      </w:r>
      <w:proofErr w:type="gramEnd"/>
      <w:r w:rsidR="00B01728" w:rsidRPr="00B9577F">
        <w:t xml:space="preserve"> struktury Parlamentu może zapewnić bardziej </w:t>
      </w:r>
      <w:proofErr w:type="spellStart"/>
      <w:r w:rsidR="00B01728" w:rsidRPr="00B9577F">
        <w:t>inkluzywną</w:t>
      </w:r>
      <w:proofErr w:type="spellEnd"/>
      <w:r w:rsidR="00B01728" w:rsidRPr="00B9577F">
        <w:t>, zróżnicowaną i wyważoną geograficznie strukturę personelu; podkreśla znaczenie zatrzymywania i transferu wiedzy w Parlamencie Europejskim w odniesieniu do wewnętrznych metod pracy;</w:t>
      </w:r>
    </w:p>
    <w:p w:rsidR="00B01728" w:rsidRPr="00B9577F" w:rsidRDefault="000D0D7B" w:rsidP="00B01728">
      <w:pPr>
        <w:pStyle w:val="NormalHanging12a"/>
      </w:pPr>
      <w:r>
        <w:t>72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>, że okres karencji mający zastosowanie do akredytowanych asystentów parlamentarnych jest co najmniej dwa razy dłuższy niż okres karencji mający zastosowanie do posłów do Parlamentu Europejskiego; zachęca do dyskusji na temat harmonizacji okresu karencji dla pracowników Parlamentu Europejskiego;</w:t>
      </w:r>
    </w:p>
    <w:p w:rsidR="00B01728" w:rsidRPr="00B9577F" w:rsidRDefault="00B01728" w:rsidP="00B01728">
      <w:pPr>
        <w:pStyle w:val="NormalHanging12a"/>
      </w:pPr>
      <w:r w:rsidRPr="00B9577F">
        <w:t>7</w:t>
      </w:r>
      <w:r w:rsidR="000D0D7B">
        <w:t>3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postępy osiągnięte w przeglądzie przepisów regulujących zatrudnianie akredytowanych asystentów parlamentarnych; z zadowoleniem przyjmuje pozytywną harmonizację, jaką decyzja ta przynosi pracownikom; z zadowoleniem przyjmuje porozumienie osiągnięte w sprawie rozwiązywania umów między akredytowanymi asystentami parlamentarnymi a posłami do Parlamentu Europejskiego za porozumieniem stron; z zadowoleniem przyjmuje ujednolicenie zasad dotyczących dodatków na podróże służbowe akredytowanych asystentów parlamentarnych i pracowników; z zadowoleniem przyjmuje aktualizację obowiązkowych szkoleń dla akredytowanych asystentów parlamentarnych po rozpoczęciu przez nich pracy; z zadowoleniem przyjmuje przegląd przepisów dotyczących macierzyństwa w odniesieniu do akredytowanych asystentów parlamentarnych w celu bardziej efektywnego wykorzystywania zasobów przez posłów do Parlamentu Europejskiego; wyraża uznanie </w:t>
      </w:r>
      <w:proofErr w:type="gramStart"/>
      <w:r w:rsidRPr="00B9577F">
        <w:t>dla</w:t>
      </w:r>
      <w:proofErr w:type="gramEnd"/>
      <w:r w:rsidRPr="00B9577F">
        <w:t xml:space="preserve"> Prezydium Parlamentu Europejskiego za uwzględnianie w ostatnich latach wniosków zgłoszonych na posiedzeniu plenarnym Parlamentu Europejskiego i uwag komitetu APA; zachęca Prezydium PE do dalszej konstruktywnej współpracy z komitetem APA nad innymi nierozstrzygniętymi kwestiami;</w:t>
      </w:r>
    </w:p>
    <w:p w:rsidR="0076760E" w:rsidRDefault="00B01728" w:rsidP="00B01728">
      <w:pPr>
        <w:pStyle w:val="NormalHanging12a"/>
      </w:pPr>
      <w:r w:rsidRPr="00B9577F">
        <w:t>7</w:t>
      </w:r>
      <w:r w:rsidR="000D0D7B">
        <w:t>4</w:t>
      </w:r>
      <w:r w:rsidRPr="00B9577F">
        <w:t>.</w:t>
      </w:r>
      <w:r w:rsidRPr="00B9577F">
        <w:tab/>
      </w:r>
      <w:proofErr w:type="gramStart"/>
      <w:r w:rsidRPr="00B9577F">
        <w:t>w</w:t>
      </w:r>
      <w:proofErr w:type="gramEnd"/>
      <w:r w:rsidRPr="00B9577F">
        <w:t xml:space="preserve"> celu zwiększenia przejrzystości i odpowiedzialności w działaniach Parlamentu Europejskiego oraz promowania sprawiedliwego podziału zasobów proponuje następujące zmiany dotyczące pomocy parlamentarnej oraz ogólnych pułapów i budżetu: </w:t>
      </w:r>
    </w:p>
    <w:p w:rsidR="0076760E" w:rsidRDefault="00B01728" w:rsidP="0076760E">
      <w:pPr>
        <w:pStyle w:val="NormalHanging12a"/>
        <w:ind w:left="1134"/>
      </w:pPr>
      <w:r w:rsidRPr="00B9577F">
        <w:t xml:space="preserve">1. </w:t>
      </w:r>
      <w:r w:rsidR="0076760E">
        <w:tab/>
      </w:r>
      <w:proofErr w:type="gramStart"/>
      <w:r w:rsidRPr="00B9577F">
        <w:t>minimalny</w:t>
      </w:r>
      <w:proofErr w:type="gramEnd"/>
      <w:r w:rsidRPr="00B9577F">
        <w:t xml:space="preserve"> przydział środków z budżetu na pomoc parlamentarną (akredytowanych asystentów parlamentarnych) powinien wynosić co najmniej 35 %; </w:t>
      </w:r>
    </w:p>
    <w:p w:rsidR="0076760E" w:rsidRDefault="00B01728" w:rsidP="0076760E">
      <w:pPr>
        <w:pStyle w:val="NormalHanging12a"/>
        <w:ind w:left="1134"/>
      </w:pPr>
      <w:r w:rsidRPr="00B9577F">
        <w:t xml:space="preserve">2. </w:t>
      </w:r>
      <w:r w:rsidR="0076760E">
        <w:tab/>
      </w:r>
      <w:proofErr w:type="gramStart"/>
      <w:r w:rsidRPr="00B9577F">
        <w:t>maksymalny</w:t>
      </w:r>
      <w:proofErr w:type="gramEnd"/>
      <w:r w:rsidRPr="00B9577F">
        <w:t xml:space="preserve"> przydział środków na innych beneficjentów powinien wynosić 65 % i być dzielony w następujący sposób: </w:t>
      </w:r>
    </w:p>
    <w:p w:rsidR="0076760E" w:rsidRDefault="0076760E" w:rsidP="0076760E">
      <w:pPr>
        <w:pStyle w:val="NormalHanging12a"/>
        <w:ind w:left="1701"/>
      </w:pPr>
      <w:proofErr w:type="gramStart"/>
      <w:r>
        <w:t>a</w:t>
      </w:r>
      <w:proofErr w:type="gramEnd"/>
      <w:r>
        <w:t>)</w:t>
      </w:r>
      <w:r w:rsidR="00B01728" w:rsidRPr="00B9577F">
        <w:t xml:space="preserve"> </w:t>
      </w:r>
      <w:r>
        <w:tab/>
      </w:r>
      <w:r w:rsidR="00B01728" w:rsidRPr="00B9577F">
        <w:t xml:space="preserve">przydział środków z budżetu na usługodawców powinien wynosić maksymalnie 25 %, </w:t>
      </w:r>
    </w:p>
    <w:p w:rsidR="0076760E" w:rsidRDefault="00B01728" w:rsidP="0076760E">
      <w:pPr>
        <w:pStyle w:val="NormalHanging12a"/>
        <w:ind w:left="1701"/>
      </w:pPr>
      <w:proofErr w:type="gramStart"/>
      <w:r w:rsidRPr="00B9577F">
        <w:lastRenderedPageBreak/>
        <w:t>b</w:t>
      </w:r>
      <w:proofErr w:type="gramEnd"/>
      <w:r w:rsidRPr="00B9577F">
        <w:t xml:space="preserve">) </w:t>
      </w:r>
      <w:r w:rsidR="0076760E">
        <w:tab/>
      </w:r>
      <w:r w:rsidRPr="00B9577F">
        <w:t xml:space="preserve">przydział środków z budżetu na asystentów krajowych powinien wynosić maksymalnie 25 %, </w:t>
      </w:r>
    </w:p>
    <w:p w:rsidR="00B01728" w:rsidRPr="00B9577F" w:rsidRDefault="00B01728" w:rsidP="0076760E">
      <w:pPr>
        <w:pStyle w:val="NormalHanging12a"/>
        <w:ind w:left="1701"/>
      </w:pPr>
      <w:proofErr w:type="gramStart"/>
      <w:r w:rsidRPr="00B9577F">
        <w:t>c</w:t>
      </w:r>
      <w:proofErr w:type="gramEnd"/>
      <w:r w:rsidRPr="00B9577F">
        <w:t xml:space="preserve">) </w:t>
      </w:r>
      <w:r w:rsidR="0076760E">
        <w:tab/>
      </w:r>
      <w:r w:rsidRPr="00B9577F">
        <w:t>przydział środków z budżetu na stażystów powinien wynosić maksymalnie 15 %;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po dwóch edycjach programu rekrutacji i rozwoju im. Schumana, który sfinalizowano w 2022 r., w 2022 r. zatrudniono 16 % kandydatów spośród osób umieszczonych na liście rezerwowej; podkreśla, że działanie to zaowocowało rekrutacją 50 laureatów z 16 różnych państw członkowskich; zauważa, że spośród tych państw członkowskich dziewięć państw, które reprezentowali nieliczni lub bardzo nieliczni pracownicy, jest obecnie lepiej reprezentowanych i to z tych krajów pochodzi 70 % odnośnych laureatów; podkreśla utworzenie sieci byłych stażystów Parlamentu zatwierdzonej przez sekretarza generalnego pod koniec 2022 r.;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DG PERS wdrożyła program działań pozytywnych dla kandydatów z niepełnosprawnościami, co doprowadziło do znacznie większej liczby zgłoszeń niż w poprzednich latach;</w:t>
      </w:r>
    </w:p>
    <w:p w:rsidR="00B01728" w:rsidRPr="00B9577F" w:rsidRDefault="00B01728" w:rsidP="00B01728">
      <w:pPr>
        <w:pStyle w:val="NormalHanging12a"/>
      </w:pPr>
      <w:r w:rsidRPr="00B9577F">
        <w:t>7</w:t>
      </w:r>
      <w:r w:rsidR="000D0D7B">
        <w:t>7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 decyzję sekretarza generalnego z listopada 2022 r. w sprawie nowych przepisów dotyczących telepracy w Parlamencie mających zastosowanie do Sekretariatu Generalnego Parlamentu; przypomina, że posłowie i grupy polityczne mogą również podjąć decyzję o stosowaniu przepisów dotyczących telepracy określonych w tej decyzji; zauważa, że zrównoważone wykorzystanie hybrydowego środowiska pracy jest korzystne i produktywne, w związku z czym z zadowoleniem przyjmuje decyzję o utrzymaniu możliwości telepracy; podkreśla, że fizyczna obecność ma zawsze kluczowe znaczenie dla skuteczności i efektywności interakcji wszystkich uczestników każdego procesu parlamentarnego;</w:t>
      </w:r>
    </w:p>
    <w:p w:rsidR="00B01728" w:rsidRPr="00B9577F" w:rsidRDefault="00B01728" w:rsidP="00B01728">
      <w:pPr>
        <w:pStyle w:val="NormalHanging12a"/>
      </w:pPr>
      <w:r w:rsidRPr="00B9577F">
        <w:t>7</w:t>
      </w:r>
      <w:r w:rsidR="000D0D7B">
        <w:t>8</w:t>
      </w:r>
      <w:r w:rsidRPr="00B9577F">
        <w:t>.</w:t>
      </w:r>
      <w:r w:rsidRPr="00B9577F">
        <w:tab/>
      </w:r>
      <w:proofErr w:type="gramStart"/>
      <w:r w:rsidRPr="00B9577F">
        <w:t>proponuje</w:t>
      </w:r>
      <w:proofErr w:type="gramEnd"/>
      <w:r w:rsidRPr="00B9577F">
        <w:t>, by w celu pogodzenia potrzeb administracji Parlamentu (obejmujących spójność zespołową, komunikację wewnętrzną i przyjmowanie nowych pracowników), co pozytywnie wpłynęłoby na jej wyniki, a także na atrakcyjność Parlamentu jako pracodawcy, nadal przeprowadzać analizę nowych sposobów pracy; odnotowuje wprowadzenie możliwości telepracy pracowników z zagranicy przez pięć dni w roku; zauważa, że niektóre środki związane z pandemią COVID-19 zmieniły warunki pracy w konkretnych służbach; wzywa do proaktywnego monitorowania i oceny nowych sposobów pracy, tak aby nie miały negatywnego wpływu na dobrostan i zadowolenie pracowników;</w:t>
      </w:r>
    </w:p>
    <w:p w:rsidR="00B01728" w:rsidRDefault="000D0D7B" w:rsidP="00B01728">
      <w:pPr>
        <w:pStyle w:val="NormalHanging12a"/>
      </w:pPr>
      <w:r>
        <w:t>79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 xml:space="preserve">, że spośród 459 posłów 8. </w:t>
      </w:r>
      <w:proofErr w:type="gramStart"/>
      <w:r w:rsidR="00B01728" w:rsidRPr="00B9577F">
        <w:t>kadencji</w:t>
      </w:r>
      <w:proofErr w:type="gramEnd"/>
      <w:r w:rsidR="00B01728" w:rsidRPr="00B9577F">
        <w:t xml:space="preserve"> parlamentarnej, którzy nie zostali ponownie wybrani w 2019 r., Parlament otrzymał tylko jedno powiadomienie o zatrudnieniu po zakończeniu mandatu (art. 6 kodeksu postępowania); z zadowoleniem przyjmuje zakaz angażowania się byłych posłów w działalność lobbingową w ciągu sześciu miesięcy po wygaśnięciu mandatu oraz wprowadzenie procedury uruchamianej w przypadku nieprzestrzegania tego zakazu; wyraża zadowolenie z faktu, że nie jest już możliwe wydanie byłemu posłowi identyfikatora lobbysty w ciągu sześciu miesięcy od wygaśnięcia jego mandatu oraz że identyfikator byłego posła jest dezaktywowany, jeśli po tym okresie byłemu posłowi zostanie wydany identyfikator lobbysty; zauważa, że w 2022 r. na 199 urzędników, którzy zakończyli służbę, 65 wystąpiło o zgodę </w:t>
      </w:r>
      <w:proofErr w:type="gramStart"/>
      <w:r w:rsidR="00B01728" w:rsidRPr="00B9577F">
        <w:t>na</w:t>
      </w:r>
      <w:proofErr w:type="gramEnd"/>
      <w:r w:rsidR="00B01728" w:rsidRPr="00B9577F">
        <w:t xml:space="preserve"> działalność po zakończeniu służby (art. 16 regulaminu pracowniczego); wzywa Parlament do ustanowienia bardziej rygorystycznych przepisów regulujących efekt „drzwi obrotowych” dla posłów i urzędników służby cywilnej;</w:t>
      </w:r>
    </w:p>
    <w:p w:rsidR="00466927" w:rsidRPr="00466927" w:rsidRDefault="00BD4ABE" w:rsidP="00B01728">
      <w:pPr>
        <w:pStyle w:val="NormalHanging12a"/>
      </w:pPr>
      <w:r>
        <w:lastRenderedPageBreak/>
        <w:t>8</w:t>
      </w:r>
      <w:r w:rsidR="000D0D7B">
        <w:t>0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jest</w:t>
      </w:r>
      <w:proofErr w:type="gramEnd"/>
      <w:r w:rsidR="00466927" w:rsidRPr="007F0A80">
        <w:t xml:space="preserve"> głęboko przekonany, że sponsorowanie wydarzeń i podróży nigdy nie powinno być wykorzystywane do podważania wartości Unii lub rozpowszechniania wrogich informacji przez reżimy autorytarne; ponownie apeluje o bardziej rygorystyczne zasady dotyczące podróży posłów, które są opłacane przez obce państwa i podmioty; uważa, że należy opracować podobne zasady w odniesieniu do podróży odbywanych przez akredytowanych asystentów parlamentarnych lub pracowników grup politycznych;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Infrastruktury i Logistyki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81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Dyrekcja Generalna ds. Infrastruktury i Logistyki (DG INLO) zarządza infrastrukturą o powierzchni 1,3 mln m² w Brukseli, Luksemburgu i Strasburgu, a także biurami kontaktowymi i centrami Europa </w:t>
      </w:r>
      <w:proofErr w:type="spell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w państwach członkowskich; zauważa, że DG INLO świadczy również usługi gastronomiczne i transportowe oraz zarządza biurami i przestrzeniami posiedzeń Parlamentu oraz je wyposaża; odnotowuje, że na dzień 31 grudnia 2022 r. w dyrekcji pracowało 652 pracowników, w tym 267 urzędników, 47 pracowników zatrudnionych na czas określony i 338 pracowników kontraktowych;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82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INLO wyniosły w 2022 r. 271 191 093 EUR, co stanowi 12,5 % budżetu Parlamentu; podkreśla, że z tej kwoty zaciągnięto zobowiązania na łączną kwotę 269 189 287 EUR; z zadowoleniem przyjmuje wysoki poziom wykorzystania środków; zauważa, że pozycje budżetowe, w których wskaźnik wykorzystania był niższy niż 95 %, dotyczyły mobilności, nieudanego zaproszenia do składania ofert na zakup pojazdów oraz bardziej ograniczonej niż przewidywano działalności ze względu na pandemię COVID-19, co spowodowało niższe wydatki na posiedzenia wewnętrzne;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83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przyznaje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strategia Parlamentu w zakresie nieruchomości na okres po 2019 r. zapewnia spójne ramy dla decyzji i przyczynia się do konsolidacji portfela nieruchomości Parlamentu, a jednocześnie umożliwia dostosowanie pomieszczeń do zmieniających się schematów posiedzeń, rozwijanie działań lokalnych i zbliżanie się do obywateli za pośrednictwem stopniowego instalowania centrów Europa </w:t>
      </w:r>
      <w:proofErr w:type="spell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zwiększenie bezpieczeństwa budynków Parlamentu oraz stworzenie wzajemnych połączeń między centralnymi budynkami; zauważa, że większość strategii politycznych i działań, o których mowa w obecnej strategii w zakresie nieruchomości, została ukończona lub jest w trakcie realizacji;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potrzebę skutecznego i zorientowanego na wyniki zarządzania budynkami Parlamentu; wyraża zadowolenie z wyników oceny budynków z 2022 r., przekazanych Prezydium w czerwcu 2022 r. w formie paszportów budynków; wskaźnik charakterystyki energetycznej, jakości środowiska w pomieszczeniach i renowacji (EPIQR) wyniósł zaledwie 0,1, co świadczy o ogólnym doskonałym stanie budynków i o programie skutecznej konserwacji zapobiegawczej i naprawczej realizowanym przez właściwe służby Parlamentu w ramach zintegrowanej strategii zarządzania obiektami skupiającej się na zarządzaniu cyklem życia portfela budynków Parlamentu, przyjętej przez Prezydium 8 marca 2021 r.;</w:t>
      </w:r>
    </w:p>
    <w:p w:rsidR="00B01728" w:rsidRPr="00B9577F" w:rsidRDefault="00B01728" w:rsidP="00B01728">
      <w:pPr>
        <w:pStyle w:val="NormalHanging12a"/>
      </w:pPr>
      <w:r w:rsidRPr="00B9577F">
        <w:t>8</w:t>
      </w:r>
      <w:r w:rsidR="000D0D7B">
        <w:t>5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zobowiązanie się DG INLO do wprowadzenia rozwiązań zrównoważonych środowiskowo; zauważa, że w 2022 r. Parlament wytworzył ponad 19 % własnej energii ze źródeł odnawialnych; z zadowoleniem przyjmuje przeprowadzenie badania dotyczącego produkcji energii elektrycznej na miejscu w Strasburgu w 2022 r. oraz wynikającą z niego obecnie przeprowadzaną instalację paneli </w:t>
      </w:r>
      <w:r w:rsidRPr="00B9577F">
        <w:lastRenderedPageBreak/>
        <w:t xml:space="preserve">fotowoltaicznych o powierzchni 1 400 m2 w budynkach PFLIMLIN, DE MADARIAGA i CHURCHILL; podkreśla, że Parlament mógłby dzielić się tą energią z miastem Strasburgiem, kiedy pomieszczenia Parlamentu są w większości puste; wzywa Prezydium do rozważenia również możliwości wynajmowania powierzchni dachów użytkownikom zewnętrznym w celu zainstalowania paneli słonecznych, a tym samym wykorzystania tego działania jako dodatkowego </w:t>
      </w:r>
      <w:proofErr w:type="gramStart"/>
      <w:r w:rsidRPr="00B9577F">
        <w:t>źródła</w:t>
      </w:r>
      <w:proofErr w:type="gramEnd"/>
      <w:r w:rsidRPr="00B9577F">
        <w:t xml:space="preserve"> dochodów Parlamentu;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inaugurację wschodniego skrzydła budynku ADENAUER w Luksemburgu 10 maja 2022 r., co wraz z oddaniem do użytku skrzydła zachodniego po zakończeniu jego budowy w 2024 r. zapewni jeden budynek dla wszystkich służb Parlamentu znajdujących się w Luksemburgu;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otwarcie 15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sal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konferencyjnych dla odwiedzających, wielofunkcyjnej agory i pawilonu im. Sacharowa w budynku ZWEIG, co przyczyni się do zwiększenia oferty dla osób odwiedzających Parlament Europejski w Brukseli; odnotowuje, że przejście łączące budynek ZWEIG z budynkami Komitetu Regionów i Europejskiego Komitetu Ekonomiczno-Społecznego jest już gotowe;</w:t>
      </w:r>
    </w:p>
    <w:p w:rsidR="00B01728" w:rsidRPr="00B9577F" w:rsidRDefault="00B01728" w:rsidP="00B01728">
      <w:pPr>
        <w:pStyle w:val="NormalHanging12a"/>
      </w:pPr>
      <w:r w:rsidRPr="00B9577F">
        <w:t>8</w:t>
      </w:r>
      <w:r w:rsidR="000D0D7B">
        <w:t>8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> zadowoleniem przyjmuje wysiłki Parlamentu zmierzające do zachęcenia pracowników do korzystania ze zrównoważonych środków transportu w celu dojazdu do pracy poprzez nieodpłatne oddanie do ich dyspozycji większej liczby rowerów klasycznych i elektrycznych oraz zwrot części kosztów biletów na transport publiczny w zamian za ograniczenie dostępu do parkingów; z zadowoleniem przyjmuje nowy program pozwalający na obniżkę o 90 % ceny biletów okresowych na transport publiczny w Brukseli, który to program doprowadził do wzrostu o 26,57 % liczby pracowników korzystających z biletów okresowych współfinansowanych przez Parlament;</w:t>
      </w:r>
    </w:p>
    <w:p w:rsidR="00B01728" w:rsidRPr="00B9577F" w:rsidRDefault="000D0D7B" w:rsidP="00B01728">
      <w:pPr>
        <w:pStyle w:val="NormalHanging12a"/>
      </w:pPr>
      <w:r>
        <w:t>89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</w:t>
      </w:r>
      <w:proofErr w:type="gramEnd"/>
      <w:r w:rsidR="00B01728" w:rsidRPr="00B9577F">
        <w:t xml:space="preserve"> zadowoleniem przyjmuje możliwość korzystania przez pracowników z wynajętych rowerów klasycznych i elektrycznych podczas sesji miesięcznych w Strasburgu; z zadowoleniem przyjmuje powiększenie floty rowerów; wyraża ubolewanie, że w praktyce wszystkie rowery są zarezerwowane wiele dni wcześniej; wzywa Parlament do zbadania możliwości oferowania w Strasburgu większej liczby rowerów przeznaczonych do wypożyczenia i wydłużenia godzin ich odbioru, aby zaspokoić zapotrzebowanie posłów i pracowników oraz przyczynić się do rozwoju zrównoważonej mobilności;</w:t>
      </w:r>
    </w:p>
    <w:p w:rsidR="00B01728" w:rsidRDefault="000D0D7B" w:rsidP="00B01728">
      <w:pPr>
        <w:pStyle w:val="NormalHanging12a"/>
      </w:pPr>
      <w:r>
        <w:t>90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</w:t>
      </w:r>
      <w:proofErr w:type="gramEnd"/>
      <w:r w:rsidR="00B01728" w:rsidRPr="00B9577F">
        <w:t xml:space="preserve"> zadowoleniem przyjmuje fakt, że odsetek samochodów </w:t>
      </w:r>
      <w:proofErr w:type="spellStart"/>
      <w:r w:rsidR="00B01728" w:rsidRPr="00B9577F">
        <w:t>bezemisyjnych</w:t>
      </w:r>
      <w:proofErr w:type="spellEnd"/>
      <w:r w:rsidR="00B01728" w:rsidRPr="00B9577F">
        <w:t xml:space="preserve"> lub hybrydowych typu plug-in we flocie usług przewozu osób wzrósł z 81 % w 2021 r. do 97 % w 2022 r.;</w:t>
      </w:r>
    </w:p>
    <w:p w:rsidR="00466927" w:rsidRPr="00466927" w:rsidRDefault="00BD4ABE" w:rsidP="00B01728">
      <w:pPr>
        <w:pStyle w:val="NormalHanging12a"/>
      </w:pPr>
      <w:r>
        <w:t>9</w:t>
      </w:r>
      <w:r w:rsidR="000D0D7B">
        <w:t>1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zwraca</w:t>
      </w:r>
      <w:proofErr w:type="gramEnd"/>
      <w:r w:rsidR="00466927" w:rsidRPr="007F0A80">
        <w:t xml:space="preserve"> uwagę, że duża część miejsc dostępnych we flocie pojazdów przemieszczających się między Brukselą a Strasburgiem na sesje plenarne pozostała niezajęta w 2022 r.; ponawia apel do administracji Parlamentu o poszerzenie grupy użytkowników i umożliwienie pracownikom Parlamentu podróżowania do Strasburga i z powrotem pojazdem służbowym bez obecności posła, przy jednoczesnym zagwarantowaniu miejsc dla posłów;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92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uznaje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znaczenie i wartość dodaną certyfikacji EMAS Parlamentu w odniesieniu do podejścia instytucjonalnego do zrównoważonego środowiska i gospodarki o obiegu zamkniętym; odnotowuje podjęte w związku z tym przez administrację działania na rzecz oszczędzania wody i gospodarowania odpadami;</w:t>
      </w:r>
    </w:p>
    <w:p w:rsidR="00B01728" w:rsidRPr="00B9577F" w:rsidRDefault="000D0D7B" w:rsidP="00B01728">
      <w:pPr>
        <w:pStyle w:val="NormalHanging12a"/>
      </w:pPr>
      <w:r>
        <w:lastRenderedPageBreak/>
        <w:t>93</w:t>
      </w:r>
      <w:r w:rsidR="00B01728" w:rsidRPr="00B9577F">
        <w:t>.</w:t>
      </w:r>
      <w:r w:rsidR="00B01728" w:rsidRPr="00B9577F">
        <w:tab/>
      </w:r>
      <w:proofErr w:type="gramStart"/>
      <w:r w:rsidR="00466927" w:rsidRPr="007F0A80">
        <w:t>przyjmuje</w:t>
      </w:r>
      <w:proofErr w:type="gramEnd"/>
      <w:r w:rsidR="00466927" w:rsidRPr="007F0A80">
        <w:t xml:space="preserve"> do wiadomości jednogłośną</w:t>
      </w:r>
      <w:r w:rsidR="00466927">
        <w:rPr>
          <w:b/>
          <w:i/>
        </w:rPr>
        <w:t xml:space="preserve"> </w:t>
      </w:r>
      <w:r w:rsidR="00B01728" w:rsidRPr="00B9577F">
        <w:t xml:space="preserve">decyzję Prezydium z 23 października 2019 r. o zatwierdzeniu utworzenia IDEA Lab w celu testowania nowych, innowacyjnych rozwiązań w kontekście zarządzania biurami i obiektami; </w:t>
      </w:r>
      <w:r w:rsidR="00466927" w:rsidRPr="007F0A80">
        <w:t>z zadowoleniem przyjmuje utworzenie stałego laboratorium innowacji, które mogłoby potencjalnie przynieść oszczędności w przyszłych projektach renowacji, i wzywa do ustanowienia odrębnej linii budżetowej;</w:t>
      </w:r>
      <w:r w:rsidR="00466927" w:rsidRPr="00466927">
        <w:t xml:space="preserve"> zwraca uwagę, że IDEA Lab ma służyć posłom, i </w:t>
      </w:r>
      <w:r w:rsidR="00466927" w:rsidRPr="007F0A80">
        <w:t>domaga się, aby posłowie byli informowani o innowacjach i sprawdzonych rozwiązaniach, które będą wdrażane w przyszłości, oraz</w:t>
      </w:r>
      <w:r w:rsidR="00466927" w:rsidRPr="00466927">
        <w:t xml:space="preserve"> o </w:t>
      </w:r>
      <w:r w:rsidR="00466927" w:rsidRPr="007F0A80">
        <w:t>tych</w:t>
      </w:r>
      <w:r w:rsidR="00466927" w:rsidRPr="00466927">
        <w:t xml:space="preserve">, które </w:t>
      </w:r>
      <w:r w:rsidR="00466927" w:rsidRPr="007F0A80">
        <w:t>nie są kontynuowane i</w:t>
      </w:r>
      <w:r w:rsidR="00466927" w:rsidRPr="00466927">
        <w:t xml:space="preserve"> o </w:t>
      </w:r>
      <w:r w:rsidR="00466927" w:rsidRPr="007F0A80">
        <w:t>powodach rezygnacji z nich</w:t>
      </w:r>
      <w:r w:rsidR="00466927" w:rsidRPr="00466927">
        <w:t>;</w:t>
      </w:r>
      <w:r w:rsidR="00466927" w:rsidRPr="007F0A80">
        <w:t xml:space="preserve"> jest zdania, że jednym z priorytetów IDEA Lab powinno być innowacyjne rozwiązanie architektoniczne</w:t>
      </w:r>
      <w:r w:rsidR="00466927" w:rsidRPr="00466927">
        <w:t xml:space="preserve">, </w:t>
      </w:r>
      <w:proofErr w:type="gramStart"/>
      <w:r w:rsidR="00466927" w:rsidRPr="007F0A80">
        <w:t>aby</w:t>
      </w:r>
      <w:proofErr w:type="gramEnd"/>
      <w:r w:rsidR="00466927" w:rsidRPr="007F0A80">
        <w:t xml:space="preserve"> lepiej wykorzystać przestrzeń zajmowaną przez nieużywane prysznice</w:t>
      </w:r>
      <w:r w:rsidR="00466927" w:rsidRPr="00466927">
        <w:t xml:space="preserve"> w</w:t>
      </w:r>
      <w:r w:rsidR="00466927" w:rsidRPr="007F0A80">
        <w:t> biurach posłów</w:t>
      </w:r>
      <w:r w:rsidR="00B01728" w:rsidRPr="00B9577F">
        <w:t>; wzywa grupę roboczą Prezydium ds. budynków i administrację Parlamentu do zapewnienia większej przejrzystości w odniesieniu do funkcjonowania i budżetu IDEA Lab oraz do regularnego przedstawiania Komisji Kontroli Budżetowej wykazu innowacyjnych rozwiązań, ich kosztów i uzyskanych informacji zwrotnych, a także potencjalnych oszczędności, jeśli rozwiązania te zostaną wdrożone;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94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różne projekty i prace związane z dostępnością, realizowane we wszystkich trzech miejscach pracy, a także w biurach kontaktowych PE i centrach Europa </w:t>
      </w:r>
      <w:proofErr w:type="spell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z myślą o zapewnieniu całkowitej zgodności z obowiązującymi ramami regulacyjnymi zgodnie z zobowiązaniem Parlamentu do bycia instytucją bez barier, dostępną dla wszystkich;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przyznaje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ze względu na rosyjską wojnę napastniczą przeciwko Ukrainie i kryzys energetyczny zakłócenia w łańcuchu dostaw i niedobory surowców zmusiły DG INLO do dokonania przeglądu projektów i dostosowania budżetu; zauważa, że w związku z wynikającym z tego deficytem w budżecie na energię DG INLO musiała zamrozić lub wstrzymać niektóre projekty, aby uwolnić zasoby niezbędne do poradzenia sobie z dużym wzrostem cen; </w:t>
      </w:r>
    </w:p>
    <w:p w:rsidR="00B01728" w:rsidRPr="00B9577F" w:rsidRDefault="00B01728" w:rsidP="00B01728">
      <w:pPr>
        <w:pStyle w:val="NormalHanging12a"/>
      </w:pPr>
      <w:r w:rsidRPr="00B9577F">
        <w:t>9</w:t>
      </w:r>
      <w:r w:rsidR="000D0D7B">
        <w:t>6</w:t>
      </w:r>
      <w:r w:rsidRPr="00B9577F">
        <w:t>.</w:t>
      </w:r>
      <w:r w:rsidRPr="00B9577F">
        <w:tab/>
      </w:r>
      <w:proofErr w:type="gramStart"/>
      <w:r w:rsidRPr="00B9577F">
        <w:t>odnotowuje</w:t>
      </w:r>
      <w:proofErr w:type="gramEnd"/>
      <w:r w:rsidRPr="00B9577F">
        <w:t xml:space="preserve"> środki wdrożone w celu obniżenia zużycia energii przez Parlament, takie jak obniżenie maksymalnych temperatur ogrzewania w pomieszczeniach biurowych i podniesienie minimalnych temperatur chłodzenia, wyłączenie systemów ogrzewania i chłodzenia w weekendy i dni ustawowo wolne od pracy, ograniczenie oświetlenia fasad budynków i obniżenie poziomu oświetlenia wewnątrz budynków; przyznaje, że środki te należy poddać ponownej ocenie w miarę ewolucji kryzysu energetycznego oraz że powinny one zawsze zapewniać dobrostan pracowników;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przyznaje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różne środki wprowadzone przez administrację w następstwie odpowiednich decyzji Prezydium z maja i października 2022 r. doprowadziły do znacznego zmniejszenia zużycia energii; w okresie od maja 2022 r. do października 2023 r. udało się zaoszczędzić 10,5 mln EUR;</w:t>
      </w:r>
    </w:p>
    <w:p w:rsidR="00B01728" w:rsidRPr="00B9577F" w:rsidRDefault="00B01728" w:rsidP="00B01728">
      <w:pPr>
        <w:pStyle w:val="NormalHanging12a"/>
      </w:pPr>
      <w:r w:rsidRPr="00B9577F">
        <w:t>9</w:t>
      </w:r>
      <w:r w:rsidR="000D0D7B">
        <w:t>8</w:t>
      </w:r>
      <w:r w:rsidRPr="00B9577F">
        <w:t>.</w:t>
      </w:r>
      <w:r w:rsidRPr="00B9577F">
        <w:tab/>
      </w:r>
      <w:proofErr w:type="gramStart"/>
      <w:r w:rsidRPr="00B9577F">
        <w:t>przyjmuje</w:t>
      </w:r>
      <w:proofErr w:type="gramEnd"/>
      <w:r w:rsidRPr="00B9577F">
        <w:t xml:space="preserve"> do wiadomości, że przez cały 2022 r. DG INLO kontynuowała wdrażanie strategii Parlamentu w zakresie nieruchomości na okres po 2019 r.; odnotowuje, że zakup budynku </w:t>
      </w:r>
      <w:proofErr w:type="spellStart"/>
      <w:r w:rsidRPr="00B9577F">
        <w:t>Trèves</w:t>
      </w:r>
      <w:proofErr w:type="spellEnd"/>
      <w:r w:rsidRPr="00B9577F">
        <w:t xml:space="preserve"> II przyczynił się do realizacji tej strategii i do konsolidacji nieruchomości będących w posiadaniu Parlamentu, w szczególności z myślą o wzajemnym połączeniu centralnych budynków Parlamentu w Brukseli; wnioskuje o harmonogram zapewnienia wzajemnych połączeń między </w:t>
      </w:r>
      <w:proofErr w:type="spellStart"/>
      <w:r w:rsidRPr="00B9577F">
        <w:t>Trèves</w:t>
      </w:r>
      <w:proofErr w:type="spellEnd"/>
      <w:r w:rsidRPr="00B9577F">
        <w:t xml:space="preserve"> I </w:t>
      </w:r>
      <w:proofErr w:type="spellStart"/>
      <w:r w:rsidRPr="00B9577F">
        <w:t>i</w:t>
      </w:r>
      <w:proofErr w:type="spellEnd"/>
      <w:r w:rsidRPr="00B9577F">
        <w:t xml:space="preserve"> </w:t>
      </w:r>
      <w:proofErr w:type="spellStart"/>
      <w:r w:rsidRPr="00B9577F">
        <w:t>Trèves</w:t>
      </w:r>
      <w:proofErr w:type="spellEnd"/>
      <w:r w:rsidRPr="00B9577F">
        <w:t xml:space="preserve"> II a głównymi budynkami centralnymi w Brukseli;</w:t>
      </w:r>
    </w:p>
    <w:p w:rsidR="00B01728" w:rsidRPr="00B9577F" w:rsidRDefault="000D0D7B" w:rsidP="00B01728">
      <w:pPr>
        <w:pStyle w:val="NormalHanging12a"/>
      </w:pPr>
      <w:r>
        <w:t>99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wyraża</w:t>
      </w:r>
      <w:proofErr w:type="gramEnd"/>
      <w:r w:rsidR="00B01728" w:rsidRPr="00B9577F">
        <w:t xml:space="preserve"> </w:t>
      </w:r>
      <w:r w:rsidR="00466927" w:rsidRPr="007F0A80">
        <w:t xml:space="preserve">uznanie dla Parlamentu za prace adaptacyjne w zakresie dostępności </w:t>
      </w:r>
      <w:r w:rsidR="00466927" w:rsidRPr="007F0A80">
        <w:lastRenderedPageBreak/>
        <w:t>przeprowadzone w budynkach w Brukseli w latach 2017–2022 na łączną kwotę 3,3 mln EUR</w:t>
      </w:r>
      <w:r w:rsidR="00466927">
        <w:rPr>
          <w:rStyle w:val="FootnoteReference"/>
        </w:rPr>
        <w:footnoteReference w:id="11"/>
      </w:r>
      <w:r w:rsidR="00466927" w:rsidRPr="007F0A80">
        <w:t>; wyraża zadowolenie</w:t>
      </w:r>
      <w:r w:rsidR="00B01728" w:rsidRPr="00B9577F">
        <w:t xml:space="preserve">, że trybuna w strefie dla odwiedzających w budynku SPAAK </w:t>
      </w:r>
      <w:r w:rsidR="00466927" w:rsidRPr="007F0A80">
        <w:t>jest teraz</w:t>
      </w:r>
      <w:r w:rsidR="00466927" w:rsidRPr="00522EDA">
        <w:t xml:space="preserve"> </w:t>
      </w:r>
      <w:r w:rsidR="00B01728" w:rsidRPr="00B9577F">
        <w:t xml:space="preserve">dostępna dla osób o ograniczonej możliwości poruszania się; przypomina, że </w:t>
      </w:r>
      <w:r w:rsidR="00466927" w:rsidRPr="007F0A80">
        <w:t xml:space="preserve">Unia jest liderem w promowaniu </w:t>
      </w:r>
      <w:proofErr w:type="spellStart"/>
      <w:r w:rsidR="00466927" w:rsidRPr="007F0A80">
        <w:t>inkluzywności</w:t>
      </w:r>
      <w:proofErr w:type="spellEnd"/>
      <w:r w:rsidR="00466927" w:rsidRPr="007F0A80">
        <w:t xml:space="preserve"> i równości wszystkich swoich obywateli</w:t>
      </w:r>
      <w:r w:rsidR="00466927" w:rsidRPr="00466927">
        <w:t xml:space="preserve">; </w:t>
      </w:r>
      <w:r w:rsidR="00466927" w:rsidRPr="007F0A80">
        <w:t>przypomina, że każdemu obywatelowi Unii Europejskiej należy zapewnić równy dostęp podczas wizyt</w:t>
      </w:r>
      <w:r w:rsidR="00466927" w:rsidRPr="00466927">
        <w:t xml:space="preserve"> w instytucjach Unii</w:t>
      </w:r>
      <w:r w:rsidR="00B01728" w:rsidRPr="00B9577F">
        <w:t xml:space="preserve">; apeluje </w:t>
      </w:r>
      <w:r w:rsidR="00466927">
        <w:t xml:space="preserve">do Parlamentu </w:t>
      </w:r>
      <w:r w:rsidR="00B01728" w:rsidRPr="00B9577F">
        <w:t xml:space="preserve">o przeprowadzenie analizy potrzeb odwiedzających z niepełnosprawnościami i </w:t>
      </w:r>
      <w:r w:rsidR="00466927" w:rsidRPr="007F0A80">
        <w:t>wzywa do wdrożenia</w:t>
      </w:r>
      <w:r w:rsidR="00466927" w:rsidRPr="00522EDA">
        <w:t xml:space="preserve"> </w:t>
      </w:r>
      <w:r w:rsidR="00B01728" w:rsidRPr="00B9577F">
        <w:t>odpowiednich środków;</w:t>
      </w:r>
    </w:p>
    <w:p w:rsidR="00B01728" w:rsidRPr="00B9577F" w:rsidRDefault="000D0D7B" w:rsidP="00B01728">
      <w:pPr>
        <w:pStyle w:val="NormalHanging12a"/>
      </w:pPr>
      <w:r>
        <w:t>100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przyjmuje</w:t>
      </w:r>
      <w:proofErr w:type="gramEnd"/>
      <w:r w:rsidR="00B01728" w:rsidRPr="00B9577F">
        <w:t xml:space="preserve"> do wiadomości protokół dodatkowego posiedzenia Prezydium z 6 lipca 2022 r., na którym Prezydium zapoznało się z wynikami międzynarodowego konkursu architektonicznego na odnowienie budynku SPAAK i zatwierdziło je; zauważa, że Prezydium zatwierdziło 5 laureatów; zauważa, że w 2022 r. nie podjęto żadnej innej decyzji w tej sprawie, w związku z czym nie wystąpiły żadne konsekwencje finansowe, a zarazem podkreśla coraz pilniejszą potrzebę jak najszybszego rozpoczęcia prac renowacyjnych; podkreśla, że 14 lutego 2024 r. ostateczne plany rozpoczęcia prac remontowych zostały szybko zatwierdzone na szczeblu komisji, biorąc pod uwagę pogarszający się stan budynku; podkreśla, że obecny budynek charakteryzuje się bardzo niską efektywnością energetyczną i brakuje mu niezbędnej </w:t>
      </w:r>
      <w:proofErr w:type="gramStart"/>
      <w:r w:rsidR="00B01728" w:rsidRPr="00B9577F">
        <w:t>elastyczności</w:t>
      </w:r>
      <w:proofErr w:type="gramEnd"/>
      <w:r w:rsidR="00B01728" w:rsidRPr="00B9577F">
        <w:t xml:space="preserve">, aby mógł być funkcjonalny; podkreśla, że aby zapewnić poparcie obywateli dla celów Zielonego Ładu, Parlament Europejski powinien być liderem pod względem efektywności energetycznej i </w:t>
      </w:r>
      <w:proofErr w:type="spellStart"/>
      <w:r w:rsidR="00B01728" w:rsidRPr="00B9577F">
        <w:t>zrównoważoności</w:t>
      </w:r>
      <w:proofErr w:type="spellEnd"/>
      <w:r w:rsidR="00B01728" w:rsidRPr="00B9577F">
        <w:t xml:space="preserve"> swojego własnego portfolio budynków; zauważa, że renowacja umożliwi znaczne oszczędności w wysokości kilku milionów EUR rocznie, a ponadto pomoże spełnić wymogi przyszłej europejskiej dyrektywy w sprawie efektywności energetycznej i dyrektywy w sprawie charakterystyki energetycznej budynków; </w:t>
      </w:r>
    </w:p>
    <w:p w:rsidR="00B01728" w:rsidRPr="00B9577F" w:rsidRDefault="000D0D7B" w:rsidP="00B01728">
      <w:pPr>
        <w:pStyle w:val="NormalHanging12a"/>
      </w:pPr>
      <w:r>
        <w:t>101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przyjmuje</w:t>
      </w:r>
      <w:proofErr w:type="gramEnd"/>
      <w:r w:rsidR="00B01728" w:rsidRPr="00B9577F">
        <w:t xml:space="preserve"> ponadto do wiadomości decyzję Prezydium z 6 lipca 2022 r. w sprawie strategii w zakresie nieruchomości dla Strasburga, ukierunkowanej na poprawę zdolności przyjmowania i kwaterowania, optymalizację wykorzystania pomieszczeń Parlamentu, poprawę dostępności i konsolidację funkcji personelu;</w:t>
      </w:r>
    </w:p>
    <w:p w:rsidR="00B01728" w:rsidRPr="00B9577F" w:rsidRDefault="000D0D7B" w:rsidP="00B01728">
      <w:pPr>
        <w:pStyle w:val="NormalHanging12a"/>
      </w:pPr>
      <w:r>
        <w:t>102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 xml:space="preserve">, że samoobsługowa stołówka Parlamentu na kondygnacji -1 budynku </w:t>
      </w:r>
      <w:proofErr w:type="spellStart"/>
      <w:r w:rsidR="00B01728" w:rsidRPr="00B9577F">
        <w:t>Spinelli</w:t>
      </w:r>
      <w:proofErr w:type="spellEnd"/>
      <w:r w:rsidR="00B01728" w:rsidRPr="00B9577F">
        <w:t xml:space="preserve"> jest często przepełniona w godzinach szczytu, co powoduje długie kolejki i długi czas oczekiwania; wzywa Prezydium, by rozważyło wprowadzenie ograniczeń dostępu do stołówek w głównych budynkach Parlamentu dla gości z zewnątrz i grup odwiedzających; wyraża zaniepokojenie niezadowalającym stosunkiem jakości do ceny, w szczególności brakiem przystępnych cenowo opcji wegetariańskich; zwraca się do administracji o zaproponowanie rozwiązań mających na celu zaradzenie tej sytuacji;</w:t>
      </w:r>
    </w:p>
    <w:p w:rsidR="00B01728" w:rsidRPr="00B9577F" w:rsidRDefault="000D0D7B" w:rsidP="00B01728">
      <w:pPr>
        <w:pStyle w:val="NormalHanging12a"/>
      </w:pPr>
      <w:r>
        <w:t>103</w:t>
      </w:r>
      <w:r w:rsidR="00B01728" w:rsidRPr="00B9577F">
        <w:t>.</w:t>
      </w:r>
      <w:r w:rsidR="00B01728" w:rsidRPr="00B9577F">
        <w:tab/>
      </w:r>
      <w:proofErr w:type="gramStart"/>
      <w:r w:rsidR="00B01728" w:rsidRPr="00B9577F">
        <w:t>zauważa</w:t>
      </w:r>
      <w:proofErr w:type="gramEnd"/>
      <w:r w:rsidR="00B01728" w:rsidRPr="00B9577F">
        <w:t>, że w 2022 r., po zniesieniu ograniczeń przewozowych związanych z COVID-19, liczba dostępnych miejsc w pojazdach służbowych kursujących w poniedziałki na trasie z Brukseli do Strasburga wynosiła 250, przy czym w tygodniach, w których odbywała się sesja miesięczna w 2022 r., zajęte były średnio 162 miejsca, czyli 65 % miejsc dostępnych we flocie; ponawia apel do administracji Parlamentu o poszerzenie grupy osób uprawnionych do korzystania z miejsc, aby uniknąć marnowania zasobów, przy jednoczesnym zagwarantowaniu miejsc dla posłów;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lastRenderedPageBreak/>
        <w:t>Dyrekcja Generalna ds. Tłumaczeń Pisemnych</w:t>
      </w:r>
    </w:p>
    <w:p w:rsidR="00B01728" w:rsidRPr="00B9577F" w:rsidRDefault="000D0D7B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104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="00B01728"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Dyrekcja Generalna ds. Tłumaczeń Pisemnych (DG TRAD) jest odpowiedzialna za dostarczanie wysokiej jakości wielojęzycznego prawodawstwa i świadczenie innych usług językowych Parlamentowi Europejskiemu, służbom Parlamentu i wszystkim obywatelom Unii w oparciu o zasadę wielojęzyczności zakładającą efektywne wykorzystanie zasobów; zauważa, że na dzień 31 grudnia 2022 r. w dyrekcji pracowało 1 109 pracowników, w tym 945 urzędników, 97 pracowników zatrudnionych na czas określony, 66 pracowników kontraktowych i 1 pracownik agencji pracy tymczasowej;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TRAD wyniosły w 2022 r. 17 105 500 EUR, co stanowi 0,8 % budżetu Parlamentu; podkreśla, że z tej kwoty zaciągnięto zobowiązania na łączną kwotę 16 834 967 EUR; z zadowoleniem przyjmuje wysoki poziom wykorzystania środków;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zaangażowanie DG TRAD na rzecz terminowego świadczenia wysokiej jakości usług językowych; zauważa z zadowoleniem, że w 2022 r. przetłumaczono ponad 2,89 mln stron brutto, co stanowi wzrost o 26 % w porównaniu z 2021 r.; zauważa z zadowoleniem, że zdecydowana większość zadań została wykonana w terminie (98,5 % w normalnych okolicznościach i 98,6 %, gdy wnioski nie były zgodne z przepisami);</w:t>
      </w:r>
    </w:p>
    <w:p w:rsidR="00B01728" w:rsidRDefault="00B01728" w:rsidP="00B01728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cieszy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się, że DG TRAD promuje „język obywateli” i przygotowuje treści w takim języku; jest to inicjatywa Parlamentu na rzecz jasnego, dostosowanego do potrzeb obywateli, wyrażania się w 24 językach urzędowych Unii; z zadowoleniem przyjmuje utworzenie ukraińskiego zespołu językowego, który świadczy usługi językowe w języku ukraińskim, w tym zapewnia tłumaczenia, produkty audio i napisy na specjalną stronę internetową;</w:t>
      </w:r>
    </w:p>
    <w:p w:rsidR="00466927" w:rsidRPr="00466927" w:rsidRDefault="00BD4ABE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t>10</w:t>
      </w:r>
      <w:r w:rsidR="000D0D7B">
        <w:t>8</w:t>
      </w:r>
      <w:r w:rsidR="00466927" w:rsidRPr="007F0A80">
        <w:t>.</w:t>
      </w:r>
      <w:r w:rsidR="00466927" w:rsidRPr="00466927">
        <w:tab/>
      </w:r>
      <w:proofErr w:type="gramStart"/>
      <w:r w:rsidR="00466927" w:rsidRPr="007F0A80">
        <w:t>przypomina</w:t>
      </w:r>
      <w:proofErr w:type="gramEnd"/>
      <w:r w:rsidR="00466927" w:rsidRPr="007F0A80">
        <w:t>, że od 2016 r. społeczność osób niesłyszących domaga się możliwości składania petycji do Parlamentu w krajowych językach migowych UE; podkreśla, że umożliwiłoby to społeczności osób niesłyszących korzystanie z przysługującego im prawa do składania petycji, które jest jednym z podstawowych praw wszystkich obywateli europejskich, zapisanym zarówno w traktacie, jak i w Karcie praw podstawowych</w:t>
      </w:r>
      <w:r w:rsidR="000D0D7B">
        <w:t xml:space="preserve"> Unii Europejskiej</w:t>
      </w:r>
      <w:r w:rsidR="00466927" w:rsidRPr="007F0A80">
        <w:t>; odnotowuje przeprowadzoną przez DG LINC i DG ITEC analizę najefektywniejszego rozwiązania przy minimalnych kosztach, przesłaną Komisji Petycji w maju 2020 r.; wzywa administrację, by przyjęła to rozwiązanie i ułatwiła składanie petycji w krajowych językach migowych UE za pośrednictwem portalu petycji;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0D0D7B">
        <w:rPr>
          <w14:textOutline w14:w="0" w14:cap="flat" w14:cmpd="sng" w14:algn="ctr">
            <w14:noFill/>
            <w14:prstDash w14:val="solid"/>
            <w14:bevel/>
          </w14:textOutline>
        </w:rPr>
        <w:t>09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odnotowuje pomyślne zakończenie pierwszej rundy otwartego konkursu dla specjalistów międzykulturowych i językowych, obejmującego 11 języków, zorganizowanego przez DG TRAD i DG PERS; podkreśla, że DG TRAD rozpoczęła również rekrutację laureatów pierwszego otwartego konkursu dla specjalistów ds. przystępnego języka; z zadowoleniem przyjmuje fakt, że współpraca znacznie przyspieszyła rekrutację wysoko wykwalifikowanych urzędników o aktualnych i przyszłościowych profilach;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0D0D7B">
        <w:t>10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języki urzędowe, które mają być używane przez instytucje, organy i </w:t>
      </w:r>
      <w:r w:rsidRPr="00B9577F">
        <w:lastRenderedPageBreak/>
        <w:t>agencje Unii, określono w rozporządzeniu nr 1</w:t>
      </w:r>
      <w:r w:rsidRPr="00B9577F">
        <w:rPr>
          <w:vertAlign w:val="superscript"/>
        </w:rPr>
        <w:footnoteReference w:id="12"/>
      </w:r>
      <w:r w:rsidRPr="00B9577F">
        <w:t xml:space="preserve">; przyznaje, że DG TRAD zapewnia dostępność treści proceduralnych Parlamentu we wszystkich 24 językach urzędowych i roboczych Unii; z zadowoleniem przyjmuje znakomitą pracę wykonaną w 2022 r. przez tłumaczy ustnych, którzy zapewniali w miarę możliwości tłumaczenie publicznych debat na wszystkie języki urzędowe Unii; podkreśla, że zgodnie z Regulaminem Parlamentu posłowie mają prawo do wypowiadania się w którymkolwiek z 24 języków urzędowych Unii, co jest odzwierciedleniem europejskiej różnorodności kulturowej i językowej oraz sprawia, że instytucje unijne są bardziej dostępne i przejrzyste dla wszystkich obywateli Unii; zauważa, że </w:t>
      </w:r>
      <w:proofErr w:type="gramStart"/>
      <w:r w:rsidRPr="00B9577F">
        <w:t>w</w:t>
      </w:r>
      <w:proofErr w:type="gramEnd"/>
      <w:r w:rsidRPr="00B9577F">
        <w:t xml:space="preserve"> pracy Parlamentu często powszechnie używany jest zwłaszcza jeden język roboczy; wzywa do poszanowania wielojęzyczności przez zapewnienie, w stosownych przypadkach, wystarczającej liczby pracowników zajmujących się tłumaczeniami pisemnymi i ustnymi;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DG TRAD jest organem językowym Parlamentu Europejskiego, ponieważ wspiera przyjmowanie przepisów wielojęzycznych i przyczynia się do wielojęzycznej komunikacji z obywatelami Unii w przystępnym języku dzięki wprowadzaniu standardów przystępnego języka;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Logistyki i Tłumaczeń Konferencyjnych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12</w:t>
      </w:r>
      <w:r w:rsidRPr="00B9577F">
        <w:t>.</w:t>
      </w:r>
      <w:r w:rsidRPr="00B9577F">
        <w:tab/>
        <w:t>przypomina, że Dyrekcja Generalna ds. Logistyki i Tłumaczeń Konferencyjnych (DG LINC) jest odpowiedzialna za zapewnianie wsparcia językowego, technicznego i logistycznego podczas posiedzeń i konferencji; odnotowuje, że na dzień 31 grudnia 2022 r. w dyrekcji pracowało 554 pracowników, w tym 443 urzędników, 29 pracowników zatrudnionych na czas określony i 82 pracowników kontraktowych</w:t>
      </w:r>
      <w:proofErr w:type="gramStart"/>
      <w:r w:rsidRPr="00B9577F">
        <w:t>; podkreśla</w:t>
      </w:r>
      <w:proofErr w:type="gramEnd"/>
      <w:r w:rsidRPr="00B9577F">
        <w:t>, że jakość zapewnianego tłumaczenia ustnego ma bezpośredni wpływ na przekaz docierający do obywateli Unii;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13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LINC wyniosły w 2022 r. 79 569 347 EUR, co stanowi 3,7 % budżetu Parlamentu; podkreśla, że z tej kwoty zaciągnięto zobowiązania na łączną kwotę 79 282 501 EUR; z zadowoleniem przyjmuje wysoki poziom wykorzystania środków;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14</w:t>
      </w:r>
      <w:r w:rsidRPr="00B9577F">
        <w:t>.</w:t>
      </w:r>
      <w:r w:rsidRPr="00B9577F">
        <w:tab/>
        <w:t>podkreśla, że popyt na usługi DG LINC zaczął znacznie rosnąć od początku 2022 r., podczas gdy nadal obowiązywały ograniczenia związane z COVID-19; przyznaje, że wywarło to presję na zasoby, ponieważ potrzeba było większej liczby tłumaczy ustnych, więcej wsparcia technicznego i więcej złożonych operacji planowania ze względu na ograniczenie kontaktów personalnych i inne ograniczenia; zauważa, że skutki inflacji miały wpływ na wynagrodzenie zewnętrznych tłumaczy konferencyjnych; odnotowuje, że wzrost kosztów tłumaczenia ustnego został częściowo złagodzony dzięki zdalnemu tłumaczeniu podczas strasburskich sesji plenarnych z Brukseli</w:t>
      </w:r>
      <w:proofErr w:type="gramStart"/>
      <w:r w:rsidRPr="00B9577F">
        <w:t>; odnotowuje</w:t>
      </w:r>
      <w:proofErr w:type="gramEnd"/>
      <w:r w:rsidRPr="00B9577F">
        <w:t xml:space="preserve">, że aby poprawić warunki pracy, trzeba przede wszystkim zapewnić lepszą jakość dźwięku oraz ograniczyć liczbę i czas trwania </w:t>
      </w:r>
      <w:proofErr w:type="gramStart"/>
      <w:r w:rsidRPr="00B9577F">
        <w:t>tłumaczeń</w:t>
      </w:r>
      <w:proofErr w:type="gramEnd"/>
      <w:r w:rsidRPr="00B9577F">
        <w:t xml:space="preserve"> ustnych dla mówców zdalnych;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15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 xml:space="preserve">, że przedstawiciele tłumaczy ustnych zakwestionowali warunki pracy mające zastosowanie do tłumaczenia ustnego dla uczestników zdalnych ze względu na wpływ długotrwałego tłumaczenia zdalnego – w szczególności zgłaszanych problemów ze słyszalnością – na zdrowie i dobrostan tłumaczy ustnych; przypomina, że instytucje europejskie są zobowiązane do troski o swoich pracowników; podkreśla, że wynikające </w:t>
      </w:r>
      <w:r w:rsidRPr="00B9577F">
        <w:lastRenderedPageBreak/>
        <w:t xml:space="preserve">z tego akcje protestacyjne latem i jesienią 2022 r. doprowadziły do wstrzymania tłumaczeń, ze szkodą dla zdalnych prelegentów; zauważa, że tymczasowe ustalenia dotyczące pracy tłumaczy ustnych podczas posiedzeń z udziałem zdalnym weszły w życie 17 października 2022 r.; odnotowuje, że umożliwiły one przywrócenie tłumaczenia ustnego dla prelegentów zdalnych przy jednoczesnym utrzymaniu skróconego tygodniowego czasu </w:t>
      </w:r>
      <w:proofErr w:type="gramStart"/>
      <w:r w:rsidRPr="00B9577F">
        <w:t>pracy</w:t>
      </w:r>
      <w:proofErr w:type="gramEnd"/>
      <w:r w:rsidRPr="00B9577F">
        <w:t xml:space="preserve"> tłumaczy ustnych, co doprowadziło do ograniczenia świadczenia usług; zauważa, że pod koniec 2022 r. prowadzono, a w 2023 r. zakończono, dialog społeczny mający na celu ustanowienie stałych ram i pełne przywrócenie usług tłumaczenia ustnego;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w 2022 r. DG LINC była w stanie skonsolidować świadczenie usług tłumaczenia ustnego, dostosowując się jednocześnie do trudnego otoczenia regulacyjnego; zauważa z zadowoleniem, że DG LINC obsłużyła łącznie 5 278 posiedzeń parlamentarnych z tłumaczeniem ustnym i zapewniła średnio 5 266 godzin tłumaczenia ustnego na tydzień pracy, w porównaniu z 4 172 posiedzeniami i 4 039 godzinami tłumaczenia ustnego na tydzień w 2021 r.; zauważa, że jest to nadal poniżej średnich z lat 2017 i 2018 sprzed pandemii COVID-19;</w:t>
      </w:r>
    </w:p>
    <w:p w:rsidR="00B01728" w:rsidRPr="00B9577F" w:rsidRDefault="00B01728" w:rsidP="00B01728">
      <w:pPr>
        <w:pStyle w:val="NormalHanging12a"/>
      </w:pPr>
      <w:r w:rsidRPr="00B9577F">
        <w:t>11</w:t>
      </w:r>
      <w:r w:rsidR="007F0A80">
        <w:t>7</w:t>
      </w:r>
      <w:r w:rsidRPr="00B9577F">
        <w:t>.</w:t>
      </w:r>
      <w:r w:rsidRPr="00B9577F">
        <w:tab/>
      </w:r>
      <w:proofErr w:type="gramStart"/>
      <w:r w:rsidR="00A05A95" w:rsidRPr="007F0A80">
        <w:t>przypomina</w:t>
      </w:r>
      <w:proofErr w:type="gramEnd"/>
      <w:r w:rsidR="00A05A95" w:rsidRPr="007F0A80">
        <w:t xml:space="preserve"> art. 26 Karty praw podstawowych Unii Europejskiej;</w:t>
      </w:r>
      <w:r w:rsidR="00A05A95">
        <w:rPr>
          <w:b/>
          <w:i/>
        </w:rPr>
        <w:t xml:space="preserve"> </w:t>
      </w:r>
      <w:r w:rsidRPr="00B9577F">
        <w:t>ponawia swój od dawna wysuwany wniosek do sekretarza generalnego o przeanalizowanie możliwości zapewnienia tłumaczenia na międzynarodowy język migowy podczas wszystkich debat plenarnych oraz o bezzwłoczne wdrożenie tego wniosku; uważa ponadto, że retransmisja sesji plenarnych w językach migowych używanych w poszczególnych państwach członkowskich zwiększyłaby udział osób z niepełnosprawnościami w procesie demokratycznym UE;</w:t>
      </w:r>
      <w:r w:rsidR="00A05A95">
        <w:t xml:space="preserve"> </w:t>
      </w:r>
      <w:r w:rsidR="00A05A95" w:rsidRPr="007F0A80">
        <w:t>podkreśla znaczenie korzystania z narzędzi cyfrowych, w tym urządzeń wspomagających wykorzystujących AI; podkreśla również potrzebę zapewnienia wszystkim osobom z niepełnosprawnościami dostępnych informacji za pomocą łatwych do czytania formatów, piktogramów i nowych technologii;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Finansów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Dyrekcja Generalna ds. Finansów (DG FINS) jest organem administracyjnym odpowiedzialnym za sprawy budżetowe i finansowe Parlamentu; zauważa, że na dzień 31 grudnia 2022 r. w dyrekcji pracowało 246 pracowników, w tym 149 urzędników, 27 pracowników zatrudnionych na czas określony, 63 pracowników kontraktowych i 7 pracowników agencji pracy tymczasowej;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19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FINS wyniosły w 2022 r. 396 723 134 EUR, co stanowi 18,4 % budżetu Parlamentu; podkreśla, że z tej kwoty zaciągnięto zobowiązania na łączną kwotę 395 647 243 EUR; z zadowoleniem przyjmuje wysoki poziom wykorzystania środków;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20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2022 r. wiele zadań, za które odpowiada DG FINS, powróciło w mniejszym lub większym stopniu do poziomu sprzed pandemii; zauważa, że wojna w Ukrainie wywarła wymierny wpływ na działania DG FINS, wymagając odporności i zdolności adaptacyjnych, aby zapewnić ciągłość niektórych działań w Parlamencie poprzez mobilizację i realokację zasobów finansowych niezbędnych do stawienia czoła wstrząsowi inflacyjnemu;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21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w odpowiedzi na znaczny wzrost inflacji i stóp procentowych, a także światowy kryzys energetyczny, DG FINS zaostrzyła nadzór nad poziomami wykorzystania środków budżetowych i musiała podjąć wyjątkowe działania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w celu zapewnienia ciągłości działalności Parlamentu, w tym poprzez liczne realokacje środków budżetowych i złożenie wniosku o budżet korygujący w listopadzie 2022 r.;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22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 xml:space="preserve"> z zadowoleniem, że DG FINS była w stanie wykorzystać skuteczność swoich procesów i zaangażowanie swoich pracowników, aby zapewnić ciągłość świadczenia usług, za które jest odpowiedzialna, oraz osiągnąć cele określone w rocznym programie prac; odnotowuje obawy posłów dotyczące nieuzasadnionych i często znacznych opóźnień w rozpatrywaniu zwrotu kosztów, bowiem średni czas oczekiwania na zwrot kosztów podróży i wypłatę diet dziennych wynosi nawet 40 dni; z zadowoleniem przyjmuje fakt, że Parlament stale modernizuje swoje procesy, aby oferować posłom lepsze usługi dzięki zastosowaniu automatyzacji, uproszczenia i cyfryzacji; wzywa DG FINS do dalszego przyspieszenia obiegu zadań, aby zapewnić szybsze procedury, w szczególności dzięki wyposażeniu swoich </w:t>
      </w:r>
      <w:proofErr w:type="gramStart"/>
      <w:r w:rsidRPr="00B9577F">
        <w:t>pracowników</w:t>
      </w:r>
      <w:proofErr w:type="gramEnd"/>
      <w:r w:rsidRPr="00B9577F">
        <w:t xml:space="preserve"> w niezbędne narzędzia i oprogramowanie do skutecznego zarządzania pracą, co skróci czas realizacji zadań;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23</w:t>
      </w:r>
      <w:r w:rsidRPr="00B9577F">
        <w:t>.</w:t>
      </w:r>
      <w:r w:rsidRPr="00B9577F">
        <w:tab/>
      </w:r>
      <w:proofErr w:type="gramStart"/>
      <w:r w:rsidRPr="00B9577F">
        <w:t>dostrzega</w:t>
      </w:r>
      <w:proofErr w:type="gramEnd"/>
      <w:r w:rsidRPr="00B9577F">
        <w:t xml:space="preserve"> pracę asystentów krajowych jako istotną część działań posłów w ich okręgach wyborczych i jako punkt pierwszego kontaktu dla obywateli; podkreśla, że od kilku lat proces zatrudniania asystentów krajowych i podpisywania z nimi umów staje się coraz większym wyzwaniem ze względu na niezliczoną liczbę wniosków administracyjnych, co skutkuje podwójnymi kontrolami i niejasnymi wymogami; podkreśla, że DG FINS powinna uznać, iż asystenci krajowi podlegają ustawodawstwu krajowemu, i w związku z tym zwraca się do biur krajowych o przeprowadzenie procesu zatrudniania; przypomina ponadto, że działalność </w:t>
      </w:r>
      <w:proofErr w:type="spellStart"/>
      <w:r w:rsidRPr="00B9577F">
        <w:t>wolontariacka</w:t>
      </w:r>
      <w:proofErr w:type="spellEnd"/>
      <w:r w:rsidRPr="00B9577F">
        <w:t xml:space="preserve"> i polityczna asystentów krajowych, zgodnie z zasadami określonymi przez Parlament Europejski, jest często zwykłą działalnością zawodową, </w:t>
      </w:r>
      <w:proofErr w:type="gramStart"/>
      <w:r w:rsidRPr="00B9577F">
        <w:t>która</w:t>
      </w:r>
      <w:proofErr w:type="gramEnd"/>
      <w:r w:rsidRPr="00B9577F">
        <w:t xml:space="preserve"> nie powinna uzasadniać niepotrzebnych kontroli;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24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zaangażowanie DG FINS w zmiany ram regulacyjnych dotyczących finansowania struktur politycznych; z zadowoleniem przyjmuje fakt, że dyrekcja przyczyniła się do opracowania wniosku przyjętego przez Prezydium w lipcu 2022 r. w sprawie zmiany przepisów dotyczących wykorzystania środków związanych z finansowaniem grup politycznych; zauważa, że zmienione przepisy uwzględniają sytuację wynikającą z pandemii COVID-19 i w drodze wyjątku przewidują metodę utrzymania pułapu przeniesienia z 2022 r. na 2023 r. niewydanych środków na poziomie 75 % zamiast 50 %; zauważa z zadowoleniem, że DG FINS była również zaangażowana w prace nad przeglądem rozporządzenia Parlamentu Europejskiego i Rady (UE,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Euratom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) nr 1141/2014 z dnia 22 października 2014 r. w sprawie statusu i finansowania europejskich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partii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politycznych i europejskich fundacji politycznych</w:t>
      </w:r>
      <w:r w:rsidRPr="00B9577F">
        <w:rPr>
          <w:rStyle w:val="FootnoteReference"/>
          <w:szCs w:val="24"/>
        </w:rPr>
        <w:footnoteReference w:id="13"/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25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stałe wysiłki podejmowane w 2022 r. na rzecz cyfryzacji procesów, w tym opracowanie nowych funkcji i przeprojektowanie aplikacji e-Portal; zauważa z zadowoleniem, że w wyniku tego wskaźnik wykorzystania aplikacji wzrósł;</w:t>
      </w:r>
    </w:p>
    <w:p w:rsidR="00B01728" w:rsidRPr="00B9577F" w:rsidRDefault="00B01728" w:rsidP="00B01728">
      <w:pPr>
        <w:pStyle w:val="NormalHanging12a"/>
      </w:pPr>
      <w:r w:rsidRPr="00B9577F">
        <w:t>12</w:t>
      </w:r>
      <w:r w:rsidR="007F0A80">
        <w:t>6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przewlekły COVID-19 wymaga długoterminowej opieki i nadal podlega intensywnym badaniom; zauważa, że wśród posłów do Parlamentu Europejskiego, pracowników i akredytowanych asystentów parlamentarnych znajdują się przewlekle chorzy pacjenci, którzy wymagają stałej pomocy; wyraża ubolewanie, że obecne zasady wspólnego systemu ubezpieczenia chorobowego nie przewidują odpowiednich zwrotów kosztów, co sprawia, że osoby dotknięte tym problemem ponoszą ogromne koszty finansowe; podkreśla, że podobne niekorzystne warunki dotyczą wielu osób z chorobami autoimmunologicznymi, które nie są odpowiednio </w:t>
      </w:r>
      <w:r w:rsidRPr="00B9577F">
        <w:lastRenderedPageBreak/>
        <w:t>uznawane; wzywa DG FINS oraz Urząd Administracji i Wypłacania Należności Indywidualnych do wprowadzenia zmian w zasadach zwrotu kosztów, aby zasady te lepiej odzwierciedlały potrzeby takich osób;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12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organizację sesji roboczych poświęconych konkretnym zagadnieniom dotyczącym zamówień publicznych, w tym zarządzaniu cenami umów i postępowaniu w przypadku nadużyć finansowych; przyjmuje do wiadomości analizę porównawczą i studium wykonalności, w których opowiedziano się za modelem Komisji opartym na e-zamówieniach;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12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DG FINS koordynuje usługi związane z organizacją podróży, dostosowane do potrzeb posłów i wszystkich służb administracyjnych Parlamentu, w tym prace biura podróży; z zadowoleniem przyjmuje fakt, że DG FINS we współpracy z biurem podróży dołożyła starań, aby zautomatyzować zarządzanie zwrotem ponoszonych przez posłów kosztów podróży koleją; zauważa, że rok 2022 był przedostatnim rokiem przed wygaśnięciem umowy z obecną agencją; przypomina, że wybrana nowa agencja powinna być w stanie oferować posłom bardziej elastyczne i po przystępnych cenach rozwiązania podobne do ofert, które mogą znaleźć na otwartym rynku;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29</w:t>
      </w:r>
      <w:r w:rsidRPr="00B9577F">
        <w:t>.</w:t>
      </w:r>
      <w:r w:rsidRPr="00B9577F">
        <w:tab/>
      </w:r>
      <w:proofErr w:type="gramStart"/>
      <w:r w:rsidRPr="00B9577F">
        <w:t>wyraża</w:t>
      </w:r>
      <w:proofErr w:type="gramEnd"/>
      <w:r w:rsidRPr="00B9577F">
        <w:t xml:space="preserve"> zaniepokojenie faktem, że w 2022 r. wykryto pięć przypadków podejrzeń o oszustwo polegające na tym, iż posłowie rzekomo twierdzili, że korzystają z określonego środka transportu, podczas gdy w rzeczywistości korzystali ze środka tańszego; odnotowuje, że spodziewane jest wydanie dwóch nakazów odzyskania środków na łączną kwotę 39 807 EUR, a pozostałe sprawy są obecnie przedmiotem dalszego dochodzenia, które obejmuje kilka lat budżetowych i może dotyczyć kwoty 801 000 EUR;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30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ogłoszenie na posiedzeniu Prezydium 7 marca 2022 r. powołania grupy roboczej ad hoc Prezydium ds. dodatku z tytułu kosztów ogólnych, której zadaniem jest ocena wykonania decyzji Prezydium z 2 lipca 2018 r. dotyczącej wykazu wydatków, które mogą podlegać zwrotowi z tytułu kosztów ogólnych, w oparciu o doświadczenie zdobyte podczas 9.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kadencji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parlamentarnej; zauważa, że Prezydium na posiedzeniu 17 października 2022 r. przyjęło zestaw poprawek do przepisów wykonawczych do Statutu posła do Parlamentu Europejskiego (PWSP), wyjaśniających zasady mające zastosowanie do uprawnienia do zwrotu z tytułu kosztów ogólnych i korzystania z niego, a także środki mające na celu zwiększenie przejrzystości i zapewnienie większej pewności prawa w odniesieniu do uprawnień do tego dodatku; podkreśla, że grupa robocza ad hoc została poproszona o należyte uwzględnienie aspektów przejrzystości, odpowiedzialności i należytego zarządzania finansami w odniesieniu do środków udostępnianych posłom, przy czym należy mieć na uwadze zasadę wolności i niezależności mandatu parlamentarnego oraz cel unikania tworzenia zbędnych obciążeń </w:t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administracyjnych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dla posłów, ich biur i służb Parlamentu;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31</w:t>
      </w:r>
      <w:r w:rsidRPr="00B9577F">
        <w:t>.</w:t>
      </w:r>
      <w:r w:rsidRPr="00B9577F">
        <w:tab/>
      </w:r>
      <w:proofErr w:type="gramStart"/>
      <w:r w:rsidRPr="00B9577F">
        <w:t>zwraca</w:t>
      </w:r>
      <w:proofErr w:type="gramEnd"/>
      <w:r w:rsidRPr="00B9577F">
        <w:t xml:space="preserve"> uwagę, że w 2022 r. wpłynęły jedynie 32 dobrowolne oświadczenia złożone przez 26 posłów dotyczące wykorzystania dodatku z tytułu kosztów ogólnych, a 29 z tych oświadczeń zawierało sprawozdanie audytora; z zadowoleniem przyjmuje wysiłki Sekretariatu mające na celu zachęcenie posłów do Parlamentu Europejskiego do częstszego korzystania z tych możliwości;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32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posłowie mają swobodę, jeśli chodzi o dokumentowanie, jak wykorzystują środki udostępnione w ramach dodatku z tytułu kosztów ogólnych, przy czym mogą podsumować wykorzystanie tych środków według rodzaju kosztów lub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opisać je szczegółowo, samodzielnie lub przy wsparciu audytora zewnętrznego, i mogą publikować te informacje w całości lub w części na swojej stronie internetowej Parlamentu zgodnie z art. 11 ust. 2 Regulaminu Parlamentu Europejskiego; z zadowoleniem przyjmuje włączenie uproszczonego wykazu rodzajów kosztów do przepisów wykonawczych do statutu posła oraz przyjęcie poprawki wyjaśniającej możliwość korzystania przez posłów z dodatku z tytułu kosztów ogólnych w przypadku wyczerpania innych dodatków;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33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OLAF jest uprawniony do badania podejrzeń dotyczących poważnych uchybień ze strony pracowników Unii i członków instytucji Unii, w tym potencjalnych naruszeń kodeksu postępowania posłów do Parlamentu Europejskiego; zauważa, że w 2022 r. nie było przypadków, w których OLAF zażądałby dostępu do biur lub kont poczty elektronicznej posłów; zauważa, że można by zakończyć procedurę mającą na celu wzmocnienie mandatu OLAF-u w Parlamencie w przypadkach uzasadnionych podejrzeń wobec poszczególnych posłów, gdy jest to absolutnie konieczne i proporcjonalne z uwagi na prowadzone dochodzenie oraz odbywa się z pełnym poszanowaniem poufności zgodnie z zasadą immunitetów określoną w Protokole nr 7 w sprawie przywilejów i </w:t>
      </w:r>
      <w:proofErr w:type="gramStart"/>
      <w:r w:rsidRPr="00B9577F">
        <w:t>immunitetów</w:t>
      </w:r>
      <w:proofErr w:type="gramEnd"/>
      <w:r w:rsidRPr="00B9577F">
        <w:t xml:space="preserve"> Unii Europejskiej; ponownie wzywa Prezydium do niezwłocznego ustanowienia takiej procedury;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34</w:t>
      </w:r>
      <w:r w:rsidRPr="00B9577F">
        <w:t>.</w:t>
      </w:r>
      <w:r w:rsidRPr="00B9577F">
        <w:tab/>
      </w:r>
      <w:proofErr w:type="gramStart"/>
      <w:r w:rsidRPr="00B9577F">
        <w:t>zauważa</w:t>
      </w:r>
      <w:proofErr w:type="gramEnd"/>
      <w:r w:rsidRPr="00B9577F">
        <w:t xml:space="preserve">, że w 2022 r. OLAF zbadał 32 sprawy dotyczące Parlamentu w kwestiach związanych w szczególności ze świadczeniami finansowymi i socjalnymi dla posłów, finansowaniem struktur politycznych oraz wywiązywaniem się przez pracowników z obowiązków zawodowych; podkreśla, że OLAF wydał 14 sprawozdań, z których niektóre zawierały więcej niż jedno zalecenie, pięć zawierało zalecenia finansowe, pięć zalecenia dyscyplinarne, jedno zawierało zalecenia administracyjne, a siedem nie zawierało żadnych zaleceń; odnotowuje, że w 2022 r. Prokuratura Europejska (EPPO) badała 4 sprawy dotyczące Parlamentu związane ze świadczeniami finansowymi i socjalnymi dla posłów oraz finansowaniem struktur politycznych; zauważa, że żadne z dochodzeń prowadzonych przez EPPO w 2022 r. nie zostało zakończone w tym </w:t>
      </w:r>
      <w:proofErr w:type="gramStart"/>
      <w:r w:rsidRPr="00B9577F">
        <w:t>samym</w:t>
      </w:r>
      <w:proofErr w:type="gramEnd"/>
      <w:r w:rsidRPr="00B9577F">
        <w:t xml:space="preserve"> roku; zwraca się do administracji o poinformowanie, na ile jest to prawnie możliwe, czy zalecenia wydane przez OLAF zostały w pełni wdrożone, a zagrożone kwoty odzyskane, a także o przedstawienie podsumowania typologii badanych spraw, niezawierającego danych wrażliwych, aby móc wyciągnąć wnioski i wprowadzić ulepszenia;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35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Parlament systematycznie odrzucał wnioski OLAF-u o przeprowadzenie inspekcji biur posłów do PE oraz o dostęp do ich elektronicznych serwerów i urządzeń;</w:t>
      </w:r>
      <w:r w:rsidR="00A05A95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05A95" w:rsidRPr="007F0A80">
        <w:t xml:space="preserve">podkreśla, że posłowie są chronieni, ponieważ nie ponoszą odpowiedzialności za oddawane głosy i opinie wyrażane podczas wykonywania przez nich obowiązków, a także nie można ich ścigać i ograniczać ich wolności osobistej podczas sesji Parlamentu Europejskiego; przypomina, że OLAF może wejść do biur posłów dopiero po udzieleniu przez Przewodniczącego Parlamentu dostępu na wniosek złożony przez właściwy organ państwa członkowskiego, w większości przypadków sędziego; przypomina, że OLAF musi przestrzegać tych ograniczeń przy wypełnianiu swoich obowiązków i prowadzeniu dochodzeń, oraz </w:t>
      </w:r>
      <w:proofErr w:type="gramStart"/>
      <w:r w:rsidR="00A05A95" w:rsidRPr="007F0A80">
        <w:t>podkreśla</w:t>
      </w:r>
      <w:proofErr w:type="gramEnd"/>
      <w:r w:rsidR="00A05A95" w:rsidRPr="007F0A80">
        <w:t>, że domniemane uchybienia nie mogą być wykorzystywane jako pretekst do żądania bezpośredniego dostępu;</w:t>
      </w:r>
    </w:p>
    <w:p w:rsidR="00B01728" w:rsidRPr="00B9577F" w:rsidRDefault="00B01728" w:rsidP="00B01728">
      <w:pPr>
        <w:pStyle w:val="NormalHanging12a"/>
      </w:pPr>
      <w:r w:rsidRPr="00B9577F">
        <w:t>13</w:t>
      </w:r>
      <w:r w:rsidR="007F0A80">
        <w:t>6</w:t>
      </w:r>
      <w:r w:rsidRPr="00B9577F">
        <w:t>.</w:t>
      </w:r>
      <w:r w:rsidRPr="00B9577F">
        <w:tab/>
      </w:r>
      <w:proofErr w:type="gramStart"/>
      <w:r w:rsidRPr="00B9577F">
        <w:t>wyraża</w:t>
      </w:r>
      <w:proofErr w:type="gramEnd"/>
      <w:r w:rsidRPr="00B9577F">
        <w:t xml:space="preserve"> ubolewanie, że mimo iż w ciągu ostatnich dwunastu lat odnotowano co najmniej 25 przypadków naruszenia kodeksu postępowania przez posłów, przewodniczący Parlamentu ani raz nie nałożyli na posłów sankcji finansowych; wzywa przewodniczącą do rozważenia możliwości nałożenia sankcji finansowych w przypadku udowodnienia </w:t>
      </w:r>
      <w:r w:rsidRPr="00B9577F">
        <w:lastRenderedPageBreak/>
        <w:t>posłom naruszeń kodeksu postępowania, aby zapewnić, że sankcje będą miały rzeczywisty efekt odstraszający;</w:t>
      </w:r>
    </w:p>
    <w:p w:rsidR="00B01728" w:rsidRPr="00B9577F" w:rsidRDefault="00B01728" w:rsidP="00B01728">
      <w:pPr>
        <w:pStyle w:val="NormalHanging12a"/>
      </w:pPr>
      <w:r w:rsidRPr="00B9577F">
        <w:t>13</w:t>
      </w:r>
      <w:r w:rsidR="007F0A80">
        <w:t>7</w:t>
      </w:r>
      <w:r w:rsidRPr="00B9577F">
        <w:t>.</w:t>
      </w:r>
      <w:r w:rsidRPr="00B9577F">
        <w:tab/>
      </w:r>
      <w:proofErr w:type="gramStart"/>
      <w:r w:rsidRPr="00B9577F">
        <w:t>zwraca</w:t>
      </w:r>
      <w:proofErr w:type="gramEnd"/>
      <w:r w:rsidRPr="00B9577F">
        <w:t xml:space="preserve"> uwagę, że w 2022 r. Parlament Europejski odzyskał od poszczególnych posłów do Parlamentu Europejskiego kwotę 261 891 EUR ujętą w dochodach zapisanych w linii budżetowej 3300 „Zwrot nienależnie wypłaconych kwot”; zauważa, że duża część tej kwoty nie jest związana z dodatkiem na pomoc parlamentarną; zauważa, że w ujęciu ogólnym kwoty ujęte w dochodach zapisanych w linii budżetowej 3300 (odzyskane od poszczególnych posłów do Parlamentu Europejskiego, a także od grup politycznych/partii/fundacji, osób trzecich, pracowników, innych osób fizycznych itp.) to w przeważającej części kwoty odzyskane ze względów technicznych, takich jak uregulowanie wydatkowanych kwot związanych ze zmianami w umowach lub ich rozwiązaniem, i w znacznej </w:t>
      </w:r>
      <w:proofErr w:type="gramStart"/>
      <w:r w:rsidRPr="00B9577F">
        <w:t>większości</w:t>
      </w:r>
      <w:proofErr w:type="gramEnd"/>
      <w:r w:rsidRPr="00B9577F">
        <w:t xml:space="preserve"> nie dotyczą akredytowanych asystentów parlamentarnych; zauważa, że kwoty te obejmują również przypadki związane z dobrowolnymi zwrotami dokonanymi przez ograniczoną liczbę posłów do Parlamentu Europejskiego oraz szczególny przypadek korekt, które wynikały albo z błędów administracyjnych w obliczeniach PE, albo z retroaktywnej zmiany przepisów w niektórych państwach członkowskich i kompensacji; zauważa, że do tej kategorii należą również zmiany warunków umów i związane z nimi potencjalne odzyskane kwoty po zatwierdzeniu dostosowań warunków umowy;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Innowacji i Wsparcia Technologicznego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Dyrekcja Generalna ds. Innowacji i Wsparcia Technologicznego (DG ITEC) zapewnia Parlamentowi usługi i sprzęt w zakresie technologii informacyjno-komunikacyjnych (ICT), obsługę wideokonferencji i usługi multimedialne, a także usługi wydawnicze i drukarskie; odnotowuje, że na dzień 31 grudnia 2022 r. w dyrekcji pracowało 543 pracowników, w tym 349 urzędników, 53 pracowników zatrudnionych na czas określony i 141 pracowników kontraktowych;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39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ITEC wyniosły w 2022 r. 134 808 679 EUR, co stanowi 6,2 % budżetu Parlamentu; podkreśla, że z tej kwoty zaciągnięto zobowiązania na łączną kwotę 134 439 573 EUR; z zadowoleniem przyjmuje wysoki poziom wykorzystania środków;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DG ITEC współpracuje z dyrekcjami generalnymi będącymi klientami, aby zapewnić posłom i pracownikom ukierunkowane na użytkownika, bezpieczne, hybrydowe i oparte na danych środowisko pracy; z zadowoleniem odnotowuje promowanie przez dyrekcję zrównoważonego i odpowiedzialnego wdrażania innowacyjnych technologii, takich jak sztuczna inteligencja i analiza danych, w celu zwiększenia zdolności decyzyjnych służb Parlamentu;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41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 o wartości dodanej wolnego i otwartego oprogramowania w zakresie poprawy bezpieczeństwa, ponieważ umożliwia ono Parlamentowi identyfikację i usuwanie słabych punktów, utrzymanie kontroli nad danymi poprzez hosting na swoich serwerach i projektowanie rozwiązań zgodnie z własnymi specyfikacjami, przy jednoczesnej możliwości uniknięcia efektu uzależnienia od dostawcy;</w:t>
      </w:r>
      <w:r w:rsidR="00A05A95">
        <w:t xml:space="preserve"> </w:t>
      </w:r>
      <w:r w:rsidR="00A05A95" w:rsidRPr="007F0A80">
        <w:t xml:space="preserve">przypomina, że przy wyborze stosowanego oprogramowania należy kierować się jedynie wysokimi standardami </w:t>
      </w:r>
      <w:proofErr w:type="spellStart"/>
      <w:r w:rsidR="00A05A95" w:rsidRPr="007F0A80">
        <w:t>cyberbezpieczeństwa</w:t>
      </w:r>
      <w:proofErr w:type="spellEnd"/>
      <w:r w:rsidR="00A05A95" w:rsidRPr="007F0A80">
        <w:t>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działalność Parlamentu w zakresie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cyberobrony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była silnie naznaczona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stale rosnącymi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cyberzagrożeniami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i ryzykiem dla Parlamentu oraz innych instytucji, organów i agencji Unii; z zadowoleniem przyjmuje fakt, że CERT-UE wykorzystał dodatkowe zasoby do wsparcia Parlamentu w dziedzinach zastosowań infrastruktury chmury obliczeniowej, wzmocnionego wywiadu na temat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cyberzagrożeń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całodobowego monitorowania parametrów bezpieczeństwa i identyfikacji podatności na zagrożenia;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43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utworzenie w 2022 r. Dyrekcji ds.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Cyberbezpieczeństwa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odpowiedzialnej za bezpieczeństwo informacji i składającej się z trzech działów zajmujących się operacjami bezpieczeństwa, polityką bezpieczeństwa i ryzykiem dla bezpieczeństwa; wzywa Parlament do kontynuowania wysiłków i zwiększenia inwestycji w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cyberbezpieczeństwo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; z zadowoleniem przyjmuje fakt, że DG ITEC umożliwiła sprawdzenie sprzętu informatycznego pod kątem dowodów na obecność oprogramowania szpiegowskiego, takiego jak PEGASUS, i wzywa DG ITEC do kontynuowania pracy w tym obszarze;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44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związku ze zwiększonym wykorzystaniem urządzeń przenośnych w 2022 r. DG ITEC opracowała globalne badanie w celu zaplanowania usprawnień sieci Wi-Fi w budynkach Parlamentu; zauważa, że w 2022 r. w budynku SPAAK w Brukseli zainstalowano 351 dodatkowych anten; docenia wysiłki podjęte w celu poprawy sieci Wi-Fi w budynkach Parlamentu; wzywa do dalszego ulepszania sieci telefonii komórkowej w budynkach Parlamentu w Strasburgu w celu poprawy odbioru telefonów komórkowych;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inflacja na świecie w połączeniu z problemami związanymi z łańcuchem dostaw powoduje wzrost kosztów sprzętu i profesjonalnych usług; z zadowoleniem przyjmuje fakt, że DG ITEC ponownie zdefiniowała priorytety bieżących inwestycji informatycznych; z zadowoleniem przyjmuje nowy i szybszy cykl zarządzania IT w ramach programu informatycznego Agile DG ITEC;</w:t>
      </w:r>
    </w:p>
    <w:p w:rsidR="00B01728" w:rsidRDefault="00B01728" w:rsidP="00B01728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14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pandemia COVID-19 była katalizatorem przyspieszonej transformacji cyfrowej Parlamentu w ciągu ostatnich kilku lat; podkreśla przejście na Parlament hybrydowy z w pełni elastyczną organizacją pracy obejmującą obecność fizyczną, jak i całkowicie cyfrowe środowisko pracy; z zadowoleniem przyjmuje odporność Parlamentu w obliczu pandemii COVID-19 oraz fakt, że jego reakcja była szybka i elastyczna i że wykorzystano wcześniejsze inwestycje w cyfryzację;</w:t>
      </w:r>
    </w:p>
    <w:p w:rsidR="00A05A95" w:rsidRPr="00A05A95" w:rsidRDefault="00BD4ABE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D4ABE">
        <w:t>14</w:t>
      </w:r>
      <w:r w:rsidR="007F0A80">
        <w:t>7</w:t>
      </w:r>
      <w:r w:rsidR="00A05A95" w:rsidRPr="007F0A80">
        <w:t>.</w:t>
      </w:r>
      <w:r w:rsidR="00A05A95" w:rsidRPr="00A05A95">
        <w:tab/>
      </w:r>
      <w:proofErr w:type="gramStart"/>
      <w:r w:rsidR="00A05A95" w:rsidRPr="007F0A80">
        <w:t>przypomina</w:t>
      </w:r>
      <w:proofErr w:type="gramEnd"/>
      <w:r w:rsidR="00A05A95" w:rsidRPr="007F0A80">
        <w:t xml:space="preserve">, że społeczność osób niesłyszących od dawna domaga się możliwości składania petycji w krajowych językach migowych używanych w Unii; odnotowuje dyskusje przeprowadzone podczas posiedzeń Komisji Petycji 29 listopada 2023 r. i 19 marca 2024 r., dotyczące w szczególności petycji nr 1056/2016, oraz podkreśla zaangażowanie Parlamentu na rzecz poprawy dostępności dla wszystkich obywateli europejskich; przypomina, że Regulamin Parlamentu Europejskiego wymaga składania petycji w formie pisemnej; wzywa administrację Parlamentu do wprowadzenia niezbędnych zmian na portalu petycji w celu umożliwienia składającym petycję poparcia ich pisemnej petycji nagranym w trybie wideo tłumaczeniem na język migowy; zachęca administrację do zaproszenia odpowiednich zainteresowanych stron, w tym przedstawicieli społeczności osób niesłyszących, do </w:t>
      </w:r>
      <w:proofErr w:type="gramStart"/>
      <w:r w:rsidR="00A05A95" w:rsidRPr="007F0A80">
        <w:t>wniesienia</w:t>
      </w:r>
      <w:proofErr w:type="gramEnd"/>
      <w:r w:rsidR="00A05A95" w:rsidRPr="007F0A80">
        <w:t xml:space="preserve"> wkładu i zgłaszania informacji zwrotnych podczas procesu wdrażania, aby zapewnić skuteczność i </w:t>
      </w:r>
      <w:proofErr w:type="spellStart"/>
      <w:r w:rsidR="00A05A95" w:rsidRPr="007F0A80">
        <w:t>inkluzywność</w:t>
      </w:r>
      <w:proofErr w:type="spellEnd"/>
      <w:r w:rsidR="00A05A95" w:rsidRPr="007F0A80">
        <w:t xml:space="preserve"> proponowanych środków;</w:t>
      </w:r>
    </w:p>
    <w:p w:rsidR="00B01728" w:rsidRPr="00B9577F" w:rsidRDefault="00B01728" w:rsidP="00B01728">
      <w:pPr>
        <w:pStyle w:val="NormalHanging12a"/>
      </w:pPr>
      <w:r w:rsidRPr="00B9577F">
        <w:t>14</w:t>
      </w:r>
      <w:r w:rsidR="007F0A80">
        <w:t>8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fakt, że portal podpisu cyfrowego (</w:t>
      </w:r>
      <w:proofErr w:type="spellStart"/>
      <w:r w:rsidRPr="00B9577F">
        <w:t>DiSP</w:t>
      </w:r>
      <w:proofErr w:type="spellEnd"/>
      <w:r w:rsidRPr="00B9577F">
        <w:t xml:space="preserve">) umożliwia posłom </w:t>
      </w:r>
      <w:r w:rsidRPr="00B9577F">
        <w:lastRenderedPageBreak/>
        <w:t>cyfrowe podpisywanie dokumentów, co poprawia wydajność, identyfikowalność i przejrzystość procedur; zauważa, że niezależnie od możliwości wysyłania podpisanych poprawek plenarnych do służb plenarnych pocztą elektroniczną lub za pośrednictwem specjalnego portalu PE do przesyłania dokumentów podpisywanie poprawek plenarnych jest przestarzałą i uciążliwą procedurą; wzywa Prezydium do podjęcia niezbędnych kroków w celu wprowadzenia w przyszłości możliwości cyfrowego podpisywania poprawek plenarnych przez posłów;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Dyrekcja Generalna ds. Bezpieczeństwa i Ochrony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49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Dyrekcja Generalna ds. Bezpieczeństwa i Ochrony (DG SAFE) dąży do przewidywania ryzyka i zagrożeń dla bezpieczeństwa Parlamentu, jego posłów i pracowników, zapobiegania tym zagrożeniom i ograniczania ich, przy zastosowaniu podejścia opartego na analizie ryzyka, które należycie uwzględnia demokratyczny charakter instytucji i wartości, które ona reprezentuje, w szczególności otwartość i przejrzystość; odnotowuje, że na dzień 31 grudnia 2022 r. w dyrekcji pracowało 882 pracowników, w tym 170 urzędników, 22 pracowników zatrudnionych na czas określony i 690 pracowników kontraktowych;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50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ostateczne środki DG SAFE wyniosły w 2022 r. 29 507 334 EUR, co stanowi 1,4 % budżetu Parlamentu; podkreśla, że z tej kwoty zaciągnięto zobowiązania na łączną kwotę 28 370 796 EUR; z zadowoleniem przyjmuje wysoki poziom wykorzystania środków;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51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internalizację ogólnych usług bezpieczeństwa w Luksemburgu, która weszła w życie 1 stycznia 2022 r.; potwierdza, że trudno jest przyciągnąć i rekrutować wyspecjalizowany personel ze wszystkich państw członkowskich w dziedzinie bezpieczeństwa na warunkach oferowanych w grupie funkcyjnej I; przypomina o szczególnej sytuacji w Luksemburgu, gdzie wynagrodzenie oferowane w tej grupie funkcyjnej jest niższe niż minimalne wynagrodzenie międzybranżowe w tym kraju, co zmusza Parlament do wypłacania dodatku wyrównawczego;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52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zwraca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uwagę na zwiększone zapotrzebowanie na świadczenie przez DG SAFE dodatkowych i wyjątkowych usług w zakresie bezpieczeństwa i ochrony we wszystkich miejscach pracy w związku z rosnącą liczbą wydarzeń na dużą skalę; dostrzega, że pozytywna odpowiedź na te rosnące potrzeby stanowi wyzwanie dla służb bezpieczeństwa Parlamentu, które mają stałą liczbę pracowników;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53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powrót do normalnej liczby odwiedzających po złagodzeniu ograniczeń związanych z COVID-19 w 2022 r.; wyraża zaniepokojenie, że brak przestrzeni w Brukseli na przyjmowanie i akredytowanie uczestników konferencji i wydarzeń może stanowić zagrożenie dla bezpieczeństwa Parlamentu;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54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trzeba dokładnie planować projekty związane z biurami kontaktowymi Parlamentu Europejskiego i centrami Europa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Experience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aby móc starannie oszacować wydatki na usługi i wyposażenie w zakresie bezpieczeństwa i ochrony;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 xml:space="preserve">Kwestie horyzontalne mające wpływ na budżet Parlamentu w roku budżetowym 2022 </w:t>
      </w:r>
    </w:p>
    <w:p w:rsidR="00B01728" w:rsidRPr="00B9577F" w:rsidRDefault="00B01728" w:rsidP="00B01728">
      <w:pPr>
        <w:spacing w:after="240"/>
        <w:rPr>
          <w:b/>
          <w:noProof/>
          <w:u w:val="single"/>
        </w:rPr>
      </w:pPr>
      <w:r w:rsidRPr="00B9577F">
        <w:rPr>
          <w:b/>
          <w:u w:val="single"/>
        </w:rPr>
        <w:t xml:space="preserve">Molestowanie i nękanie 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BD4ABE">
        <w:t>5</w:t>
      </w:r>
      <w:r w:rsidR="007F0A80">
        <w:t>5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politykę zerowej tolerancji Parlamentu wobec molestowania </w:t>
      </w:r>
      <w:r w:rsidRPr="00B9577F">
        <w:lastRenderedPageBreak/>
        <w:t xml:space="preserve">i nękania oraz przeprowadzone kampanie uświadamiające; podkreśla, że Kodeks właściwego zachowania posłów do Parlamentu Europejskiego ma na celu dopilnowanie, aby posłowie zachowywali się wobec wszystkich osób pracujących w Parlamencie Europejskim z godnością, uprzejmością i szacunkiem oraz bez uprzedzeń i dyskryminacji; przypomina, że w 2022 r. 56 posłów do PE wzięło udział w sesji szkoleniowej; zauważa, że od listopada 2018 r., kiedy to zaproponowano pierwsze sesje, w sesji szkoleniowej uczestniczyło łącznie 324 obecnych posłów do PE </w:t>
      </w:r>
      <w:r w:rsidRPr="00B9577F">
        <w:rPr>
          <w:b/>
          <w:i/>
        </w:rPr>
        <w:t>(46 %)</w:t>
      </w:r>
      <w:r w:rsidRPr="00B9577F">
        <w:t xml:space="preserve"> oraz 56 byłych posłów, których mandat wygasł; zauważa, że w 2022 r. 106 pracowników i akredytowanych asystentów parlamentarnych uczestniczyło w kursach szkoleniowych dotyczących </w:t>
      </w:r>
      <w:proofErr w:type="gramStart"/>
      <w:r w:rsidRPr="00B9577F">
        <w:t>przeciwdziałania</w:t>
      </w:r>
      <w:proofErr w:type="gramEnd"/>
      <w:r w:rsidRPr="00B9577F">
        <w:t xml:space="preserve"> molestowaniu i nękaniu; zauważa z zaniepokojeniem, że przypadki molestowania i nękania nadal występują niezależnie od działań podejmowanych w celu wyeliminowania takich </w:t>
      </w:r>
      <w:proofErr w:type="spellStart"/>
      <w:r w:rsidRPr="00B9577F">
        <w:t>zachowań</w:t>
      </w:r>
      <w:proofErr w:type="spellEnd"/>
      <w:r w:rsidRPr="00B9577F">
        <w:t xml:space="preserve"> w miejscu pracy;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56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przy okazji wcześniejszych procedur udzielania absolutorium zwrócono się o wdrożenie obowiązkowych kursów szkoleniowych na temat przeciwdziałania molestowaniu i nękaniu dla wszystkich posłów i akredytowanych asystentów parlamentarnych, a także pracowników, w tym osób pełniących funkcje kierownicze w poszczególnych dyrekcjach generalnych i grupach politycznych; zauważa, że aby pomóc w budowaniu lepszego środowiska pracy w Parlamencie Europejskim i uniknąć wszelkich nadużyć władzy, 10 lipca 2023 r. Prezydium zatwierdziło koncepcję szkolenia na temat udanego zarządzania zespołami i zapobiegania nękaniu i molestowaniu; z zadowoleniem przyjmuje wysiłki Prezydium zmierzające do tego, by szkolenie w zakresie przeciwdziałania molestowaniu i nękaniu było obowiązkowe dla wszystkich posłów, a także </w:t>
      </w:r>
      <w:proofErr w:type="gramStart"/>
      <w:r w:rsidRPr="00B9577F">
        <w:t>kierowników</w:t>
      </w:r>
      <w:proofErr w:type="gramEnd"/>
      <w:r w:rsidRPr="00B9577F">
        <w:t xml:space="preserve"> działów, dyrektorów i dyrektorów generalnych;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15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szkolenie na temat przeciwdziałania molestowaniu i nękaniu powinno być obowiązkowe dla posłów, akredytowanych asystentów parlamentarnych i pracowników</w:t>
      </w:r>
      <w:r w:rsidR="00A05A95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05A95" w:rsidRPr="007F0A80">
        <w:t xml:space="preserve">oraz że wszyscy członkowie personelu, w tym personel medyczny odgrywający rolę w procedurach przeciwdziałania molestowaniu, </w:t>
      </w:r>
      <w:r w:rsidR="007F0A80">
        <w:t xml:space="preserve">powinni </w:t>
      </w:r>
      <w:proofErr w:type="spellStart"/>
      <w:r w:rsidR="007F0A80">
        <w:t>byc</w:t>
      </w:r>
      <w:proofErr w:type="spellEnd"/>
      <w:r w:rsidR="00A05A95" w:rsidRPr="007F0A80">
        <w:t xml:space="preserve"> specjalnie przeszkoleni w zakresie tych procedur;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15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w 2022 r. Komitet doradczy ds. molestowania i zapobiegania mu w miejscu pracy otrzymał dwie skargi złożone przez dwie osoby odbywające staż; zauważa ponadto, że jeden pracownik skontaktował się z komitetem w celu konsultacji; </w:t>
      </w:r>
    </w:p>
    <w:p w:rsidR="00B01728" w:rsidRDefault="00B01728" w:rsidP="00B01728">
      <w:pPr>
        <w:spacing w:after="240"/>
        <w:ind w:left="567" w:hanging="567"/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59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Komitet doradczy rozpatrujący skargi dotyczące nękania psychicznego lub molestowania seksualnego z udziałem posłów jest upoważniony do badania zarzutów nękania psychicznego lub molestowania seksualnego, formułowanych wobec posłów przez pracowników wszystkich kategorii, w tym akredytowanych asystentów parlamentarnych, stażystów, oddelegowanych ekspertów krajowych i pracowników grup politycznych; zauważa, że w celu dalszego wzmocnienia polityki Parlamentu w zakresie przeciwdziałania molestowaniu i nękaniu 20 listopada 2023 r. Prezydium przyjęło szereg dodatkowych zmian w przepisach dotyczących funkcjonowania Komitetu doradczego rozpatrującego skargi dotyczące nękania psychicznego lub molestowania seksualnego z udziałem posłów do Parlamentu Europejskiego;</w:t>
      </w:r>
      <w:r w:rsidR="00A05A95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05A95" w:rsidRPr="007F0A80">
        <w:t xml:space="preserve">ponawia apel do Prezydium o włączenie niezależnych ekspertów ds. molestowania i nękania do obu </w:t>
      </w:r>
      <w:proofErr w:type="gramStart"/>
      <w:r w:rsidR="00A05A95" w:rsidRPr="007F0A80">
        <w:t>komitetów</w:t>
      </w:r>
      <w:proofErr w:type="gramEnd"/>
      <w:r w:rsidR="00A05A95" w:rsidRPr="007F0A80">
        <w:t xml:space="preserve"> doradczych, aby pomóc im w wykonywaniu ich obowiązków;</w:t>
      </w:r>
    </w:p>
    <w:p w:rsidR="00A05A95" w:rsidRPr="00A05A95" w:rsidRDefault="00BD4ABE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D4ABE">
        <w:t>16</w:t>
      </w:r>
      <w:r w:rsidR="007F0A80">
        <w:t>0</w:t>
      </w:r>
      <w:r w:rsidR="00A05A95" w:rsidRPr="007F0A80">
        <w:t>.</w:t>
      </w:r>
      <w:r w:rsidR="00A05A95" w:rsidRPr="00A05A95">
        <w:tab/>
      </w:r>
      <w:proofErr w:type="gramStart"/>
      <w:r w:rsidR="00A05A95" w:rsidRPr="007F0A80">
        <w:t>podkreśla</w:t>
      </w:r>
      <w:proofErr w:type="gramEnd"/>
      <w:r w:rsidR="00A05A95" w:rsidRPr="007F0A80">
        <w:t xml:space="preserve">, że molestowanie seksualne i nękanie psychiczne są nie do przyjęcia w jakichkolwiek okolicznościach; przypomina, że Parlament z powodzeniem utworzył kilka punktów kontaktowych zajmujących się przypadkami molestowania i nękania, </w:t>
      </w:r>
      <w:r w:rsidR="00A05A95" w:rsidRPr="007F0A80">
        <w:lastRenderedPageBreak/>
        <w:t xml:space="preserve">takich jak komitet doradczy rozpatrujący skargi dotyczące nękania psychicznego lub molestowania seksualnego z udziałem posłów oraz komitet doradczy ds. molestowania i zapobiegania mu w miejscu pracy, a także wprowadził funkcję zaufanych doradców; jest bardzo zaniepokojony doniesieniami mediów o domniemanym molestowaniu seksualnym ze strony posła od lata 2022 r. oraz faktem, że nie podjęto w związku z tym żadnych działań; przypomina, że wszystkie grupy polityczne są zdecydowanie zachęcane do zgłaszania tym komitetom potencjalnych </w:t>
      </w:r>
      <w:proofErr w:type="gramStart"/>
      <w:r w:rsidR="00A05A95" w:rsidRPr="007F0A80">
        <w:t>przypadków</w:t>
      </w:r>
      <w:proofErr w:type="gramEnd"/>
      <w:r w:rsidR="00A05A95" w:rsidRPr="007F0A80">
        <w:t xml:space="preserve"> oraz że ustanowienie struktur zewnętrznych w tym samym celu prowadzi do obchodzenia protokołu Parlamentu w sprawie przeciwdziałania molestowaniu i do ustanowienia dwupoziomowego systemu; podkreśla, że prowadzi to do poważnej niepewności dla ofiar i ustanawia różne zasady dla różnych partii politycznych;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61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 2022 r. 13 pracowników (w porównaniu z 9 w 2021 r.) zwróciło się o pomoc do instytucji zgodnie z art. 24 regulaminu pracowniczego; zauważa, że 6 spraw (w porównaniu z 5 w 2021 r.) dotyczyło domniemanego molestowania lub nękania; podkreśla, że żaden z zainteresowanych pracowników nie był urzędnikiem oraz że we wszystkich 6 przypadkach chodziło o akredytowanych asystentów parlamentarnych lub byłych akredytowanych asystentów parlamentarnych;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62</w:t>
      </w:r>
      <w:r w:rsidRPr="00B9577F">
        <w:t>.</w:t>
      </w:r>
      <w:r w:rsidRPr="00B9577F">
        <w:tab/>
      </w:r>
      <w:proofErr w:type="gramStart"/>
      <w:r w:rsidRPr="00B9577F">
        <w:t>uważa</w:t>
      </w:r>
      <w:proofErr w:type="gramEnd"/>
      <w:r w:rsidRPr="00B9577F">
        <w:t>, że należy również uwzględniać molestowanie i nękanie asystentów parlamentarnych przez innych asystentów parlamentarnych lub urzędników Parlamentu;</w:t>
      </w:r>
    </w:p>
    <w:p w:rsidR="00B01728" w:rsidRPr="00B9577F" w:rsidRDefault="00B01728" w:rsidP="00B01728">
      <w:pPr>
        <w:spacing w:after="240"/>
        <w:rPr>
          <w:b/>
          <w:noProof/>
          <w:u w:val="single"/>
        </w:rPr>
      </w:pPr>
      <w:r w:rsidRPr="00B9577F">
        <w:rPr>
          <w:b/>
          <w:u w:val="single"/>
        </w:rPr>
        <w:t>Sygnaliści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63</w:t>
      </w:r>
      <w:r w:rsidRPr="00B9577F">
        <w:t>.</w:t>
      </w:r>
      <w:r w:rsidRPr="00B9577F">
        <w:tab/>
      </w:r>
      <w:proofErr w:type="gramStart"/>
      <w:r w:rsidRPr="00B9577F">
        <w:t>przypomina</w:t>
      </w:r>
      <w:proofErr w:type="gramEnd"/>
      <w:r w:rsidRPr="00B9577F">
        <w:t xml:space="preserve">, że pracownicy instytucji Unii mają obowiązek zgłaszania wszelkich informacji wskazujących na korupcję, nadużycia finansowe i inne poważne nieprawidłowości, które wykryją w ramach pełnienia obowiązków; zauważa, że w 2022 r. Parlament odnotował jeden przypadek sygnalizowania nieprawidłowości; z zadowoleniem przyjmuje trwające w 2022 r. prace nad aktualizacją przepisów wewnętrznych wdrażających art. 22 lit. c) regulaminu pracowniczego z dnia 4 grudnia 2015 r. i wprowadzeniem bardziej kompleksowych i szczegółowych przepisów wewnętrznych; z zadowoleniem przyjmuje, że 20 listopada 2023 r. Prezydium przyjęło decyzję w sprawie przepisów wewnętrznych dotyczących informowania o nieprawidłowościach i że decyzja ta stosowana jest od 1 grudnia 2023 r.; obejmuje ona przepisy dotyczące ochrony sygnalistów, przekazywania dowodów OLAF-owi i, </w:t>
      </w:r>
      <w:proofErr w:type="gramStart"/>
      <w:r w:rsidRPr="00B9577F">
        <w:t>w</w:t>
      </w:r>
      <w:proofErr w:type="gramEnd"/>
      <w:r w:rsidRPr="00B9577F">
        <w:t xml:space="preserve"> stosownych przypadkach, Prokuraturze Europejskiej, a także terminów rozpatrywania skarg; 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64</w:t>
      </w:r>
      <w:r w:rsidRPr="00B9577F">
        <w:t>.</w:t>
      </w:r>
      <w:r w:rsidRPr="00B9577F">
        <w:tab/>
      </w:r>
      <w:proofErr w:type="gramStart"/>
      <w:r w:rsidRPr="00B9577F">
        <w:t>nawiązując</w:t>
      </w:r>
      <w:proofErr w:type="gramEnd"/>
      <w:r w:rsidRPr="00B9577F">
        <w:t xml:space="preserve"> do zawiadomienia Prezydium nr 18/2023 w sprawie wewnętrznych przepisów dotyczących informowania o nieprawidłowościach oraz obowiązków nałożonych na akredytowanych asystentów parlamentarnych i pracowników w zakresie zgłaszania wszelkich naruszeń, uważa, że konieczne jest, aby wszystkie służby w Parlamencie były również zobowiązane do zgłaszania wszelkich posiadanych informacji o nadużyciach finansowych, naruszeniach przepisów finansowych lub wszelkich </w:t>
      </w:r>
      <w:proofErr w:type="spellStart"/>
      <w:r w:rsidRPr="00B9577F">
        <w:t>zachowaniach</w:t>
      </w:r>
      <w:proofErr w:type="spellEnd"/>
      <w:r w:rsidRPr="00B9577F">
        <w:t xml:space="preserve"> naruszających kodeks etyczny Parlamentu; obowiązek ten powinien dotyczyć wszystkich takich informacji, niezależnie od ich poufności, a informacje te powinny być przekazywane odpowiednim służbom w Parlamencie;</w:t>
      </w:r>
    </w:p>
    <w:p w:rsidR="00B01728" w:rsidRPr="00B9577F" w:rsidRDefault="00B01728" w:rsidP="00B01728">
      <w:pPr>
        <w:spacing w:after="240"/>
        <w:rPr>
          <w:b/>
          <w:noProof/>
          <w:u w:val="single"/>
        </w:rPr>
      </w:pPr>
      <w:r w:rsidRPr="00B9577F">
        <w:rPr>
          <w:b/>
          <w:u w:val="single"/>
        </w:rPr>
        <w:t>Dobrowolny fundusz emerytalny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65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, że deficyt aktuarialny dobrowolnego funduszu emerytalnego na dzień 31 grudnia 2021 r. wyniósł 379 mln EUR (w porównaniu z 371,4 mln EUR na dzień 31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grudnia 2020 r.); z zadowoleniem przyjmuje zmiany wprowadzone przez Prezydium Parlamentu do art. 76 PWSP w odniesieniu do dodatkowego (dobrowolnego) systemu emerytalnego, które weszły w życie 1 lipca 2023 r. i które mają na celu zmniejszenie przyszłych zobowiązań emerytalnych z 362,7 mln EUR do szacowanej kwoty 139 mln EUR, a deficytu aktuarialnego funduszu – z 310 mln EUR do szacowanych 86 mln EUR;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66</w:t>
      </w:r>
      <w:r w:rsidRPr="00B9577F">
        <w:t>.</w:t>
      </w:r>
      <w:r w:rsidRPr="00B9577F">
        <w:tab/>
      </w:r>
      <w:proofErr w:type="gramStart"/>
      <w:r w:rsidRPr="00B9577F">
        <w:t>z</w:t>
      </w:r>
      <w:proofErr w:type="gramEnd"/>
      <w:r w:rsidRPr="00B9577F">
        <w:t xml:space="preserve"> zadowoleniem przyjmuje najnowsze decyzje podjęte przez Prezydium; przypomina, że problem ten nadal będzie wymagał rozwiązania w przyszłości, ponieważ oczekuje się, iż fundusz wyczerpie swoje aktywa najpóźniej do 2027 r.; przyznaje, że Parlament nie jest zaangażowany w zarządzanie portfelem inwestycyjnym dobrowolnego funduszu emerytalnego; wzywa jednak zarządzającego funduszem do przeprowadzenia właściwej oceny potencjalnego ryzyka utraty reputacji w związku z jego inwestycjami; zauważa, że członkom Prezydium udostępniono również ocenę prawną ostatnich wyroków Trybunału Sprawiedliwości Unii Europejskiej i ich konsekwencji dla przyszłych decyzji Prezydium, aby umożliwić im podjęcie świadomej decyzji; zauważa, że w Trybunale Sprawiedliwości Unii Europejskiej toczą się postępowania odwoławcze i że trzeba </w:t>
      </w:r>
      <w:proofErr w:type="gramStart"/>
      <w:r w:rsidRPr="00B9577F">
        <w:t>będzie</w:t>
      </w:r>
      <w:proofErr w:type="gramEnd"/>
      <w:r w:rsidRPr="00B9577F">
        <w:t xml:space="preserve"> ponownie rozpatrzyć tę kwestię po wydaniu wyroków;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zwraca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się do administracji i Prezydium o </w:t>
      </w:r>
      <w:r w:rsidR="00A05A95" w:rsidRPr="007F0A80">
        <w:t>ponowne zajęcie się tą sprawą dopiero po przedstawieniu przez TSUE oceny prawnej w celu rozważenia przyszłości</w:t>
      </w:r>
      <w:r w:rsidRPr="00A05A95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dobrowolnego funduszu emerytalnego;</w:t>
      </w:r>
    </w:p>
    <w:p w:rsidR="00B01728" w:rsidRPr="00B9577F" w:rsidRDefault="00B01728" w:rsidP="00B01728">
      <w:pPr>
        <w:spacing w:after="240"/>
        <w:ind w:left="567" w:hanging="567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Sprawozdanie roczne z udzielonych zamówień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16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 rozporządzeniu finansowym określono informacje, jakie należy przekazywać władzy budżetowej i opinii publicznej odnośnie do zamówień udzielanych przez Parlament; zauważa, że rozporządzenie finansowe nakłada obowiązek publikacji udzielonych zamówień o wartości powyżej 15 000 EUR, odpowiadającej progowi, powyżej którego obowiązkowa staje się procedura przetargowa; odnotowuje, że spośród 194 zamówień udzielonych w 2022 r. 63 przyznano na podstawie procedury otwartej, przy czym ich wartość wyniosła 359,3 mln EUR, a 1 zamówienie, o wartości 460 000 EUR – na podstawie procedury ograniczonej; zauważa, że 126 zamówień (o wartości 48 mln EUR) udzielono w drodze procedur negocjacyjnych;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69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całkowita liczba udzielonych zamówień zmniejszyła się w 2022 r. (194) w porównaniu z 2021 r. (221); odnotowuje znaczne zmniejszenie zakontraktowanych kwot, które w 2022 r. wyniosły 410 mln EUR w porównaniu z 1 016 mln EUR w 2021 r.;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następujące rozbicie zamówień udzielonych w 2022 i 2021 r. według rodzaju, z uwzględnieniem zamówień dotyczących nieruchomości: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9"/>
        <w:gridCol w:w="1979"/>
        <w:gridCol w:w="1578"/>
        <w:gridCol w:w="1578"/>
        <w:gridCol w:w="1576"/>
      </w:tblGrid>
      <w:tr w:rsidR="00B01728" w:rsidRPr="00B9577F" w:rsidTr="006350AB">
        <w:trPr>
          <w:trHeight w:val="300"/>
        </w:trPr>
        <w:tc>
          <w:tcPr>
            <w:tcW w:w="1296" w:type="pct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Rodzaj zamówienia</w:t>
            </w:r>
          </w:p>
        </w:tc>
        <w:tc>
          <w:tcPr>
            <w:tcW w:w="1963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2021</w:t>
            </w:r>
          </w:p>
        </w:tc>
        <w:tc>
          <w:tcPr>
            <w:tcW w:w="1741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2022</w:t>
            </w: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963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741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Liczba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Liczba</w:t>
            </w:r>
          </w:p>
        </w:tc>
        <w:tc>
          <w:tcPr>
            <w:tcW w:w="870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right"/>
              <w:rPr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Budynki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8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3,6 %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</w:t>
            </w: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Usługi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176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79,6 %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169</w:t>
            </w: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87 %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Dostawy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27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12,2 %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17</w:t>
            </w: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9 %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Roboty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10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4,5 %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</w:t>
            </w: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3 %</w:t>
            </w: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lastRenderedPageBreak/>
              <w:t> 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6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 xml:space="preserve">   Ogółem</w:t>
            </w:r>
          </w:p>
        </w:tc>
        <w:tc>
          <w:tcPr>
            <w:tcW w:w="1092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221</w:t>
            </w:r>
          </w:p>
        </w:tc>
        <w:tc>
          <w:tcPr>
            <w:tcW w:w="871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  <w:tc>
          <w:tcPr>
            <w:tcW w:w="871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194</w:t>
            </w:r>
          </w:p>
        </w:tc>
        <w:tc>
          <w:tcPr>
            <w:tcW w:w="870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</w:tr>
    </w:tbl>
    <w:p w:rsidR="00B01728" w:rsidRPr="00B9577F" w:rsidRDefault="00B01728" w:rsidP="00B01728">
      <w:pPr>
        <w:tabs>
          <w:tab w:val="left" w:pos="567"/>
        </w:tabs>
        <w:spacing w:after="240"/>
        <w:jc w:val="both"/>
        <w:rPr>
          <w:color w:val="000000" w:themeColor="text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8"/>
        <w:gridCol w:w="1919"/>
        <w:gridCol w:w="1475"/>
        <w:gridCol w:w="1763"/>
        <w:gridCol w:w="1555"/>
      </w:tblGrid>
      <w:tr w:rsidR="00B01728" w:rsidRPr="00B9577F" w:rsidTr="006350AB">
        <w:trPr>
          <w:trHeight w:val="300"/>
        </w:trPr>
        <w:tc>
          <w:tcPr>
            <w:tcW w:w="1296" w:type="pct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Rodzaj zamówienia</w:t>
            </w:r>
          </w:p>
        </w:tc>
        <w:tc>
          <w:tcPr>
            <w:tcW w:w="1872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2021</w:t>
            </w:r>
          </w:p>
        </w:tc>
        <w:tc>
          <w:tcPr>
            <w:tcW w:w="1832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2022</w:t>
            </w: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72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32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Kwota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  <w:tc>
          <w:tcPr>
            <w:tcW w:w="973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Kwota</w:t>
            </w:r>
          </w:p>
        </w:tc>
        <w:tc>
          <w:tcPr>
            <w:tcW w:w="859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 xml:space="preserve">   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973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59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Budynki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168 302 638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17 %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27 804 776</w:t>
            </w: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7 %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Usługi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634 689 038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62 %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283 779 269</w:t>
            </w: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69 %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Dostawy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136 777 513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13 %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47 817 885</w:t>
            </w: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12 %</w:t>
            </w:r>
          </w:p>
        </w:tc>
      </w:tr>
      <w:tr w:rsidR="00B01728" w:rsidRPr="00B9577F" w:rsidTr="006350AB">
        <w:trPr>
          <w:trHeight w:val="3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Roboty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76 247 759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8 %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 xml:space="preserve">50 642 975 </w:t>
            </w: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12 %</w:t>
            </w:r>
          </w:p>
        </w:tc>
      </w:tr>
      <w:tr w:rsidR="00B01728" w:rsidRPr="00B9577F" w:rsidTr="006350AB">
        <w:trPr>
          <w:trHeight w:val="315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right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right"/>
              <w:rPr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600"/>
        </w:trPr>
        <w:tc>
          <w:tcPr>
            <w:tcW w:w="1296" w:type="pct"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 xml:space="preserve">   Ogółem</w:t>
            </w:r>
          </w:p>
        </w:tc>
        <w:tc>
          <w:tcPr>
            <w:tcW w:w="1059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1 016 016 948</w:t>
            </w:r>
          </w:p>
        </w:tc>
        <w:tc>
          <w:tcPr>
            <w:tcW w:w="814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  <w:tc>
          <w:tcPr>
            <w:tcW w:w="973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410 044 905</w:t>
            </w:r>
          </w:p>
        </w:tc>
        <w:tc>
          <w:tcPr>
            <w:tcW w:w="859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</w:tr>
    </w:tbl>
    <w:p w:rsidR="00B01728" w:rsidRPr="00B9577F" w:rsidRDefault="00B01728" w:rsidP="00B01728">
      <w:pPr>
        <w:spacing w:after="240"/>
        <w:ind w:left="567" w:hanging="567"/>
        <w:jc w:val="both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71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następujące rozbicie zamówień udzielonych w 2022 i 2021 r. według rodzaju zastosowanej procedury z uwzględnieniem liczby i wartości: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92"/>
        <w:gridCol w:w="1328"/>
        <w:gridCol w:w="1620"/>
        <w:gridCol w:w="1678"/>
        <w:gridCol w:w="1642"/>
      </w:tblGrid>
      <w:tr w:rsidR="00B01728" w:rsidRPr="00B9577F" w:rsidTr="006350AB">
        <w:trPr>
          <w:trHeight w:val="300"/>
        </w:trPr>
        <w:tc>
          <w:tcPr>
            <w:tcW w:w="1541" w:type="pct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 xml:space="preserve">Rodzaj procedury </w:t>
            </w:r>
          </w:p>
        </w:tc>
        <w:tc>
          <w:tcPr>
            <w:tcW w:w="1627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2021</w:t>
            </w:r>
          </w:p>
        </w:tc>
        <w:tc>
          <w:tcPr>
            <w:tcW w:w="1832" w:type="pct"/>
            <w:gridSpan w:val="2"/>
            <w:vMerge w:val="restar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2022</w:t>
            </w:r>
          </w:p>
        </w:tc>
      </w:tr>
      <w:tr w:rsidR="00B01728" w:rsidRPr="00B9577F" w:rsidTr="006350AB">
        <w:trPr>
          <w:trHeight w:val="315"/>
        </w:trPr>
        <w:tc>
          <w:tcPr>
            <w:tcW w:w="1541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627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32" w:type="pct"/>
            <w:gridSpan w:val="2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B01728" w:rsidRPr="00B9577F" w:rsidTr="006350AB">
        <w:trPr>
          <w:trHeight w:val="315"/>
        </w:trPr>
        <w:tc>
          <w:tcPr>
            <w:tcW w:w="1541" w:type="pct"/>
            <w:vMerge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Liczba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  <w:tc>
          <w:tcPr>
            <w:tcW w:w="926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Liczba</w:t>
            </w:r>
          </w:p>
        </w:tc>
        <w:tc>
          <w:tcPr>
            <w:tcW w:w="906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Odsetek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92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  <w:tc>
          <w:tcPr>
            <w:tcW w:w="906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 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Procedura otwarta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78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35 %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63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32,5 %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Procedura negocjacyjna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135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61 %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126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65 %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Procedura ograniczona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Specjalna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Konkurencyjna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Dynamiczny system zakupów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Partnerstwo innowacyjne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0 %</w:t>
            </w:r>
          </w:p>
        </w:tc>
      </w:tr>
      <w:tr w:rsidR="00B01728" w:rsidRPr="00B9577F" w:rsidTr="006350AB">
        <w:trPr>
          <w:trHeight w:val="3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OP przyspieszona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</w:tr>
      <w:tr w:rsidR="00B01728" w:rsidRPr="00B9577F" w:rsidTr="006350AB">
        <w:trPr>
          <w:trHeight w:val="315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 xml:space="preserve">    Konkurs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color w:val="000000" w:themeColor="text1"/>
                <w:szCs w:val="24"/>
              </w:rPr>
            </w:pPr>
            <w:r w:rsidRPr="00B9577F">
              <w:rPr>
                <w:color w:val="000000" w:themeColor="text1"/>
              </w:rPr>
              <w:t>0,5 %</w:t>
            </w:r>
          </w:p>
        </w:tc>
      </w:tr>
      <w:tr w:rsidR="00B01728" w:rsidRPr="00B9577F" w:rsidTr="006350AB">
        <w:trPr>
          <w:trHeight w:val="600"/>
        </w:trPr>
        <w:tc>
          <w:tcPr>
            <w:tcW w:w="1541" w:type="pct"/>
            <w:hideMark/>
          </w:tcPr>
          <w:p w:rsidR="00B01728" w:rsidRPr="00B9577F" w:rsidRDefault="00B01728" w:rsidP="006350AB">
            <w:pPr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 xml:space="preserve">   Ogółem</w:t>
            </w:r>
          </w:p>
        </w:tc>
        <w:tc>
          <w:tcPr>
            <w:tcW w:w="733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221</w:t>
            </w:r>
          </w:p>
        </w:tc>
        <w:tc>
          <w:tcPr>
            <w:tcW w:w="894" w:type="pct"/>
            <w:hideMark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  <w:tc>
          <w:tcPr>
            <w:tcW w:w="926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194</w:t>
            </w:r>
          </w:p>
        </w:tc>
        <w:tc>
          <w:tcPr>
            <w:tcW w:w="906" w:type="pct"/>
          </w:tcPr>
          <w:p w:rsidR="00B01728" w:rsidRPr="00B9577F" w:rsidRDefault="00B01728" w:rsidP="006350AB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9577F">
              <w:rPr>
                <w:b/>
                <w:color w:val="000000" w:themeColor="text1"/>
              </w:rPr>
              <w:t>100 %</w:t>
            </w:r>
          </w:p>
        </w:tc>
      </w:tr>
    </w:tbl>
    <w:p w:rsidR="00B01728" w:rsidRPr="00B9577F" w:rsidRDefault="00B01728" w:rsidP="00B01728">
      <w:pPr>
        <w:rPr>
          <w:noProof/>
        </w:rPr>
      </w:pPr>
    </w:p>
    <w:p w:rsidR="00B01728" w:rsidRPr="00B9577F" w:rsidRDefault="00B01728" w:rsidP="00B01728">
      <w:pPr>
        <w:spacing w:after="240"/>
        <w:jc w:val="both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Grupy polityczne (pozycja budżetowa 400)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72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 2022 r. środki z pozycji budżetowej 400 przyznane grupom politycznym i posłom niezrzeszonym wykorzystano w sposób przedstawiony poniżej</w:t>
      </w:r>
      <w:r w:rsidRPr="00B9577F">
        <w:rPr>
          <w:rStyle w:val="FootnoteReference"/>
          <w:szCs w:val="24"/>
        </w:rPr>
        <w:footnoteReference w:id="14"/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B01728" w:rsidRPr="00B9577F" w:rsidRDefault="00B01728" w:rsidP="00B01728">
      <w:pPr>
        <w:widowControl/>
        <w:rPr>
          <w:noProof/>
        </w:rPr>
      </w:pPr>
      <w:r w:rsidRPr="00B9577F">
        <w:br w:type="page"/>
      </w:r>
    </w:p>
    <w:p w:rsidR="00B01728" w:rsidRPr="00B9577F" w:rsidRDefault="00B01728" w:rsidP="00B01728">
      <w:pPr>
        <w:rPr>
          <w:noProof/>
        </w:rPr>
        <w:sectPr w:rsidR="00B01728" w:rsidRPr="00B9577F" w:rsidSect="00B9577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84"/>
        <w:gridCol w:w="1155"/>
        <w:gridCol w:w="1155"/>
        <w:gridCol w:w="1156"/>
        <w:gridCol w:w="1266"/>
        <w:gridCol w:w="1158"/>
        <w:gridCol w:w="1156"/>
        <w:gridCol w:w="1156"/>
        <w:gridCol w:w="1156"/>
        <w:gridCol w:w="1266"/>
        <w:gridCol w:w="1158"/>
      </w:tblGrid>
      <w:tr w:rsidR="00B01728" w:rsidRPr="00B9577F" w:rsidTr="006350AB">
        <w:trPr>
          <w:trHeight w:val="293"/>
        </w:trPr>
        <w:tc>
          <w:tcPr>
            <w:tcW w:w="8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lastRenderedPageBreak/>
              <w:t>Grupa</w:t>
            </w:r>
          </w:p>
        </w:tc>
        <w:tc>
          <w:tcPr>
            <w:tcW w:w="206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2022</w:t>
            </w:r>
          </w:p>
        </w:tc>
        <w:tc>
          <w:tcPr>
            <w:tcW w:w="206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2021</w:t>
            </w:r>
          </w:p>
        </w:tc>
      </w:tr>
      <w:tr w:rsidR="00B01728" w:rsidRPr="00B9577F" w:rsidTr="006350AB">
        <w:trPr>
          <w:trHeight w:val="863"/>
        </w:trPr>
        <w:tc>
          <w:tcPr>
            <w:tcW w:w="8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Roczne środki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Zasoby własne i środki przeniesione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Wydatki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Wskaźnik wykorzystania rocznych środków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Środki przeniesione na następny okres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Roczne środki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Zasoby własne i środki przeniesione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Wydatki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Wskaźnik wykorzystania rocznych środków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Środki przeniesione na następny okres</w:t>
            </w:r>
          </w:p>
        </w:tc>
      </w:tr>
      <w:tr w:rsidR="00B01728" w:rsidRPr="00B9577F" w:rsidTr="006350AB">
        <w:trPr>
          <w:trHeight w:val="293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Europejska Partia Ludowa (PPE)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16 739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12 640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18 651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111,42 %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10 729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16 750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10 229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13 646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81,47 %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12 562</w:t>
            </w:r>
          </w:p>
        </w:tc>
      </w:tr>
      <w:tr w:rsidR="00B01728" w:rsidRPr="00B9577F" w:rsidTr="006350AB">
        <w:trPr>
          <w:trHeight w:val="578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Grupa Postępowego Sojuszu Socjalistów i Demokratów (S&amp;D)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13 804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10 258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15 016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108,78 %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9 046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13 584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9 829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12 295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90,51 %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10 188</w:t>
            </w:r>
          </w:p>
        </w:tc>
      </w:tr>
      <w:tr w:rsidR="00B01728" w:rsidRPr="00B9577F" w:rsidTr="006350AB">
        <w:trPr>
          <w:trHeight w:val="863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577F">
              <w:rPr>
                <w:b/>
                <w:color w:val="000000"/>
                <w:sz w:val="18"/>
              </w:rPr>
              <w:t>Renew</w:t>
            </w:r>
            <w:proofErr w:type="spellEnd"/>
            <w:r w:rsidRPr="00B9577F">
              <w:rPr>
                <w:b/>
                <w:color w:val="000000"/>
                <w:sz w:val="18"/>
              </w:rPr>
              <w:t xml:space="preserve"> Europe (dawne Porozumienie Liberałów i Demokratów na rzecz Europy (ALDE))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9 799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11 384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116,18 %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5 365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9 192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6 997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76,12 %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6 894</w:t>
            </w:r>
          </w:p>
        </w:tc>
      </w:tr>
      <w:tr w:rsidR="00B01728" w:rsidRPr="00B9577F" w:rsidTr="006350AB">
        <w:trPr>
          <w:trHeight w:val="578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Zieloni / Wolne Przymierze Europejskie (</w:t>
            </w:r>
            <w:proofErr w:type="spellStart"/>
            <w:r w:rsidRPr="00B9577F">
              <w:rPr>
                <w:b/>
                <w:color w:val="000000"/>
                <w:sz w:val="18"/>
              </w:rPr>
              <w:t>Verts</w:t>
            </w:r>
            <w:proofErr w:type="spellEnd"/>
            <w:r w:rsidRPr="00B9577F">
              <w:rPr>
                <w:b/>
                <w:color w:val="000000"/>
                <w:sz w:val="18"/>
              </w:rPr>
              <w:t>/ALE)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5 196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7 964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114,74 %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4 173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4 891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6 126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88,43 %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5 196</w:t>
            </w:r>
          </w:p>
        </w:tc>
      </w:tr>
      <w:tr w:rsidR="00B01728" w:rsidRPr="00B9577F" w:rsidTr="006350AB">
        <w:trPr>
          <w:trHeight w:val="293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 xml:space="preserve">Grupa Tożsamość i Demokracja (ID)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6 348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5 157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6 958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109,61 %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4 547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6 874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4 762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5 940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86,42 %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5 155</w:t>
            </w:r>
          </w:p>
        </w:tc>
      </w:tr>
      <w:tr w:rsidR="00B01728" w:rsidRPr="00B9577F" w:rsidTr="006350AB">
        <w:trPr>
          <w:trHeight w:val="578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Europejscy Konserwatyści i Reformatorzy (ECR)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6 184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3 847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6 960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112,55 %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3 071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6 005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3 982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6 269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104,39 %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3 718</w:t>
            </w:r>
          </w:p>
        </w:tc>
      </w:tr>
      <w:tr w:rsidR="00B01728" w:rsidRPr="00B9577F" w:rsidTr="006350AB">
        <w:trPr>
          <w:trHeight w:val="578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Lewica – Zjednoczona Lewica Europejska / Nordycka Zielona Lewica (GUE/NGL)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3 858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2 036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4 498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116,59 %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1 396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3 806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2 266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4 036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106,05 %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2 036</w:t>
            </w:r>
          </w:p>
        </w:tc>
      </w:tr>
      <w:tr w:rsidR="00B01728" w:rsidRPr="00B9577F" w:rsidTr="006350AB">
        <w:trPr>
          <w:trHeight w:val="293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1728" w:rsidRPr="00B9577F" w:rsidRDefault="00B01728" w:rsidP="006350AB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 xml:space="preserve">Posłowie niezrzeszeni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2 326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861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994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42,72 %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1 520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1 862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1041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595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31,94 %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9577F">
              <w:rPr>
                <w:color w:val="000000"/>
                <w:sz w:val="18"/>
              </w:rPr>
              <w:t>861</w:t>
            </w:r>
          </w:p>
        </w:tc>
      </w:tr>
      <w:tr w:rsidR="00B01728" w:rsidRPr="00B9577F" w:rsidTr="006350AB">
        <w:trPr>
          <w:trHeight w:val="293"/>
        </w:trPr>
        <w:tc>
          <w:tcPr>
            <w:tcW w:w="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Ogółem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66 000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46 945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72 426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109,74 %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39 846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65 000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43 948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55 904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86,01 %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577F">
              <w:rPr>
                <w:b/>
                <w:color w:val="000000"/>
                <w:sz w:val="18"/>
              </w:rPr>
              <w:t>46 611</w:t>
            </w:r>
          </w:p>
        </w:tc>
      </w:tr>
    </w:tbl>
    <w:p w:rsidR="00B01728" w:rsidRPr="00B9577F" w:rsidRDefault="00B01728" w:rsidP="00B01728">
      <w:pPr>
        <w:rPr>
          <w:noProof/>
        </w:rPr>
      </w:pPr>
    </w:p>
    <w:p w:rsidR="00B01728" w:rsidRPr="00B9577F" w:rsidRDefault="00B01728" w:rsidP="00B01728">
      <w:pPr>
        <w:widowControl/>
        <w:rPr>
          <w:noProof/>
        </w:rPr>
      </w:pPr>
      <w:r w:rsidRPr="00B9577F">
        <w:br w:type="page"/>
      </w:r>
    </w:p>
    <w:p w:rsidR="00B01728" w:rsidRPr="00B9577F" w:rsidRDefault="00B01728" w:rsidP="00B01728">
      <w:pPr>
        <w:rPr>
          <w:noProof/>
        </w:rPr>
        <w:sectPr w:rsidR="00B01728" w:rsidRPr="00B9577F" w:rsidSect="00B9577F">
          <w:footnotePr>
            <w:numRestart w:val="eachPage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567" w:footer="567" w:gutter="0"/>
          <w:cols w:space="720"/>
          <w:noEndnote/>
          <w:docGrid w:linePitch="326"/>
        </w:sectPr>
      </w:pP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73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niezależni audytorzy zewnętrzni grup politycznych wydali jedynie opinie bez zastrzeżeń za rok budżetowy 2022;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74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środki te przeznaczone są na pokrycie kosztów działań związanych z działalnością polityczną Unii oraz że grupy polityczne odpowiadają przed Parlamentem za ich wykorzystanie;</w:t>
      </w:r>
    </w:p>
    <w:p w:rsidR="00B01728" w:rsidRPr="00B9577F" w:rsidRDefault="00B01728" w:rsidP="00B01728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Europejskie partie polityczne i europejskie fundacje polityczne</w:t>
      </w:r>
    </w:p>
    <w:p w:rsidR="00B01728" w:rsidRPr="00B9577F" w:rsidRDefault="00B01728" w:rsidP="00B01728">
      <w:pPr>
        <w:pStyle w:val="NormalHanging12a"/>
      </w:pPr>
      <w:r w:rsidRPr="00B9577F">
        <w:t>1</w:t>
      </w:r>
      <w:r w:rsidR="007F0A80">
        <w:t>75</w:t>
      </w:r>
      <w:r w:rsidRPr="00B9577F">
        <w:t>.</w:t>
      </w:r>
      <w:r w:rsidRPr="00B9577F">
        <w:tab/>
      </w:r>
      <w:proofErr w:type="gramStart"/>
      <w:r w:rsidRPr="00B9577F">
        <w:t>odnotowuje</w:t>
      </w:r>
      <w:proofErr w:type="gramEnd"/>
      <w:r w:rsidRPr="00B9577F">
        <w:t>, że w 2022 r. Urząd zapewnił europejskim partiom politycznym i europejskim fundacjom politycznym prawo do bycia wysłuchanymi, a także możliwość podjęcia środków naprawczych w 9 przypadkach; zauważa ponadto, że były to przypadki związane z wymogami w zakresie sprawozdawczości, przepisami dotyczącymi dochodów i wspólnymi działaniami; podkreśla, że wczesna kontrola Urzędu wskazuje, iż we wszystkich tych przypadkach europejskie partie i fundacje polityczne wdrożyły natychmiast odpowiednie środki naprawcze; zauważa, że Urząd będzie nadal kontrolować, czy środki naprawcze o długotrwałym skutku zapewniają stałe przestrzeganie przepisów w odnośnych obszarach; z zadowoleniem odnotowuje fakt, że w 2022 r. nie było potrzeby przyjęcia żadnych sankcji;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76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zadowoleniem przyjmuje fakt, że w ramach przygotowań do wyborów europejskich w 2024 r. Urząd aktywnie wzmacnia sieci współpracy, badając dalsze partnerstwa na rzecz obrony integralności demokratycznej;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77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zauważa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z zaniepokojeniem, że Urząd informuje o napotykanych problemach z zasobami ludzkimi; podkreśla, że oczekuje się, iż kwestia ta stanie się nagląca ze względu na ewoluujące wyzwania w okresie poprzedzającym wybory europejskie w 2024 r., w tym w szczególności ze względu na potrzebę ochrony integralności demokratycznej przed nowymi formami obcych ingerencji, a także niezbędne administracyjne wdrożenie wszelkich nowych zadań, które pojawią się dla Urzędu w związku z toczącymi się negocjacjami w sprawie przekształcenia rozporządzenia (UE, </w:t>
      </w:r>
      <w:proofErr w:type="spell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Euratom</w:t>
      </w:r>
      <w:proofErr w:type="spell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) nr 1141/2014;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17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przypomina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 xml:space="preserve"> o kluczowej roli aktywnej i odpornej demokracji europejskiej opartej na pluralizmie partii politycznych na szczeblu Unii; podkreśla w związku z tym, że należy zapewnić równe warunki działania i kontrolować przestrzeganie przepisów przy pełnym poszanowaniu praw proceduralnych; w tym kontekście z zadowoleniem przyjmuje zasadniczą pracę Urzędu, który niezależnie i w ścisłej współpracy z Parlamentem dba o przestrzeganie przez europejskie partie polityczne i europejskie fundacje polityczne ram prawnych, zapewnia obywatelom przejrzystość i przyczynia się do uczciwości wyborów do Parlamentu; </w:t>
      </w: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79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 2022 r. środki z pozycji budżetowej 402 wykorzystano w następujący sposób</w:t>
      </w:r>
      <w:r w:rsidRPr="00B9577F">
        <w:rPr>
          <w:rStyle w:val="FootnoteReference"/>
          <w:szCs w:val="24"/>
        </w:rPr>
        <w:footnoteReference w:id="15"/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B01728" w:rsidRPr="00B9577F" w:rsidRDefault="00B01728" w:rsidP="00B01728">
      <w:pPr>
        <w:widowControl/>
        <w:rPr>
          <w:noProof/>
        </w:rPr>
      </w:pPr>
      <w:r w:rsidRPr="00B9577F">
        <w:br w:type="page"/>
      </w:r>
    </w:p>
    <w:tbl>
      <w:tblPr>
        <w:tblW w:w="90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91"/>
        <w:gridCol w:w="1276"/>
        <w:gridCol w:w="1134"/>
        <w:gridCol w:w="1329"/>
        <w:gridCol w:w="1223"/>
        <w:gridCol w:w="1278"/>
        <w:gridCol w:w="1147"/>
      </w:tblGrid>
      <w:tr w:rsidR="00B01728" w:rsidRPr="00B9577F" w:rsidTr="006350AB">
        <w:trPr>
          <w:trHeight w:val="131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Partia (2022)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Skrót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Zasoby własne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Ostateczny wkład PE </w:t>
            </w:r>
            <w:r w:rsidRPr="00B9577F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B9577F">
              <w:rPr>
                <w:rStyle w:val="FootnoteReference"/>
                <w:sz w:val="20"/>
              </w:rPr>
              <w:footnoteReference w:id="16"/>
            </w:r>
            <w:r w:rsidRPr="00B9577F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Dochody ogółem</w:t>
            </w:r>
            <w:r w:rsidRPr="00B9577F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Wkład PE w % wydatków podlegających zwrotowi (maks. 90 %)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Nadwyżka dochodów (przesunięcie do rezerw lub strata)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Europejska Partia Ludowa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PPE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1 655 732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10 720 235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12 375 967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448 128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Partia Europejskich Socjalistów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1 010 502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7 204 815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8 215 317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675 194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Porozumienie Liberałów i Demokratów na rzecz Europy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ALDE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1 177 316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6 448 482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7 625 798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560 139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Europejska Partia Zielonych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EPZ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661 160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5 384 834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6 045 994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846 993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Europejska Partia Lewicy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290 086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2 336 264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2 626 350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40 396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Europejska Partia Demokratyczna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EDP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176 754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1 257 070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1 433 824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127 134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Wolne Przymierze Europejskie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ALE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112 712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928 957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1 041 669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100 217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Partia Europejskich Konserwatystów i Reformatorów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Partia ECR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515 571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1 958 597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2 474 168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-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Europejski Chrześcijański Ruch Polityczny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ECPM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72 331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615 809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688 140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Partia ds. Tożsamości i Demokracji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Partia 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331 742 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618 311 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950 053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74 %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OGÓŁEM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bCs/>
                <w:sz w:val="20"/>
              </w:rPr>
            </w:pPr>
            <w:r w:rsidRPr="00B9577F">
              <w:rPr>
                <w:b/>
                <w:sz w:val="20"/>
              </w:rPr>
              <w:t>6 003 906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bCs/>
                <w:sz w:val="20"/>
              </w:rPr>
            </w:pPr>
            <w:r w:rsidRPr="00B9577F">
              <w:rPr>
                <w:b/>
                <w:sz w:val="20"/>
              </w:rPr>
              <w:t>37 473 375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bCs/>
                <w:sz w:val="20"/>
              </w:rPr>
            </w:pPr>
            <w:r w:rsidRPr="00B9577F">
              <w:rPr>
                <w:b/>
                <w:sz w:val="20"/>
              </w:rPr>
              <w:t>43 477 281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  <w:r w:rsidRPr="00B9577F">
              <w:rPr>
                <w:b/>
                <w:sz w:val="20"/>
              </w:rPr>
              <w:t>2 798 201</w:t>
            </w:r>
          </w:p>
        </w:tc>
      </w:tr>
    </w:tbl>
    <w:p w:rsidR="00B01728" w:rsidRPr="00B9577F" w:rsidRDefault="00B01728" w:rsidP="00B01728">
      <w:pPr>
        <w:rPr>
          <w:noProof/>
        </w:rPr>
      </w:pPr>
    </w:p>
    <w:p w:rsidR="00B01728" w:rsidRPr="00B9577F" w:rsidRDefault="00B01728" w:rsidP="00B01728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BD4ABE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7F0A80">
        <w:rPr>
          <w14:textOutline w14:w="0" w14:cap="flat" w14:cmpd="sng" w14:algn="ctr">
            <w14:noFill/>
            <w14:prstDash w14:val="solid"/>
            <w14:bevel/>
          </w14:textOutline>
        </w:rPr>
        <w:t>0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odnotowuje</w:t>
      </w:r>
      <w:proofErr w:type="gramEnd"/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, że w 2022 r. środki z pozycji budżetowej 403 wykorzystano w następujący sposób</w:t>
      </w:r>
      <w:r w:rsidRPr="00B9577F">
        <w:rPr>
          <w:rStyle w:val="FootnoteReference"/>
          <w:szCs w:val="24"/>
        </w:rPr>
        <w:footnoteReference w:id="17"/>
      </w:r>
      <w:r w:rsidRPr="00B9577F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tbl>
      <w:tblPr>
        <w:tblW w:w="90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299"/>
        <w:gridCol w:w="1258"/>
        <w:gridCol w:w="984"/>
        <w:gridCol w:w="1133"/>
        <w:gridCol w:w="1247"/>
        <w:gridCol w:w="1247"/>
        <w:gridCol w:w="920"/>
        <w:gridCol w:w="961"/>
      </w:tblGrid>
      <w:tr w:rsidR="00B01728" w:rsidRPr="00B9577F" w:rsidTr="006350AB">
        <w:trPr>
          <w:trHeight w:val="1327"/>
        </w:trPr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Fundacja (2022)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Skrót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Związek z partią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Zasoby własne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Ostateczna kwota dotacji z PE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Dochody ogółem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Dotacje z PE w % kosztów kwalifikowalnyc</w:t>
            </w: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h (maks. 95 %)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Nadwyżka dochodów (przesunięcie do rezerw </w:t>
            </w:r>
            <w:r w:rsidRPr="00B9577F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lub strata)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lastRenderedPageBreak/>
              <w:t>Ośrodek Studiów Europejskich Wilfried Martens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WMCES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PPE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643 606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5 963 141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6 606 747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235 689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Fundacja Studiów Europejskich i Postępu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FEPS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PES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613 626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4 959 360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5 572 986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288 687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Europejskie Forum Liberalne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ELF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ALDE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306 991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2 636 977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2 943 968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91,06 %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Europejska Fundacja Zielonych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GEF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EPZ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182 933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2 088 792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2 271 726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Ugrupowanie </w:t>
            </w:r>
            <w:proofErr w:type="spellStart"/>
            <w:r w:rsidRPr="00B9577F">
              <w:rPr>
                <w:sz w:val="20"/>
              </w:rPr>
              <w:t>Transform</w:t>
            </w:r>
            <w:proofErr w:type="spellEnd"/>
            <w:r w:rsidRPr="00B9577F">
              <w:rPr>
                <w:sz w:val="20"/>
              </w:rPr>
              <w:t xml:space="preserve"> Europe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EL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77 965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1 191 366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1 269 331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3 696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Instytut Europejskich Demokratów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IED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EDP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42 791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502 109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544 899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 xml:space="preserve">Fundacja </w:t>
            </w:r>
            <w:proofErr w:type="spellStart"/>
            <w:r w:rsidRPr="00B9577F">
              <w:rPr>
                <w:sz w:val="20"/>
              </w:rPr>
              <w:t>Coppieters</w:t>
            </w:r>
            <w:proofErr w:type="spellEnd"/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proofErr w:type="spellStart"/>
            <w:r w:rsidRPr="00B9577F">
              <w:rPr>
                <w:sz w:val="20"/>
              </w:rPr>
              <w:t>Coppieters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ALE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77 009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561 149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638 158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23 981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sz w:val="20"/>
              </w:rPr>
              <w:t>Nowy Kierunek – Fundacja na rzecz Reformy w Europie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ND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Partia ECR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384 557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2 052 425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2 436 982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92,97 %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B9577F">
              <w:rPr>
                <w:sz w:val="20"/>
              </w:rPr>
              <w:t>Sallux</w:t>
            </w:r>
            <w:proofErr w:type="spellEnd"/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SALLUX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ECPM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21 233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401 927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423 160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94,98 %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491BDA" w:rsidRDefault="00B01728" w:rsidP="006350AB">
            <w:pPr>
              <w:widowControl/>
              <w:jc w:val="center"/>
              <w:rPr>
                <w:sz w:val="2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91BDA">
              <w:rPr>
                <w:sz w:val="20"/>
                <w:lang w:val="fr-FR"/>
              </w:rPr>
              <w:t>Fundacja</w:t>
            </w:r>
            <w:proofErr w:type="spellEnd"/>
            <w:r w:rsidRPr="00491BDA">
              <w:rPr>
                <w:sz w:val="20"/>
                <w:lang w:val="fr-FR"/>
              </w:rPr>
              <w:t xml:space="preserve"> Association pour l'</w:t>
            </w:r>
            <w:proofErr w:type="spellStart"/>
            <w:r w:rsidRPr="00491BDA">
              <w:rPr>
                <w:sz w:val="20"/>
                <w:lang w:val="fr-FR"/>
              </w:rPr>
              <w:t>Identite</w:t>
            </w:r>
            <w:proofErr w:type="spellEnd"/>
            <w:r w:rsidRPr="00491BDA">
              <w:rPr>
                <w:sz w:val="20"/>
                <w:lang w:val="fr-FR"/>
              </w:rPr>
              <w:t xml:space="preserve"> et </w:t>
            </w:r>
            <w:proofErr w:type="spellStart"/>
            <w:r w:rsidRPr="00491BDA">
              <w:rPr>
                <w:sz w:val="20"/>
                <w:lang w:val="fr-FR"/>
              </w:rPr>
              <w:t>Democratie</w:t>
            </w:r>
            <w:proofErr w:type="spellEnd"/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Fundacja ID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center"/>
              <w:rPr>
                <w:sz w:val="20"/>
              </w:rPr>
            </w:pPr>
            <w:r w:rsidRPr="00B9577F">
              <w:rPr>
                <w:sz w:val="20"/>
              </w:rPr>
              <w:t>Partia ID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46 893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577 027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623 920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jc w:val="right"/>
              <w:rPr>
                <w:sz w:val="20"/>
              </w:rPr>
            </w:pPr>
            <w:r w:rsidRPr="00B9577F">
              <w:rPr>
                <w:sz w:val="20"/>
              </w:rPr>
              <w:t xml:space="preserve"> - </w:t>
            </w:r>
          </w:p>
        </w:tc>
      </w:tr>
      <w:tr w:rsidR="00B01728" w:rsidRPr="00B9577F" w:rsidTr="006350AB">
        <w:trPr>
          <w:trHeight w:val="339"/>
        </w:trPr>
        <w:tc>
          <w:tcPr>
            <w:tcW w:w="1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widowControl/>
              <w:jc w:val="right"/>
              <w:rPr>
                <w:b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OGÓŁEM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01728" w:rsidRPr="00B9577F" w:rsidRDefault="00B01728" w:rsidP="006350AB">
            <w:pPr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577F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  <w:r w:rsidRPr="00B9577F">
              <w:rPr>
                <w:b/>
                <w:sz w:val="20"/>
              </w:rPr>
              <w:t>2 397 604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  <w:r w:rsidRPr="00B9577F">
              <w:rPr>
                <w:b/>
                <w:sz w:val="20"/>
              </w:rPr>
              <w:t>20 934 273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  <w:r w:rsidRPr="00B9577F">
              <w:rPr>
                <w:b/>
                <w:sz w:val="20"/>
              </w:rPr>
              <w:t>23 331 877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1728" w:rsidRPr="00B9577F" w:rsidRDefault="00B01728" w:rsidP="006350AB">
            <w:pPr>
              <w:jc w:val="right"/>
              <w:rPr>
                <w:b/>
                <w:sz w:val="20"/>
              </w:rPr>
            </w:pPr>
            <w:r w:rsidRPr="00B9577F">
              <w:rPr>
                <w:b/>
                <w:sz w:val="20"/>
              </w:rPr>
              <w:t>552 053</w:t>
            </w:r>
          </w:p>
        </w:tc>
      </w:tr>
    </w:tbl>
    <w:p w:rsidR="00B01728" w:rsidRPr="00B9577F" w:rsidRDefault="00B01728" w:rsidP="00B01728">
      <w:pPr>
        <w:rPr>
          <w:noProof/>
        </w:rPr>
      </w:pPr>
    </w:p>
    <w:p w:rsidR="00B01728" w:rsidRPr="00B9577F" w:rsidRDefault="00B01728" w:rsidP="00B01728"/>
    <w:p w:rsidR="00E365E1" w:rsidRPr="00B9577F" w:rsidRDefault="00E365E1" w:rsidP="001447C3">
      <w:bookmarkStart w:id="9" w:name="TextBodyEnd"/>
      <w:bookmarkEnd w:id="9"/>
    </w:p>
    <w:sectPr w:rsidR="00E365E1" w:rsidRPr="00B9577F" w:rsidSect="00B957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D7B" w:rsidRPr="00B9577F" w:rsidRDefault="000D0D7B">
      <w:r w:rsidRPr="00B9577F">
        <w:separator/>
      </w:r>
    </w:p>
  </w:endnote>
  <w:endnote w:type="continuationSeparator" w:id="0">
    <w:p w:rsidR="000D0D7B" w:rsidRPr="00B9577F" w:rsidRDefault="000D0D7B">
      <w:r w:rsidRPr="00B957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 w:rsidP="006350AB">
    <w:pPr>
      <w:pStyle w:val="EPFooter"/>
    </w:pPr>
    <w:r w:rsidRPr="00B9577F">
      <w:t>PE</w:t>
    </w:r>
    <w:r w:rsidRPr="00B9577F">
      <w:rPr>
        <w:rStyle w:val="HideTWBExt"/>
      </w:rPr>
      <w:t>&lt;NoPE&gt;</w:t>
    </w:r>
    <w:r w:rsidRPr="00B9577F">
      <w:t>753.634</w:t>
    </w:r>
    <w:r w:rsidRPr="00B9577F">
      <w:rPr>
        <w:rStyle w:val="HideTWBExt"/>
      </w:rPr>
      <w:t>&lt;/NoPE&gt;&lt;Version&gt;</w:t>
    </w:r>
    <w:r w:rsidRPr="00B9577F">
      <w:t>v02-00</w:t>
    </w:r>
    <w:r w:rsidRPr="00B9577F">
      <w:rPr>
        <w:rStyle w:val="HideTWBExt"/>
      </w:rPr>
      <w:t>&lt;/Version&gt;</w:t>
    </w:r>
    <w:r w:rsidRPr="00B9577F">
      <w:tab/>
    </w:r>
    <w:r w:rsidRPr="00B9577F">
      <w:fldChar w:fldCharType="begin"/>
    </w:r>
    <w:r w:rsidRPr="00B9577F">
      <w:instrText xml:space="preserve"> PAGE  \* MERGEFORMAT </w:instrText>
    </w:r>
    <w:r w:rsidRPr="00B9577F">
      <w:fldChar w:fldCharType="separate"/>
    </w:r>
    <w:r w:rsidRPr="00B9577F">
      <w:rPr>
        <w:noProof/>
      </w:rPr>
      <w:t>2</w:t>
    </w:r>
    <w:r w:rsidRPr="00B9577F">
      <w:fldChar w:fldCharType="end"/>
    </w:r>
    <w:r w:rsidRPr="00B9577F">
      <w:t>/</w:t>
    </w:r>
    <w:fldSimple w:instr=" NUMPAGES  \* MERGEFORMAT ">
      <w:r w:rsidRPr="00B9577F">
        <w:rPr>
          <w:noProof/>
        </w:rPr>
        <w:t>4</w:t>
      </w:r>
    </w:fldSimple>
    <w:r w:rsidRPr="00B9577F">
      <w:tab/>
    </w:r>
    <w:r w:rsidRPr="00B9577F">
      <w:rPr>
        <w:rStyle w:val="HideTWBExt"/>
      </w:rPr>
      <w:t>&lt;PathFdR&gt;</w:t>
    </w:r>
    <w:r w:rsidRPr="00B9577F">
      <w:t>RR\1298085PL.docx</w:t>
    </w:r>
    <w:r w:rsidRPr="00B9577F">
      <w:rPr>
        <w:rStyle w:val="HideTWBExt"/>
      </w:rPr>
      <w:t>&lt;/PathFdR&gt;</w:t>
    </w:r>
  </w:p>
  <w:p w:rsidR="000D0D7B" w:rsidRPr="00B9577F" w:rsidRDefault="000D0D7B" w:rsidP="006350AB">
    <w:pPr>
      <w:pStyle w:val="EPFooter2"/>
    </w:pPr>
    <w:r w:rsidRPr="00B9577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 w:rsidP="006350AB">
    <w:pPr>
      <w:pStyle w:val="EPFooter"/>
    </w:pPr>
    <w:r w:rsidRPr="00B9577F">
      <w:rPr>
        <w:rStyle w:val="HideTWBExt"/>
      </w:rPr>
      <w:t>&lt;PathFdR&gt;</w:t>
    </w:r>
    <w:r w:rsidRPr="00B9577F">
      <w:t>RR\1298085PL.docx</w:t>
    </w:r>
    <w:r w:rsidRPr="00B9577F">
      <w:rPr>
        <w:rStyle w:val="HideTWBExt"/>
      </w:rPr>
      <w:t>&lt;/PathFdR&gt;</w:t>
    </w:r>
    <w:r w:rsidRPr="00B9577F">
      <w:tab/>
    </w:r>
    <w:r w:rsidRPr="00B9577F">
      <w:tab/>
      <w:t>PE</w:t>
    </w:r>
    <w:r w:rsidRPr="00B9577F">
      <w:rPr>
        <w:rStyle w:val="HideTWBExt"/>
      </w:rPr>
      <w:t>&lt;NoPE&gt;</w:t>
    </w:r>
    <w:r w:rsidRPr="00B9577F">
      <w:t>753.634</w:t>
    </w:r>
    <w:r w:rsidRPr="00B9577F">
      <w:rPr>
        <w:rStyle w:val="HideTWBExt"/>
      </w:rPr>
      <w:t>&lt;/NoPE&gt;&lt;Version&gt;</w:t>
    </w:r>
    <w:r w:rsidRPr="00B9577F">
      <w:t>v02-00</w:t>
    </w:r>
    <w:r w:rsidRPr="00B9577F">
      <w:rPr>
        <w:rStyle w:val="HideTWBExt"/>
      </w:rPr>
      <w:t>&lt;/Version&gt;</w:t>
    </w:r>
  </w:p>
  <w:p w:rsidR="000D0D7B" w:rsidRPr="00B9577F" w:rsidRDefault="000D0D7B" w:rsidP="006350AB">
    <w:pPr>
      <w:pStyle w:val="EPFooter2"/>
    </w:pPr>
    <w:r w:rsidRPr="00B9577F">
      <w:t>PL</w:t>
    </w:r>
    <w:r w:rsidRPr="00B9577F">
      <w:tab/>
    </w:r>
    <w:r w:rsidRPr="00B9577F">
      <w:rPr>
        <w:b w:val="0"/>
        <w:i/>
        <w:color w:val="C0C0C0"/>
        <w:sz w:val="22"/>
      </w:rPr>
      <w:t>Zjednoczona w różnorodności</w:t>
    </w:r>
    <w:r w:rsidRPr="00B9577F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D7B" w:rsidRPr="00B9577F" w:rsidRDefault="000D0D7B">
      <w:r w:rsidRPr="00B9577F">
        <w:separator/>
      </w:r>
    </w:p>
  </w:footnote>
  <w:footnote w:type="continuationSeparator" w:id="0">
    <w:p w:rsidR="000D0D7B" w:rsidRPr="00B9577F" w:rsidRDefault="000D0D7B">
      <w:r w:rsidRPr="00B9577F">
        <w:continuationSeparator/>
      </w:r>
    </w:p>
  </w:footnote>
  <w:footnote w:id="1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Dz.U. L 45 z 24.2.2022,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 1.</w:t>
      </w:r>
    </w:p>
  </w:footnote>
  <w:footnote w:id="2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Dz.U. </w:t>
      </w:r>
      <w:r w:rsidR="0054189E">
        <w:rPr>
          <w:sz w:val="24"/>
          <w:lang w:val="pl-PL"/>
        </w:rPr>
        <w:t xml:space="preserve">C, </w:t>
      </w:r>
      <w:r w:rsidRPr="00B9577F">
        <w:rPr>
          <w:sz w:val="24"/>
          <w:lang w:val="pl-PL"/>
        </w:rPr>
        <w:t>C/2023/2 z 12.10.2023.</w:t>
      </w:r>
    </w:p>
  </w:footnote>
  <w:footnote w:id="3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Dz.U. C 210 z 15.6.2023,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 1.</w:t>
      </w:r>
    </w:p>
  </w:footnote>
  <w:footnote w:id="4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Dz.U. C, C/2023/103 z 4.10.2023.</w:t>
      </w:r>
    </w:p>
  </w:footnote>
  <w:footnote w:id="5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Dz.U. C, C/2023/112 z 12.10.2023.</w:t>
      </w:r>
    </w:p>
  </w:footnote>
  <w:footnote w:id="6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Dz.U. L 193 z 30.7.2018,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 1.</w:t>
      </w:r>
    </w:p>
  </w:footnote>
  <w:footnote w:id="7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Rozporządzenie Rady (UE, </w:t>
      </w:r>
      <w:proofErr w:type="spellStart"/>
      <w:r w:rsidRPr="00B9577F">
        <w:rPr>
          <w:sz w:val="24"/>
          <w:lang w:val="pl-PL"/>
        </w:rPr>
        <w:t>Euratom</w:t>
      </w:r>
      <w:proofErr w:type="spellEnd"/>
      <w:r w:rsidRPr="00B9577F">
        <w:rPr>
          <w:sz w:val="24"/>
          <w:lang w:val="pl-PL"/>
        </w:rPr>
        <w:t xml:space="preserve">) 2020/2093 z dnia 17 grudnia 2020 r. określające wieloletnie ramy finansowe na lata 2021–2027 (Dz.U. L 433 I z 22.12.2020,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 11).</w:t>
      </w:r>
    </w:p>
  </w:footnote>
  <w:footnote w:id="8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Porozumienie międzyinstytucjonalne z dnia 20 maja 2021 r. pomiędzy Parlamentem Europejskim, Radą Unii Europejskiej i Komisją Europejską w sprawie obowiązkowego re</w:t>
      </w:r>
      <w:r>
        <w:rPr>
          <w:sz w:val="24"/>
          <w:lang w:val="pl-PL"/>
        </w:rPr>
        <w:t>jestru służącego przejrzystości</w:t>
      </w:r>
      <w:r w:rsidRPr="00B9577F">
        <w:rPr>
          <w:sz w:val="24"/>
          <w:lang w:val="pl-PL"/>
        </w:rPr>
        <w:t xml:space="preserve"> </w:t>
      </w:r>
      <w:r>
        <w:rPr>
          <w:sz w:val="24"/>
          <w:lang w:val="pl-PL"/>
        </w:rPr>
        <w:t>(</w:t>
      </w:r>
      <w:r w:rsidRPr="00B9577F">
        <w:rPr>
          <w:sz w:val="24"/>
          <w:lang w:val="pl-PL"/>
        </w:rPr>
        <w:t xml:space="preserve">Dz.U. L 207 z 11.6.2021,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 1</w:t>
      </w:r>
      <w:r>
        <w:rPr>
          <w:sz w:val="24"/>
          <w:lang w:val="pl-PL"/>
        </w:rPr>
        <w:t>)</w:t>
      </w:r>
      <w:r w:rsidRPr="00B9577F">
        <w:rPr>
          <w:sz w:val="24"/>
          <w:lang w:val="pl-PL"/>
        </w:rPr>
        <w:t>.</w:t>
      </w:r>
    </w:p>
  </w:footnote>
  <w:footnote w:id="9">
    <w:p w:rsidR="000D0D7B" w:rsidRPr="007F0A80" w:rsidRDefault="000D0D7B" w:rsidP="00B9577F">
      <w:pPr>
        <w:pStyle w:val="FootnoteText"/>
        <w:ind w:left="567" w:hanging="567"/>
        <w:rPr>
          <w:sz w:val="24"/>
          <w:lang w:val="sv-SE"/>
        </w:rPr>
      </w:pPr>
      <w:r w:rsidRPr="00B9577F">
        <w:rPr>
          <w:rStyle w:val="FootnoteReference"/>
          <w:sz w:val="24"/>
          <w:lang w:val="pl-PL"/>
        </w:rPr>
        <w:footnoteRef/>
      </w:r>
      <w:r w:rsidRPr="007F0A80">
        <w:rPr>
          <w:sz w:val="24"/>
          <w:lang w:val="sv-SE"/>
        </w:rPr>
        <w:t xml:space="preserve"> </w:t>
      </w:r>
      <w:r w:rsidRPr="007F0A80">
        <w:rPr>
          <w:sz w:val="24"/>
          <w:lang w:val="sv-SE"/>
        </w:rPr>
        <w:tab/>
        <w:t>P9_TA(2024)0036.</w:t>
      </w:r>
    </w:p>
  </w:footnote>
  <w:footnote w:id="10">
    <w:p w:rsidR="000D0D7B" w:rsidRPr="007F0A80" w:rsidRDefault="000D0D7B" w:rsidP="00B9577F">
      <w:pPr>
        <w:pStyle w:val="FootnoteText"/>
        <w:ind w:left="567" w:hanging="567"/>
        <w:rPr>
          <w:sz w:val="24"/>
          <w:lang w:val="sv-SE"/>
        </w:rPr>
      </w:pPr>
      <w:r w:rsidRPr="00B9577F">
        <w:rPr>
          <w:rStyle w:val="FootnoteReference"/>
          <w:sz w:val="24"/>
          <w:lang w:val="pl-PL"/>
        </w:rPr>
        <w:footnoteRef/>
      </w:r>
      <w:r w:rsidRPr="007F0A80">
        <w:rPr>
          <w:sz w:val="24"/>
          <w:lang w:val="sv-SE"/>
        </w:rPr>
        <w:t xml:space="preserve"> </w:t>
      </w:r>
      <w:r w:rsidRPr="007F0A80">
        <w:rPr>
          <w:sz w:val="24"/>
          <w:lang w:val="sv-SE"/>
        </w:rPr>
        <w:tab/>
        <w:t>https://www.eca.europa.eu/other%20publications/pl1407_letter/pl1407_letter_pl.pdf</w:t>
      </w:r>
    </w:p>
  </w:footnote>
  <w:footnote w:id="11">
    <w:p w:rsidR="000D0D7B" w:rsidRPr="007F0A80" w:rsidRDefault="000D0D7B" w:rsidP="007F0A80">
      <w:pPr>
        <w:pStyle w:val="FootnoteText"/>
        <w:ind w:left="567" w:hanging="567"/>
        <w:rPr>
          <w:sz w:val="24"/>
          <w:szCs w:val="24"/>
          <w:lang w:val="pl-PL"/>
        </w:rPr>
      </w:pPr>
      <w:r w:rsidRPr="007F0A80">
        <w:rPr>
          <w:rStyle w:val="FootnoteReference"/>
          <w:sz w:val="24"/>
          <w:szCs w:val="24"/>
        </w:rPr>
        <w:footnoteRef/>
      </w:r>
      <w:r w:rsidRPr="007F0A80">
        <w:rPr>
          <w:sz w:val="24"/>
          <w:szCs w:val="24"/>
          <w:lang w:val="pl-PL"/>
        </w:rPr>
        <w:t xml:space="preserve"> </w:t>
      </w:r>
      <w:r w:rsidRPr="007F0A80">
        <w:rPr>
          <w:sz w:val="24"/>
          <w:szCs w:val="24"/>
          <w:lang w:val="pl-PL"/>
        </w:rPr>
        <w:tab/>
        <w:t>Komunikat grupy roboczej ds. budynków, transportu i ekologicznego Parlamentu dla Prezydium</w:t>
      </w:r>
      <w:proofErr w:type="gramStart"/>
      <w:r w:rsidRPr="007F0A80">
        <w:rPr>
          <w:sz w:val="24"/>
          <w:szCs w:val="24"/>
          <w:lang w:val="pl-PL"/>
        </w:rPr>
        <w:t xml:space="preserve"> (2023)10939, pkt</w:t>
      </w:r>
      <w:proofErr w:type="gramEnd"/>
      <w:r w:rsidRPr="007F0A80">
        <w:rPr>
          <w:sz w:val="24"/>
          <w:szCs w:val="24"/>
          <w:lang w:val="pl-PL"/>
        </w:rPr>
        <w:t xml:space="preserve"> 16.</w:t>
      </w:r>
    </w:p>
  </w:footnote>
  <w:footnote w:id="12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Rozporządzenie nr 1 w sprawie określenia systemu językowego Europejskiej</w:t>
      </w:r>
      <w:r w:rsidR="00377553">
        <w:rPr>
          <w:sz w:val="24"/>
          <w:lang w:val="pl-PL"/>
        </w:rPr>
        <w:t xml:space="preserve"> Wspólnoty Gospodarczej (Dz.U. </w:t>
      </w:r>
      <w:r w:rsidR="0054189E">
        <w:rPr>
          <w:sz w:val="24"/>
          <w:lang w:val="pl-PL"/>
        </w:rPr>
        <w:t xml:space="preserve">P </w:t>
      </w:r>
      <w:bookmarkStart w:id="8" w:name="_GoBack"/>
      <w:bookmarkEnd w:id="8"/>
      <w:r w:rsidR="00377553">
        <w:rPr>
          <w:sz w:val="24"/>
          <w:lang w:val="pl-PL"/>
        </w:rPr>
        <w:t>17 z 6.10.1958</w:t>
      </w:r>
      <w:r w:rsidRPr="00B9577F">
        <w:rPr>
          <w:sz w:val="24"/>
          <w:lang w:val="pl-PL"/>
        </w:rPr>
        <w:t xml:space="preserve">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 385).</w:t>
      </w:r>
    </w:p>
  </w:footnote>
  <w:footnote w:id="13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 xml:space="preserve">Dz.U. L 317 z 4.11.2014, </w:t>
      </w:r>
      <w:proofErr w:type="gramStart"/>
      <w:r w:rsidRPr="00B9577F">
        <w:rPr>
          <w:sz w:val="24"/>
          <w:lang w:val="pl-PL"/>
        </w:rPr>
        <w:t>s</w:t>
      </w:r>
      <w:proofErr w:type="gramEnd"/>
      <w:r w:rsidRPr="00B9577F">
        <w:rPr>
          <w:sz w:val="24"/>
          <w:lang w:val="pl-PL"/>
        </w:rPr>
        <w:t>.</w:t>
      </w:r>
      <w:r w:rsidR="00377553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>1.</w:t>
      </w:r>
    </w:p>
  </w:footnote>
  <w:footnote w:id="14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Wszystkie kwoty w tysiącach EUR.</w:t>
      </w:r>
    </w:p>
  </w:footnote>
  <w:footnote w:id="15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Wszystkie kwoty w tysiącach EUR.</w:t>
      </w:r>
    </w:p>
  </w:footnote>
  <w:footnote w:id="16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Składa się z drugiej części ostatecznego finansowania na 2021 r. i pierwszej części ostatecznego finansowania na 2022 r., zgodnie z decyzją Prezydium z 26 lutego 2024 r.</w:t>
      </w:r>
    </w:p>
  </w:footnote>
  <w:footnote w:id="17">
    <w:p w:rsidR="000D0D7B" w:rsidRPr="00B9577F" w:rsidRDefault="000D0D7B" w:rsidP="00B9577F">
      <w:pPr>
        <w:pStyle w:val="FootnoteText"/>
        <w:ind w:left="567" w:hanging="567"/>
        <w:rPr>
          <w:sz w:val="24"/>
          <w:lang w:val="pl-PL"/>
        </w:rPr>
      </w:pPr>
      <w:r w:rsidRPr="00B9577F">
        <w:rPr>
          <w:rStyle w:val="FootnoteReference"/>
          <w:sz w:val="24"/>
          <w:lang w:val="pl-PL"/>
        </w:rPr>
        <w:footnoteRef/>
      </w:r>
      <w:r w:rsidRPr="00B9577F">
        <w:rPr>
          <w:sz w:val="24"/>
          <w:lang w:val="pl-PL"/>
        </w:rPr>
        <w:t xml:space="preserve"> </w:t>
      </w:r>
      <w:r w:rsidRPr="00B9577F">
        <w:rPr>
          <w:sz w:val="24"/>
          <w:lang w:val="pl-PL"/>
        </w:rPr>
        <w:tab/>
        <w:t>Wszystkie kwoty w tysiącach 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7B" w:rsidRPr="00B9577F" w:rsidRDefault="000D0D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F78B3"/>
    <w:multiLevelType w:val="hybridMultilevel"/>
    <w:tmpl w:val="6184A3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AA873DF"/>
    <w:multiLevelType w:val="hybridMultilevel"/>
    <w:tmpl w:val="C5BE94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86D48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3DE7BF3"/>
    <w:multiLevelType w:val="hybridMultilevel"/>
    <w:tmpl w:val="B81228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BB72F1"/>
    <w:multiLevelType w:val="hybridMultilevel"/>
    <w:tmpl w:val="D6D0A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43E7B"/>
    <w:multiLevelType w:val="hybridMultilevel"/>
    <w:tmpl w:val="6B3A0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3"/>
  </w:num>
  <w:num w:numId="46">
    <w:abstractNumId w:val="17"/>
  </w:num>
  <w:num w:numId="47">
    <w:abstractNumId w:val="16"/>
  </w:num>
  <w:num w:numId="48">
    <w:abstractNumId w:val="15"/>
  </w:num>
  <w:num w:numId="49">
    <w:abstractNumId w:val="10"/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7/2024"/>
    <w:docVar w:name="dvlangue" w:val="PL"/>
    <w:docVar w:name="dvnumam" w:val="0"/>
    <w:docVar w:name="dvpe" w:val="753.634"/>
    <w:docVar w:name="dvrapporteur" w:val="Sprawozdawca: "/>
    <w:docVar w:name="dvstar" w:val="??"/>
    <w:docVar w:name="dvtitre" w:val="Decyzja Parlamentu Europejskiego z dnia  2024 r. w sprawie absolutorium z wykonania budżetu ogólnego Unii Europejskiej za rok budżetowy 2022, sekcja I – Parlament Europejski(2023/2130(DEC))"/>
  </w:docVars>
  <w:rsids>
    <w:rsidRoot w:val="001447C3"/>
    <w:rsid w:val="00002272"/>
    <w:rsid w:val="00064002"/>
    <w:rsid w:val="000677B9"/>
    <w:rsid w:val="000831BA"/>
    <w:rsid w:val="000A42CC"/>
    <w:rsid w:val="000D0D7B"/>
    <w:rsid w:val="000E7DD9"/>
    <w:rsid w:val="0010095E"/>
    <w:rsid w:val="00125B37"/>
    <w:rsid w:val="001447C3"/>
    <w:rsid w:val="00187494"/>
    <w:rsid w:val="001F32AE"/>
    <w:rsid w:val="002767FF"/>
    <w:rsid w:val="002B18FE"/>
    <w:rsid w:val="002B5493"/>
    <w:rsid w:val="00343214"/>
    <w:rsid w:val="00361C00"/>
    <w:rsid w:val="00377553"/>
    <w:rsid w:val="00395FA1"/>
    <w:rsid w:val="003E15D4"/>
    <w:rsid w:val="00411CCE"/>
    <w:rsid w:val="0041666E"/>
    <w:rsid w:val="00421060"/>
    <w:rsid w:val="00466927"/>
    <w:rsid w:val="00471C19"/>
    <w:rsid w:val="004867E3"/>
    <w:rsid w:val="00491BDA"/>
    <w:rsid w:val="00494A28"/>
    <w:rsid w:val="004C0004"/>
    <w:rsid w:val="004C5D52"/>
    <w:rsid w:val="0050519A"/>
    <w:rsid w:val="005072A1"/>
    <w:rsid w:val="00514517"/>
    <w:rsid w:val="0054189E"/>
    <w:rsid w:val="00545827"/>
    <w:rsid w:val="00560270"/>
    <w:rsid w:val="005C2568"/>
    <w:rsid w:val="006037C0"/>
    <w:rsid w:val="006350A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60E"/>
    <w:rsid w:val="00786EC0"/>
    <w:rsid w:val="007D1690"/>
    <w:rsid w:val="007E22AD"/>
    <w:rsid w:val="007F0A8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A95"/>
    <w:rsid w:val="00A1687D"/>
    <w:rsid w:val="00A43E52"/>
    <w:rsid w:val="00A4678D"/>
    <w:rsid w:val="00A778C7"/>
    <w:rsid w:val="00AB441E"/>
    <w:rsid w:val="00AB6293"/>
    <w:rsid w:val="00AE0928"/>
    <w:rsid w:val="00AF3B82"/>
    <w:rsid w:val="00B01728"/>
    <w:rsid w:val="00B12E95"/>
    <w:rsid w:val="00B22876"/>
    <w:rsid w:val="00B558F0"/>
    <w:rsid w:val="00B9577F"/>
    <w:rsid w:val="00BD48FE"/>
    <w:rsid w:val="00BD4AB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67B17"/>
  <w15:chartTrackingRefBased/>
  <w15:docId w15:val="{C18D25C9-24D8-4C41-9FD1-2EE35718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017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017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017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017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017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01728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B01728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B01728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B01728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B017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017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01728"/>
    <w:pPr>
      <w:spacing w:before="480" w:after="240"/>
    </w:pPr>
  </w:style>
  <w:style w:type="paragraph" w:customStyle="1" w:styleId="TOCPage">
    <w:name w:val="TOC Page"/>
    <w:basedOn w:val="Normal"/>
    <w:next w:val="TOC1"/>
    <w:rsid w:val="00B0172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017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01728"/>
    <w:rPr>
      <w:b/>
    </w:rPr>
  </w:style>
  <w:style w:type="paragraph" w:customStyle="1" w:styleId="NormalHanging12a">
    <w:name w:val="NormalHanging12a"/>
    <w:basedOn w:val="Normal"/>
    <w:link w:val="NormalHanging12aChar"/>
    <w:rsid w:val="00B017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01728"/>
    <w:pPr>
      <w:spacing w:after="480"/>
      <w:ind w:left="1417"/>
    </w:pPr>
  </w:style>
  <w:style w:type="paragraph" w:customStyle="1" w:styleId="CoverNormal">
    <w:name w:val="CoverNormal"/>
    <w:basedOn w:val="Normal"/>
    <w:rsid w:val="00B01728"/>
    <w:pPr>
      <w:ind w:left="1418"/>
    </w:pPr>
  </w:style>
  <w:style w:type="paragraph" w:customStyle="1" w:styleId="CoverReference">
    <w:name w:val="CoverReference"/>
    <w:basedOn w:val="Normal"/>
    <w:rsid w:val="00B0172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B017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01728"/>
    <w:pPr>
      <w:spacing w:before="240" w:after="1200"/>
    </w:pPr>
  </w:style>
  <w:style w:type="paragraph" w:customStyle="1" w:styleId="EPBody">
    <w:name w:val="EPBody"/>
    <w:basedOn w:val="Normal"/>
    <w:rsid w:val="00B017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017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B017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1728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B01728"/>
    <w:rPr>
      <w:sz w:val="24"/>
      <w:lang w:val="pl-PL"/>
    </w:rPr>
  </w:style>
  <w:style w:type="character" w:styleId="CommentReference">
    <w:name w:val="annotation reference"/>
    <w:basedOn w:val="DefaultParagraphFont"/>
    <w:uiPriority w:val="99"/>
    <w:rsid w:val="00B01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017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728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01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1728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B01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1728"/>
    <w:rPr>
      <w:rFonts w:ascii="Segoe UI" w:hAnsi="Segoe UI" w:cs="Segoe UI"/>
      <w:sz w:val="18"/>
      <w:szCs w:val="18"/>
      <w:lang w:val="pl-PL"/>
    </w:rPr>
  </w:style>
  <w:style w:type="paragraph" w:customStyle="1" w:styleId="Body">
    <w:name w:val="Body"/>
    <w:rsid w:val="00B01728"/>
    <w:pPr>
      <w:widowControl w:val="0"/>
    </w:pPr>
    <w:rPr>
      <w:color w:val="000000"/>
      <w:sz w:val="24"/>
      <w:szCs w:val="24"/>
      <w:u w:color="000000"/>
      <w:lang w:val="pl-P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qFormat/>
    <w:rsid w:val="00B01728"/>
    <w:pPr>
      <w:widowControl w:val="0"/>
      <w:ind w:left="720"/>
    </w:pPr>
    <w:rPr>
      <w:rFonts w:eastAsia="Arial Unicode MS" w:cs="Arial Unicode MS"/>
      <w:color w:val="000000"/>
      <w:sz w:val="24"/>
      <w:szCs w:val="24"/>
      <w:u w:color="000000"/>
      <w:lang w:val="pl-PL"/>
    </w:rPr>
  </w:style>
  <w:style w:type="paragraph" w:customStyle="1" w:styleId="Normal12Hanging">
    <w:name w:val="Normal12Hanging"/>
    <w:basedOn w:val="Normal"/>
    <w:rsid w:val="00B01728"/>
    <w:pPr>
      <w:spacing w:after="240"/>
      <w:ind w:left="567" w:hanging="567"/>
    </w:pPr>
  </w:style>
  <w:style w:type="character" w:styleId="Hyperlink">
    <w:name w:val="Hyperlink"/>
    <w:basedOn w:val="DefaultParagraphFont"/>
    <w:rsid w:val="00B01728"/>
    <w:rPr>
      <w:color w:val="0563C1" w:themeColor="hyperlink"/>
      <w:u w:val="single"/>
    </w:rPr>
  </w:style>
  <w:style w:type="character" w:customStyle="1" w:styleId="HRtextbodyChar">
    <w:name w:val="HR_text body_ Char"/>
    <w:basedOn w:val="DefaultParagraphFont"/>
    <w:link w:val="HRtextbody"/>
    <w:locked/>
    <w:rsid w:val="00B01728"/>
    <w:rPr>
      <w:rFonts w:ascii="Arial" w:hAnsi="Arial" w:cs="Arial"/>
      <w:color w:val="595959"/>
    </w:rPr>
  </w:style>
  <w:style w:type="paragraph" w:customStyle="1" w:styleId="HRtextbody">
    <w:name w:val="HR_text body_"/>
    <w:basedOn w:val="Normal"/>
    <w:link w:val="HRtextbodyChar"/>
    <w:rsid w:val="00B01728"/>
    <w:pPr>
      <w:widowControl/>
      <w:jc w:val="both"/>
    </w:pPr>
    <w:rPr>
      <w:rFonts w:ascii="Arial" w:hAnsi="Arial" w:cs="Arial"/>
      <w:color w:val="595959"/>
      <w:sz w:val="20"/>
      <w:lang w:val="en-GB"/>
    </w:rPr>
  </w:style>
  <w:style w:type="character" w:styleId="Strong">
    <w:name w:val="Strong"/>
    <w:basedOn w:val="DefaultParagraphFont"/>
    <w:uiPriority w:val="22"/>
    <w:qFormat/>
    <w:rsid w:val="00B01728"/>
    <w:rPr>
      <w:b/>
      <w:bCs/>
    </w:rPr>
  </w:style>
  <w:style w:type="paragraph" w:styleId="Revision">
    <w:name w:val="Revision"/>
    <w:hidden/>
    <w:uiPriority w:val="99"/>
    <w:semiHidden/>
    <w:rsid w:val="00B01728"/>
    <w:rPr>
      <w:sz w:val="24"/>
      <w:lang w:val="pl-PL"/>
    </w:rPr>
  </w:style>
  <w:style w:type="character" w:customStyle="1" w:styleId="ui-provider">
    <w:name w:val="ui-provider"/>
    <w:basedOn w:val="DefaultParagraphFont"/>
    <w:rsid w:val="00B01728"/>
  </w:style>
  <w:style w:type="paragraph" w:customStyle="1" w:styleId="title-article-norm">
    <w:name w:val="title-article-norm"/>
    <w:basedOn w:val="Normal"/>
    <w:rsid w:val="00B01728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rsid w:val="00B01728"/>
    <w:pPr>
      <w:spacing w:after="480"/>
    </w:pPr>
  </w:style>
  <w:style w:type="paragraph" w:customStyle="1" w:styleId="NormalBoldCenter">
    <w:name w:val="NormalBoldCenter"/>
    <w:basedOn w:val="Normal"/>
    <w:rsid w:val="00B01728"/>
    <w:pPr>
      <w:jc w:val="center"/>
    </w:pPr>
    <w:rPr>
      <w:b/>
    </w:rPr>
  </w:style>
  <w:style w:type="paragraph" w:customStyle="1" w:styleId="Normal12a">
    <w:name w:val="Normal12a"/>
    <w:basedOn w:val="Normal"/>
    <w:rsid w:val="00B01728"/>
    <w:pPr>
      <w:spacing w:after="240"/>
    </w:pPr>
  </w:style>
  <w:style w:type="paragraph" w:customStyle="1" w:styleId="PageHeadingNotTOC">
    <w:name w:val="PageHeadingNotTOC"/>
    <w:basedOn w:val="Normal"/>
    <w:rsid w:val="00B017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umPar1">
    <w:name w:val="NumPar 1"/>
    <w:basedOn w:val="Normal"/>
    <w:rsid w:val="00B01728"/>
    <w:pPr>
      <w:numPr>
        <w:numId w:val="50"/>
      </w:numPr>
    </w:pPr>
  </w:style>
  <w:style w:type="paragraph" w:customStyle="1" w:styleId="NumPar2">
    <w:name w:val="NumPar 2"/>
    <w:basedOn w:val="Normal"/>
    <w:rsid w:val="00B01728"/>
    <w:pPr>
      <w:numPr>
        <w:ilvl w:val="1"/>
        <w:numId w:val="50"/>
      </w:numPr>
    </w:pPr>
  </w:style>
  <w:style w:type="paragraph" w:customStyle="1" w:styleId="NumPar3">
    <w:name w:val="NumPar 3"/>
    <w:basedOn w:val="Normal"/>
    <w:rsid w:val="00B01728"/>
    <w:pPr>
      <w:numPr>
        <w:ilvl w:val="2"/>
        <w:numId w:val="50"/>
      </w:numPr>
    </w:pPr>
  </w:style>
  <w:style w:type="paragraph" w:customStyle="1" w:styleId="NumPar4">
    <w:name w:val="NumPar 4"/>
    <w:basedOn w:val="Normal"/>
    <w:rsid w:val="00B01728"/>
    <w:pPr>
      <w:numPr>
        <w:ilvl w:val="3"/>
        <w:numId w:val="50"/>
      </w:numPr>
    </w:pPr>
  </w:style>
  <w:style w:type="paragraph" w:customStyle="1" w:styleId="NumPar5">
    <w:name w:val="NumPar 5"/>
    <w:basedOn w:val="Normal"/>
    <w:rsid w:val="00B01728"/>
    <w:pPr>
      <w:numPr>
        <w:ilvl w:val="4"/>
        <w:numId w:val="50"/>
      </w:numPr>
    </w:pPr>
  </w:style>
  <w:style w:type="paragraph" w:customStyle="1" w:styleId="NumPar6">
    <w:name w:val="NumPar 6"/>
    <w:basedOn w:val="Normal"/>
    <w:rsid w:val="00B01728"/>
    <w:pPr>
      <w:numPr>
        <w:ilvl w:val="5"/>
        <w:numId w:val="50"/>
      </w:numPr>
    </w:pPr>
  </w:style>
  <w:style w:type="paragraph" w:customStyle="1" w:styleId="NumPar7">
    <w:name w:val="NumPar 7"/>
    <w:basedOn w:val="Normal"/>
    <w:rsid w:val="00B01728"/>
    <w:pPr>
      <w:numPr>
        <w:ilvl w:val="6"/>
        <w:numId w:val="50"/>
      </w:numPr>
    </w:pPr>
  </w:style>
  <w:style w:type="paragraph" w:customStyle="1" w:styleId="RollCallSymbols14pt">
    <w:name w:val="RollCallSymbols14pt"/>
    <w:basedOn w:val="Normal"/>
    <w:rsid w:val="00B017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017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017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01728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017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01728"/>
    <w:rPr>
      <w:sz w:val="24"/>
      <w:lang w:val="pl-PL"/>
    </w:rPr>
  </w:style>
  <w:style w:type="character" w:styleId="FollowedHyperlink">
    <w:name w:val="FollowedHyperlink"/>
    <w:basedOn w:val="DefaultParagraphFont"/>
    <w:rsid w:val="00B01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69B3D-3E65-417E-A94E-A8F99BE2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39</Pages>
  <Words>15566</Words>
  <Characters>101431</Characters>
  <Application>Microsoft Office Word</Application>
  <DocSecurity>0</DocSecurity>
  <Lines>845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Karina Pesa</cp:lastModifiedBy>
  <cp:revision>3</cp:revision>
  <cp:lastPrinted>2004-11-19T15:42:00Z</cp:lastPrinted>
  <dcterms:created xsi:type="dcterms:W3CDTF">2024-05-28T08:54:00Z</dcterms:created>
  <dcterms:modified xsi:type="dcterms:W3CDTF">2024-10-31T10:40:00Z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P9_TA(2024)0229_</vt:lpwstr>
  </property>
  <property fmtid="{D5CDD505-2E9C-101B-9397-08002B2CF9AE}" pid="4" name="&lt;Type&gt;">
    <vt:lpwstr>RR</vt:lpwstr>
  </property>
</Properties>
</file>