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4A67" w14:paraId="1CBCDD9D" w14:textId="77777777" w:rsidTr="0010095E">
        <w:trPr>
          <w:trHeight w:hRule="exact" w:val="1418"/>
        </w:trPr>
        <w:tc>
          <w:tcPr>
            <w:tcW w:w="6804" w:type="dxa"/>
            <w:shd w:val="clear" w:color="auto" w:fill="auto"/>
            <w:vAlign w:val="center"/>
          </w:tcPr>
          <w:p w14:paraId="62E8BFF4" w14:textId="77777777" w:rsidR="00751A4A" w:rsidRPr="00BE4A67" w:rsidRDefault="00B56F0C" w:rsidP="0010095E">
            <w:pPr>
              <w:pStyle w:val="EPName"/>
            </w:pPr>
            <w:r w:rsidRPr="00BE4A67">
              <w:t>Europaparlamentet</w:t>
            </w:r>
          </w:p>
          <w:p w14:paraId="1618DDD1" w14:textId="77777777" w:rsidR="00751A4A" w:rsidRPr="00BE4A67" w:rsidRDefault="00817416" w:rsidP="00756632">
            <w:pPr>
              <w:pStyle w:val="EPTerm"/>
              <w:rPr>
                <w:rStyle w:val="HideTWBExt"/>
                <w:noProof w:val="0"/>
                <w:vanish w:val="0"/>
                <w:color w:val="auto"/>
              </w:rPr>
            </w:pPr>
            <w:r w:rsidRPr="00BE4A67">
              <w:t>2019-2024</w:t>
            </w:r>
          </w:p>
        </w:tc>
        <w:tc>
          <w:tcPr>
            <w:tcW w:w="2268" w:type="dxa"/>
            <w:shd w:val="clear" w:color="auto" w:fill="auto"/>
          </w:tcPr>
          <w:p w14:paraId="53025D29" w14:textId="77777777" w:rsidR="00751A4A" w:rsidRPr="00BE4A67" w:rsidRDefault="00187494" w:rsidP="0010095E">
            <w:pPr>
              <w:pStyle w:val="EPLogo"/>
            </w:pPr>
            <w:r w:rsidRPr="00BE4A67">
              <w:rPr>
                <w:noProof/>
                <w:lang w:val="en-GB"/>
              </w:rPr>
              <w:drawing>
                <wp:inline distT="0" distB="0" distL="0" distR="0" wp14:anchorId="1F35401F" wp14:editId="58E9AE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8EA335" w14:textId="77777777" w:rsidR="00D058B8" w:rsidRPr="00BE4A67" w:rsidRDefault="00D058B8" w:rsidP="004C5D52">
      <w:pPr>
        <w:pStyle w:val="LineTop"/>
      </w:pPr>
    </w:p>
    <w:p w14:paraId="3F17F38F" w14:textId="77777777" w:rsidR="00680577" w:rsidRPr="00BE4A67" w:rsidRDefault="00B56F0C" w:rsidP="00680577">
      <w:pPr>
        <w:pStyle w:val="EPBodyTA1"/>
      </w:pPr>
      <w:r w:rsidRPr="00BE4A67">
        <w:t>ANTAGNA TEXTER</w:t>
      </w:r>
    </w:p>
    <w:p w14:paraId="14E77D7C" w14:textId="77777777" w:rsidR="00D058B8" w:rsidRPr="00BE4A67" w:rsidRDefault="00D058B8" w:rsidP="00D058B8">
      <w:pPr>
        <w:pStyle w:val="LineBottom"/>
      </w:pPr>
    </w:p>
    <w:p w14:paraId="0FC5AAEF" w14:textId="0272940C" w:rsidR="00B56F0C" w:rsidRPr="00BE4A67" w:rsidRDefault="00B56F0C" w:rsidP="00B56F0C">
      <w:pPr>
        <w:pStyle w:val="ATHeading1"/>
      </w:pPr>
      <w:bookmarkStart w:id="0" w:name="TANumber"/>
      <w:r w:rsidRPr="00BE4A67">
        <w:t>P9_TA(2024)</w:t>
      </w:r>
      <w:r w:rsidRPr="007E38A3">
        <w:t>0</w:t>
      </w:r>
      <w:r w:rsidR="007D64FB" w:rsidRPr="007E38A3">
        <w:t>229</w:t>
      </w:r>
      <w:bookmarkEnd w:id="0"/>
    </w:p>
    <w:p w14:paraId="2D3B3EBC" w14:textId="77777777" w:rsidR="00B56F0C" w:rsidRPr="00BE4A67" w:rsidRDefault="00B56F0C" w:rsidP="00B56F0C">
      <w:pPr>
        <w:pStyle w:val="ATHeading2"/>
      </w:pPr>
      <w:bookmarkStart w:id="1" w:name="title"/>
      <w:r w:rsidRPr="00BE4A67">
        <w:t>Ansvarsfrihet 2022: EU:s allmänna budget – Europaparlamentet</w:t>
      </w:r>
      <w:bookmarkEnd w:id="1"/>
    </w:p>
    <w:p w14:paraId="54E276B5" w14:textId="77777777" w:rsidR="00B56F0C" w:rsidRPr="00BE4A67" w:rsidRDefault="00B56F0C" w:rsidP="00B56F0C">
      <w:pPr>
        <w:rPr>
          <w:i/>
          <w:vanish/>
        </w:rPr>
      </w:pPr>
      <w:r w:rsidRPr="00BE4A67">
        <w:rPr>
          <w:i/>
        </w:rPr>
        <w:fldChar w:fldCharType="begin"/>
      </w:r>
      <w:r w:rsidRPr="00BE4A67">
        <w:rPr>
          <w:i/>
        </w:rPr>
        <w:instrText xml:space="preserve"> TC"(</w:instrText>
      </w:r>
      <w:bookmarkStart w:id="2" w:name="DocNumber"/>
      <w:r w:rsidRPr="00BE4A67">
        <w:rPr>
          <w:i/>
        </w:rPr>
        <w:instrText>A9-0067/2024</w:instrText>
      </w:r>
      <w:bookmarkEnd w:id="2"/>
      <w:r w:rsidRPr="00BE4A67">
        <w:rPr>
          <w:i/>
        </w:rPr>
        <w:instrText xml:space="preserve"> - Föredragande: Andrey Novakov)"\l3 \n&gt; \* MERGEFORMAT </w:instrText>
      </w:r>
      <w:r w:rsidRPr="00BE4A67">
        <w:rPr>
          <w:i/>
        </w:rPr>
        <w:fldChar w:fldCharType="end"/>
      </w:r>
    </w:p>
    <w:p w14:paraId="0EF0D161" w14:textId="77777777" w:rsidR="00B56F0C" w:rsidRPr="00BE4A67" w:rsidRDefault="00B56F0C" w:rsidP="00B56F0C">
      <w:pPr>
        <w:rPr>
          <w:vanish/>
        </w:rPr>
      </w:pPr>
      <w:bookmarkStart w:id="3" w:name="Commission"/>
      <w:r w:rsidRPr="00BE4A67">
        <w:rPr>
          <w:vanish/>
        </w:rPr>
        <w:t>Budgetkontrollutskottet</w:t>
      </w:r>
      <w:bookmarkEnd w:id="3"/>
    </w:p>
    <w:p w14:paraId="479D1EA0" w14:textId="77777777" w:rsidR="00B56F0C" w:rsidRPr="00BE4A67" w:rsidRDefault="00B56F0C" w:rsidP="00B56F0C">
      <w:pPr>
        <w:rPr>
          <w:vanish/>
        </w:rPr>
      </w:pPr>
      <w:bookmarkStart w:id="4" w:name="PE"/>
      <w:r w:rsidRPr="00BE4A67">
        <w:rPr>
          <w:vanish/>
        </w:rPr>
        <w:t>PE753.634</w:t>
      </w:r>
      <w:bookmarkEnd w:id="4"/>
    </w:p>
    <w:p w14:paraId="71ACB64A" w14:textId="77777777" w:rsidR="00B56F0C" w:rsidRPr="00BE4A67" w:rsidRDefault="009B1F1D" w:rsidP="00B56F0C">
      <w:pPr>
        <w:pStyle w:val="ATHeading3"/>
      </w:pPr>
      <w:bookmarkStart w:id="5" w:name="Sujet"/>
      <w:r w:rsidRPr="00BE4A67">
        <w:t xml:space="preserve">1. </w:t>
      </w:r>
      <w:r w:rsidR="00B56F0C" w:rsidRPr="00BE4A67">
        <w:t xml:space="preserve">Europaparlamentets beslut av den </w:t>
      </w:r>
      <w:r w:rsidRPr="00BE4A67">
        <w:t>11</w:t>
      </w:r>
      <w:r w:rsidR="00B56F0C" w:rsidRPr="00BE4A67">
        <w:t xml:space="preserve"> </w:t>
      </w:r>
      <w:r w:rsidR="00521EE3" w:rsidRPr="00BE4A67">
        <w:t>april</w:t>
      </w:r>
      <w:r w:rsidR="00B56F0C" w:rsidRPr="00BE4A67">
        <w:t xml:space="preserve"> 2024 om ansvarsfrihet för genomförandet av Europeiska unionens allmänna budget för budgetåret 2022, avsnitt I – Europaparlamentet</w:t>
      </w:r>
      <w:bookmarkEnd w:id="5"/>
      <w:r w:rsidR="00B56F0C" w:rsidRPr="00BE4A67">
        <w:t xml:space="preserve"> </w:t>
      </w:r>
      <w:bookmarkStart w:id="6" w:name="References"/>
      <w:r w:rsidR="00B56F0C" w:rsidRPr="00BE4A67">
        <w:t>(2023/2130(DEC))</w:t>
      </w:r>
      <w:bookmarkEnd w:id="6"/>
    </w:p>
    <w:p w14:paraId="09DA30BE" w14:textId="77777777" w:rsidR="00370F0F" w:rsidRPr="00BE4A67" w:rsidRDefault="00370F0F" w:rsidP="00370F0F">
      <w:pPr>
        <w:pStyle w:val="EPComma"/>
        <w:widowControl/>
        <w:rPr>
          <w:noProof/>
        </w:rPr>
      </w:pPr>
      <w:bookmarkStart w:id="7" w:name="TextBodyBegin"/>
      <w:bookmarkEnd w:id="7"/>
      <w:r w:rsidRPr="00BE4A67">
        <w:rPr>
          <w:i/>
        </w:rPr>
        <w:t>Europaparlamentet fattar detta beslut</w:t>
      </w:r>
    </w:p>
    <w:p w14:paraId="128CA63E" w14:textId="77777777" w:rsidR="00370F0F" w:rsidRPr="00BE4A67" w:rsidRDefault="00370F0F" w:rsidP="00370F0F">
      <w:pPr>
        <w:pStyle w:val="NormalHanging12a"/>
        <w:widowControl/>
        <w:rPr>
          <w:noProof/>
        </w:rPr>
      </w:pPr>
      <w:r w:rsidRPr="00BE4A67">
        <w:t>–</w:t>
      </w:r>
      <w:r w:rsidRPr="00BE4A67">
        <w:tab/>
        <w:t>med beaktande av Europeiska unionens allmänna budget för budgetåret 2022</w:t>
      </w:r>
      <w:r w:rsidRPr="00BE4A67">
        <w:rPr>
          <w:rStyle w:val="FootnoteReference"/>
          <w:noProof/>
        </w:rPr>
        <w:footnoteReference w:id="1"/>
      </w:r>
      <w:r w:rsidRPr="00BE4A67">
        <w:t>,</w:t>
      </w:r>
    </w:p>
    <w:p w14:paraId="38D25B5C" w14:textId="77777777" w:rsidR="00370F0F" w:rsidRPr="00BE4A67" w:rsidRDefault="00370F0F" w:rsidP="00370F0F">
      <w:pPr>
        <w:pStyle w:val="NormalHanging12a"/>
        <w:widowControl/>
        <w:rPr>
          <w:noProof/>
        </w:rPr>
      </w:pPr>
      <w:r w:rsidRPr="00BE4A67">
        <w:t>–</w:t>
      </w:r>
      <w:r w:rsidRPr="00BE4A67">
        <w:tab/>
        <w:t>med beaktande av Europeiska unionens konsoliderade årsredovisning för budgetåret 2022 (COM(2023)0391 – C9</w:t>
      </w:r>
      <w:r w:rsidRPr="00BE4A67">
        <w:noBreakHyphen/>
        <w:t>0248/2023)</w:t>
      </w:r>
      <w:r w:rsidRPr="00BE4A67">
        <w:rPr>
          <w:rStyle w:val="FootnoteReference"/>
          <w:noProof/>
        </w:rPr>
        <w:footnoteReference w:id="2"/>
      </w:r>
      <w:r w:rsidRPr="00BE4A67">
        <w:t>,</w:t>
      </w:r>
    </w:p>
    <w:p w14:paraId="7907B328" w14:textId="77777777" w:rsidR="00370F0F" w:rsidRPr="00BE4A67" w:rsidRDefault="00370F0F" w:rsidP="00370F0F">
      <w:pPr>
        <w:pStyle w:val="NormalHanging12a"/>
        <w:widowControl/>
        <w:rPr>
          <w:noProof/>
        </w:rPr>
      </w:pPr>
      <w:r w:rsidRPr="00BE4A67">
        <w:t>–</w:t>
      </w:r>
      <w:r w:rsidRPr="00BE4A67">
        <w:tab/>
        <w:t>med beaktande av rapporten om budgetförvaltningen och den ekonomiska förvaltningen för budgetåret 2022, avsnitt I – Europaparlamentet</w:t>
      </w:r>
      <w:r w:rsidRPr="00BE4A67">
        <w:rPr>
          <w:rStyle w:val="FootnoteReference"/>
          <w:noProof/>
        </w:rPr>
        <w:footnoteReference w:id="3"/>
      </w:r>
      <w:r w:rsidRPr="00BE4A67">
        <w:t>,</w:t>
      </w:r>
    </w:p>
    <w:p w14:paraId="37710476" w14:textId="77777777" w:rsidR="00370F0F" w:rsidRPr="00BE4A67" w:rsidRDefault="00370F0F" w:rsidP="00370F0F">
      <w:pPr>
        <w:pStyle w:val="NormalHanging12a"/>
        <w:widowControl/>
        <w:rPr>
          <w:noProof/>
        </w:rPr>
      </w:pPr>
      <w:r w:rsidRPr="00BE4A67">
        <w:t>–</w:t>
      </w:r>
      <w:r w:rsidRPr="00BE4A67">
        <w:tab/>
        <w:t>med beaktande av internrevisorns årsrapport för budgetåret 2022,</w:t>
      </w:r>
    </w:p>
    <w:p w14:paraId="05C4F152" w14:textId="77777777" w:rsidR="00370F0F" w:rsidRPr="00BE4A67" w:rsidRDefault="00370F0F" w:rsidP="00370F0F">
      <w:pPr>
        <w:pStyle w:val="NormalHanging12a"/>
        <w:widowControl/>
        <w:rPr>
          <w:noProof/>
        </w:rPr>
      </w:pPr>
      <w:r w:rsidRPr="00BE4A67">
        <w:t>–</w:t>
      </w:r>
      <w:r w:rsidRPr="00BE4A67">
        <w:tab/>
        <w:t>med beaktande av revisionsrättens årsrapport om genomförandet av budgeten för budgetåret 2022, med institutionernas svar</w:t>
      </w:r>
      <w:r w:rsidRPr="00BE4A67">
        <w:rPr>
          <w:rStyle w:val="FootnoteReference"/>
          <w:noProof/>
        </w:rPr>
        <w:footnoteReference w:id="4"/>
      </w:r>
      <w:r w:rsidRPr="00BE4A67">
        <w:t>,</w:t>
      </w:r>
    </w:p>
    <w:p w14:paraId="6F6A9115" w14:textId="77777777" w:rsidR="00370F0F" w:rsidRPr="00BE4A67" w:rsidRDefault="00370F0F" w:rsidP="00370F0F">
      <w:pPr>
        <w:pStyle w:val="NormalHanging12a"/>
        <w:widowControl/>
        <w:rPr>
          <w:noProof/>
        </w:rPr>
      </w:pPr>
      <w:r w:rsidRPr="00BE4A67">
        <w:t>–</w:t>
      </w:r>
      <w:r w:rsidRPr="00BE4A67">
        <w:tab/>
        <w:t>med beaktande av förklaringen om räkenskapernas tillförlitlighet och de underliggande transaktionernas laglighet och korrekthet</w:t>
      </w:r>
      <w:r w:rsidRPr="00BE4A67">
        <w:rPr>
          <w:rStyle w:val="FootnoteReference"/>
          <w:noProof/>
        </w:rPr>
        <w:footnoteReference w:id="5"/>
      </w:r>
      <w:r w:rsidRPr="00BE4A67">
        <w:t>, som avgetts av revisionsrätten för budgetåret 2022 i enlighet med artikel 287 i fördraget om Europeiska unionens funktionssätt,</w:t>
      </w:r>
    </w:p>
    <w:p w14:paraId="664CB89B" w14:textId="77777777" w:rsidR="00370F0F" w:rsidRPr="00BE4A67" w:rsidRDefault="00370F0F" w:rsidP="00370F0F">
      <w:pPr>
        <w:pStyle w:val="NormalHanging12a"/>
        <w:widowControl/>
        <w:rPr>
          <w:noProof/>
        </w:rPr>
      </w:pPr>
      <w:r w:rsidRPr="00BE4A67">
        <w:t>–</w:t>
      </w:r>
      <w:r w:rsidRPr="00BE4A67">
        <w:tab/>
        <w:t>med beaktande av artiklarna 314.10 och 318 i fördraget om Europeiska unionens funktionssätt,</w:t>
      </w:r>
    </w:p>
    <w:p w14:paraId="2852F464" w14:textId="77777777" w:rsidR="00370F0F" w:rsidRPr="00BE4A67" w:rsidRDefault="00370F0F" w:rsidP="00370F0F">
      <w:pPr>
        <w:pStyle w:val="NormalHanging12a"/>
        <w:widowControl/>
        <w:rPr>
          <w:noProof/>
        </w:rPr>
      </w:pPr>
      <w:r w:rsidRPr="00BE4A67">
        <w:t>–</w:t>
      </w:r>
      <w:r w:rsidRPr="00BE4A67">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w:t>
      </w:r>
      <w:r w:rsidRPr="00BE4A67">
        <w:lastRenderedPageBreak/>
        <w:t>(EU) nr 283/2014 och beslut nr 541/2014/EU samt om upphävande av förordning (EU, Euratom) nr 966/2012</w:t>
      </w:r>
      <w:r w:rsidRPr="00BE4A67">
        <w:rPr>
          <w:rStyle w:val="FootnoteReference"/>
          <w:noProof/>
        </w:rPr>
        <w:footnoteReference w:id="6"/>
      </w:r>
      <w:r w:rsidRPr="00BE4A67">
        <w:t>, särskilt artiklarna 260, 261 och 262,</w:t>
      </w:r>
    </w:p>
    <w:p w14:paraId="11767141" w14:textId="77777777" w:rsidR="00370F0F" w:rsidRPr="00BE4A67" w:rsidRDefault="00370F0F" w:rsidP="00370F0F">
      <w:pPr>
        <w:pStyle w:val="NormalHanging12a"/>
        <w:widowControl/>
        <w:rPr>
          <w:noProof/>
        </w:rPr>
      </w:pPr>
      <w:r w:rsidRPr="00BE4A67">
        <w:t>–</w:t>
      </w:r>
      <w:r w:rsidRPr="00BE4A67">
        <w:tab/>
        <w:t>med beaktande av presidiets beslut av den 10 december 2018 om interna bestämmelser för genomförandet av Europaparlamentets budget, särskilt artikel 34,</w:t>
      </w:r>
    </w:p>
    <w:p w14:paraId="07E384B0" w14:textId="77777777" w:rsidR="00370F0F" w:rsidRPr="00BE4A67" w:rsidRDefault="00370F0F" w:rsidP="00370F0F">
      <w:pPr>
        <w:pStyle w:val="NormalHanging12a"/>
        <w:widowControl/>
        <w:rPr>
          <w:noProof/>
        </w:rPr>
      </w:pPr>
      <w:r w:rsidRPr="00BE4A67">
        <w:t>–</w:t>
      </w:r>
      <w:r w:rsidRPr="00BE4A67">
        <w:tab/>
        <w:t>med beaktande av artiklarna 100 och 104.3 samt bilaga V i arbetsordningen,</w:t>
      </w:r>
    </w:p>
    <w:p w14:paraId="3E65FEA6" w14:textId="77777777" w:rsidR="00370F0F" w:rsidRPr="00BE4A67" w:rsidRDefault="00370F0F" w:rsidP="00370F0F">
      <w:pPr>
        <w:pStyle w:val="NormalHanging12a"/>
        <w:widowControl/>
        <w:rPr>
          <w:noProof/>
        </w:rPr>
      </w:pPr>
      <w:r w:rsidRPr="00BE4A67">
        <w:t>–</w:t>
      </w:r>
      <w:r w:rsidRPr="00BE4A67">
        <w:tab/>
        <w:t>med beaktande av yttrandet från utskottet för rättsliga frågor,</w:t>
      </w:r>
    </w:p>
    <w:p w14:paraId="69E6EE4F" w14:textId="77777777" w:rsidR="00370F0F" w:rsidRPr="00BE4A67" w:rsidRDefault="00370F0F" w:rsidP="00370F0F">
      <w:pPr>
        <w:pStyle w:val="NormalHanging12a"/>
        <w:widowControl/>
      </w:pPr>
      <w:r w:rsidRPr="00BE4A67">
        <w:t>–</w:t>
      </w:r>
      <w:r w:rsidRPr="00BE4A67">
        <w:tab/>
        <w:t>med beaktande av betänkandet från budgetkontrollutskottet (A9-0067/2024), och av följande skäl:</w:t>
      </w:r>
    </w:p>
    <w:p w14:paraId="5B513BE4" w14:textId="77777777" w:rsidR="00370F0F" w:rsidRPr="00BE4A67" w:rsidRDefault="00370F0F" w:rsidP="00370F0F">
      <w:pPr>
        <w:pStyle w:val="NormalHanging12a"/>
        <w:widowControl/>
      </w:pPr>
      <w:r w:rsidRPr="00BE4A67">
        <w:t>A.</w:t>
      </w:r>
      <w:r w:rsidRPr="00BE4A67">
        <w:tab/>
        <w:t>Talmannen antog parlamentets årsredovisning för budgetåret 2022 den 22 juni 2023.</w:t>
      </w:r>
    </w:p>
    <w:p w14:paraId="567388F2" w14:textId="77777777" w:rsidR="00370F0F" w:rsidRPr="00BE4A67" w:rsidRDefault="00370F0F" w:rsidP="00370F0F">
      <w:pPr>
        <w:pStyle w:val="NormalHanging12a"/>
        <w:widowControl/>
      </w:pPr>
      <w:r w:rsidRPr="00BE4A67">
        <w:t>B.</w:t>
      </w:r>
      <w:r w:rsidRPr="00BE4A67">
        <w:tab/>
        <w:t>I egenskap av delegerad chefsutanordnare intygade generalsekreteraren den 26 juni 2023 att resurserna som avsatts för parlamentets budget med rimlig säkerhet har använts i avsett syfte och genomförts i enlighet med principen om sund ekonomisk förvaltning, och att de kontrollförfaranden som införts ger tillräckliga garantier för de underliggande transaktionernas laglighet och korrekthet.</w:t>
      </w:r>
    </w:p>
    <w:p w14:paraId="29599411" w14:textId="5B710569" w:rsidR="00370F0F" w:rsidRPr="00BE4A67" w:rsidRDefault="00370F0F" w:rsidP="00370F0F">
      <w:pPr>
        <w:pStyle w:val="NormalHanging12a"/>
        <w:widowControl/>
      </w:pPr>
      <w:r w:rsidRPr="00BE4A67">
        <w:t>C.</w:t>
      </w:r>
      <w:r w:rsidRPr="00BE4A67">
        <w:tab/>
        <w:t>Revisionsrätten angav i sin granskning att man i sin särskilda bedömning av administrativa och andra utgifter under 2022 inte funnit några allvarliga brister i de granskade årliga verksamhetsrapporterna från institutionerna och organen, enligt krave</w:t>
      </w:r>
      <w:r w:rsidR="003518D1">
        <w:t xml:space="preserve">n i förordning (EU, Euratom) </w:t>
      </w:r>
      <w:r w:rsidRPr="00BE4A67">
        <w:t>2018/1046.</w:t>
      </w:r>
    </w:p>
    <w:p w14:paraId="6C921615" w14:textId="77777777" w:rsidR="00370F0F" w:rsidRPr="00BE4A67" w:rsidRDefault="00370F0F" w:rsidP="00370F0F">
      <w:pPr>
        <w:pStyle w:val="NormalHanging12a"/>
        <w:widowControl/>
      </w:pPr>
      <w:r w:rsidRPr="00BE4A67">
        <w:t>D.</w:t>
      </w:r>
      <w:r w:rsidRPr="00BE4A67">
        <w:tab/>
        <w:t>Enligt artikel 262.1 i förordning (EU, Euratom) 2018/1046 ska samtliga EU</w:t>
      </w:r>
      <w:r w:rsidRPr="00BE4A67">
        <w:noBreakHyphen/>
        <w:t>institutioner vidta alla åtgärder som krävs för att rätta sig efter iakttagelserna i parlamentets beslut om ansvarsfrihet.</w:t>
      </w:r>
    </w:p>
    <w:p w14:paraId="3B660F87" w14:textId="77777777" w:rsidR="00370F0F" w:rsidRPr="00BE4A67" w:rsidRDefault="00370F0F" w:rsidP="00370F0F">
      <w:pPr>
        <w:pStyle w:val="NormalHanging12a"/>
        <w:widowControl/>
        <w:rPr>
          <w:noProof/>
        </w:rPr>
      </w:pPr>
      <w:r w:rsidRPr="00BE4A67">
        <w:t>1.</w:t>
      </w:r>
      <w:r w:rsidRPr="00BE4A67">
        <w:tab/>
        <w:t>Europaparlamentet beviljar talmannen ansvarsfrihet för genomförandet av Europaparlamentets budget för budgetåret 2022.</w:t>
      </w:r>
    </w:p>
    <w:p w14:paraId="556E7719" w14:textId="77777777" w:rsidR="00370F0F" w:rsidRPr="00BE4A67" w:rsidRDefault="00370F0F" w:rsidP="00370F0F">
      <w:pPr>
        <w:pStyle w:val="NormalHanging12a"/>
        <w:widowControl/>
        <w:rPr>
          <w:noProof/>
        </w:rPr>
      </w:pPr>
      <w:r w:rsidRPr="00BE4A67">
        <w:t>2.</w:t>
      </w:r>
      <w:r w:rsidRPr="00BE4A67">
        <w:tab/>
        <w:t>Europaparlamentet redovisar sina iakttagelser i resolutionen nedan.</w:t>
      </w:r>
    </w:p>
    <w:p w14:paraId="09DBD7BF" w14:textId="77777777" w:rsidR="00370F0F" w:rsidRPr="00BE4A67" w:rsidRDefault="00370F0F" w:rsidP="00370F0F">
      <w:pPr>
        <w:pStyle w:val="NormalHanging12a"/>
        <w:widowControl/>
        <w:rPr>
          <w:noProof/>
        </w:rPr>
      </w:pPr>
      <w:r w:rsidRPr="00BE4A67">
        <w:t>3.</w:t>
      </w:r>
      <w:r w:rsidRPr="00BE4A67">
        <w:tab/>
        <w:t xml:space="preserve">Europaparlamentet uppdrar åt talmannen att översända detta beslut och den resolution som utgör en del av beslutet till rådet, kommissionen och revisionsrätten, samt att se till att de offentliggörs i </w:t>
      </w:r>
      <w:r w:rsidRPr="00BE4A67">
        <w:rPr>
          <w:i/>
        </w:rPr>
        <w:t xml:space="preserve">Europeiska unionens officiella tidning </w:t>
      </w:r>
      <w:r w:rsidRPr="00BE4A67">
        <w:t>(L-serien).</w:t>
      </w:r>
    </w:p>
    <w:p w14:paraId="51F06FCF" w14:textId="77777777" w:rsidR="00370F0F" w:rsidRPr="00BE4A67" w:rsidRDefault="00370F0F" w:rsidP="00370F0F">
      <w:pPr>
        <w:widowControl/>
      </w:pPr>
    </w:p>
    <w:p w14:paraId="0FFE4599" w14:textId="77777777" w:rsidR="00370F0F" w:rsidRPr="00BE4A67" w:rsidRDefault="00370F0F" w:rsidP="00370F0F">
      <w:pPr>
        <w:pStyle w:val="PageHeading"/>
        <w:widowControl/>
        <w:sectPr w:rsidR="00370F0F" w:rsidRPr="00BE4A67" w:rsidSect="00033B0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8C0B98D" w14:textId="77777777" w:rsidR="00370F0F" w:rsidRPr="00BE4A67" w:rsidRDefault="00370F0F" w:rsidP="00DA60E4">
      <w:pPr>
        <w:pStyle w:val="ATHeading3"/>
        <w:rPr>
          <w:noProof/>
        </w:rPr>
      </w:pPr>
      <w:bookmarkStart w:id="8" w:name="_Toc161846392"/>
      <w:r w:rsidRPr="00BE4A67">
        <w:lastRenderedPageBreak/>
        <w:t xml:space="preserve">2. </w:t>
      </w:r>
      <w:r w:rsidR="009B1F1D" w:rsidRPr="00BE4A67">
        <w:t>Europaparlamentets resolution</w:t>
      </w:r>
      <w:bookmarkEnd w:id="8"/>
      <w:r w:rsidR="009B1F1D" w:rsidRPr="00BE4A67">
        <w:t xml:space="preserve"> av den 11 april 2024 </w:t>
      </w:r>
      <w:r w:rsidRPr="00BE4A67">
        <w:t>med de iakttagelser som utgör en del av beslutet om ansvarsfrihet för genomförandet av Europeiska unionens allmänna budget för budgetåret 2022, avsnitt I – Europaparlamentet</w:t>
      </w:r>
      <w:r w:rsidR="009B1F1D" w:rsidRPr="00BE4A67">
        <w:t xml:space="preserve"> </w:t>
      </w:r>
      <w:r w:rsidRPr="00BE4A67">
        <w:t>(2023/2130(DEC))</w:t>
      </w:r>
    </w:p>
    <w:p w14:paraId="049B2E31" w14:textId="77777777" w:rsidR="00370F0F" w:rsidRPr="00BE4A67" w:rsidRDefault="00370F0F" w:rsidP="00370F0F">
      <w:pPr>
        <w:pStyle w:val="EPComma"/>
        <w:widowControl/>
        <w:rPr>
          <w:noProof/>
        </w:rPr>
      </w:pPr>
      <w:r w:rsidRPr="00BE4A67">
        <w:rPr>
          <w:i/>
        </w:rPr>
        <w:t>Europaparlamentet utfärdar denna resolution</w:t>
      </w:r>
    </w:p>
    <w:p w14:paraId="5047CAB8" w14:textId="77777777" w:rsidR="00370F0F" w:rsidRPr="00BE4A67" w:rsidRDefault="00370F0F" w:rsidP="00370F0F">
      <w:pPr>
        <w:pStyle w:val="NormalHanging12a"/>
        <w:widowControl/>
        <w:rPr>
          <w:noProof/>
        </w:rPr>
      </w:pPr>
      <w:r w:rsidRPr="00BE4A67">
        <w:t>–</w:t>
      </w:r>
      <w:r w:rsidRPr="00BE4A67">
        <w:tab/>
        <w:t>med beaktande av sitt beslut om ansvarsfrihet för genomförandet av Europeiska unionens allmänna budget för budgetåret 2022, avsnitt I – Europaparlamentet,</w:t>
      </w:r>
    </w:p>
    <w:p w14:paraId="6D38C22B" w14:textId="77777777" w:rsidR="00370F0F" w:rsidRPr="00BE4A67" w:rsidRDefault="00370F0F" w:rsidP="00370F0F">
      <w:pPr>
        <w:pStyle w:val="NormalHanging12a"/>
        <w:widowControl/>
        <w:rPr>
          <w:noProof/>
        </w:rPr>
      </w:pPr>
      <w:r w:rsidRPr="00BE4A67">
        <w:t>–</w:t>
      </w:r>
      <w:r w:rsidRPr="00BE4A67">
        <w:tab/>
        <w:t>med beaktande av artiklarna 100 och 104.3 samt bilaga V i arbetsordningen,</w:t>
      </w:r>
    </w:p>
    <w:p w14:paraId="357DD6D8" w14:textId="77777777" w:rsidR="00370F0F" w:rsidRPr="00BE4A67" w:rsidRDefault="00370F0F" w:rsidP="00370F0F">
      <w:pPr>
        <w:pStyle w:val="NormalHanging12a"/>
        <w:widowControl/>
        <w:rPr>
          <w:noProof/>
        </w:rPr>
      </w:pPr>
      <w:r w:rsidRPr="00BE4A67">
        <w:t>–</w:t>
      </w:r>
      <w:r w:rsidRPr="00BE4A67">
        <w:tab/>
        <w:t>med beaktande av yttrandet från utskottet för rättsliga frågor,</w:t>
      </w:r>
    </w:p>
    <w:p w14:paraId="37A7F39C" w14:textId="77777777" w:rsidR="00370F0F" w:rsidRPr="00BE4A67" w:rsidRDefault="00370F0F" w:rsidP="00370F0F">
      <w:pPr>
        <w:pStyle w:val="NormalHanging12a"/>
        <w:widowControl/>
      </w:pPr>
      <w:r w:rsidRPr="00BE4A67">
        <w:t>–</w:t>
      </w:r>
      <w:r w:rsidRPr="00BE4A67">
        <w:tab/>
        <w:t>med beaktande av betänkandet från budgetkontrollutskottet (A9-0067/2024), och av följande skäl:</w:t>
      </w:r>
    </w:p>
    <w:p w14:paraId="41398B07"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A.</w:t>
      </w:r>
      <w:r w:rsidRPr="00BE4A67">
        <w:rPr>
          <w14:textOutline w14:w="0" w14:cap="flat" w14:cmpd="sng" w14:algn="ctr">
            <w14:noFill/>
            <w14:prstDash w14:val="solid"/>
            <w14:bevel/>
          </w14:textOutline>
        </w:rPr>
        <w:tab/>
        <w:t>I sin attestering av de slutliga räkenskaperna uppgav Europaparlamentets räkenskapsförare att räkenskaperna med rimlig säkerhet i allt väsentligt ger en rättvis bild av parlamentets finansiella ställning, resultat och kassaflöde.</w:t>
      </w:r>
    </w:p>
    <w:p w14:paraId="57975FD6"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B.</w:t>
      </w:r>
      <w:r w:rsidRPr="00BE4A67">
        <w:rPr>
          <w14:textOutline w14:w="0" w14:cap="flat" w14:cmpd="sng" w14:algn="ctr">
            <w14:noFill/>
            <w14:prstDash w14:val="solid"/>
            <w14:bevel/>
          </w14:textOutline>
        </w:rPr>
        <w:tab/>
        <w:t>I enlighet med det normala förfarandet skickades 60 frågor till parlamentets administration, och skriftliga svar mottogs och diskuterades offentligt av parlamentets budgetkontrollutskott den 4 december 2023, i närvaro av generalsekreteraren, direktören för myndigheten för europeiska politiska partier och europeiska politiska stiftelser (</w:t>
      </w:r>
      <w:r w:rsidRPr="00BE4A67">
        <w:rPr>
          <w:i/>
          <w14:textOutline w14:w="0" w14:cap="flat" w14:cmpd="sng" w14:algn="ctr">
            <w14:noFill/>
            <w14:prstDash w14:val="solid"/>
            <w14:bevel/>
          </w14:textOutline>
        </w:rPr>
        <w:t>myndigheten</w:t>
      </w:r>
      <w:r w:rsidRPr="00BE4A67">
        <w:rPr>
          <w14:textOutline w14:w="0" w14:cap="flat" w14:cmpd="sng" w14:algn="ctr">
            <w14:noFill/>
            <w14:prstDash w14:val="solid"/>
            <w14:bevel/>
          </w14:textOutline>
        </w:rPr>
        <w:t>) och internrevisorn.</w:t>
      </w:r>
    </w:p>
    <w:p w14:paraId="65447BD7" w14:textId="773B0C69" w:rsidR="00370F0F" w:rsidRDefault="00370F0F" w:rsidP="00370F0F">
      <w:pPr>
        <w:pStyle w:val="NormalHanging12a"/>
        <w:widowControl/>
      </w:pPr>
      <w:r w:rsidRPr="00BE4A67">
        <w:t>C.</w:t>
      </w:r>
      <w:r w:rsidRPr="00BE4A67">
        <w:tab/>
        <w:t>Det finns alltid utrymme för förbättringar avseende kvalitet, effektivitet och ändamålsenlighet samt transparens vid förvaltningen av de offentliga finanserna. En ingående granskning är absolut nödvändig för att säkerställa att det politiska ledarskapet och parlamentets administration hålls ansvariga inför unionsmedborgarna. Parlamentets integritet är avgörande för att den europeiska demokratin ska fungera och ökar medborgarnas förtroende för EU-institutionerna.</w:t>
      </w:r>
    </w:p>
    <w:p w14:paraId="2F580697" w14:textId="02AC24A9" w:rsidR="00252119" w:rsidRDefault="00252119" w:rsidP="00370F0F">
      <w:pPr>
        <w:pStyle w:val="NormalHanging12a"/>
        <w:widowControl/>
      </w:pPr>
      <w:r>
        <w:t>D</w:t>
      </w:r>
      <w:r w:rsidRPr="00252119">
        <w:t>.</w:t>
      </w:r>
      <w:r w:rsidRPr="00252119">
        <w:tab/>
        <w:t xml:space="preserve">Utländsk inblandning, informationsmanipulering och desinformation utgör en allvarlig kränkning av de värden som unionen bygger på. Parlamentets särskilda utskott om utländsk inblandning i alla demokratiska processer i unionen, </w:t>
      </w:r>
      <w:proofErr w:type="gramStart"/>
      <w:r w:rsidRPr="00252119">
        <w:t>inbegripet</w:t>
      </w:r>
      <w:proofErr w:type="gramEnd"/>
      <w:r w:rsidRPr="00252119">
        <w:t xml:space="preserve"> desinformation (INGE), som inrättades i juni 2022, har i detalj avslöjat tredjeländers insatser och operationer för att infiltrera, påverka och blanda sig i de europeiska demokratierna och unionens institutioner.</w:t>
      </w:r>
    </w:p>
    <w:p w14:paraId="21070CB6" w14:textId="6BA7CCA8" w:rsidR="00252119" w:rsidRPr="00BE4A67" w:rsidRDefault="00252119" w:rsidP="00370F0F">
      <w:pPr>
        <w:pStyle w:val="NormalHanging12a"/>
        <w:widowControl/>
      </w:pPr>
      <w:r>
        <w:t>E</w:t>
      </w:r>
      <w:r w:rsidRPr="00252119">
        <w:t>.</w:t>
      </w:r>
      <w:r w:rsidRPr="00252119">
        <w:tab/>
        <w:t>Ledamöter påstås ha fått betalt för att främja rysk propaganda.</w:t>
      </w:r>
    </w:p>
    <w:p w14:paraId="0F4FE4EA"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Parlamentets budgetförvaltning och ekonomiska förvaltning</w:t>
      </w:r>
    </w:p>
    <w:p w14:paraId="070D9783"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w:t>
      </w:r>
      <w:r w:rsidRPr="00BE4A67">
        <w:rPr>
          <w14:textOutline w14:w="0" w14:cap="flat" w14:cmpd="sng" w14:algn="ctr">
            <w14:noFill/>
            <w14:prstDash w14:val="solid"/>
            <w14:bevel/>
          </w14:textOutline>
        </w:rPr>
        <w:tab/>
        <w:t>Europaparlamentet noterar att parlamentets slutgiltiga anslag för 2022 uppgick till 2 161 miljoner EUR eller 19,55 % av rubrik 7 i den fleråriga budgetramen</w:t>
      </w:r>
      <w:r w:rsidRPr="00BE4A67">
        <w:rPr>
          <w:rStyle w:val="FootnoteReference"/>
          <w:szCs w:val="24"/>
        </w:rPr>
        <w:footnoteReference w:id="7"/>
      </w:r>
      <w:r w:rsidRPr="00BE4A67">
        <w:rPr>
          <w14:textOutline w14:w="0" w14:cap="flat" w14:cmpd="sng" w14:algn="ctr">
            <w14:noFill/>
            <w14:prstDash w14:val="solid"/>
            <w14:bevel/>
          </w14:textOutline>
        </w:rPr>
        <w:t xml:space="preserve"> av det belopp som avsatts för administrativa utgifter under 2022 för unionens institutioner som helhet, dvs. en ökning med 4,76 % jämfört med 2021 års budget (2 064 miljoner EUR).</w:t>
      </w:r>
    </w:p>
    <w:p w14:paraId="2F7A4067"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lastRenderedPageBreak/>
        <w:t>2.</w:t>
      </w:r>
      <w:r w:rsidRPr="00BE4A67">
        <w:rPr>
          <w14:textOutline w14:w="0" w14:cap="flat" w14:cmpd="sng" w14:algn="ctr">
            <w14:noFill/>
            <w14:prstDash w14:val="solid"/>
            <w14:bevel/>
          </w14:textOutline>
        </w:rPr>
        <w:tab/>
        <w:t>Europaparlamentet noterar att de totala inkomsterna i räkenskaperna per den 31 december 2022 uppgick till 250 473 772 EUR (jämfört med 215 332 108 EUR 2021). Parlamentet noterar att inkomster avsatta för särskilda ändamål som gjordes tillgängliga 2022 uppgick till 61 267 620 EUR (jämfört med 37 150 962 EUR 2021).</w:t>
      </w:r>
    </w:p>
    <w:p w14:paraId="000571A9"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3.</w:t>
      </w:r>
      <w:r w:rsidRPr="00BE4A67">
        <w:rPr>
          <w14:textOutline w14:w="0" w14:cap="flat" w14:cmpd="sng" w14:algn="ctr">
            <w14:noFill/>
            <w14:prstDash w14:val="solid"/>
            <w14:bevel/>
          </w14:textOutline>
        </w:rPr>
        <w:tab/>
        <w:t>Europaparlamentet betonar att fem kapitel stod för 76,5 % av de totala åtagandena: kapitel 10 ”Ledamöter”, kapitel 12 ”Tjänstemän och tillfälligt anställda”, kapitel 14 ”Övrig personal och externa tjänster”, kapitel 20 ”Fastigheter och utgifter i samband med dessa”, kapitel 42 ”Utgifter för assistentstöd till ledamöterna”.</w:t>
      </w:r>
    </w:p>
    <w:p w14:paraId="6BE60362"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4.</w:t>
      </w:r>
      <w:r w:rsidRPr="00BE4A67">
        <w:rPr>
          <w14:textOutline w14:w="0" w14:cap="flat" w14:cmpd="sng" w14:algn="ctr">
            <w14:noFill/>
            <w14:prstDash w14:val="solid"/>
            <w14:bevel/>
          </w14:textOutline>
        </w:rPr>
        <w:tab/>
        <w:t>Europaparlamentet noterar följande belopp utifrån vilka parlamentets räkenskaper för budgetåret 2022 avslutades:</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370F0F" w:rsidRPr="00BE4A67" w14:paraId="5403D7F4" w14:textId="77777777" w:rsidTr="009B1F1D">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14:paraId="721CC022" w14:textId="77777777" w:rsidR="00370F0F" w:rsidRPr="00BE4A67" w:rsidRDefault="00370F0F" w:rsidP="009B1F1D">
            <w:pPr>
              <w:widowControl/>
              <w:autoSpaceDE w:val="0"/>
              <w:autoSpaceDN w:val="0"/>
              <w:adjustRightInd w:val="0"/>
            </w:pPr>
            <w:r w:rsidRPr="00BE4A67">
              <w:rPr>
                <w:b/>
              </w:rPr>
              <w:t>a) Tillgängliga anslag (EUR)</w:t>
            </w:r>
          </w:p>
        </w:tc>
      </w:tr>
      <w:tr w:rsidR="00370F0F" w:rsidRPr="00BE4A67" w14:paraId="745D4EA4" w14:textId="77777777" w:rsidTr="009B1F1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3280925E" w14:textId="77777777" w:rsidR="00370F0F" w:rsidRPr="00BE4A67" w:rsidRDefault="00370F0F" w:rsidP="009B1F1D">
            <w:pPr>
              <w:widowControl/>
              <w:autoSpaceDE w:val="0"/>
              <w:autoSpaceDN w:val="0"/>
              <w:adjustRightInd w:val="0"/>
            </w:pPr>
            <w:r w:rsidRPr="00BE4A67">
              <w:t xml:space="preserve">Anslag för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097BFB1D" w14:textId="77777777" w:rsidR="00370F0F" w:rsidRPr="00BE4A67" w:rsidRDefault="00370F0F" w:rsidP="009B1F1D">
            <w:pPr>
              <w:widowControl/>
              <w:autoSpaceDE w:val="0"/>
              <w:autoSpaceDN w:val="0"/>
              <w:adjustRightInd w:val="0"/>
              <w:jc w:val="right"/>
            </w:pPr>
            <w:r w:rsidRPr="00BE4A67">
              <w:t>2 161 651 286,00</w:t>
            </w:r>
          </w:p>
        </w:tc>
      </w:tr>
      <w:tr w:rsidR="00370F0F" w:rsidRPr="00BE4A67" w14:paraId="19ACCFC9" w14:textId="77777777" w:rsidTr="009B1F1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3A9ED1E1" w14:textId="77777777" w:rsidR="00370F0F" w:rsidRPr="00BE4A67" w:rsidRDefault="00370F0F" w:rsidP="009B1F1D">
            <w:pPr>
              <w:widowControl/>
              <w:autoSpaceDE w:val="0"/>
              <w:autoSpaceDN w:val="0"/>
              <w:adjustRightInd w:val="0"/>
            </w:pPr>
            <w:r w:rsidRPr="00BE4A67">
              <w:t xml:space="preserve">Icke-automatiska överföringar från budgetåret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9E67894" w14:textId="77777777" w:rsidR="00370F0F" w:rsidRPr="00BE4A67" w:rsidRDefault="00370F0F" w:rsidP="009B1F1D">
            <w:pPr>
              <w:widowControl/>
              <w:autoSpaceDE w:val="0"/>
              <w:autoSpaceDN w:val="0"/>
              <w:adjustRightInd w:val="0"/>
              <w:jc w:val="right"/>
            </w:pPr>
            <w:r w:rsidRPr="00BE4A67">
              <w:t>22 007 230,00</w:t>
            </w:r>
          </w:p>
        </w:tc>
      </w:tr>
      <w:tr w:rsidR="00370F0F" w:rsidRPr="00BE4A67" w14:paraId="2938B7CA" w14:textId="77777777" w:rsidTr="009B1F1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5AC1BFA" w14:textId="77777777" w:rsidR="00370F0F" w:rsidRPr="00BE4A67" w:rsidRDefault="00370F0F" w:rsidP="009B1F1D">
            <w:pPr>
              <w:widowControl/>
              <w:autoSpaceDE w:val="0"/>
              <w:autoSpaceDN w:val="0"/>
              <w:adjustRightInd w:val="0"/>
            </w:pPr>
            <w:r w:rsidRPr="00BE4A67">
              <w:t xml:space="preserve">Automatiska överföringar från budgetåret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06BA0404" w14:textId="77777777" w:rsidR="00370F0F" w:rsidRPr="00BE4A67" w:rsidRDefault="00370F0F" w:rsidP="009B1F1D">
            <w:pPr>
              <w:widowControl/>
              <w:autoSpaceDE w:val="0"/>
              <w:autoSpaceDN w:val="0"/>
              <w:adjustRightInd w:val="0"/>
              <w:jc w:val="right"/>
            </w:pPr>
            <w:r w:rsidRPr="00BE4A67">
              <w:t>380 099 194,75</w:t>
            </w:r>
          </w:p>
        </w:tc>
      </w:tr>
      <w:tr w:rsidR="00370F0F" w:rsidRPr="00BE4A67" w14:paraId="14CEB797" w14:textId="77777777" w:rsidTr="009B1F1D">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7FEF8BE8" w14:textId="77777777" w:rsidR="00370F0F" w:rsidRPr="00BE4A67" w:rsidRDefault="00370F0F" w:rsidP="009B1F1D">
            <w:pPr>
              <w:widowControl/>
              <w:autoSpaceDE w:val="0"/>
              <w:autoSpaceDN w:val="0"/>
              <w:adjustRightInd w:val="0"/>
            </w:pPr>
            <w:r w:rsidRPr="00BE4A67">
              <w:t xml:space="preserve">Anslag motsvarande inkomster avsatta för särskilda ändamål för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23D74715" w14:textId="77777777" w:rsidR="00370F0F" w:rsidRPr="00BE4A67" w:rsidRDefault="00370F0F" w:rsidP="009B1F1D">
            <w:pPr>
              <w:widowControl/>
              <w:autoSpaceDE w:val="0"/>
              <w:autoSpaceDN w:val="0"/>
              <w:adjustRightInd w:val="0"/>
              <w:jc w:val="right"/>
            </w:pPr>
            <w:r w:rsidRPr="00BE4A67">
              <w:t>61 267 620,37</w:t>
            </w:r>
          </w:p>
        </w:tc>
      </w:tr>
      <w:tr w:rsidR="00370F0F" w:rsidRPr="00BE4A67" w14:paraId="0E2DFCDA" w14:textId="77777777" w:rsidTr="009B1F1D">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965CFDB" w14:textId="77777777" w:rsidR="00370F0F" w:rsidRPr="00BE4A67" w:rsidRDefault="00370F0F" w:rsidP="009B1F1D">
            <w:pPr>
              <w:widowControl/>
              <w:autoSpaceDE w:val="0"/>
              <w:autoSpaceDN w:val="0"/>
              <w:adjustRightInd w:val="0"/>
            </w:pPr>
            <w:r w:rsidRPr="00BE4A67">
              <w:t xml:space="preserve">Överföringar motsvarande inkomster avsatta för särskilda ändamål från budgetåret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31E3E0A6" w14:textId="77777777" w:rsidR="00370F0F" w:rsidRPr="00BE4A67" w:rsidRDefault="00370F0F" w:rsidP="009B1F1D">
            <w:pPr>
              <w:widowControl/>
              <w:autoSpaceDE w:val="0"/>
              <w:autoSpaceDN w:val="0"/>
              <w:adjustRightInd w:val="0"/>
              <w:jc w:val="right"/>
            </w:pPr>
            <w:r w:rsidRPr="00BE4A67">
              <w:t>39 603 266,73</w:t>
            </w:r>
          </w:p>
        </w:tc>
      </w:tr>
      <w:tr w:rsidR="00370F0F" w:rsidRPr="00BE4A67" w14:paraId="6071270A" w14:textId="77777777" w:rsidTr="009B1F1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549E1AF" w14:textId="77777777" w:rsidR="00370F0F" w:rsidRPr="00BE4A67" w:rsidRDefault="00370F0F" w:rsidP="009B1F1D">
            <w:pPr>
              <w:widowControl/>
              <w:autoSpaceDE w:val="0"/>
              <w:autoSpaceDN w:val="0"/>
              <w:adjustRightInd w:val="0"/>
            </w:pPr>
            <w:r w:rsidRPr="00BE4A67">
              <w:t xml:space="preserve">Totalt: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4E63A9AD" w14:textId="77777777" w:rsidR="00370F0F" w:rsidRPr="00BE4A67" w:rsidRDefault="00370F0F" w:rsidP="009B1F1D">
            <w:pPr>
              <w:widowControl/>
              <w:autoSpaceDE w:val="0"/>
              <w:autoSpaceDN w:val="0"/>
              <w:adjustRightInd w:val="0"/>
              <w:jc w:val="right"/>
            </w:pPr>
            <w:r w:rsidRPr="00BE4A67">
              <w:t>2 664 628 597,85</w:t>
            </w:r>
          </w:p>
        </w:tc>
      </w:tr>
      <w:tr w:rsidR="00370F0F" w:rsidRPr="00BE4A67" w14:paraId="6F3324D6" w14:textId="77777777" w:rsidTr="009B1F1D">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6FF398A0" w14:textId="77777777" w:rsidR="00370F0F" w:rsidRPr="00BE4A67" w:rsidRDefault="00370F0F" w:rsidP="009B1F1D">
            <w:pPr>
              <w:widowControl/>
              <w:autoSpaceDE w:val="0"/>
              <w:autoSpaceDN w:val="0"/>
              <w:adjustRightInd w:val="0"/>
              <w:rPr>
                <w:b/>
              </w:rPr>
            </w:pPr>
            <w:r w:rsidRPr="00BE4A67">
              <w:rPr>
                <w:b/>
              </w:rPr>
              <w:t>b) Anslagsutnyttjande budgetåret 2022 (EUR)</w:t>
            </w:r>
          </w:p>
        </w:tc>
      </w:tr>
      <w:tr w:rsidR="00370F0F" w:rsidRPr="00BE4A67" w14:paraId="095BBC82" w14:textId="77777777" w:rsidTr="009B1F1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819298B" w14:textId="77777777" w:rsidR="00370F0F" w:rsidRPr="00BE4A67" w:rsidRDefault="00370F0F" w:rsidP="009B1F1D">
            <w:pPr>
              <w:widowControl/>
              <w:autoSpaceDE w:val="0"/>
              <w:autoSpaceDN w:val="0"/>
              <w:adjustRightInd w:val="0"/>
            </w:pPr>
            <w:r w:rsidRPr="00BE4A67">
              <w:t xml:space="preserve">Åtaganden: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85B8075" w14:textId="77777777" w:rsidR="00370F0F" w:rsidRPr="00BE4A67" w:rsidRDefault="00370F0F" w:rsidP="009B1F1D">
            <w:pPr>
              <w:widowControl/>
              <w:autoSpaceDE w:val="0"/>
              <w:autoSpaceDN w:val="0"/>
              <w:adjustRightInd w:val="0"/>
              <w:jc w:val="right"/>
            </w:pPr>
            <w:r w:rsidRPr="00BE4A67">
              <w:t>2 607 456 700,15</w:t>
            </w:r>
          </w:p>
        </w:tc>
      </w:tr>
      <w:tr w:rsidR="00370F0F" w:rsidRPr="00BE4A67" w14:paraId="7ACB30EB" w14:textId="77777777" w:rsidTr="009B1F1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F5B7CF4" w14:textId="77777777" w:rsidR="00370F0F" w:rsidRPr="00BE4A67" w:rsidRDefault="00370F0F" w:rsidP="009B1F1D">
            <w:pPr>
              <w:widowControl/>
              <w:autoSpaceDE w:val="0"/>
              <w:autoSpaceDN w:val="0"/>
              <w:adjustRightInd w:val="0"/>
            </w:pPr>
            <w:r w:rsidRPr="00BE4A67">
              <w:t xml:space="preserve">Utförda betalningar: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3D55930" w14:textId="77777777" w:rsidR="00370F0F" w:rsidRPr="00BE4A67" w:rsidRDefault="00370F0F" w:rsidP="009B1F1D">
            <w:pPr>
              <w:widowControl/>
              <w:autoSpaceDE w:val="0"/>
              <w:autoSpaceDN w:val="0"/>
              <w:adjustRightInd w:val="0"/>
              <w:jc w:val="right"/>
            </w:pPr>
            <w:r w:rsidRPr="00BE4A67">
              <w:t>2 186 635 235,75</w:t>
            </w:r>
          </w:p>
        </w:tc>
      </w:tr>
      <w:tr w:rsidR="00370F0F" w:rsidRPr="00BE4A67" w14:paraId="07F39C3E" w14:textId="77777777" w:rsidTr="009B1F1D">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020A732" w14:textId="77777777" w:rsidR="00370F0F" w:rsidRPr="00BE4A67" w:rsidRDefault="00370F0F" w:rsidP="009B1F1D">
            <w:pPr>
              <w:widowControl/>
              <w:autoSpaceDE w:val="0"/>
              <w:autoSpaceDN w:val="0"/>
              <w:adjustRightInd w:val="0"/>
            </w:pPr>
            <w:r w:rsidRPr="00BE4A67">
              <w:t xml:space="preserve">Anslag som överförts automatiskt inklusive dem från inkomster avsatta för särskilda ändamål: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5FBB24DE" w14:textId="77777777" w:rsidR="00370F0F" w:rsidRPr="00BE4A67" w:rsidRDefault="00370F0F" w:rsidP="009B1F1D">
            <w:pPr>
              <w:widowControl/>
              <w:autoSpaceDE w:val="0"/>
              <w:autoSpaceDN w:val="0"/>
              <w:adjustRightInd w:val="0"/>
              <w:jc w:val="right"/>
            </w:pPr>
          </w:p>
          <w:p w14:paraId="29825495" w14:textId="77777777" w:rsidR="00370F0F" w:rsidRPr="00BE4A67" w:rsidRDefault="00370F0F" w:rsidP="009B1F1D">
            <w:pPr>
              <w:widowControl/>
              <w:autoSpaceDE w:val="0"/>
              <w:autoSpaceDN w:val="0"/>
              <w:adjustRightInd w:val="0"/>
              <w:jc w:val="right"/>
            </w:pPr>
            <w:r w:rsidRPr="00BE4A67">
              <w:t>428 826 276,81</w:t>
            </w:r>
          </w:p>
        </w:tc>
      </w:tr>
      <w:tr w:rsidR="00370F0F" w:rsidRPr="00BE4A67" w14:paraId="73EE9AA4" w14:textId="77777777" w:rsidTr="009B1F1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27BDAE46" w14:textId="77777777" w:rsidR="00370F0F" w:rsidRPr="00BE4A67" w:rsidRDefault="00370F0F" w:rsidP="009B1F1D">
            <w:pPr>
              <w:widowControl/>
              <w:autoSpaceDE w:val="0"/>
              <w:autoSpaceDN w:val="0"/>
              <w:adjustRightInd w:val="0"/>
            </w:pPr>
            <w:r w:rsidRPr="00BE4A67">
              <w:t xml:space="preserve">Anslag som inte överförts automatiskt: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32D36C4D" w14:textId="77777777" w:rsidR="00370F0F" w:rsidRPr="00BE4A67" w:rsidRDefault="00370F0F" w:rsidP="009B1F1D">
            <w:pPr>
              <w:widowControl/>
              <w:autoSpaceDE w:val="0"/>
              <w:autoSpaceDN w:val="0"/>
              <w:adjustRightInd w:val="0"/>
              <w:jc w:val="right"/>
            </w:pPr>
            <w:r w:rsidRPr="00BE4A67">
              <w:t>0</w:t>
            </w:r>
          </w:p>
        </w:tc>
      </w:tr>
      <w:tr w:rsidR="00370F0F" w:rsidRPr="00BE4A67" w14:paraId="1B921C8C" w14:textId="77777777" w:rsidTr="009B1F1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23AF6929" w14:textId="77777777" w:rsidR="00370F0F" w:rsidRPr="00BE4A67" w:rsidRDefault="00370F0F" w:rsidP="009B1F1D">
            <w:pPr>
              <w:widowControl/>
              <w:autoSpaceDE w:val="0"/>
              <w:autoSpaceDN w:val="0"/>
              <w:adjustRightInd w:val="0"/>
            </w:pPr>
            <w:r w:rsidRPr="00BE4A67">
              <w:t xml:space="preserve">Förfallna anslag: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B620CCF" w14:textId="77777777" w:rsidR="00370F0F" w:rsidRPr="00BE4A67" w:rsidRDefault="00370F0F" w:rsidP="009B1F1D">
            <w:pPr>
              <w:widowControl/>
              <w:autoSpaceDE w:val="0"/>
              <w:autoSpaceDN w:val="0"/>
              <w:adjustRightInd w:val="0"/>
              <w:jc w:val="right"/>
            </w:pPr>
            <w:r w:rsidRPr="00BE4A67">
              <w:t>49 167 085,50</w:t>
            </w:r>
          </w:p>
        </w:tc>
      </w:tr>
      <w:tr w:rsidR="00370F0F" w:rsidRPr="00BE4A67" w14:paraId="5DBEF039" w14:textId="77777777" w:rsidTr="009B1F1D">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4F5DD4F1" w14:textId="77777777" w:rsidR="00370F0F" w:rsidRPr="00BE4A67" w:rsidRDefault="00370F0F" w:rsidP="009B1F1D">
            <w:pPr>
              <w:widowControl/>
              <w:autoSpaceDE w:val="0"/>
              <w:autoSpaceDN w:val="0"/>
              <w:adjustRightInd w:val="0"/>
              <w:rPr>
                <w:b/>
              </w:rPr>
            </w:pPr>
            <w:r w:rsidRPr="00BE4A67">
              <w:rPr>
                <w:b/>
              </w:rPr>
              <w:t>c) Budgetinkomster (EUR)</w:t>
            </w:r>
          </w:p>
        </w:tc>
      </w:tr>
      <w:tr w:rsidR="00370F0F" w:rsidRPr="00BE4A67" w14:paraId="574F9657" w14:textId="77777777" w:rsidTr="009B1F1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0112B046" w14:textId="77777777" w:rsidR="00370F0F" w:rsidRPr="00BE4A67" w:rsidRDefault="00370F0F" w:rsidP="009B1F1D">
            <w:pPr>
              <w:widowControl/>
              <w:autoSpaceDE w:val="0"/>
              <w:autoSpaceDN w:val="0"/>
              <w:adjustRightInd w:val="0"/>
            </w:pPr>
            <w:r w:rsidRPr="00BE4A67">
              <w:t xml:space="preserve">Mottagna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450120AE" w14:textId="77777777" w:rsidR="00370F0F" w:rsidRPr="00BE4A67" w:rsidRDefault="00370F0F" w:rsidP="009B1F1D">
            <w:pPr>
              <w:widowControl/>
              <w:autoSpaceDE w:val="0"/>
              <w:autoSpaceDN w:val="0"/>
              <w:adjustRightInd w:val="0"/>
              <w:jc w:val="right"/>
            </w:pPr>
            <w:r w:rsidRPr="00BE4A67">
              <w:t>250 473 772,00</w:t>
            </w:r>
          </w:p>
        </w:tc>
      </w:tr>
      <w:tr w:rsidR="00370F0F" w:rsidRPr="00BE4A67" w14:paraId="0FB04746" w14:textId="77777777" w:rsidTr="009B1F1D">
        <w:trPr>
          <w:trHeight w:val="32"/>
        </w:trPr>
        <w:tc>
          <w:tcPr>
            <w:tcW w:w="6189" w:type="dxa"/>
            <w:tcBorders>
              <w:top w:val="single" w:sz="8" w:space="0" w:color="000000"/>
              <w:left w:val="single" w:sz="8" w:space="0" w:color="000000"/>
              <w:bottom w:val="single" w:sz="8" w:space="0" w:color="000000"/>
              <w:right w:val="single" w:sz="8" w:space="0" w:color="000000"/>
            </w:tcBorders>
            <w:hideMark/>
          </w:tcPr>
          <w:p w14:paraId="234778D3" w14:textId="77777777" w:rsidR="00370F0F" w:rsidRPr="00BE4A67" w:rsidRDefault="00370F0F" w:rsidP="009B1F1D">
            <w:pPr>
              <w:widowControl/>
              <w:autoSpaceDE w:val="0"/>
              <w:autoSpaceDN w:val="0"/>
              <w:adjustRightInd w:val="0"/>
            </w:pPr>
            <w:r w:rsidRPr="00BE4A67">
              <w:rPr>
                <w:b/>
              </w:rPr>
              <w:t>d) Summa balansräkningen den 31 december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07F2FBBD" w14:textId="77777777" w:rsidR="00370F0F" w:rsidRPr="00BE4A67" w:rsidRDefault="00370F0F" w:rsidP="009B1F1D">
            <w:pPr>
              <w:widowControl/>
              <w:autoSpaceDE w:val="0"/>
              <w:autoSpaceDN w:val="0"/>
              <w:adjustRightInd w:val="0"/>
              <w:jc w:val="right"/>
            </w:pPr>
            <w:r w:rsidRPr="00BE4A67">
              <w:t>1 735 834 446,00</w:t>
            </w:r>
          </w:p>
        </w:tc>
      </w:tr>
    </w:tbl>
    <w:p w14:paraId="78AAF216" w14:textId="77777777" w:rsidR="00370F0F" w:rsidRPr="00BE4A67" w:rsidRDefault="00370F0F" w:rsidP="00370F0F">
      <w:pPr>
        <w:pStyle w:val="NormalHanging12a"/>
        <w:widowControl/>
        <w:spacing w:before="240"/>
      </w:pPr>
      <w:r w:rsidRPr="00BE4A67">
        <w:t>5.</w:t>
      </w:r>
      <w:r w:rsidRPr="00BE4A67">
        <w:tab/>
        <w:t>Europaparlamentet noterar att 21 överföringar godkändes av parlamentets budgetutskott (C-överföringar) i enlighet med artiklarna 31 och 49 i budgetförordningen under budgetåret 2022, och att de uppgick till 88 449 115 EUR eller 4,09 % av de slutliga anslagen. Parlamentet noterar att talmannen i sin tur godkände 11 överföringar (P</w:t>
      </w:r>
      <w:r w:rsidRPr="00BE4A67">
        <w:noBreakHyphen/>
        <w:t>överföringar) till ett belopp av 34 246 879 EUR eller 1,6 % av budgeten för 2022. Parlamentet undrar mellan vilka budgetposter dessa P-överföringar skedde. Parlamentet uppmanar parlamentets ledning att proaktivt informera budgetkontrollutskottet om de berörda beloppen och budgetposterna.</w:t>
      </w:r>
    </w:p>
    <w:p w14:paraId="511635E5"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6.</w:t>
      </w:r>
      <w:r w:rsidRPr="00BE4A67">
        <w:rPr>
          <w14:textOutline w14:w="0" w14:cap="flat" w14:cmpd="sng" w14:algn="ctr">
            <w14:noFill/>
            <w14:prstDash w14:val="solid"/>
            <w14:bevel/>
          </w14:textOutline>
        </w:rPr>
        <w:tab/>
        <w:t xml:space="preserve">Europaparlamentet noterar att covid-19-pandemin beräknas ha genererat ett måttligt överskott på 16 417 325 EUR, som överfördes från poster såsom de som rör resekostnader, organisering och mottagande av besöksgrupper, driften av parlamentets besökscentrum, extern klassrumsförlagd utbildning, dokumentation/publikationer och ledamöternas lokala assistenter och praktikanter. Parlamentet konstaterar samtidigt att covid-19-pandemin gjorde det nödvändigt att förstärka andra budgetposter med totalt 7 549 000 EUR. Parlamentet framhåller att dessa budgetposter huvudsakligen avser tillhandahållande av ekonomiskt stöd till personal som arbetar hemma, hälso- och </w:t>
      </w:r>
      <w:r w:rsidRPr="00BE4A67">
        <w:rPr>
          <w14:textOutline w14:w="0" w14:cap="flat" w14:cmpd="sng" w14:algn="ctr">
            <w14:noFill/>
            <w14:prstDash w14:val="solid"/>
            <w14:bevel/>
          </w14:textOutline>
        </w:rPr>
        <w:lastRenderedPageBreak/>
        <w:t>sjukvård och förebyggande åtgärder samt ytterligare utgifter för tolkning till stöd för distansarbete och flerspråkiga distans- och hybridmöten.</w:t>
      </w:r>
    </w:p>
    <w:p w14:paraId="5C1E6E6D"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7.</w:t>
      </w:r>
      <w:r w:rsidRPr="00BE4A67">
        <w:rPr>
          <w14:textOutline w14:w="0" w14:cap="flat" w14:cmpd="sng" w14:algn="ctr">
            <w14:noFill/>
            <w14:prstDash w14:val="solid"/>
            <w14:bevel/>
          </w14:textOutline>
        </w:rPr>
        <w:tab/>
        <w:t xml:space="preserve">Europaparlamentet noterar att 2022 var ett övergångsår för unionens institutioner, däribland parlamentet. Parlamentet noterar att de åtgärder som infördes till följd av covid-19-pandemin upphörde i juni 2022. Parlamentet välkomnar insatserna som gjorts av samtliga generaldirektorat och generalsekreteraren för att införa nödvändiga verktyg i syfte att återuppta det parlamentariska arbetet så att det fungerar på samma sätt som före covid-19-pandemin. Parlamentet välkomnar det framgångsrika återupptagandet av plenarsessioner på plats från och med mars 2022. Parlamentet påpekar att detta följde på en tvåårsperiod under vilken fler än 12 000 omröstningar behövde äga rum på distans i samband med så många som 175 omröstningar, fördelade över 30 sammanträdesperioder. </w:t>
      </w:r>
    </w:p>
    <w:p w14:paraId="167F3C71" w14:textId="77777777" w:rsidR="00370F0F" w:rsidRPr="00BE4A67" w:rsidRDefault="00370F0F" w:rsidP="00370F0F">
      <w:pPr>
        <w:pStyle w:val="NormalHanging12a"/>
        <w:widowControl/>
      </w:pPr>
      <w:r w:rsidRPr="00BE4A67">
        <w:t>8.</w:t>
      </w:r>
      <w:r w:rsidRPr="00BE4A67">
        <w:tab/>
        <w:t>Europaparlamentet noterar att Rysslands anfallskrig mot Ukraina och den exceptionellt höga inflationsnivån, som i slutet av 2022 fortfarande låg på 10,4 % för unionen på årsbasis, hade en djupgående inverkan på budgetåret 2022. Parlamentet konstaterar att parlamentets administration har gjort betydande ansträngningar för att genomföra budgeten i syfte att tillgodose akuta behov till följd av krissituationen. Parlamentet välkomnar parlamentets donationer av teknisk utrustning för att stödja Ukraina i dessa svåra krigstider.</w:t>
      </w:r>
    </w:p>
    <w:p w14:paraId="2A3E83A8"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Revisionsrättens yttranden över räkenskapernas tillförlitlighet för budgetåret 2022 samt lagligheten och korrektheten i de transaktioner som ligger till grund för räkenskaperna</w:t>
      </w:r>
    </w:p>
    <w:p w14:paraId="3B4D9E3F"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9.</w:t>
      </w:r>
      <w:r w:rsidRPr="00BE4A67">
        <w:rPr>
          <w14:textOutline w14:w="0" w14:cap="flat" w14:cmpd="sng" w14:algn="ctr">
            <w14:noFill/>
            <w14:prstDash w14:val="solid"/>
            <w14:bevel/>
          </w14:textOutline>
        </w:rPr>
        <w:tab/>
        <w:t>Europaparlamentet påminner om att revisionsrätten gör en särskild bedömning av administrativa och andra utgifter som ett enda verksamhetsområde för samtliga EU</w:t>
      </w:r>
      <w:r w:rsidRPr="00BE4A67">
        <w:rPr>
          <w14:textOutline w14:w="0" w14:cap="flat" w14:cmpd="sng" w14:algn="ctr">
            <w14:noFill/>
            <w14:prstDash w14:val="solid"/>
            <w14:bevel/>
          </w14:textOutline>
        </w:rPr>
        <w:noBreakHyphen/>
        <w:t>institutioner. Parlamentet framhåller att de administrativa utgifterna omfattar personalutgifter, inklusive pensioner, som 2022 utgjorde cirka 70 % av de totala administrativa utgifterna, samt utgifter för byggnader, utrustning, energi, kommunikation och it. Parlamentet framhåller att revisionsrättens arbete under många år visar att dessa utgifter på det stora hela är förknippade med låg risk.</w:t>
      </w:r>
    </w:p>
    <w:p w14:paraId="2BBCA50A" w14:textId="77777777" w:rsidR="00370F0F" w:rsidRPr="00BE4A67" w:rsidRDefault="00370F0F" w:rsidP="00370F0F">
      <w:pPr>
        <w:pStyle w:val="NormalHanging12a"/>
        <w:widowControl/>
      </w:pPr>
      <w:r w:rsidRPr="00BE4A67">
        <w:t>10.</w:t>
      </w:r>
      <w:r w:rsidRPr="00BE4A67">
        <w:tab/>
        <w:t>Europaparlamentet noterar att rubrik 7 i den fleråriga budgetramen, ”Europeisk offentlig förvaltning”, stod för 11,6 miljarder EUR eller 5,9 % av unionens budget 2022, varav parlamentets andel stod för 2,2 miljarder EUR eller 18,9 %. Parlamentet välkomnar att revisionsrätten drar slutsatsen att felnivån i fråga om utgifterna för ”Europeisk offentlig förvaltning” inte var väsentlig. Parlamentet uppmanas att kontrollera och identifiera vilken typ av transaktioner som hade en hög andel fel, även om de ligger under väsentlighetströskeln, och att undersöka vilka förändringar i förfarandet som behövs för att undvika och upptäcka liknande fel i framtiden.</w:t>
      </w:r>
    </w:p>
    <w:p w14:paraId="7F14356A" w14:textId="77777777" w:rsidR="00370F0F" w:rsidRPr="00BE4A67" w:rsidRDefault="00370F0F" w:rsidP="00370F0F">
      <w:pPr>
        <w:pStyle w:val="NormalHanging12a"/>
        <w:widowControl/>
      </w:pPr>
      <w:r w:rsidRPr="00BE4A67">
        <w:t>11.</w:t>
      </w:r>
      <w:r w:rsidRPr="00BE4A67">
        <w:tab/>
        <w:t>Europaparlamentet noterar att revisionsrättens årsrapport om genomförandet av budgeten för budgetåret 2022 innehåller specifika iakttagelser om parlamentet. Parlamentet noterar revisionsrättens rekommendation att parlamentets administration bör stärka sin vägledning om de politiska gruppernas genomförande av budgetanslag och att den bör fortsätta att arbeta för att förbättra de interna reglerna och säkerställa efterlevnad av upphandlingsregler och upphandlingsförfaranden.</w:t>
      </w:r>
    </w:p>
    <w:p w14:paraId="455219F8"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12.</w:t>
      </w:r>
      <w:r w:rsidRPr="00BE4A67">
        <w:rPr>
          <w14:textOutline w14:w="0" w14:cap="flat" w14:cmpd="sng" w14:algn="ctr">
            <w14:noFill/>
            <w14:prstDash w14:val="solid"/>
            <w14:bevel/>
          </w14:textOutline>
        </w:rPr>
        <w:tab/>
        <w:t xml:space="preserve">Europaparlamentet noterar att revisionsrätten gjorde ett urval av 13 transaktioner för parlamentet och att de fann kvantifierbara fel i tre av dem. Parlamentet noterar att </w:t>
      </w:r>
      <w:r w:rsidRPr="00BE4A67">
        <w:rPr>
          <w14:textOutline w14:w="0" w14:cap="flat" w14:cmpd="sng" w14:algn="ctr">
            <w14:noFill/>
            <w14:prstDash w14:val="solid"/>
            <w14:bevel/>
          </w14:textOutline>
        </w:rPr>
        <w:lastRenderedPageBreak/>
        <w:t>upphandling var en av de frågor som revisionsrätten tog upp. Parlamentet framhåller att denna typ av iakttagelser också har tagits upp tidigare.</w:t>
      </w:r>
    </w:p>
    <w:p w14:paraId="79BB1FAC"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13.</w:t>
      </w:r>
      <w:r w:rsidRPr="00BE4A67">
        <w:rPr>
          <w14:textOutline w14:w="0" w14:cap="flat" w14:cmpd="sng" w14:algn="ctr">
            <w14:noFill/>
            <w14:prstDash w14:val="solid"/>
            <w14:bevel/>
          </w14:textOutline>
        </w:rPr>
        <w:tab/>
        <w:t>Europaparlamentet noterar revisionsrättens iakttagelser när det gäller parlamentets interna bestämmelser. Parlamentet påminner om att de politiska grupperna förvaltar de medel som tilldelats dem i enlighet med principerna för indirekt förvaltning av medel genom analog tillämpning av artikel 62.1 c i budgetförordningen. Parlamentet anser att dessa bestämmelser i sig ersätter ”överenskommelser om medverkan” (som avses i artikel 155.6 i budgetförordningen).</w:t>
      </w:r>
    </w:p>
    <w:p w14:paraId="1ABB0EDC"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14.</w:t>
      </w:r>
      <w:r w:rsidRPr="00BE4A67">
        <w:rPr>
          <w14:textOutline w14:w="0" w14:cap="flat" w14:cmpd="sng" w14:algn="ctr">
            <w14:noFill/>
            <w14:prstDash w14:val="solid"/>
            <w14:bevel/>
          </w14:textOutline>
        </w:rPr>
        <w:tab/>
        <w:t>Europaparlamentet påminner om att de politiska grupperna enligt parlamentets interna bestämmelser är ansvariga inför institutionen för förvaltningen av anslagen, inom ramen för de befogenheter som de tilldelats av presidiet. Parlamentet noterar att anslagen ska förvaltas i enlighet med dessa bestämmelser och att lämpliga åtgärder bör vidtas för att förhindra bristande efterlevnad.</w:t>
      </w:r>
    </w:p>
    <w:p w14:paraId="1535CDB0" w14:textId="77777777" w:rsidR="00370F0F" w:rsidRPr="00BE4A67" w:rsidRDefault="00370F0F" w:rsidP="00370F0F">
      <w:pPr>
        <w:pStyle w:val="NormalHanging12a"/>
        <w:widowControl/>
      </w:pPr>
      <w:r w:rsidRPr="00BE4A67">
        <w:t>15.</w:t>
      </w:r>
      <w:r w:rsidRPr="00BE4A67">
        <w:tab/>
        <w:t>Europaparlamentet påpekar att de politiska grupperna får stöd och råd från parlamentet när de begär det. Parlamentet noterar att de politiska gruppernas ekonomiavdelningar under 2022 intensifierade sina underskrifter med de nationella delegationerna för att säkerställa en sund förvaltning av anslagen i budgetpost 400.</w:t>
      </w:r>
    </w:p>
    <w:p w14:paraId="4C20A284"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16.</w:t>
      </w:r>
      <w:r w:rsidRPr="00BE4A67">
        <w:rPr>
          <w14:textOutline w14:w="0" w14:cap="flat" w14:cmpd="sng" w14:algn="ctr">
            <w14:noFill/>
            <w14:prstDash w14:val="solid"/>
            <w14:bevel/>
          </w14:textOutline>
        </w:rPr>
        <w:tab/>
        <w:t>Europaparlamentet välkomnar administrationens åtagande att förbättra vägledningen för de politiska grupperna om ett korrekt genomförande av parlamentets interna bestämmelser och att bistå dem i syfte att förbättra deras interna ekonomiska förvaltning. Parlamentet välkomnar att administrationen kommer att ytterligare klargöra riktlinjerna för de politiska gruppernas upphandling.</w:t>
      </w:r>
    </w:p>
    <w:p w14:paraId="1B078A08"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Internrevisorns årsrapport</w:t>
      </w:r>
    </w:p>
    <w:p w14:paraId="0B4713D9"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17.</w:t>
      </w:r>
      <w:r w:rsidRPr="00BE4A67">
        <w:rPr>
          <w14:textOutline w14:w="0" w14:cap="flat" w14:cmpd="sng" w14:algn="ctr">
            <w14:noFill/>
            <w14:prstDash w14:val="solid"/>
            <w14:bevel/>
          </w14:textOutline>
        </w:rPr>
        <w:tab/>
        <w:t>Europaparlamentet noterar att internrevisorn vid det sammanträde som hölls den 4 december 2023 mellan det ansvariga utskottet och internrevisorn lade fram sin årsrapport och beskrev de revisioner som han utfört och de konsulttjänster han tillhandahållit och rapporterade om resultatet av den nuvarande situationen, som 2022 omfattade en övergripande uppföljning av oavslutade åtgärder från internrevisionsrapporter, en revision av personalens tjänsteresor, en översyn av parlamentets ram för riskhantering och en revision av upphandlingsprocessen i GD INLO, en revision av inköp och användning av säkerhetsutrustning och säkerhetstjänster vid GD SAFE, en revision av finansieringen av europeiska politiska partier och europeiska politiska stiftelser – andra uppdraget, och en regelbunden översyn av fastighetsprojektet ADENAUER 2 – fas 3 (slutförandet av den östra flygeln).</w:t>
      </w:r>
    </w:p>
    <w:p w14:paraId="40D1357D"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18.</w:t>
      </w:r>
      <w:r w:rsidRPr="00BE4A67">
        <w:rPr>
          <w14:textOutline w14:w="0" w14:cap="flat" w14:cmpd="sng" w14:algn="ctr">
            <w14:noFill/>
            <w14:prstDash w14:val="solid"/>
            <w14:bevel/>
          </w14:textOutline>
        </w:rPr>
        <w:tab/>
        <w:t>Europaparlamentet välkomnar och stöder de åtgärder som internrevisorn har kommit överens om med de ansvariga generaldirektoraten till följd av revisionsuppdragen när det gäller revisionen av personalens tjänsteresor, översynen av parlamentets riskhanteringsram och revisionen av upphandlingsprocessen i GD INLO.</w:t>
      </w:r>
    </w:p>
    <w:p w14:paraId="34FDC517"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19.</w:t>
      </w:r>
      <w:r w:rsidRPr="00BE4A67">
        <w:rPr>
          <w14:textOutline w14:w="0" w14:cap="flat" w14:cmpd="sng" w14:algn="ctr">
            <w14:noFill/>
            <w14:prstDash w14:val="solid"/>
            <w14:bevel/>
          </w14:textOutline>
        </w:rPr>
        <w:tab/>
        <w:t>Europaparlamentet noterar de revisionsuppdrag för vilka preliminära slutsatser håller på att utarbetas eller för vilka arbete på fältet fortfarande pågår, och som för närvarande följer den process som beskrivs i internrevisorns stadga.</w:t>
      </w:r>
    </w:p>
    <w:p w14:paraId="067EE48B" w14:textId="77777777" w:rsidR="00370F0F" w:rsidRPr="00BE4A67" w:rsidRDefault="00370F0F" w:rsidP="00370F0F">
      <w:pPr>
        <w:pStyle w:val="NormalHanging12a"/>
        <w:widowControl/>
      </w:pPr>
      <w:r w:rsidRPr="00BE4A67">
        <w:lastRenderedPageBreak/>
        <w:t>20.</w:t>
      </w:r>
      <w:r w:rsidRPr="00BE4A67">
        <w:tab/>
        <w:t>Europaparlamentet noterar att uppföljningsprocessen 2022 ledde till avslutandet av 38 av de 92 oavslutade åtgärder som analyserats och för vilka de överenskomna tidsfristerna för genomförande hade löpt ut. Parlamentet är bekymrat över faktumet att den 31 december 2022 var 29 oavslutade åtgärder försenade med mer än 12 månader. Parlamentet förväntar sig att de olika generaldirektoraten ser till att de återstående åtgärderna avslutas utan ytterligare dröjsmål och att de överenskomna åtgärderna genomförs i enlighet med de tidsfrister som anges i internrevisorns årsrapport.</w:t>
      </w:r>
    </w:p>
    <w:p w14:paraId="4D124C29" w14:textId="77777777" w:rsidR="00370F0F" w:rsidRPr="00BE4A67" w:rsidRDefault="00370F0F" w:rsidP="00370F0F">
      <w:pPr>
        <w:pStyle w:val="NormalHanging12a"/>
        <w:widowControl/>
      </w:pPr>
      <w:r w:rsidRPr="00BE4A67">
        <w:t>21.</w:t>
      </w:r>
      <w:r w:rsidRPr="00BE4A67">
        <w:tab/>
        <w:t>Europaparlamentet konstaterar att i enlighet med artikel 118.9 i budgetförordningen ska internrevisorns rapporter och iakttagelser, liksom den berörda unionsinstitutionens rapport, bli tillgängliga för allmänheten så snart internrevisorn har godkänt de åtgärder som vidtagits för att genomföra dem. Parlamentet noterar att rapporterna och iakttagelserna i praktiken inte offentliggörs förrän alla rekommendationer har genomförts</w:t>
      </w:r>
      <w:r w:rsidR="0071718E" w:rsidRPr="0071718E">
        <w:t>, vilket i praktiken leder till att offentliggörandet försenas i flera år. Parlamentet uppmanar presidiet att göra varje internrevisionsrapport tillgänglig för allmänheten ett år efter att den slutförts, när internrevisorn väl har validerat de åtgärder som vidtagits för att genomföra föregående års rekommendation</w:t>
      </w:r>
      <w:r w:rsidRPr="00BE4A67">
        <w:t>. Parlamentet påminner om att ledamöterna endast kan få tillgång till sekretessbelagda handlingar i enlighet med presidiets bestämmelser om behovsenlig behörighet. Parlamentet påminner om att alla ledamöter i budgetkontrollutskottet har rätt att begära konfidentiell tillgång till internrevisionsrapporten om ansvarsfrihetsförfarandet. Parlamentet välkomnar att internrevisorn rapporterar till budgetkontrollutskottet om det årliga revisionsarbete som utförts.</w:t>
      </w:r>
    </w:p>
    <w:p w14:paraId="5200AC6A" w14:textId="77777777" w:rsidR="00370F0F" w:rsidRPr="00BE4A67" w:rsidRDefault="00370F0F" w:rsidP="00370F0F">
      <w:pPr>
        <w:pStyle w:val="NormalHanging12a"/>
        <w:widowControl/>
      </w:pPr>
      <w:r w:rsidRPr="00BE4A67">
        <w:t>22.</w:t>
      </w:r>
      <w:r w:rsidRPr="00BE4A67">
        <w:tab/>
        <w:t xml:space="preserve">Europaparlamentet noterar att en planerad revision på </w:t>
      </w:r>
      <w:proofErr w:type="spellStart"/>
      <w:r w:rsidRPr="00BE4A67">
        <w:t>it-området</w:t>
      </w:r>
      <w:proofErr w:type="spellEnd"/>
      <w:r w:rsidRPr="00BE4A67">
        <w:t xml:space="preserve"> (om personalens medvetenhet om cybersäkerhet) inte kunde genomföras under 2022 till följd av att en tjänst som var avsedd för en revisor för informationssystem var vakant under hela året. Parlamentet noterar att det är svårt att hitta personal med specifika revisionsprofiler, bland annat på </w:t>
      </w:r>
      <w:proofErr w:type="spellStart"/>
      <w:r w:rsidRPr="00BE4A67">
        <w:t>it-området</w:t>
      </w:r>
      <w:proofErr w:type="spellEnd"/>
      <w:r w:rsidRPr="00BE4A67">
        <w:t>, för att utföra planerade revisioner i enlighet med kraven. Parlamentet uppmanar internrevisionstjänsten att ta itu med frågan för att säkerställa att den återstående revisionen slutförs i tid före nästa ansvarsfrihetsperiod.</w:t>
      </w:r>
    </w:p>
    <w:p w14:paraId="7EE35172"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23.</w:t>
      </w:r>
      <w:r w:rsidRPr="00BE4A67">
        <w:rPr>
          <w14:textOutline w14:w="0" w14:cap="flat" w14:cmpd="sng" w14:algn="ctr">
            <w14:noFill/>
            <w14:prstDash w14:val="solid"/>
            <w14:bevel/>
          </w14:textOutline>
        </w:rPr>
        <w:tab/>
        <w:t>Europaparlamentet välkomnar att tjänsten för internrevision genom sitt kvalitetssäkrings- och kvalitetsförbättringsprogram för 2022 fortsatte att sträva efter att förbättra sin verksamhet när det gäller att tillhandahålla objektiva garantier till besluts</w:t>
      </w:r>
      <w:r w:rsidRPr="00BE4A67">
        <w:rPr>
          <w14:textOutline w14:w="0" w14:cap="flat" w14:cmpd="sng" w14:algn="ctr">
            <w14:noFill/>
            <w14:prstDash w14:val="solid"/>
            <w14:bevel/>
          </w14:textOutline>
        </w:rPr>
        <w:noBreakHyphen/>
        <w:t xml:space="preserve"> och tillsynsmyndigheter, utanordnare och ledning. Parlamentet noterar att internrevisorn uppgav att han inte fått instruktioner eller vägledning från någon källa som skulle kunna äventyra hans oberoende.</w:t>
      </w:r>
    </w:p>
    <w:p w14:paraId="71B874AD"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Uppföljning av ansvarsfrihetsresolutionen för 2021</w:t>
      </w:r>
    </w:p>
    <w:p w14:paraId="4C611133"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24.</w:t>
      </w:r>
      <w:r w:rsidRPr="00BE4A67">
        <w:rPr>
          <w14:textOutline w14:w="0" w14:cap="flat" w14:cmpd="sng" w14:algn="ctr">
            <w14:noFill/>
            <w14:prstDash w14:val="solid"/>
            <w14:bevel/>
          </w14:textOutline>
        </w:rPr>
        <w:tab/>
        <w:t>Europaparlamentet noterar de skriftliga svaren på resolutionen om ansvarsfrihet för 2021 som parlamentets budgetkontrollutskott fick den 13 september 2023, och generalsekreterarens svar på frågorna i parlamentets ansvarsfrihetsresolution för 2021, samt den diskussion med ledamöterna som följde.</w:t>
      </w:r>
    </w:p>
    <w:p w14:paraId="42DDB136" w14:textId="77777777" w:rsidR="00370F0F" w:rsidRPr="00BE4A67" w:rsidRDefault="00370F0F" w:rsidP="00370F0F">
      <w:pPr>
        <w:pStyle w:val="NormalHanging12a"/>
        <w:widowControl/>
      </w:pPr>
      <w:r w:rsidRPr="00BE4A67">
        <w:t>25.</w:t>
      </w:r>
      <w:r w:rsidRPr="00BE4A67">
        <w:tab/>
        <w:t xml:space="preserve">Europaparlamentet påminner om att efter att kammaren har uppmanat parlamentet att genomföra olika bestämmelser eller åtgärder ska sådana bestämmelser eller åtgärder diskuteras och gå till omröstning i presidiet. Parlamentet påminner mot bakgrund av artikel 25 i arbetsordningen om att presidiet är ansvarigt för att fatta beslut i ekonomiska, organisatoriska och administrativa frågor som rör ledamöterna. Parlamentet påminner om att presidiet utgörs av Europaparlamentets talman, de 14 vice </w:t>
      </w:r>
      <w:r w:rsidRPr="00BE4A67">
        <w:lastRenderedPageBreak/>
        <w:t>talmännen och de fem kvestorerna (icke-röstberättigade ledamöter) som är demokratiskt valda av parlamentet. Parlamentet noterar att presidiets medlemmar överlägger om parlamentets förslag till budgetberäkning. Parlamentet påminner om att ansvarsfrihetsförfarandet är ett utövande av demokratisk kontroll och att de konkreta krav som antas av kammaren i ansvarsfrihetsresolutioner ska återspeglas i presidiets diskussioner.</w:t>
      </w:r>
    </w:p>
    <w:p w14:paraId="4DE43CBB" w14:textId="77777777" w:rsidR="00370F0F" w:rsidRPr="00BE4A67" w:rsidRDefault="00370F0F" w:rsidP="00370F0F">
      <w:pPr>
        <w:pStyle w:val="NormalHanging12a"/>
        <w:widowControl/>
      </w:pPr>
      <w:r w:rsidRPr="00BE4A67">
        <w:t>26.</w:t>
      </w:r>
      <w:r w:rsidRPr="00BE4A67">
        <w:tab/>
        <w:t>Europaparlamentet är medvetet om att presidiets överläggningar, sedan covid</w:t>
      </w:r>
      <w:r w:rsidRPr="00BE4A67">
        <w:noBreakHyphen/>
        <w:t>19</w:t>
      </w:r>
      <w:r w:rsidRPr="00BE4A67">
        <w:noBreakHyphen/>
        <w:t>pandemin bröt ut i mars 2020 och fram till det gradvisa upphävandet av sanitära restriktioner i början av 2022, främst var inriktade på beslut som syftade till att skydda ledamöternas och personalens integritet och samtidigt säkerställa kontinuitet i verksamheten och genomföra praktiska solidaritetsåtgärder gentemot parlamentets tre värdmedlemsstater.</w:t>
      </w:r>
    </w:p>
    <w:p w14:paraId="47FAC326"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parlamentets ledning</w:t>
      </w:r>
    </w:p>
    <w:p w14:paraId="7A1D7440"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27.</w:t>
      </w:r>
      <w:r w:rsidRPr="00BE4A67">
        <w:rPr>
          <w14:textOutline w14:w="0" w14:cap="flat" w14:cmpd="sng" w14:algn="ctr">
            <w14:noFill/>
            <w14:prstDash w14:val="solid"/>
            <w14:bevel/>
          </w14:textOutline>
        </w:rPr>
        <w:tab/>
        <w:t xml:space="preserve">Europaparlamentet påminner om att generaldirektoratet för parlamentets ledning (GD PRES) tillhandahåller sakkunskap och underlättar talmannens, plenarförsamlingens och parlamentets styrande organs och ledamöters lagstiftningsrelaterade och parlamentariska verksamhet i varje skede av den parlamentariska processen och lagstiftningsprocessen. Parlamentet påminner om att det också ansvarar för interinstitutionella förbindelser, för protokollstöd vid officiella besök och evenemang som sponsras av talmannen, för hantering av säkerhetsskyddsklassificerade EU-uppgifter och för hantering av officiell och rekommenderad post, och att det var ansvarigt för interparlamentariska förbindelser fram till november 2022. Parlamentet noterar att det den 31 december 2022 fanns 364 anställda, varav 307 var tjänstemän, 19 tillfälligt anställda, 37 kontraktsanställda och 1 tillfälligt anställd. </w:t>
      </w:r>
    </w:p>
    <w:p w14:paraId="5701A738"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28.</w:t>
      </w:r>
      <w:r w:rsidRPr="00BE4A67">
        <w:rPr>
          <w14:textOutline w14:w="0" w14:cap="flat" w14:cmpd="sng" w14:algn="ctr">
            <w14:noFill/>
            <w14:prstDash w14:val="solid"/>
            <w14:bevel/>
          </w14:textOutline>
        </w:rPr>
        <w:tab/>
        <w:t>Europaparlamentet noterar att GD PRES slutliga anslag uppgick till 1 275 565 EUR 2022, vilket motsvarar 0,1 % av parlamentets budget. Parlamentet betonar att av detta belopp anslogs totalt 1 169 055,78 EUR. Parlamentet välkomnar den höga användningen av anslag.</w:t>
      </w:r>
    </w:p>
    <w:p w14:paraId="757905CD" w14:textId="77777777" w:rsidR="00370F0F" w:rsidRPr="00BE4A67" w:rsidRDefault="00370F0F" w:rsidP="00370F0F">
      <w:pPr>
        <w:widowControl/>
        <w:spacing w:after="240"/>
        <w:ind w:left="567" w:hanging="567"/>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29.</w:t>
      </w:r>
      <w:r w:rsidRPr="00BE4A67">
        <w:rPr>
          <w14:textOutline w14:w="0" w14:cap="flat" w14:cmpd="sng" w14:algn="ctr">
            <w14:noFill/>
            <w14:prstDash w14:val="solid"/>
            <w14:bevel/>
          </w14:textOutline>
        </w:rPr>
        <w:tab/>
        <w:t xml:space="preserve">Europaparlamentet välkomnar de framsteg som gjorts i genomförandet av de olika delarna av programmet </w:t>
      </w:r>
      <w:proofErr w:type="spellStart"/>
      <w:r w:rsidRPr="00BE4A67">
        <w:rPr>
          <w14:textOutline w14:w="0" w14:cap="flat" w14:cmpd="sng" w14:algn="ctr">
            <w14:noFill/>
            <w14:prstDash w14:val="solid"/>
            <w14:bevel/>
          </w14:textOutline>
        </w:rPr>
        <w:t>eLegislate</w:t>
      </w:r>
      <w:proofErr w:type="spellEnd"/>
      <w:r w:rsidRPr="00BE4A67">
        <w:rPr>
          <w14:textOutline w14:w="0" w14:cap="flat" w14:cmpd="sng" w14:algn="ctr">
            <w14:noFill/>
            <w14:prstDash w14:val="solid"/>
            <w14:bevel/>
          </w14:textOutline>
        </w:rPr>
        <w:t xml:space="preserve"> med hjälp av XML-teknik för snabbare och enklare utarbetande av både ändringsförslag till lagstiftningsförslag och förberedande dokument till interinstitutionella förhandlingar om lagstiftning. Parlamentet uppmanar de olika berörda tjänsterna att ytterligare intensifiera sina ansträngningar och se till att alla steg i den parlamentariska lagstiftningsprocessen stöds av e-lagstiftningsverktygen från och med inledningen av lagstiftningsprocessen under den tionde valperioden.</w:t>
      </w:r>
    </w:p>
    <w:p w14:paraId="480E5802" w14:textId="424B9D06" w:rsidR="00370F0F" w:rsidRPr="00BE4A67" w:rsidRDefault="00370F0F" w:rsidP="0016469D">
      <w:pPr>
        <w:pStyle w:val="NormalHanging12a"/>
        <w:widowControl/>
        <w:rPr>
          <w:iCs/>
        </w:rPr>
      </w:pPr>
      <w:r w:rsidRPr="00BE4A67">
        <w:t>30.</w:t>
      </w:r>
      <w:r w:rsidRPr="00BE4A67">
        <w:tab/>
        <w:t xml:space="preserve">Europaparlamentet betonar att transparens, ansvarsskyldighet och integritet är grundläggande etiska principer inom unionens institutioner och särskilt parlamentet såsom kärnan i den europeiska demokratin. Parlamentet välkomnar de snabba åtgärder som vidtagits av parlamentet när det gäller händelserna i samband med de påstådda korruptionsfallen som avsåg ledamöter och anställda i december 2022. Parlamentet välkomnar bidraget från GD PRES till den handlingsplan med 14 punkter som föreslagits av talmannen och dess insatser för att genomföra de nya bestämmelserna om integritet och transparens. Parlamentet välkomnar vidare de insatser som gjorts av parlamentets politiska myndigheter för att öka transparensen, integriteten och ansvarsskyldigheten i parlamentet. Parlamentet uppmanar administrationen att spåra de </w:t>
      </w:r>
      <w:r w:rsidRPr="00BE4A67">
        <w:lastRenderedPageBreak/>
        <w:t>budgetmässiga och finansiella konsekvenserna av dessa åtgärder. Parlamentet noterar att parlamentet bekräftar förtroendet för unionens beslutsprocess genom att med sina åtgärder förbättra transparensen, etiken och de goda styrelseformerna i den mest representativa unionsinstitutionen.</w:t>
      </w:r>
      <w:r w:rsidR="0016469D">
        <w:t xml:space="preserve"> </w:t>
      </w:r>
      <w:r w:rsidRPr="00BE4A67">
        <w:t>Europaparlamentet påminner om att dessa händelser är allmänt kända som Qatargate.</w:t>
      </w:r>
    </w:p>
    <w:p w14:paraId="69532EF9" w14:textId="69D3DA06" w:rsidR="00370F0F" w:rsidRPr="00BE4A67" w:rsidRDefault="0016469D" w:rsidP="00370F0F">
      <w:pPr>
        <w:pStyle w:val="NormalHanging12a"/>
        <w:widowControl/>
      </w:pPr>
      <w:r>
        <w:t>31</w:t>
      </w:r>
      <w:r w:rsidR="00370F0F" w:rsidRPr="00BE4A67">
        <w:t>.</w:t>
      </w:r>
      <w:r w:rsidR="00370F0F" w:rsidRPr="00BE4A67">
        <w:tab/>
        <w:t>Europaparlamentet noterar att 2022 var det första året av det fullständiga genomförandet av det obligatoriska öppenhetsregistret enligt det reviderade interinstitutionella avtalet som parlamentet, kommissionen och rådet antog i juli 2021</w:t>
      </w:r>
      <w:r w:rsidR="00370F0F" w:rsidRPr="00BE4A67">
        <w:rPr>
          <w:rStyle w:val="FootnoteReference"/>
        </w:rPr>
        <w:footnoteReference w:id="8"/>
      </w:r>
      <w:r w:rsidR="00370F0F" w:rsidRPr="00BE4A67">
        <w:t>. Parlamentet noterar att det interinstitutionella avtalet visserligen inför vissa principer för att stärka en gemensam öppenhetskultur, men överlåter åt de tre undertecknarna att genomföra villkorligheten och efterföljande kompletterande åtgärder efter eget gottfinnande. Parlamentet påpekar att det har förbättrat villkorligheten samtidigt som rådets deltagande fortfarande är begränsat.</w:t>
      </w:r>
    </w:p>
    <w:p w14:paraId="373DF607" w14:textId="7F601921" w:rsidR="00370F0F" w:rsidRPr="00BE4A67" w:rsidRDefault="0016469D" w:rsidP="00370F0F">
      <w:pPr>
        <w:pStyle w:val="NormalHanging12a"/>
        <w:widowControl/>
      </w:pPr>
      <w:r>
        <w:t>32</w:t>
      </w:r>
      <w:r w:rsidR="00370F0F" w:rsidRPr="00BE4A67">
        <w:t>.</w:t>
      </w:r>
      <w:r w:rsidR="00370F0F" w:rsidRPr="00BE4A67">
        <w:tab/>
        <w:t>Europaparlamentet påminner om betydelsen av detta register såsom ett avgörande instrument för att främja en transparent och etisk intressebevakning på unionsnivå och som inför obligatorisk registrering som en förutsättning för att företrädare för intressegrupper ska kunna ägna sig åt specifik verksamhet tillsammans med unionens institutioner, inbegripet parlamentet. Parlamentet efterlyser tillhandahållande av alla nödvändiga resurser för att säkerställa att de interna reglerna för öppenhetsregistret tillämpas effektivt, inbegripet, när så är lämpligt, införande av lämpliga sanktioner.</w:t>
      </w:r>
    </w:p>
    <w:p w14:paraId="5F142FC6" w14:textId="24B0F7FB" w:rsidR="00370F0F" w:rsidRDefault="0016469D" w:rsidP="00370F0F">
      <w:pPr>
        <w:pStyle w:val="NormalHanging12a"/>
        <w:widowControl/>
      </w:pPr>
      <w:r>
        <w:t>33</w:t>
      </w:r>
      <w:r w:rsidR="00370F0F" w:rsidRPr="00BE4A67">
        <w:t>.</w:t>
      </w:r>
      <w:r w:rsidR="00370F0F" w:rsidRPr="00BE4A67">
        <w:tab/>
        <w:t xml:space="preserve">Europaparlamentet välkomnar den ökade användningen av öppenhetsregistret som ett informations- och referensverktyg för intressebevakning på unionsnivå, vilket framgår av det ökade antalet ansökningar om registrering och det ökade antalet besök på webbplatsen på årsbasis. Parlamentet välkomnar sekretariatets regelbundna kommunikations-, stödtjänst- och upplysningsverksamhet bland berörda parter, både inom och utanför institutionerna, samt utvecklingen av </w:t>
      </w:r>
      <w:proofErr w:type="spellStart"/>
      <w:r w:rsidR="00370F0F" w:rsidRPr="00BE4A67">
        <w:t>it-lösningar</w:t>
      </w:r>
      <w:proofErr w:type="spellEnd"/>
      <w:r w:rsidR="00370F0F" w:rsidRPr="00BE4A67">
        <w:t xml:space="preserve"> för att förbättra öppenhetsregistret. Parlamentet påminner om behovet av att fortsätta att stärka kontrollerna av stödberättigande och uppgifternas kvalitet i samband med nya sökande. Parlamentet noterar att kvaliteten på posterna i öppenhetsregistret har förbättrats under de senaste åren på grund av ökad riktad kvalitetsövervakning och till följd av utredningar som grundar sig på klagomål eller sekretariatets undersökningar på eget initiativ, och lovordar, trots begränsade resurser, det gemensamma sekretariatets roll i denna förbättring. Parlamentet noterar att sekretariatets riktade kvalitetskontroller av 4 238 poster under 2022 visade att 44 % redan från början uppvisade en tillfredsställande kvalitet (vilket är ungefär samma procentsats som 2021 (+4 %), medan ytterligare 35,2 % av intresseföreträdarna förbättrade informationen efter de riktade kontrollerna och 13,6 % togs bort efter kontrollerna på grund av obehörighet eller på grund av att någon uppdatering inte gjorts. Parlamentet betonar behovet av att tilldela sekretariatet ytterligare resurser för att möjliggöra granskning av öppenhetsregistret i syfte att säkerställa uppgifternas kvalitet. Parlamentet efterlyser en utvidgning av dess tillämpningsområde till att omfatta företrädare för länder utanför EU. Parlamentet rekommenderar att </w:t>
      </w:r>
      <w:proofErr w:type="spellStart"/>
      <w:r w:rsidR="00370F0F" w:rsidRPr="00BE4A67">
        <w:t>it-lösningar</w:t>
      </w:r>
      <w:proofErr w:type="spellEnd"/>
      <w:r w:rsidR="00370F0F" w:rsidRPr="00BE4A67">
        <w:t xml:space="preserve"> används för att integrera öppenhetsregistret i all parlamentets verksamhet som involverar externa enheter så att deras deltagande kan registreras och spåras via relevanta databaser.</w:t>
      </w:r>
    </w:p>
    <w:p w14:paraId="2479B8D7" w14:textId="6D779B21" w:rsidR="0071718E" w:rsidRPr="00BE4A67" w:rsidRDefault="0016469D" w:rsidP="00370F0F">
      <w:pPr>
        <w:pStyle w:val="NormalHanging12a"/>
        <w:widowControl/>
      </w:pPr>
      <w:r>
        <w:lastRenderedPageBreak/>
        <w:t>34</w:t>
      </w:r>
      <w:r w:rsidR="00FF31EC" w:rsidRPr="00FF31EC">
        <w:t>.</w:t>
      </w:r>
      <w:r w:rsidR="00FF31EC" w:rsidRPr="00FF31EC">
        <w:tab/>
        <w:t>Europaparlamentet upprepar sin oro över storskalig utländsk inblandning och desinformationskampanjer riktade mot unionen, särskilt från Ryssland. Parlamentet betonar behovet av en förbättrad säkerhetskultur inom parlamentet. Parlamentet efterlyser obligatorisk och regelbunden utbildning i säkerhet och integritet för ledamöter och personal, lämplig säkerhetsprövning och förstärkt säkerhetskontroll av personal, särskilt av personal som deltar i sammanträden inom stängda dörrar. Parlamentet efterlyser en striktare granskning av anordnandet av evenemang, inbjudan av externa gäster till parlamentet samt tillgången till parlamentets kommunikationsplattformar. Parlamentet efterlyser en brådskande utredning av anklagelserna om ryskt inflytande i parlamentet.</w:t>
      </w:r>
    </w:p>
    <w:p w14:paraId="6CB4D7E2" w14:textId="77777777" w:rsidR="00370F0F" w:rsidRPr="00BE4A67" w:rsidRDefault="00370F0F" w:rsidP="00370F0F">
      <w:pPr>
        <w:pStyle w:val="NormalHanging12a"/>
        <w:widowControl/>
      </w:pPr>
      <w:r w:rsidRPr="00BE4A67">
        <w:t>35.</w:t>
      </w:r>
      <w:r w:rsidRPr="00BE4A67">
        <w:tab/>
        <w:t>Europaparlamentet efterlyser, som en följd av de fall av påstådd korruption inom parlamentet som uppdagades i slutet av 2022, inrättandet av robusta standarder för transparens och tillgång till unionens institutioner för alla enheter som förtecknas i öppenhetsregistret. Parlamentet påminner om att icke-statliga organisationer påstås ha missbrukats som mellanhänder för utländsk inblandning i parlamentets beslutsprocesser. Parlamentet upprepar i detta sammanhang behovet av en omfattande finansiell förhandsgranskning av alla enheter, med en Parlamentet påminner om skyldigheten för enheter att registrera sig i öppenhetsregistret innan de deltar i anordnandet av evenemang och konferenser i parlamentets lokaler.</w:t>
      </w:r>
    </w:p>
    <w:p w14:paraId="70CAF9C0" w14:textId="77777777" w:rsidR="00370F0F" w:rsidRPr="00BE4A67" w:rsidRDefault="00370F0F" w:rsidP="00370F0F">
      <w:pPr>
        <w:pStyle w:val="NormalHanging12a"/>
        <w:widowControl/>
      </w:pPr>
      <w:r w:rsidRPr="00BE4A67">
        <w:t>36.</w:t>
      </w:r>
      <w:r w:rsidRPr="00BE4A67">
        <w:tab/>
        <w:t>Europaparlamentet uppmanar kommissionen att se till att alla unionsmedel effektivt kan spåras från den direkta mottagaren till den slutliga stödmottagaren när medel överförs i en kedja, vilket återspeglas i förslaget till omarbetning av budgetförordningen och begärdes i initiativbetänkandet om transparens och ansvarsskyldighet för icke-statliga organisationer som finansieras genom EU:s budget, som antogs den 17 januari 2024</w:t>
      </w:r>
      <w:r w:rsidRPr="00BE4A67">
        <w:rPr>
          <w:rStyle w:val="FootnoteReference"/>
        </w:rPr>
        <w:footnoteReference w:id="9"/>
      </w:r>
      <w:r w:rsidRPr="00BE4A67">
        <w:t>. Parlamentet efterlyser en översyn av riktlinjerna för registrering i öppenhetsregistret för att offentliggöra alla inkommande och utgående medel, inbegripet överföring av medel från en intressent till en annan. Parlamentet understryker att alla registrerade eller enheter som tar emot pengar från tredje parter som inte är skyldiga att registrera sig i öppenhetsregistret måste uppge källorna till sin finansiering.</w:t>
      </w:r>
    </w:p>
    <w:p w14:paraId="35DC364F" w14:textId="77777777" w:rsidR="00370F0F" w:rsidRDefault="00370F0F" w:rsidP="00370F0F">
      <w:pPr>
        <w:pStyle w:val="NormalHanging12a"/>
        <w:widowControl/>
      </w:pPr>
      <w:r w:rsidRPr="00BE4A67">
        <w:t>37.</w:t>
      </w:r>
      <w:r w:rsidRPr="00BE4A67">
        <w:tab/>
        <w:t>Europaparlamentet påminner ledamöterna om att de enligt artikel 11 i arbetsordningar är skyldiga att offentliggöra sina möten med företrädare för intressegrupper. Parlamentet noterar med stor oro att 261 nuvarande ledamöter under perioden fram till och med den 26 januari 2023 inte hade offentliggjort ett enda möte med en företrädare för intressegrupper på parlamentets webbplats. Parlamentet påminner om att information och påminnelser om skyldigheten att offentliggöra möten bör skickas till alla ledamöter mer regelbundet.</w:t>
      </w:r>
    </w:p>
    <w:p w14:paraId="5C1C3C67" w14:textId="28061CE4" w:rsidR="00FF31EC" w:rsidRPr="00BE4A67" w:rsidRDefault="0016469D" w:rsidP="00370F0F">
      <w:pPr>
        <w:pStyle w:val="NormalHanging12a"/>
        <w:widowControl/>
      </w:pPr>
      <w:r>
        <w:t>38</w:t>
      </w:r>
      <w:r w:rsidR="00FF31EC" w:rsidRPr="00FF31EC">
        <w:t>.</w:t>
      </w:r>
      <w:r w:rsidR="00FF31EC" w:rsidRPr="00FF31EC">
        <w:tab/>
        <w:t xml:space="preserve">Europaparlamentet noterar den reviderade uppförandekoden för ledamöterna och det ökade </w:t>
      </w:r>
      <w:proofErr w:type="spellStart"/>
      <w:r w:rsidR="00FF31EC" w:rsidRPr="00FF31EC">
        <w:t>fokuset</w:t>
      </w:r>
      <w:proofErr w:type="spellEnd"/>
      <w:r w:rsidR="00FF31EC" w:rsidRPr="00FF31EC">
        <w:t xml:space="preserve"> på integritet och transparens när det gäller ledamöternas förklaringar om ekonomiska intressen, potentiella intressekonflikter, möten med företrädare och förklaringar om synpunkter. Parlamentet betonar att de nya bestämmelserna välkomnas, men att tolkningen av dem har väckt många frågor och kräver åtgärder från parlamentets administration och den rådgivande kommittén för ledamöters uppförande. Parlamentet betonar att för att ledamöterna ska kunna följa de nya bestämmelserna krävs en tydlig och tillförlitlig tolkning för att möjliggöra högsta möjliga rättssäkerhet. </w:t>
      </w:r>
      <w:r w:rsidR="00FF31EC" w:rsidRPr="00FF31EC">
        <w:lastRenderedPageBreak/>
        <w:t>Parlamentet vill se att regelbundet uppdaterad information skickas till ledamöternas kontor för att möjliggöra större synlighet och tillgänglighet.</w:t>
      </w:r>
    </w:p>
    <w:p w14:paraId="4246351A" w14:textId="34262EBA" w:rsidR="00370F0F" w:rsidRPr="00BE4A67" w:rsidRDefault="0016469D" w:rsidP="00370F0F">
      <w:pPr>
        <w:pStyle w:val="NormalHanging12a"/>
        <w:widowControl/>
      </w:pPr>
      <w:r>
        <w:t>39</w:t>
      </w:r>
      <w:r w:rsidR="00370F0F" w:rsidRPr="00BE4A67">
        <w:t>.</w:t>
      </w:r>
      <w:r w:rsidR="00370F0F" w:rsidRPr="00BE4A67">
        <w:tab/>
        <w:t>Europaparlamentet anser att omröstningar med namnupprop är ett viktigt instrument för transparens och ansvarsskyldighet gentemot unionens medborgare. Parlamentet efterlyser automatisk omröstning med namnupprop för alla slutliga omröstningar, med undantag för slutna omröstningar, och att man ökar antalet omröstningar med namnupprop som en politisk grupp kan begära enligt artikel 190.2 i arbetsordningen per sammanträdesperiod, eller undantar lagstiftningsärenden från denna begränsning.</w:t>
      </w:r>
    </w:p>
    <w:p w14:paraId="1A6FFFB0" w14:textId="37DB678B"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med tillfredsställelse det framgångsrika anordnandet 2022 av valet efter halva mandatperioden av talmannen, vice talmännen och kvestorerna på distans, i enlighet med talmanskonferensens beslut. Parlamentet erkänner vikten av systemet för omröstning på distans i kammaren för ett framgångsrikt genomförande av en så känslig och komplex sluten omröstning.</w:t>
      </w:r>
    </w:p>
    <w:p w14:paraId="55B0C33A" w14:textId="77200E64" w:rsidR="00370F0F" w:rsidRPr="00BE4A67" w:rsidRDefault="0016469D" w:rsidP="00370F0F">
      <w:pPr>
        <w:pStyle w:val="NormalHanging12a"/>
        <w:widowControl/>
      </w:pPr>
      <w:r>
        <w:t>41</w:t>
      </w:r>
      <w:r w:rsidR="00370F0F" w:rsidRPr="00BE4A67">
        <w:t>.</w:t>
      </w:r>
      <w:r w:rsidR="00370F0F" w:rsidRPr="00BE4A67">
        <w:tab/>
        <w:t>Europaparlamentet påminner om de ändringar av parlamentets arbetsordning den 20 december 2020 som gör det möjligt att rösta på distans och att omröstning på distans i utskottet för närvarande inte är tillåten såvida inte talmannen slår fast att det föreligger extraordinära omständigheter. Parlamentet upprepar sin begäran till presidiet, som antagits i plenum vid flera tillfällen, att göra det möjligt för ledamöterna att utöva sin rösträtt på distans när de är på mamma- eller pappaledighet, under långvarig sjukdom eller vid force majeure, och därmed dra nytta av de stora administrativa ansträngningar och ekonomiska investeringar som parlamentet har gjort avseende tekniska lösningar för att möjliggöra distansröstning.</w:t>
      </w:r>
    </w:p>
    <w:p w14:paraId="793E5C10" w14:textId="23D51CCC"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GD PRES lyckades tillgodose de behov som uppstod efter fastställandet av budgetberäkningen för 2022, trots den instabila sanitära situationen och dess inverkan på parlamentets verksamhetsnivå. Parlamentet påpekar att det också genererade ett överskott som kunde användas för att finansiera andra generaldirektorats behov till följd av den höga inflationen 2022.</w:t>
      </w:r>
    </w:p>
    <w:p w14:paraId="685EC367" w14:textId="41BE8B5C" w:rsidR="00370F0F" w:rsidRPr="00BE4A67" w:rsidRDefault="0016469D" w:rsidP="00370F0F">
      <w:pPr>
        <w:pStyle w:val="NormalHanging12a"/>
        <w:widowControl/>
      </w:pPr>
      <w:r>
        <w:t>43</w:t>
      </w:r>
      <w:r w:rsidR="00370F0F" w:rsidRPr="00BE4A67">
        <w:t>.</w:t>
      </w:r>
      <w:r w:rsidR="00370F0F" w:rsidRPr="00BE4A67">
        <w:tab/>
        <w:t>Europaparlamentet påminner om att parlamentet i enlighet med fördraget om Europeiska unionen, särskilt protokoll nr 6 som bifogas fördragen, ska ha sitt säte i Strasbourg där de tolv månatliga plenarsammanträdena, inklusive budgetsammanträdet, ska hållas. Parlamentet understryker att avbrottet av sammanträdesperioderna i Strasbourg och deltagande på distans är kopplade till de exceptionella omständigheterna i samband med covid-19-pandemin. Parlamentet påminner om att varje ändring av fördragen kräver enhällighet bland medlemsstaterna. Parlamentet påminner om att en stor majoritet av parlamentet har uttryckt sitt stöd för ett enda säte för att säkerställa att pengar från unionens skattebetalare används på ett effektivt sätt och för att parlamentet ska ta sitt institutionella ansvar att minska sitt koldioxidavtryck. Parlamentet noterar att permanenta ändringar skulle kräva en fördragsändring.</w:t>
      </w:r>
    </w:p>
    <w:p w14:paraId="167B2E59" w14:textId="45F52CAD" w:rsidR="00370F0F" w:rsidRPr="00BE4A67" w:rsidRDefault="0016469D" w:rsidP="00370F0F">
      <w:pPr>
        <w:pStyle w:val="NormalHanging12a"/>
        <w:widowControl/>
      </w:pPr>
      <w:r>
        <w:t>44</w:t>
      </w:r>
      <w:r w:rsidR="00370F0F" w:rsidRPr="00BE4A67">
        <w:t>.</w:t>
      </w:r>
      <w:r w:rsidR="00370F0F" w:rsidRPr="00BE4A67">
        <w:tab/>
        <w:t xml:space="preserve">Europaparlamentet noterar att det tillfälliga avbrottet för sammanträdesperioderna i Strasbourg under covid-19-pandemin bidrog till besparingar på totalt 26 260 608 EUR, enligt parlamentets generalsekretariat, och även avsevärt minskade parlamentets koldioxidavtryck. Parlamentet framhåller att revisionsrätten uppskattar att ett upphörande av flytten mellan Strasbourg och Bryssel skulle kunna medföra årliga besparingar på 114 miljoner EUR samt en engångsbesparing på 616 miljoner EUR om byggnaderna i Strasbourg avyttras framgångsrikt, eller en engångskostnad på </w:t>
      </w:r>
      <w:r w:rsidR="00370F0F" w:rsidRPr="00BE4A67">
        <w:lastRenderedPageBreak/>
        <w:t>40 miljoner EUR om detta inte sker</w:t>
      </w:r>
      <w:r w:rsidR="00370F0F" w:rsidRPr="00BE4A67">
        <w:rPr>
          <w:vertAlign w:val="superscript"/>
        </w:rPr>
        <w:footnoteReference w:id="10"/>
      </w:r>
      <w:r w:rsidR="00370F0F" w:rsidRPr="00BE4A67">
        <w:t>. Parlamentet anser att det med tanke på den rådande klimatkrisen är oansvarigt att behålla sätet i Strasbourg. Parlamentet uppmanar rådet att ta hänsyn till parlamentets ståndpunkt och snabbt agera i enlighet med denna.</w:t>
      </w:r>
    </w:p>
    <w:p w14:paraId="0EADBD57"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kommunikation</w:t>
      </w:r>
    </w:p>
    <w:p w14:paraId="3A455E24" w14:textId="69BFC408"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påminner om att generaldirektoratet för kommunikation (GD COMM) är ett generaldirektorat med personal i Bryssel, Strasbourg och vid förbindelsekontor i var och en av de 27 medlemsstaterna samt i London, Washington D.C. (fram till den 1 november 2022 då de två förbindelsekontoren överfördes till det nya generaldirektoratet för partnerskap för parlamentarisk demokrati) och Jean </w:t>
      </w:r>
      <w:proofErr w:type="spellStart"/>
      <w:r w:rsidR="00370F0F" w:rsidRPr="00BE4A67">
        <w:rPr>
          <w14:textOutline w14:w="0" w14:cap="flat" w14:cmpd="sng" w14:algn="ctr">
            <w14:noFill/>
            <w14:prstDash w14:val="solid"/>
            <w14:bevel/>
          </w14:textOutline>
        </w:rPr>
        <w:t>Monnet</w:t>
      </w:r>
      <w:proofErr w:type="spellEnd"/>
      <w:r w:rsidR="00370F0F" w:rsidRPr="00BE4A67">
        <w:rPr>
          <w14:textOutline w14:w="0" w14:cap="flat" w14:cmpd="sng" w14:algn="ctr">
            <w14:noFill/>
            <w14:prstDash w14:val="solid"/>
            <w14:bevel/>
          </w14:textOutline>
        </w:rPr>
        <w:t xml:space="preserve">-huset i </w:t>
      </w:r>
      <w:proofErr w:type="spellStart"/>
      <w:r w:rsidR="00370F0F" w:rsidRPr="00BE4A67">
        <w:rPr>
          <w14:textOutline w14:w="0" w14:cap="flat" w14:cmpd="sng" w14:algn="ctr">
            <w14:noFill/>
            <w14:prstDash w14:val="solid"/>
            <w14:bevel/>
          </w14:textOutline>
        </w:rPr>
        <w:t>Bazoches</w:t>
      </w:r>
      <w:proofErr w:type="spellEnd"/>
      <w:r w:rsidR="00370F0F" w:rsidRPr="00BE4A67">
        <w:rPr>
          <w14:textOutline w14:w="0" w14:cap="flat" w14:cmpd="sng" w14:algn="ctr">
            <w14:noFill/>
            <w14:prstDash w14:val="solid"/>
            <w14:bevel/>
          </w14:textOutline>
        </w:rPr>
        <w:t xml:space="preserve"> (Frankrike).</w:t>
      </w:r>
    </w:p>
    <w:p w14:paraId="12395303" w14:textId="7CD06947" w:rsidR="00370F0F" w:rsidRDefault="0016469D" w:rsidP="00370F0F">
      <w:pPr>
        <w:pStyle w:val="NormalHanging12a"/>
        <w:widowControl/>
      </w:pPr>
      <w:r>
        <w:t>46</w:t>
      </w:r>
      <w:r w:rsidR="00370F0F" w:rsidRPr="00BE4A67">
        <w:t>.</w:t>
      </w:r>
      <w:r w:rsidR="00370F0F" w:rsidRPr="00BE4A67">
        <w:tab/>
        <w:t xml:space="preserve">Europaparlamentet noterar att GD </w:t>
      </w:r>
      <w:proofErr w:type="spellStart"/>
      <w:r w:rsidR="00370F0F" w:rsidRPr="00BE4A67">
        <w:t>COMM:s</w:t>
      </w:r>
      <w:proofErr w:type="spellEnd"/>
      <w:r w:rsidR="00370F0F" w:rsidRPr="00BE4A67">
        <w:t xml:space="preserve"> huvuduppgifter är att samarbeta med medierna, att informera, förklara och öka synligheten för parlamentets arbete, att öka medvetenheten om parlamentet bland medborgare, intressenter och opinionsbildare genom Europaparlamentets förbindelsekontor i medlemsstaterna, att främja interaktion med medborgarna genom förbättrade besöksprojekt, evenemang och informationskampanjer och genom närvaro på sociala medier, och att tillhandahålla sakkunskap till ledamöter och politiska grupper i frågor såsom medieunderrättelseverksamhet och uppföljning av den allmänna opinionen, och att med alla medel bekämpa desinformation, särskilt inför val.</w:t>
      </w:r>
    </w:p>
    <w:p w14:paraId="3C325BF4" w14:textId="29732CC4" w:rsidR="00FF31EC" w:rsidRPr="00BE4A67" w:rsidRDefault="0016469D" w:rsidP="00370F0F">
      <w:pPr>
        <w:pStyle w:val="NormalHanging12a"/>
        <w:widowControl/>
      </w:pPr>
      <w:r>
        <w:t>47</w:t>
      </w:r>
      <w:r w:rsidR="00FF31EC" w:rsidRPr="00FF31EC">
        <w:t>.</w:t>
      </w:r>
      <w:r w:rsidR="00FF31EC" w:rsidRPr="00FF31EC">
        <w:tab/>
        <w:t xml:space="preserve">Europaparlamentet betonar att parlamentet och </w:t>
      </w:r>
      <w:r w:rsidR="008C2366">
        <w:t xml:space="preserve">de </w:t>
      </w:r>
      <w:r w:rsidR="00FF31EC" w:rsidRPr="00FF31EC">
        <w:t>andra unionsinstitutioner</w:t>
      </w:r>
      <w:r w:rsidR="008C2366">
        <w:t>na</w:t>
      </w:r>
      <w:r w:rsidR="00FF31EC" w:rsidRPr="00FF31EC">
        <w:t xml:space="preserve"> måste </w:t>
      </w:r>
      <w:r w:rsidR="008C2366">
        <w:t>ha</w:t>
      </w:r>
      <w:r w:rsidR="00FF31EC" w:rsidRPr="00FF31EC">
        <w:t xml:space="preserve"> tillräckliga resurser för att skydda sitt informationsområde mot informationsmanipuleringskampanjer, samtidigt som unionens värden respekteras fullt ut.</w:t>
      </w:r>
    </w:p>
    <w:p w14:paraId="72FE6C84" w14:textId="428914E6"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w:t>
      </w:r>
      <w:proofErr w:type="spellStart"/>
      <w:r w:rsidR="00370F0F" w:rsidRPr="00BE4A67">
        <w:rPr>
          <w14:textOutline w14:w="0" w14:cap="flat" w14:cmpd="sng" w14:algn="ctr">
            <w14:noFill/>
            <w14:prstDash w14:val="solid"/>
            <w14:bevel/>
          </w14:textOutline>
        </w:rPr>
        <w:t>COMM:s</w:t>
      </w:r>
      <w:proofErr w:type="spellEnd"/>
      <w:r w:rsidR="00370F0F" w:rsidRPr="00BE4A67">
        <w:rPr>
          <w14:textOutline w14:w="0" w14:cap="flat" w14:cmpd="sng" w14:algn="ctr">
            <w14:noFill/>
            <w14:prstDash w14:val="solid"/>
            <w14:bevel/>
          </w14:textOutline>
        </w:rPr>
        <w:t xml:space="preserve"> slutliga anslag uppgick till 121 235 650 EUR 2022, vilket motsvarar 5,6 % av parlamentets budget. Parlamentet framhåller att av detta belopp anslogs totalt 121 146 177 EUR. Parlamentet välkomnar den höga användningen av anslag.</w:t>
      </w:r>
    </w:p>
    <w:p w14:paraId="2595EBBB" w14:textId="1FF39027" w:rsidR="00370F0F" w:rsidRPr="00BE4A67" w:rsidRDefault="0016469D" w:rsidP="00370F0F">
      <w:pPr>
        <w:pStyle w:val="NormalHanging12a"/>
        <w:widowControl/>
      </w:pPr>
      <w:r>
        <w:t>49</w:t>
      </w:r>
      <w:r w:rsidR="00370F0F" w:rsidRPr="00BE4A67">
        <w:t>.</w:t>
      </w:r>
      <w:r w:rsidR="00370F0F" w:rsidRPr="00BE4A67">
        <w:tab/>
        <w:t xml:space="preserve">Europaparlamentet noterar komplexiteten i GD </w:t>
      </w:r>
      <w:proofErr w:type="spellStart"/>
      <w:r w:rsidR="00370F0F" w:rsidRPr="00BE4A67">
        <w:t>COMM:s</w:t>
      </w:r>
      <w:proofErr w:type="spellEnd"/>
      <w:r w:rsidR="00370F0F" w:rsidRPr="00BE4A67">
        <w:t xml:space="preserve"> verksamhet. Parlamentet noterar behovet av att öka synligheten för parlamentets arbete och att öka medborgarnas förtroende för parlamentet som institution, vilket skulle kräva en ökning av budgeten för GD COMM.</w:t>
      </w:r>
    </w:p>
    <w:p w14:paraId="03812E71" w14:textId="5DEDDE6A"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framhåller att GD </w:t>
      </w:r>
      <w:proofErr w:type="spellStart"/>
      <w:r w:rsidR="00370F0F" w:rsidRPr="00BE4A67">
        <w:rPr>
          <w14:textOutline w14:w="0" w14:cap="flat" w14:cmpd="sng" w14:algn="ctr">
            <w14:noFill/>
            <w14:prstDash w14:val="solid"/>
            <w14:bevel/>
          </w14:textOutline>
        </w:rPr>
        <w:t>COMM:s</w:t>
      </w:r>
      <w:proofErr w:type="spellEnd"/>
      <w:r w:rsidR="00370F0F" w:rsidRPr="00BE4A67">
        <w:rPr>
          <w14:textOutline w14:w="0" w14:cap="flat" w14:cmpd="sng" w14:algn="ctr">
            <w14:noFill/>
            <w14:prstDash w14:val="solid"/>
            <w14:bevel/>
          </w14:textOutline>
        </w:rPr>
        <w:t xml:space="preserve"> budgetgenomförande under de första fyra månaderna 2022 fortfarande påverkades av covid-19-pandemin, särskilt när det gäller besöksgrupper och besöksanläggningar. Parlamentet påpekar att en stor del av de överskott som orsakades av inställd verksamhet omfördelades till andra tjänster inom parlamentet för att finansiera andra prioriteringar och hantera inflationens inverkan på personalutgifterna. Parlamentet noterar att flera av GD </w:t>
      </w:r>
      <w:proofErr w:type="spellStart"/>
      <w:r w:rsidR="00370F0F" w:rsidRPr="00BE4A67">
        <w:rPr>
          <w14:textOutline w14:w="0" w14:cap="flat" w14:cmpd="sng" w14:algn="ctr">
            <w14:noFill/>
            <w14:prstDash w14:val="solid"/>
            <w14:bevel/>
          </w14:textOutline>
        </w:rPr>
        <w:t>COMM:s</w:t>
      </w:r>
      <w:proofErr w:type="spellEnd"/>
      <w:r w:rsidR="00370F0F" w:rsidRPr="00BE4A67">
        <w:rPr>
          <w14:textOutline w14:w="0" w14:cap="flat" w14:cmpd="sng" w14:algn="ctr">
            <w14:noFill/>
            <w14:prstDash w14:val="solid"/>
            <w14:bevel/>
          </w14:textOutline>
        </w:rPr>
        <w:t xml:space="preserve"> verksamheter, såsom audiovisuella tjänster, också påverkades kraftigt av betydande prisökningar.</w:t>
      </w:r>
    </w:p>
    <w:p w14:paraId="0DDF5FCC" w14:textId="097A75D5" w:rsidR="00370F0F" w:rsidRPr="00BE4A67" w:rsidRDefault="0016469D" w:rsidP="00370F0F">
      <w:pPr>
        <w:pStyle w:val="NormalHanging12a"/>
        <w:widowControl/>
      </w:pPr>
      <w:r>
        <w:t>51</w:t>
      </w:r>
      <w:r w:rsidR="00370F0F" w:rsidRPr="00BE4A67">
        <w:t>.</w:t>
      </w:r>
      <w:r w:rsidR="00370F0F" w:rsidRPr="00BE4A67">
        <w:tab/>
        <w:t xml:space="preserve">Europaparlamentet noterar att talmannen den 10 mars 2022 utfärdade ett reviderat beslut om säkerhetsåtgärder för att begränsa spridningen av covid-19, vilket innebar att fysisk närvaro i samband med flera aktiviteter återupptogs, bland annat att besöksgrupper togs emot igen. Parlamentet välkomnar beslutet att 2022 öka de </w:t>
      </w:r>
      <w:r w:rsidR="00370F0F" w:rsidRPr="00BE4A67">
        <w:lastRenderedPageBreak/>
        <w:t>ekonomiska bidrag till finansierade besöksgrupper, som betalas ut för resor, logi, måltider och mindre lokala utgifter, med 10 %. Parlamentet uppmanar presidiet att upphäva sitt beslut att minska den årliga kvoten för finansierade besökare per ledamot från 110 till 100 och från 55 till 50 för valår. Parlamentet framhåller att beslutet att överföra den outnyttjade kvoten från 2020 till 2022, 2023 och 2024 förblev oförändrat. Parlamentet insisterar på att ackrediterade assistenter ska strykas från förteckningen över tillåtna gruppledare, så att endast en medlem av den sponsrade gruppen eller en yrkesutövare, såsom betalningsombud eller resebyråer, får ta på sig rollen, för att förhindra att ackrediterade assistenter tvingas ta på sig det ekonomiska ansvaret, som kan uppgå till betydande belopp.</w:t>
      </w:r>
    </w:p>
    <w:p w14:paraId="4D6AD82B" w14:textId="3A072061"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priserna på resor och måltider har ökat avsevärt till följd av energikrisen i unionen. Parlamentet noterar den planerade översynen av reglerna för utbetalning av bidrag till finansierade besöksgrupper.</w:t>
      </w:r>
    </w:p>
    <w:p w14:paraId="16F3D944" w14:textId="3E720553"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53</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det gradvisa upphävandet av covid-19-pandemins restriktioner i medlemsstaterna gjorde det möjligt för förbindelsekontoren att återuppta sin verksamhet under normala förhållanden med ett systematiskt tillägg av hybridinslag. Parlamentet framhåller att en rad aktiviteter med anknytning till Europaåret för ungdomar anordnades vid förbindelsekontoren. Parlamentet noterar att ledamöterna systematiskt bjuds in till evenemang och aktiviteter med medier, intressenter, det civila samhällets organisationer och unga i medlemsstaterna. Parlamentet noterar att förbindelsekontoren också främjar ledamöternas deltagande i evenemang och aktiviteter som anordnas av tredje part.</w:t>
      </w:r>
    </w:p>
    <w:p w14:paraId="23E2D1E8" w14:textId="25CB244C" w:rsidR="00370F0F" w:rsidRPr="00BE4A67" w:rsidRDefault="0016469D" w:rsidP="00370F0F">
      <w:pPr>
        <w:pStyle w:val="NormalHanging12a"/>
        <w:widowControl/>
      </w:pPr>
      <w:r>
        <w:t>54</w:t>
      </w:r>
      <w:r w:rsidR="00370F0F" w:rsidRPr="00BE4A67">
        <w:t>.</w:t>
      </w:r>
      <w:r w:rsidR="00370F0F" w:rsidRPr="00BE4A67">
        <w:tab/>
        <w:t xml:space="preserve">Europaparlamentet noterar att ledamöterna hade möjlighet att delta i plenardebatterna vid förbindelsekontoren i de medlemsstater där de valts på grund av de exceptionella åtgärder som tillämpades på grund av pandemin, vilket underlättades av GD </w:t>
      </w:r>
      <w:proofErr w:type="spellStart"/>
      <w:r w:rsidR="00370F0F" w:rsidRPr="00BE4A67">
        <w:t>COMM:s</w:t>
      </w:r>
      <w:proofErr w:type="spellEnd"/>
      <w:r w:rsidR="00370F0F" w:rsidRPr="00BE4A67">
        <w:t xml:space="preserve"> åtgärder. Parlamentet välkomnar GD </w:t>
      </w:r>
      <w:proofErr w:type="spellStart"/>
      <w:r w:rsidR="00370F0F" w:rsidRPr="00BE4A67">
        <w:t>COMM:s</w:t>
      </w:r>
      <w:proofErr w:type="spellEnd"/>
      <w:r w:rsidR="00370F0F" w:rsidRPr="00BE4A67">
        <w:t xml:space="preserve"> ökade insatser för att använda ny teknik för att underlätta ledamöternas arbete under covid-19-pandemin. Parlamentet konstaterar att nationella mediers fjärråtkomst till parlamentets kommunikationsverksamhet har öppnat upp sätt att interagera med unionsmedborgarna.</w:t>
      </w:r>
    </w:p>
    <w:p w14:paraId="4F9B80B4" w14:textId="7D3C5112" w:rsidR="00370F0F" w:rsidRDefault="0016469D" w:rsidP="00370F0F">
      <w:pPr>
        <w:widowControl/>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55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COMM under 2022 avslutade det mesta av sitt förberedande arbete inför valet till Europaparlamentet 2024. Parlamentet noterar att parlamentets presidium 2022 godkände kommunikationsstrategin för valet 2024. Parlamentet noterar att en Europaomfattande inbjudan att lämna förslag inleddes i mitten av 2022 och resulterade i tilldelning av 19 bidrag, finansiering av </w:t>
      </w:r>
      <w:proofErr w:type="spellStart"/>
      <w:r w:rsidR="00370F0F" w:rsidRPr="00BE4A67">
        <w:rPr>
          <w14:textOutline w14:w="0" w14:cap="flat" w14:cmpd="sng" w14:algn="ctr">
            <w14:noFill/>
            <w14:prstDash w14:val="solid"/>
            <w14:bevel/>
          </w14:textOutline>
        </w:rPr>
        <w:t>kapacitetsuppbyggande</w:t>
      </w:r>
      <w:proofErr w:type="spellEnd"/>
      <w:r w:rsidR="00370F0F" w:rsidRPr="00BE4A67">
        <w:rPr>
          <w14:textOutline w14:w="0" w14:cap="flat" w14:cmpd="sng" w14:algn="ctr">
            <w14:noFill/>
            <w14:prstDash w14:val="solid"/>
            <w14:bevel/>
          </w14:textOutline>
        </w:rPr>
        <w:t xml:space="preserve"> åtgärder och/eller medborgarengagemang till stöd för valet till Europaparlamentet.</w:t>
      </w:r>
    </w:p>
    <w:p w14:paraId="1BA567EA" w14:textId="329D3B22" w:rsidR="00FF31EC" w:rsidRPr="00BE4A67" w:rsidRDefault="0016469D" w:rsidP="00370F0F">
      <w:pPr>
        <w:widowControl/>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56</w:t>
      </w:r>
      <w:r w:rsidR="00FF31EC" w:rsidRPr="00FF31EC">
        <w:rPr>
          <w:szCs w:val="24"/>
          <w14:textOutline w14:w="0" w14:cap="flat" w14:cmpd="sng" w14:algn="ctr">
            <w14:noFill/>
            <w14:prstDash w14:val="solid"/>
            <w14:bevel/>
          </w14:textOutline>
        </w:rPr>
        <w:t>.</w:t>
      </w:r>
      <w:r w:rsidR="00FF31EC" w:rsidRPr="00FF31EC">
        <w:rPr>
          <w:szCs w:val="24"/>
          <w14:textOutline w14:w="0" w14:cap="flat" w14:cmpd="sng" w14:algn="ctr">
            <w14:noFill/>
            <w14:prstDash w14:val="solid"/>
            <w14:bevel/>
          </w14:textOutline>
        </w:rPr>
        <w:tab/>
        <w:t xml:space="preserve">Europaparlamentet välkomnar </w:t>
      </w:r>
      <w:r w:rsidR="008C2366">
        <w:rPr>
          <w:szCs w:val="24"/>
          <w14:textOutline w14:w="0" w14:cap="flat" w14:cmpd="sng" w14:algn="ctr">
            <w14:noFill/>
            <w14:prstDash w14:val="solid"/>
            <w14:bevel/>
          </w14:textOutline>
        </w:rPr>
        <w:t>antagandet av</w:t>
      </w:r>
      <w:r w:rsidR="00FF31EC" w:rsidRPr="00FF31EC">
        <w:rPr>
          <w:szCs w:val="24"/>
          <w14:textOutline w14:w="0" w14:cap="flat" w14:cmpd="sng" w14:algn="ctr">
            <w14:noFill/>
            <w14:prstDash w14:val="solid"/>
            <w14:bevel/>
          </w14:textOutline>
        </w:rPr>
        <w:t xml:space="preserve"> en europeisk mediefrihetsakt, som inför en ny uppsättning regler för att främja mediernas mångfald och oberoende i hela unionen. Parlamentet anser att det utgör ytterligare ett verktyg inom ramen för unionens fortsatta insatser för att bekämpa systematiska kampanjer för utländsk informationsmanipulering och inblandning som syftar till att destabilisera unionen.</w:t>
      </w:r>
    </w:p>
    <w:p w14:paraId="33902C6A" w14:textId="54F248EA"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 xml:space="preserve">-centrumen är positiva åtgärder som främjar unionens arbete och förklarar unionens politik för medborgarna. Parlamentet noterar med tillfredsställelse det ökade antalet besök på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 xml:space="preserve">-centrum under de senaste två åren. Parlamentet noterar att tusentals besökare drar nytta av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 xml:space="preserve">-centrum varje år. Parlamentet noterar att det trots den pågående </w:t>
      </w:r>
      <w:r w:rsidR="00370F0F" w:rsidRPr="00BE4A67">
        <w:rPr>
          <w14:textOutline w14:w="0" w14:cap="flat" w14:cmpd="sng" w14:algn="ctr">
            <w14:noFill/>
            <w14:prstDash w14:val="solid"/>
            <w14:bevel/>
          </w14:textOutline>
        </w:rPr>
        <w:lastRenderedPageBreak/>
        <w:t xml:space="preserve">inflationskrisen 2022 öppnades två nya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 xml:space="preserve">-centrum (Paris och Rom), vilket gjorde det möjligt för förbindelsekontoren att dra nytta av olika möjligheter till utåtriktad verksamhet och att utvidga sina nätverk. Parlamentet noterar att i slutet av 2022 hade över 80 % av målen för införandet av nya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-centrum uppnåtts.</w:t>
      </w:r>
    </w:p>
    <w:p w14:paraId="3D049F06" w14:textId="6DE4105F" w:rsidR="00370F0F" w:rsidRDefault="0016469D" w:rsidP="00370F0F">
      <w:pPr>
        <w:pStyle w:val="NormalHanging12a"/>
        <w:widowControl/>
      </w:pPr>
      <w:r>
        <w:t>58</w:t>
      </w:r>
      <w:r w:rsidR="00370F0F" w:rsidRPr="00BE4A67">
        <w:t>.</w:t>
      </w:r>
      <w:r w:rsidR="00370F0F" w:rsidRPr="00BE4A67">
        <w:tab/>
        <w:t>Europaparlamentet påminner om den pågående kamp som unionen är involverad i för att skydda europeiska värden och upprätthålla integriteten i våra demokratiska processer. Parlamentet välkomnar de åtgärder som parlamentet vidtagit för att uppnå dessa mål och bekämpa desinformation och informationsmanipulering. Parlamentet efterlyser en förstärkning av dessa åtgärder mot bakgrund av det kommande valet till Europaparlamentet och uppmanar i synnerhet GD COMM att fortsätta att utveckla och genomföra effektiva strategier för att motverka desinformation och informationsmanipulering, särskilt i samband med val. Parlamentet framhåller att ett av de kraftfullaste vapnen mot desinformation är positiv, faktabaserad kommunikation om parlamentets verksamhet.</w:t>
      </w:r>
    </w:p>
    <w:p w14:paraId="75556BB7" w14:textId="671F30D5" w:rsidR="00FF31EC" w:rsidRPr="00BE4A67" w:rsidRDefault="0016469D" w:rsidP="00370F0F">
      <w:pPr>
        <w:pStyle w:val="NormalHanging12a"/>
        <w:widowControl/>
      </w:pPr>
      <w:r>
        <w:t>59</w:t>
      </w:r>
      <w:r w:rsidR="00FF31EC" w:rsidRPr="00FF31EC">
        <w:t>.</w:t>
      </w:r>
      <w:r w:rsidR="00FF31EC" w:rsidRPr="00FF31EC">
        <w:tab/>
        <w:t>Europaparlamentet anser att beviljande av tillgång till parlamentets resurser, såsom videoinspelningsstudior eller andra kommunikationsplattformar, inte får användas för att undergräva unionens värden eller för att sprida fientlig information från auktoritära regimer.</w:t>
      </w:r>
    </w:p>
    <w:p w14:paraId="691230B5"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personal</w:t>
      </w:r>
    </w:p>
    <w:p w14:paraId="79E378E0" w14:textId="615504C5"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generaldirektoratet för personal (GD PERS) ansvarar för en lämplig och effektiv personalförvaltning inom parlamentet och ser till att ledamöterna stöds av en högkvalificerad arbetskraft så att de kan fullgöra sitt mandat.</w:t>
      </w:r>
    </w:p>
    <w:p w14:paraId="26A12383" w14:textId="15A4E7F0"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GD PERS slutliga anslag uppgick till 1 090 141 584 EUR 2022, vilket motsvarar 50,4 % av parlamentets budget. Parlamentet framhåller att av detta belopp anslogs totalt 1 087 939 413 EUR. Parlamentet välkomnar den höga användningen av anslag.</w:t>
      </w:r>
    </w:p>
    <w:p w14:paraId="0EDC0F11" w14:textId="7262AB04"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parlamentet under 2022 rekryterade färre tjänstemän från uttagningsprov som anordnades av Europeiska rekryteringsbyrån (</w:t>
      </w:r>
      <w:proofErr w:type="spellStart"/>
      <w:r w:rsidR="00370F0F" w:rsidRPr="00BE4A67">
        <w:rPr>
          <w14:textOutline w14:w="0" w14:cap="flat" w14:cmpd="sng" w14:algn="ctr">
            <w14:noFill/>
            <w14:prstDash w14:val="solid"/>
            <w14:bevel/>
          </w14:textOutline>
        </w:rPr>
        <w:t>Epso</w:t>
      </w:r>
      <w:proofErr w:type="spellEnd"/>
      <w:r w:rsidR="00370F0F" w:rsidRPr="00BE4A67">
        <w:rPr>
          <w14:textOutline w14:w="0" w14:cap="flat" w14:cmpd="sng" w14:algn="ctr">
            <w14:noFill/>
            <w14:prstDash w14:val="solid"/>
            <w14:bevel/>
          </w14:textOutline>
        </w:rPr>
        <w:t xml:space="preserve">) (48 tjänstemän) än från parlamentets interna och allmänna uttagningsprov (139 tjänstemän). Parlamentet beklagar att </w:t>
      </w:r>
      <w:proofErr w:type="spellStart"/>
      <w:r w:rsidR="00370F0F" w:rsidRPr="00BE4A67">
        <w:rPr>
          <w14:textOutline w14:w="0" w14:cap="flat" w14:cmpd="sng" w14:algn="ctr">
            <w14:noFill/>
            <w14:prstDash w14:val="solid"/>
            <w14:bevel/>
          </w14:textOutline>
        </w:rPr>
        <w:t>Epso</w:t>
      </w:r>
      <w:proofErr w:type="spellEnd"/>
      <w:r w:rsidR="00370F0F" w:rsidRPr="00BE4A67">
        <w:rPr>
          <w14:textOutline w14:w="0" w14:cap="flat" w14:cmpd="sng" w14:algn="ctr">
            <w14:noFill/>
            <w14:prstDash w14:val="solid"/>
            <w14:bevel/>
          </w14:textOutline>
        </w:rPr>
        <w:t xml:space="preserve"> stötte på olika problem i samband med genomförandet av </w:t>
      </w:r>
      <w:proofErr w:type="spellStart"/>
      <w:r w:rsidR="00370F0F" w:rsidRPr="00BE4A67">
        <w:rPr>
          <w14:textOutline w14:w="0" w14:cap="flat" w14:cmpd="sng" w14:algn="ctr">
            <w14:noFill/>
            <w14:prstDash w14:val="solid"/>
            <w14:bevel/>
          </w14:textOutline>
        </w:rPr>
        <w:t>onlineprov</w:t>
      </w:r>
      <w:proofErr w:type="spellEnd"/>
      <w:r w:rsidR="00370F0F" w:rsidRPr="00BE4A67">
        <w:rPr>
          <w14:textOutline w14:w="0" w14:cap="flat" w14:cmpd="sng" w14:algn="ctr">
            <w14:noFill/>
            <w14:prstDash w14:val="solid"/>
            <w14:bevel/>
          </w14:textOutline>
        </w:rPr>
        <w:t xml:space="preserve"> och språkreglerna för uttagningsproven. Parlamentet noterar de allmänna svårigheter som GD PERS och andra generaldirektorat stött på när det gäller att locka till sig och behålla talanger, vilket påverkar parlamentets personals prestationer. Parlamentet efterlyser effektivare, bättre riktade och kortare urvalsförfaranden, vilket skulle öka parlamentets attraktionskraft som arbetsgivare och göra det möjligt för generaldirektoraten att snabbt rekrytera de specialistprofiler som de behöver till stöd för sitt arbete.</w:t>
      </w:r>
    </w:p>
    <w:p w14:paraId="2B3AB4AD" w14:textId="4E47A792" w:rsidR="00370F0F" w:rsidRPr="00BE4A67" w:rsidRDefault="0016469D" w:rsidP="00370F0F">
      <w:pPr>
        <w:pStyle w:val="NormalHanging12a"/>
        <w:widowControl/>
      </w:pPr>
      <w:r>
        <w:t>63</w:t>
      </w:r>
      <w:r w:rsidR="00370F0F" w:rsidRPr="00BE4A67">
        <w:t>.</w:t>
      </w:r>
      <w:r w:rsidR="00370F0F" w:rsidRPr="00BE4A67">
        <w:tab/>
        <w:t xml:space="preserve">Europaparlamentet framhåller att säkerställandet av en rättvis geografisk balans är en viktig del av skapandet av en verkligt europeisk offentlig tjänst, och påpekar att parlamentet under årens lopp har vidtagit ett antal åtgärder i detta avseende. Parlamentet noterar att det fortfarande finns utrymme för förbättringar. Parlamentet noterar att presidiet har skapat den rättsliga ramen för anordnandet av nationalitetsspecifika uttagningsprov och beslutat att anordna det första av sådana uttagningsprov. </w:t>
      </w:r>
      <w:r w:rsidR="00370F0F" w:rsidRPr="00BE4A67">
        <w:lastRenderedPageBreak/>
        <w:t>Parlamentet framhåller att uttagningsproven alltid bör baseras på personens yrkesmässiga utbildning, oavsett vederbörandes ålder, kön eller tro.</w:t>
      </w:r>
    </w:p>
    <w:p w14:paraId="06321EDA" w14:textId="2DF47444" w:rsidR="00370F0F" w:rsidRPr="00BE4A67" w:rsidRDefault="0016469D" w:rsidP="00370F0F">
      <w:pPr>
        <w:pStyle w:val="NormalHanging12a"/>
        <w:widowControl/>
      </w:pPr>
      <w:r>
        <w:t>64</w:t>
      </w:r>
      <w:r w:rsidR="00370F0F" w:rsidRPr="00BE4A67">
        <w:t>.</w:t>
      </w:r>
      <w:r w:rsidR="00370F0F" w:rsidRPr="00BE4A67">
        <w:tab/>
        <w:t xml:space="preserve">Europaparlamentet påminner om att presidiet den 13 januari 2020 godkände nya och mer ambitiösa mål för en jämn könsfördelning på högre chefs- och mellanchefsnivå inom parlamentets administration som ska uppnås senast 2024, dvs. att kvinnor bör inneha 50 % av enhetschefstjänsterna, 50 % av </w:t>
      </w:r>
      <w:proofErr w:type="spellStart"/>
      <w:r w:rsidR="00370F0F" w:rsidRPr="00BE4A67">
        <w:t>direktörstjänsterna</w:t>
      </w:r>
      <w:proofErr w:type="spellEnd"/>
      <w:r w:rsidR="00370F0F" w:rsidRPr="00BE4A67">
        <w:t xml:space="preserve"> och 40 % av generaldirektörstjänsterna. Parlamentet påminner om att en handlingsplan för jämställdhet för åren 2021–2022 som syftar till att underlätta genomförandet av dessa mål, samt en omfattande integrering av jämställdhetsperspektivet i parlamentets alla verksamheter, därefter utarbetades och godkändes av presidiet den 6 juli 2020. Parlamentet noterar att kvinnor under 2022 innehade 28,6 % av generaldirektörstjänsterna och välkomnar att 50,8 % av </w:t>
      </w:r>
      <w:proofErr w:type="spellStart"/>
      <w:r w:rsidR="00370F0F" w:rsidRPr="00BE4A67">
        <w:t>direktörstjänsterna</w:t>
      </w:r>
      <w:proofErr w:type="spellEnd"/>
      <w:r w:rsidR="00370F0F" w:rsidRPr="00BE4A67">
        <w:t xml:space="preserve"> och 43,5 % av enhetschefstjänsterna innehades av kvinnor.</w:t>
      </w:r>
    </w:p>
    <w:p w14:paraId="4BD6480B" w14:textId="161D2195"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konstaterar att flera generaldirektorat har uttryckt oro över svårigheterna att locka talanger och specialiserade profiler som är nödvändiga för att utföra parlamentets kärnverksamhet. Parlamentet noterar att endast tjänster som är nödvändiga kan övervägas för en eventuell internalisering. Parlamentet framhåller att vissa tjänster utförs av externa tjänsteleverantörer på grund av dessa tjänsters specifika karaktär som inte uppfyller villkoren för internalisering. Parlamentet anser därför att de tjänster som inte uppfyller dessa villkor inte bör övervägas för internalisering av de styrande organen.</w:t>
      </w:r>
    </w:p>
    <w:p w14:paraId="7696A655" w14:textId="769E128A"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välkomnar GD PERS arbete med ackrediterade assistenter. Parlamentet framhåller att GD PERS infodesk anordnade 85 informationsmöten för tjänstemän, tillfälligt anställda och kontraktsanställda samt för ackrediterade assistenter, utöver sex </w:t>
      </w:r>
      <w:proofErr w:type="spellStart"/>
      <w:r w:rsidR="00370F0F" w:rsidRPr="00BE4A67">
        <w:rPr>
          <w14:textOutline w14:w="0" w14:cap="flat" w14:cmpd="sng" w14:algn="ctr">
            <w14:noFill/>
            <w14:prstDash w14:val="solid"/>
            <w14:bevel/>
          </w14:textOutline>
        </w:rPr>
        <w:t>webbinarier</w:t>
      </w:r>
      <w:proofErr w:type="spellEnd"/>
      <w:r w:rsidR="00370F0F" w:rsidRPr="00BE4A67">
        <w:rPr>
          <w14:textOutline w14:w="0" w14:cap="flat" w14:cmpd="sng" w14:algn="ctr">
            <w14:noFill/>
            <w14:prstDash w14:val="solid"/>
            <w14:bevel/>
          </w14:textOutline>
        </w:rPr>
        <w:t xml:space="preserve"> om pensionering, och 14 informationsmöten för nya ledamöters praktikanter. Parlamentet välkomnar det arbete som utförs av enheten för de ackrediterade assistenternas front </w:t>
      </w:r>
      <w:proofErr w:type="spellStart"/>
      <w:r w:rsidR="00370F0F" w:rsidRPr="00BE4A67">
        <w:rPr>
          <w14:textOutline w14:w="0" w14:cap="flat" w14:cmpd="sng" w14:algn="ctr">
            <w14:noFill/>
            <w14:prstDash w14:val="solid"/>
            <w14:bevel/>
          </w14:textOutline>
        </w:rPr>
        <w:t>office</w:t>
      </w:r>
      <w:proofErr w:type="spellEnd"/>
      <w:r w:rsidR="00370F0F" w:rsidRPr="00BE4A67">
        <w:rPr>
          <w14:textOutline w14:w="0" w14:cap="flat" w14:cmpd="sng" w14:algn="ctr">
            <w14:noFill/>
            <w14:prstDash w14:val="solid"/>
            <w14:bevel/>
          </w14:textOutline>
        </w:rPr>
        <w:t xml:space="preserve"> när det gäller rekrytering och förvaltning av ackrediterade assistenters kontrakt och att den fungerar som kontaktpunkt för alla relaterade frågor och förfaranden. Parlamentet noterar att denna enhet besvarade 12 405 förfrågningar om information, däribland om rekryteringar, avtalsändringar, förlängningar, avgångar och uppsägningar. Parlamentet noterar med tillfredsställelse att 100 % av kontrakten för ackrediterade assistenter togs fram inom 10 arbetsdagar.</w:t>
      </w:r>
    </w:p>
    <w:p w14:paraId="0C781101" w14:textId="293A27ED" w:rsidR="00370F0F" w:rsidRPr="00BE4A67" w:rsidRDefault="0016469D" w:rsidP="00370F0F">
      <w:pPr>
        <w:pStyle w:val="NormalHanging12a"/>
        <w:widowControl/>
      </w:pPr>
      <w:r>
        <w:t>67</w:t>
      </w:r>
      <w:r w:rsidR="00370F0F" w:rsidRPr="00BE4A67">
        <w:t>.</w:t>
      </w:r>
      <w:r w:rsidR="00370F0F" w:rsidRPr="00BE4A67">
        <w:tab/>
        <w:t>Europaparlamentet noterar med tillfredsställelse att presidiet, i enlighet med vad som begärdes i resolutionen om ansvarsfrihet för 2021, vid sitt sammanträde den 10 juli 2023 begärde att man skulle införa en möjlighet till förhandlad uppsägning av avtalet mellan en ledamot och dennas ackrediterade assistent, i fall där det är nödvändigt att säga upp en ackrediterad assistents avtal av andra skäl än förtroendeförlust.</w:t>
      </w:r>
    </w:p>
    <w:p w14:paraId="75310C3B" w14:textId="4FAEA919" w:rsidR="00370F0F" w:rsidRPr="00BE4A67" w:rsidRDefault="0016469D" w:rsidP="00370F0F">
      <w:pPr>
        <w:pStyle w:val="NormalHanging12a"/>
        <w:widowControl/>
      </w:pPr>
      <w:r>
        <w:t>68</w:t>
      </w:r>
      <w:r w:rsidR="00370F0F" w:rsidRPr="00BE4A67">
        <w:t>.</w:t>
      </w:r>
      <w:r w:rsidR="00370F0F" w:rsidRPr="00BE4A67">
        <w:tab/>
        <w:t xml:space="preserve">Europaparlamentet konstaterar att de ackrediterade assistenternas arbete är en integrerad del av ledamöternas arbete och att de spelar en viktig roll i unionens lagstiftningsförfaranden. Parlamentet noterar att efter antagandet av stadgan för ackrediterade assistenter 2009 har erkännandet av </w:t>
      </w:r>
      <w:r w:rsidR="00FF31EC" w:rsidRPr="00FF31EC">
        <w:t>deras arbete</w:t>
      </w:r>
      <w:r w:rsidR="00FF31EC">
        <w:t xml:space="preserve"> </w:t>
      </w:r>
      <w:r w:rsidR="00370F0F" w:rsidRPr="00BE4A67">
        <w:t xml:space="preserve">gradvis ökat under årens lopp. Parlamentet noterar parlamentets insatser för att skapa en ram för att ge stöd till ackrediterade assistenter. </w:t>
      </w:r>
      <w:r w:rsidR="00FF31EC" w:rsidRPr="00FF31EC">
        <w:t>Parlamentet uppmanar presidi</w:t>
      </w:r>
      <w:r w:rsidR="008C2366">
        <w:t>et</w:t>
      </w:r>
      <w:r w:rsidR="00FF31EC" w:rsidRPr="00FF31EC">
        <w:t xml:space="preserve"> och parlamentets administration att regelbundet och formellt samråda med kommittén för ackrediterade assistenter om översyner och reformer som direkt påverkar de ackrediterade assistenternas rättigheter.</w:t>
      </w:r>
      <w:r w:rsidR="00FF31EC">
        <w:t xml:space="preserve"> </w:t>
      </w:r>
      <w:r w:rsidR="00370F0F" w:rsidRPr="00BE4A67">
        <w:t xml:space="preserve">Parlamentet efterlyser vederbörlig efterlevnad av gällande </w:t>
      </w:r>
      <w:r w:rsidR="00370F0F" w:rsidRPr="00BE4A67">
        <w:lastRenderedPageBreak/>
        <w:t>regler. Parlamentet uppmanar sin administration att undersöka möjligheten att införa en uppsägningstid i ackrediterade assistenters kontrakt i händelse av att en ledamot oväntat skulle lämna sitt uppdrag, oavsett om det är frivilligt eller ofrivilligt.</w:t>
      </w:r>
      <w:r w:rsidR="00370F0F" w:rsidRPr="00BE4A67">
        <w:rPr>
          <w:b/>
          <w:i/>
        </w:rPr>
        <w:t> </w:t>
      </w:r>
    </w:p>
    <w:p w14:paraId="75AF2E77" w14:textId="7A9A081C" w:rsidR="00370F0F" w:rsidRPr="00BE4A67" w:rsidRDefault="0016469D" w:rsidP="00370F0F">
      <w:pPr>
        <w:pStyle w:val="NormalHanging12a"/>
        <w:widowControl/>
      </w:pPr>
      <w:r>
        <w:t>69</w:t>
      </w:r>
      <w:r w:rsidR="00370F0F" w:rsidRPr="00BE4A67">
        <w:t>.</w:t>
      </w:r>
      <w:r w:rsidR="00370F0F" w:rsidRPr="00BE4A67">
        <w:tab/>
        <w:t xml:space="preserve">Europaparlamentet noterar att ackrediterade assistenter deltar i officiella tjänsteresor till parlamentets tre arbetsorter. Parlamentet noterar att presidiet den 11 december 2023 antog ändringar av tillämpningsföreskrifterna för avdelning VII i anställningsvillkoren för övriga anställda i Europeiska unionen, som reglerar anställning av ackrediterade assistenter. Parlamentet noterar att enligt detta beslut ska de regler som gäller för tjänsteresor för parlamentets tjänstemän och övriga anställda efter nödvändiga ändringar gälla även för ackrediterade assistenter. Parlamentet noterar att när ackrediterade assistenter har en godkänd reseorder för att resa till Strasbourg under Europaparlamentets plenarsammanträden kan de resa dit med chartertåg. Parlamentet noterar att om de chartrade </w:t>
      </w:r>
      <w:proofErr w:type="spellStart"/>
      <w:r w:rsidR="00370F0F" w:rsidRPr="00BE4A67">
        <w:t>Eurostar</w:t>
      </w:r>
      <w:proofErr w:type="spellEnd"/>
      <w:r w:rsidR="00370F0F" w:rsidRPr="00BE4A67">
        <w:t>-tågen är fulla erbjuds ackrediterade assistenter betydligt sämre och mer otillförlitliga resealternativ än parlamentets övriga personal. Parlamentet uppmanas att undersöka behovet av ytterligare tåg. Parlamentet upprepar att det bör utfärdas en reseorder för de ackrediterade assistenter som följer med ledamöter till sammanträdesperioderna i Strasbourg och att de bör ersättas i enlighet med tillämpliga bestämmelser.</w:t>
      </w:r>
    </w:p>
    <w:p w14:paraId="5C966EF5" w14:textId="023606D2" w:rsidR="00370F0F" w:rsidRPr="00BE4A67" w:rsidRDefault="0016469D" w:rsidP="00370F0F">
      <w:pPr>
        <w:pStyle w:val="NormalHanging12a"/>
        <w:widowControl/>
      </w:pPr>
      <w:r>
        <w:t>70</w:t>
      </w:r>
      <w:r w:rsidR="00370F0F" w:rsidRPr="00BE4A67">
        <w:t>.</w:t>
      </w:r>
      <w:r w:rsidR="00370F0F" w:rsidRPr="00BE4A67">
        <w:tab/>
        <w:t>Europaparlamentet konstaterar att presidiets beslut om tillämpliga bestämmelser för utskottsresor utanför de tre arbetsorterna, ändrat i november 2011, efter diskussioner i talmanskonferensen i april 2011 och i presidiet i november 2011, för närvarande förbjuder ackrediterade assistenter att följa med ledamöter på parlamentets officiella delegationsresor och utskottsresor. Parlamentet noterar att om ackrediterade assistenter tillåts att inofficiellt delta i parlamentets tjänsteresor utsätts parlamentet för en allvarlig anseenderisk och att detta medför särskilda utmaningar när det gäller deras försäkringsskydd. Parlamentet påminner om att parlamentsledamöter redan åtföljs av företrädare för politiska grupper under dessa tjänsteresor</w:t>
      </w:r>
      <w:r w:rsidR="00FF31EC" w:rsidRPr="00FF31EC">
        <w:t>, men påpekar att det tekniska stöd som ackrediterade assistenter tillhandahåller under tjänsteresor är av avgörande betydelse för de deltagande ledamöterna. Parlamentet upprepar sin sedan länge framförda begäran om att göra det möjligt för ackrediterade assistenter att – på vissa villkor som ännu inte har fastställts – följa med ledamöter i parlamentets officiella delegationer och på officiella tjänsteresor utanför de tre arbetsorterna, vilket upprepats av kammaren i flera ansvarsfrihetsresolutioner. Parlamentet uppmanar med kraft presidiet och talmanskonferensen att tillmötesgå denna begäran</w:t>
      </w:r>
      <w:r w:rsidR="00370F0F" w:rsidRPr="00BE4A67">
        <w:t>.</w:t>
      </w:r>
    </w:p>
    <w:p w14:paraId="122BA438" w14:textId="6DB06873" w:rsidR="00370F0F" w:rsidRPr="00BE4A67" w:rsidRDefault="0016469D" w:rsidP="00370F0F">
      <w:pPr>
        <w:pStyle w:val="NormalHanging12a"/>
        <w:widowControl/>
      </w:pPr>
      <w:r>
        <w:t>71</w:t>
      </w:r>
      <w:r w:rsidR="00370F0F" w:rsidRPr="00BE4A67">
        <w:t>.</w:t>
      </w:r>
      <w:r w:rsidR="00370F0F" w:rsidRPr="00BE4A67">
        <w:tab/>
        <w:t>Europaparlamentet påminner om att ackrediterade assistenter, oavsett erfarenhet och kvalifikationer, inte får delta i Europaparlamentets interna uttagningsprov. Parlamentet uppmanar presidiet att undersöka möjligheten att på en rättvis grund och i enlighet med kriterier fastställda av de berörda generaldirektoraten och på ännu inte fastställda villkor, ge ackrediterade assistenter samma möjligheter att delta i interna uttagningsprov som Europaparlamentets personal har. Parlamentet noterar att ackrediterade assistenter på grund av flera års erfarenhet har en grundlig förståelse för de politiska och tekniska aspekter som är förenade med utövandet av ledamöternas mandat samt unionens olika rättsliga förfaranden. Parlamentet betonar att ett ökat deltagande av ackrediterade assistenter i parlamentets interna strukturer skulle kunna leda till en mer inkluderande, diversifierad och geografiskt balanserad personalstyrka. Parlamentet framhåller vikten av att bevara och överföra kunskap inom Europaparlamentet när det gäller de interna arbetsmetoderna.</w:t>
      </w:r>
    </w:p>
    <w:p w14:paraId="6B89099B" w14:textId="772EDC56" w:rsidR="00370F0F" w:rsidRPr="00BE4A67" w:rsidRDefault="0016469D" w:rsidP="00370F0F">
      <w:pPr>
        <w:pStyle w:val="NormalHanging12a"/>
        <w:widowControl/>
      </w:pPr>
      <w:r>
        <w:lastRenderedPageBreak/>
        <w:t>72</w:t>
      </w:r>
      <w:r w:rsidR="00370F0F" w:rsidRPr="00BE4A67">
        <w:t>.</w:t>
      </w:r>
      <w:r w:rsidR="00370F0F" w:rsidRPr="00BE4A67">
        <w:tab/>
        <w:t>Europaparlamentet noterar att den karensperiod som gäller för ackrediterade assistenter är minst dubbelt så lång som den karensperiod som gäller för ledamöter av Europaparlamentet. Parlamentet uppmanar till en diskussion om harmonisering av karenstiden för Europaparlamentets anställda.</w:t>
      </w:r>
    </w:p>
    <w:p w14:paraId="03426D4F" w14:textId="5BC7BE5C" w:rsidR="00370F0F" w:rsidRPr="00BE4A67" w:rsidRDefault="0016469D" w:rsidP="00370F0F">
      <w:pPr>
        <w:pStyle w:val="NormalHanging12a"/>
        <w:widowControl/>
      </w:pPr>
      <w:r>
        <w:t>73</w:t>
      </w:r>
      <w:r w:rsidR="00370F0F" w:rsidRPr="00BE4A67">
        <w:t>.</w:t>
      </w:r>
      <w:r w:rsidR="00370F0F" w:rsidRPr="00BE4A67">
        <w:tab/>
        <w:t>Europaparlamentet välkomnar de framsteg som gjorts med översynen av bestämmelserna om anställning av ackrediterade assistenter. Parlamentet välkomnar den positiva harmonisering som beslutet medför för personalen. Parlamentet välkomnar den överenskommelse som nåtts om ömsesidig uppsägning av avtal mellan ackrediterade assistenter och ledamöter av Europaparlamentet. Parlamentet välkomnar anpassningen mellan bestämmelserna om traktamenten för tjänsteresor för ackrediterade assistenter och för parlamentets personal. Parlamentet välkomnar översynen av den obligatoriska utbildningen för ackrediterade assistenter när de tillträder sina tjänster. Parlamentet välkomnar översynen av bestämmelserna om mammaledighet för ackrediterade assistenter för att se till ledamöterna använder resurserna på ett effektivare sätt. Parlamentet lovordar Europaparlamentets presidium för att under de senaste åren ha tagit hänsyn till önskemålen från Europaparlamentets plenarförsamling och synpunkterna från kommittén för ackrediterade assistenter Parlamentet uppmuntrar parlamentets presidium att fortsätta detta konstruktiva samarbete med kommittén för ackrediterade assistenter när det gäller andra olösta frågor.</w:t>
      </w:r>
    </w:p>
    <w:p w14:paraId="266815B1" w14:textId="18DEB7A6" w:rsidR="009B1F1D" w:rsidRPr="00BE4A67" w:rsidRDefault="0016469D" w:rsidP="00370F0F">
      <w:pPr>
        <w:pStyle w:val="NormalHanging12a"/>
        <w:widowControl/>
      </w:pPr>
      <w:r>
        <w:t>74</w:t>
      </w:r>
      <w:r w:rsidR="00370F0F" w:rsidRPr="00BE4A67">
        <w:t>.</w:t>
      </w:r>
      <w:r w:rsidR="00370F0F" w:rsidRPr="00BE4A67">
        <w:tab/>
        <w:t xml:space="preserve">För att öka transparensen och ansvarsskyldigheten i Europaparlamentets verksamhet och främja en rättvis fördelning av resurserna föreslår Europaparlamentet följande ändringar av assistentstödet till ledamöterna, de övergripande taken och budgeten: </w:t>
      </w:r>
    </w:p>
    <w:p w14:paraId="0214DE4E" w14:textId="77777777" w:rsidR="009B1F1D" w:rsidRPr="00BE4A67" w:rsidRDefault="00370F0F" w:rsidP="00BE4A67">
      <w:pPr>
        <w:pStyle w:val="NormalHanging12a"/>
        <w:widowControl/>
        <w:ind w:left="1134"/>
      </w:pPr>
      <w:r w:rsidRPr="00BE4A67">
        <w:t xml:space="preserve">1. </w:t>
      </w:r>
      <w:r w:rsidR="009B1F1D" w:rsidRPr="00BE4A67">
        <w:tab/>
      </w:r>
      <w:r w:rsidRPr="00BE4A67">
        <w:t xml:space="preserve">Det lägsta budgetanslaget för assistentstöd till ledamöterna ska fastställas till minst 35 %. </w:t>
      </w:r>
    </w:p>
    <w:p w14:paraId="75A106E3" w14:textId="77777777" w:rsidR="009B1F1D" w:rsidRPr="00BE4A67" w:rsidRDefault="00370F0F" w:rsidP="00BE4A67">
      <w:pPr>
        <w:pStyle w:val="NormalHanging12a"/>
        <w:widowControl/>
        <w:ind w:left="1134"/>
      </w:pPr>
      <w:r w:rsidRPr="00BE4A67">
        <w:t xml:space="preserve">2. </w:t>
      </w:r>
      <w:r w:rsidR="009B1F1D" w:rsidRPr="00BE4A67">
        <w:tab/>
      </w:r>
      <w:r w:rsidRPr="00BE4A67">
        <w:t xml:space="preserve">Det maximala budgetanslaget för övriga stödmottagare ska begränsas till 65 % och fördelas enligt följande: </w:t>
      </w:r>
    </w:p>
    <w:p w14:paraId="3D922748" w14:textId="77777777" w:rsidR="009B1F1D" w:rsidRPr="00BE4A67" w:rsidRDefault="00370F0F" w:rsidP="00BE4A67">
      <w:pPr>
        <w:pStyle w:val="NormalHanging12a"/>
        <w:widowControl/>
        <w:ind w:left="1701"/>
      </w:pPr>
      <w:r w:rsidRPr="00BE4A67">
        <w:t xml:space="preserve">a. </w:t>
      </w:r>
      <w:r w:rsidR="009B1F1D" w:rsidRPr="00BE4A67">
        <w:tab/>
      </w:r>
      <w:r w:rsidRPr="00BE4A67">
        <w:t xml:space="preserve">tjänsteleverantörer ska begränsas till högst 25 % av budgetanslaget, </w:t>
      </w:r>
    </w:p>
    <w:p w14:paraId="2AF9C674" w14:textId="77777777" w:rsidR="009B1F1D" w:rsidRPr="00BE4A67" w:rsidRDefault="00370F0F" w:rsidP="00BE4A67">
      <w:pPr>
        <w:pStyle w:val="NormalHanging12a"/>
        <w:widowControl/>
        <w:ind w:left="1701"/>
      </w:pPr>
      <w:r w:rsidRPr="00BE4A67">
        <w:t xml:space="preserve">b. </w:t>
      </w:r>
      <w:r w:rsidR="009B1F1D" w:rsidRPr="00BE4A67">
        <w:tab/>
      </w:r>
      <w:r w:rsidRPr="00BE4A67">
        <w:t xml:space="preserve">lokala assistenter ska begränsas till högst 25 % av budgetanslaget och </w:t>
      </w:r>
    </w:p>
    <w:p w14:paraId="4B3F2D0D" w14:textId="77777777" w:rsidR="00370F0F" w:rsidRPr="00BE4A67" w:rsidRDefault="00370F0F" w:rsidP="00BE4A67">
      <w:pPr>
        <w:pStyle w:val="NormalHanging12a"/>
        <w:widowControl/>
        <w:ind w:left="1701"/>
      </w:pPr>
      <w:r w:rsidRPr="00BE4A67">
        <w:t xml:space="preserve">c. </w:t>
      </w:r>
      <w:r w:rsidR="009B1F1D" w:rsidRPr="00BE4A67">
        <w:tab/>
      </w:r>
      <w:r w:rsidRPr="00BE4A67">
        <w:t>praktikanter ska begränsas till högst 15 % av budgetanslaget.</w:t>
      </w:r>
    </w:p>
    <w:p w14:paraId="51B02E8D" w14:textId="3338282F"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efter de två omgångar av Schumanprogrammet för rekrytering och utveckling som slutfördes 2022, rekryterades 16 % av kandidaterna från de personer som placerades i poolen 2022. Parlamentet betonar att denna åtgärd ledde till att 50 godkända sökande från 16 olika medlemsstater rekryterades. Parlamentet påpekar att nio av de medlemsstater som representerades av få eller mycket få anställda nu är bättre representerade och representeras av 70 % av motsvarande godkända sökande. Parlamentet framhåller inrättandet av ett </w:t>
      </w:r>
      <w:proofErr w:type="spellStart"/>
      <w:r w:rsidR="00370F0F" w:rsidRPr="00BE4A67">
        <w:rPr>
          <w14:textOutline w14:w="0" w14:cap="flat" w14:cmpd="sng" w14:algn="ctr">
            <w14:noFill/>
            <w14:prstDash w14:val="solid"/>
            <w14:bevel/>
          </w14:textOutline>
        </w:rPr>
        <w:t>alumninätverk</w:t>
      </w:r>
      <w:proofErr w:type="spellEnd"/>
      <w:r w:rsidR="00370F0F" w:rsidRPr="00BE4A67">
        <w:rPr>
          <w14:textOutline w14:w="0" w14:cap="flat" w14:cmpd="sng" w14:algn="ctr">
            <w14:noFill/>
            <w14:prstDash w14:val="solid"/>
            <w14:bevel/>
          </w14:textOutline>
        </w:rPr>
        <w:t xml:space="preserve"> av före detta praktikanter vid parlamentet som godkändes av generalsekreteraren i slutet av 2022.</w:t>
      </w:r>
    </w:p>
    <w:p w14:paraId="6EF6C776" w14:textId="0C6A547D"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att GD PERS har genomfört urvalsförfarandet med positiv särbehandling för praktikanter med funktionsnedsättning, vilket har lett till ett betydligt större antal ansökningar än under tidigare år.</w:t>
      </w:r>
    </w:p>
    <w:p w14:paraId="0C4EFDD2" w14:textId="663808D6" w:rsidR="00370F0F" w:rsidRPr="00BE4A67" w:rsidRDefault="0016469D" w:rsidP="00370F0F">
      <w:pPr>
        <w:pStyle w:val="NormalHanging12a"/>
        <w:widowControl/>
      </w:pPr>
      <w:r>
        <w:t>77</w:t>
      </w:r>
      <w:r w:rsidR="00370F0F" w:rsidRPr="00BE4A67">
        <w:t>.</w:t>
      </w:r>
      <w:r w:rsidR="00370F0F" w:rsidRPr="00BE4A67">
        <w:tab/>
        <w:t xml:space="preserve">Europaparlamentet påminner om generalsekreterarens beslut från november 2022 om de nya bestämmelser om distansarbete i parlamentet som gäller för parlamentets generalsekretariat. Parlamentet påminner om att ledamöterna och de politiska grupperna </w:t>
      </w:r>
      <w:r w:rsidR="00370F0F" w:rsidRPr="00BE4A67">
        <w:lastRenderedPageBreak/>
        <w:t>också kan besluta att tillämpa bestämmelserna om distansarbete i enlighet med detta beslut. Parlamentet påpekar att en balanserad användning av en hybridarbetsmiljö är fördelaktig och produktiv och välkomnar därför beslutet att bibehålla möjligheterna till distansarbete. Parlamentet påminner om att fysisk närvaro alltid är av avgörande betydelse för att alla aktörer ska kunna delta effektivt och ändamålsenligt i varje parlamentsprocess.</w:t>
      </w:r>
    </w:p>
    <w:p w14:paraId="4D6C0FD2" w14:textId="0EB7FA3F" w:rsidR="00370F0F" w:rsidRPr="00BE4A67" w:rsidRDefault="0016469D" w:rsidP="00370F0F">
      <w:pPr>
        <w:pStyle w:val="NormalHanging12a"/>
        <w:widowControl/>
      </w:pPr>
      <w:r>
        <w:t>78</w:t>
      </w:r>
      <w:r w:rsidR="00370F0F" w:rsidRPr="00BE4A67">
        <w:t>.</w:t>
      </w:r>
      <w:r w:rsidR="00370F0F" w:rsidRPr="00BE4A67">
        <w:tab/>
        <w:t>Europaparlamentet föreslår att en analys av de nya arbetssätten fortsätter att genomföras för att förena behoven hos parlamentets administration (inbegripet gruppsammanhållning, intern kommunikation och introduktion av nyanställda), vilket skulle ha en positiv inverkan på dess resultat och parlamentets attraktionskraft som arbetsgivare. Parlamentet noterar införandet av en möjlighet för de anställda att distansarbeta från utlandet under fem dagar per år. Parlamentet noterar att vissa av åtgärderna i samband med covid-19-pandemin har ändrat arbetsvillkoren inom specifika tjänster. Parlamentet efterlyser en proaktiv övervakning och utvärdering av de nya arbetssätten så att personalens välbefinnande och tillfredsställelse inte påverkas negativt.</w:t>
      </w:r>
    </w:p>
    <w:p w14:paraId="45A7BD69" w14:textId="43080A12" w:rsidR="00370F0F" w:rsidRDefault="0016469D" w:rsidP="00370F0F">
      <w:pPr>
        <w:pStyle w:val="NormalHanging12a"/>
        <w:widowControl/>
      </w:pPr>
      <w:r>
        <w:t>79</w:t>
      </w:r>
      <w:r w:rsidR="00370F0F" w:rsidRPr="00BE4A67">
        <w:t>.</w:t>
      </w:r>
      <w:r w:rsidR="00370F0F" w:rsidRPr="00BE4A67">
        <w:tab/>
        <w:t>Europaparlamentet noterar att av de 459 ledamöter under den åttonde valperioden som inte omvaldes 2019 mottog parlamentet endast en anmälan om anställning efter mandatperiodens slut (artikel 6 i uppförandekoden). Parlamentet välkomnar förbudet för före detta ledamöter att ägna sig åt lobbyverksamhet under sex månader efter det att deras mandat löpt ut och införandet av ett förfarande vid bristande efterlevnad. Parlamentet lovordar att det inte längre är möjligt att utfärda ett passerkort för lobbyister till en före detta ledamot inom sexmånadersperioden efter mandatperiodens slut och att passerkortet för före detta ledamöter avaktiveras om ett passerkort för lobbyister utfärdas till den före detta ledamoten efter denna period. Parlamentet noterar att 65 av de 199 tjänstemän som lämnade sin tjänst under 2022 ansökte om tillstånd att utöva verksamhet efter avslutad tjänstgöring (artikel 16 i tjänsteföreskrifterna). Parlamentet uppmanas att införa strängare bestämmelser för att reglera svängdörrssituationer för ledamöter och tjänstemän.</w:t>
      </w:r>
    </w:p>
    <w:p w14:paraId="4F1A41FB" w14:textId="0FB5DDCA" w:rsidR="00B75E6C" w:rsidRPr="00BE4A67" w:rsidRDefault="0016469D" w:rsidP="00370F0F">
      <w:pPr>
        <w:pStyle w:val="NormalHanging12a"/>
        <w:widowControl/>
      </w:pPr>
      <w:r>
        <w:t>80</w:t>
      </w:r>
      <w:r w:rsidR="00B75E6C" w:rsidRPr="00B75E6C">
        <w:t>.</w:t>
      </w:r>
      <w:r w:rsidR="00B75E6C" w:rsidRPr="00B75E6C">
        <w:tab/>
        <w:t>Europaparlamentet är fast övertygat om att sponsring av evenemang och resor aldrig bör tjäna som ett sätt att äventyra unionens värden eller sprida fientlig information från auktoritära regimer. Parlamentet upprepar sitt krav på strängare regler för parlamentsledamöters resor som betalas av utländska länder och enheter. Parlamentet anser att liknande regler bör utarbetas för resor som görs av ackrediterade assistenter eller de politiska gruppernas personal.</w:t>
      </w:r>
    </w:p>
    <w:p w14:paraId="3D62160C"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infrastruktur och logistik</w:t>
      </w:r>
    </w:p>
    <w:p w14:paraId="76F4985B" w14:textId="26771D72"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påminner om att generaldirektoratet för infrastruktur och logistik (GD INLO) förvaltar anläggningar på 1,3 miljoner m² i Bryssel, Luxemburg och Strasbourg samt förbindelsekontoren och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-centrumen i medlemsstaterna. Parlamentet noterar att GD INLO också tillhandahåller catering och transport samt förvaltar och utrustar parlamentets kontors- och sammanträdesutrymmen. Parlamentet noterar att det den 31 december 2022 fanns 652 anställda, varav 267 var tjänstemän, 47 tillfälligt anställda och 338 kontraktsanställda.</w:t>
      </w:r>
    </w:p>
    <w:p w14:paraId="2085DEA3" w14:textId="42B16E23" w:rsidR="00370F0F" w:rsidRPr="00BE4A67" w:rsidRDefault="0016469D"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w:t>
      </w:r>
      <w:proofErr w:type="spellStart"/>
      <w:r w:rsidR="00370F0F" w:rsidRPr="00BE4A67">
        <w:rPr>
          <w14:textOutline w14:w="0" w14:cap="flat" w14:cmpd="sng" w14:algn="ctr">
            <w14:noFill/>
            <w14:prstDash w14:val="solid"/>
            <w14:bevel/>
          </w14:textOutline>
        </w:rPr>
        <w:t>INLO:s</w:t>
      </w:r>
      <w:proofErr w:type="spellEnd"/>
      <w:r w:rsidR="00370F0F" w:rsidRPr="00BE4A67">
        <w:rPr>
          <w14:textOutline w14:w="0" w14:cap="flat" w14:cmpd="sng" w14:algn="ctr">
            <w14:noFill/>
            <w14:prstDash w14:val="solid"/>
            <w14:bevel/>
          </w14:textOutline>
        </w:rPr>
        <w:t xml:space="preserve"> slutliga anslag uppgick till 271 191 093 EUR 2022, vilket motsvarar 12,5 % av parlamentets budget. Parlamentet framhåller att av detta belopp anslogs totalt 269 189 287 EUR. Parlamentet välkomnar den höga </w:t>
      </w:r>
      <w:r w:rsidR="00370F0F" w:rsidRPr="00BE4A67">
        <w:rPr>
          <w14:textOutline w14:w="0" w14:cap="flat" w14:cmpd="sng" w14:algn="ctr">
            <w14:noFill/>
            <w14:prstDash w14:val="solid"/>
            <w14:bevel/>
          </w14:textOutline>
        </w:rPr>
        <w:lastRenderedPageBreak/>
        <w:t>användningen av anslag. Parlamentet noterar att budgetposter där utnyttjandegraden var lägre än 95 % förekom inom rörlighet, en misslyckad anbudsinfordran för inköp av fordon och verksamhet som var lägre än väntat på grund av covid-19-pandemin, vilket ledde till lägre utgifter för interna sammanträden.</w:t>
      </w:r>
    </w:p>
    <w:p w14:paraId="4ABAC531" w14:textId="2BDB18BF" w:rsidR="00370F0F" w:rsidRPr="00BE4A67" w:rsidRDefault="00083C7F"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konstaterar att parlamentets fastighetsstrategi efter 2019 tillhandahåller en ram för beslut och bidrar till att konsolidera parlamentets fastighetsportfölj och samtidigt anpassa lokalerna till utvecklingen av sammanträdesmönster, nå ut lokalt och närmare medborgarna genom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-centrumen, förbättra säkerheten för parlamentets byggnader och uppnå en sammankoppling av centrala byggnader. Parlamentet noterar att de flesta av de strategier och åtgärder som avses i den nuvarande fastighetsstrategin antingen har slutförts eller är på god väg att genomföras.</w:t>
      </w:r>
    </w:p>
    <w:p w14:paraId="7A2BC88E" w14:textId="0F511DAC" w:rsidR="00370F0F" w:rsidRPr="00BE4A67" w:rsidRDefault="00083C7F"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betonar behovet av en effektiv och resultatinriktad förvaltning av parlamentets byggnader. Parlamentet uttrycker sin tillfredsställelse över resultatet av 2022 års bedömning av byggnader, som meddelades presidiet i juni 2022 i form av byggnadspass, där poängen för energiprestandaindex för inomhusmiljö (EPIQR) endast var 0,1, vilket vittnar om deras övergripande utmärkta skick och om effektivt förebyggande och korrigerande förvaltnings- och underhållsplanering av parlamentets behöriga tjänster inom ramen för den integrerade strategin för fastighetsförvaltning med fokus på livscykelförvaltningen av parlamentets fastighetsportfölj, som antogs av presidiet den 8 mars 2021.</w:t>
      </w:r>
    </w:p>
    <w:p w14:paraId="7CB9F508" w14:textId="35EC117F" w:rsidR="00370F0F" w:rsidRPr="00BE4A67" w:rsidRDefault="00083C7F" w:rsidP="00370F0F">
      <w:pPr>
        <w:pStyle w:val="NormalHanging12a"/>
        <w:widowControl/>
      </w:pPr>
      <w:r>
        <w:t>85</w:t>
      </w:r>
      <w:r w:rsidR="00370F0F" w:rsidRPr="00BE4A67">
        <w:t>.</w:t>
      </w:r>
      <w:r w:rsidR="00370F0F" w:rsidRPr="00BE4A67">
        <w:tab/>
        <w:t xml:space="preserve">Europaparlamentet välkomnar GD </w:t>
      </w:r>
      <w:proofErr w:type="spellStart"/>
      <w:r w:rsidR="00370F0F" w:rsidRPr="00BE4A67">
        <w:t>INLO:s</w:t>
      </w:r>
      <w:proofErr w:type="spellEnd"/>
      <w:r w:rsidR="00370F0F" w:rsidRPr="00BE4A67">
        <w:t xml:space="preserve"> åtagande att införa miljömässigt hållbara lösningar. Parlamentet noterar att parlamentet under 2022 genererade över 19 % av sin egen energi från förnybara energikällor. Parlamentet välkomnar den studie om elproduktion på plats i Strasbourg som genomfördes 2022 och det därpå följande och ännu pågående genomförandet av 1 400 m² solcellspaneler på byggnaderna PFLIMLIN, DE MADARIAGA och CHURCHILL. Parlamentet betonar att parlamentet skulle kunna dela denna energi med staden Strasbourg när parlamentets lokaler till största delen står tomma. Parlamentet uppmanar presidiet att även överväga att hyra ut takytorna till externa användare för installation av solpaneler och därmed göra dem till en ytterligare inkomstkälla för parlamentet.</w:t>
      </w:r>
    </w:p>
    <w:p w14:paraId="04FA2115" w14:textId="3C680FF3" w:rsidR="00370F0F" w:rsidRPr="00BE4A67" w:rsidRDefault="00083C7F"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invigningen av den östra flygeln av ADENAUER</w:t>
      </w:r>
      <w:r w:rsidR="00370F0F" w:rsidRPr="00BE4A67">
        <w:rPr>
          <w14:textOutline w14:w="0" w14:cap="flat" w14:cmpd="sng" w14:algn="ctr">
            <w14:noFill/>
            <w14:prstDash w14:val="solid"/>
            <w14:bevel/>
          </w14:textOutline>
        </w:rPr>
        <w:noBreakHyphen/>
        <w:t>byggnaden i Luxemburg den 10 maj 2022, som tillsammans med idrifttagandet av den västra delen efter det att uppförandet slutförts 2024 kommer att tillhandahålla en enda byggnad som hyser alla parlamentets tjänster i Luxemburg på en och samma plats.</w:t>
      </w:r>
    </w:p>
    <w:p w14:paraId="0AD3C8C5" w14:textId="7F38BCCF" w:rsidR="00370F0F" w:rsidRPr="00BE4A67" w:rsidRDefault="00083C7F"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öppnandet av 15 seminarierum för besökare, en multifunktionell </w:t>
      </w:r>
      <w:proofErr w:type="spellStart"/>
      <w:r w:rsidR="00370F0F" w:rsidRPr="00BE4A67">
        <w:rPr>
          <w14:textOutline w14:w="0" w14:cap="flat" w14:cmpd="sng" w14:algn="ctr">
            <w14:noFill/>
            <w14:prstDash w14:val="solid"/>
            <w14:bevel/>
          </w14:textOutline>
        </w:rPr>
        <w:t>agora</w:t>
      </w:r>
      <w:proofErr w:type="spellEnd"/>
      <w:r w:rsidR="00370F0F" w:rsidRPr="00BE4A67">
        <w:rPr>
          <w14:textOutline w14:w="0" w14:cap="flat" w14:cmpd="sng" w14:algn="ctr">
            <w14:noFill/>
            <w14:prstDash w14:val="solid"/>
            <w14:bevel/>
          </w14:textOutline>
        </w:rPr>
        <w:t xml:space="preserve"> och Sacharovloungen i ZWEIG-byggnaden, vilket kommer att bidra till en förbättrad besöksupplevelse i Europaparlamentet i Bryssel. Parlamentet noterar slutförandet av passagen mellan ZWEIG-byggnaden och Regionkommitténs och Europeiska ekonomiska och sociala kommitténs byggnader.</w:t>
      </w:r>
    </w:p>
    <w:p w14:paraId="79C9F27F" w14:textId="3EB041BE" w:rsidR="00370F0F" w:rsidRPr="00BE4A67" w:rsidRDefault="00083C7F" w:rsidP="00370F0F">
      <w:pPr>
        <w:pStyle w:val="NormalHanging12a"/>
        <w:widowControl/>
      </w:pPr>
      <w:r>
        <w:t>88</w:t>
      </w:r>
      <w:r w:rsidR="00370F0F" w:rsidRPr="00BE4A67">
        <w:t>.</w:t>
      </w:r>
      <w:r w:rsidR="00370F0F" w:rsidRPr="00BE4A67">
        <w:tab/>
        <w:t xml:space="preserve">Europaparlamentet välkomnar parlamentets insatser för att uppmuntra personalen att använda hållbara transportmedel för pendling genom att kostnadsfritt ställa ett större antal klassiska cyklar och </w:t>
      </w:r>
      <w:proofErr w:type="spellStart"/>
      <w:r w:rsidR="00370F0F" w:rsidRPr="00BE4A67">
        <w:t>elcyklar</w:t>
      </w:r>
      <w:proofErr w:type="spellEnd"/>
      <w:r w:rsidR="00370F0F" w:rsidRPr="00BE4A67">
        <w:t xml:space="preserve"> till förfogande och genom att ersätta en del av kostnaden för kollektivtrafikbiljetter i utbyte mot en begränsning av tillträdet till bilparkeringen. Parlamentet välkomnar det nya systemet som innebär en prissänkning </w:t>
      </w:r>
      <w:r w:rsidR="00370F0F" w:rsidRPr="00BE4A67">
        <w:lastRenderedPageBreak/>
        <w:t>på 90 % för kollektivtrafikbiljetter i Bryssel, vilket har lett till att antalet anställda som använder ett sådant periodkort som medfinansieras av parlamentet ökat med 26,75 %.</w:t>
      </w:r>
    </w:p>
    <w:p w14:paraId="5368F689" w14:textId="0AD6E946" w:rsidR="00370F0F" w:rsidRPr="00BE4A67" w:rsidRDefault="00083C7F" w:rsidP="00370F0F">
      <w:pPr>
        <w:pStyle w:val="NormalHanging12a"/>
        <w:widowControl/>
      </w:pPr>
      <w:r>
        <w:t>89</w:t>
      </w:r>
      <w:r w:rsidR="00370F0F" w:rsidRPr="00BE4A67">
        <w:t>.</w:t>
      </w:r>
      <w:r w:rsidR="00370F0F" w:rsidRPr="00BE4A67">
        <w:tab/>
        <w:t xml:space="preserve">Europaparlamentet välkomnar möjligheten för personalen att utnyttja vanliga cyklar och </w:t>
      </w:r>
      <w:proofErr w:type="spellStart"/>
      <w:r w:rsidR="00370F0F" w:rsidRPr="00BE4A67">
        <w:t>elcyklar</w:t>
      </w:r>
      <w:proofErr w:type="spellEnd"/>
      <w:r w:rsidR="00370F0F" w:rsidRPr="00BE4A67">
        <w:t xml:space="preserve"> under sammanträdesveckorna i Strasbourg. Parlamentet välkomnar att antalet tjänstecyklar har ökat. Parlamentet beklagar att cyklarna i praktiken är fullbokade flera dagar i förväg. Parlamentet uppmanas att undersöka möjligheten att erbjuda fler hyrcyklar i Strasbourg och att utöka tidsramarna för upphämtning av cyklarna för att tillgodose efterfrågan från ledamöter och personal och bidra till att öka den hållbara mobiliteten.</w:t>
      </w:r>
    </w:p>
    <w:p w14:paraId="7CC6BE1B" w14:textId="71BFCE56" w:rsidR="00370F0F" w:rsidRDefault="00083C7F" w:rsidP="00370F0F">
      <w:pPr>
        <w:pStyle w:val="NormalHanging12a"/>
        <w:widowControl/>
      </w:pPr>
      <w:r>
        <w:t>90</w:t>
      </w:r>
      <w:r w:rsidR="00370F0F" w:rsidRPr="00BE4A67">
        <w:t>.</w:t>
      </w:r>
      <w:r w:rsidR="00370F0F" w:rsidRPr="00BE4A67">
        <w:tab/>
        <w:t xml:space="preserve">Europaparlamentet välkomnar att andelen utsläppsfria bilar eller </w:t>
      </w:r>
      <w:proofErr w:type="spellStart"/>
      <w:r w:rsidR="00370F0F" w:rsidRPr="00BE4A67">
        <w:t>laddhybridbilar</w:t>
      </w:r>
      <w:proofErr w:type="spellEnd"/>
      <w:r w:rsidR="00370F0F" w:rsidRPr="00BE4A67">
        <w:t xml:space="preserve"> av tjänstebilarna för persontransporter har ökat från 81 % 2021 till 97 % 2022.</w:t>
      </w:r>
    </w:p>
    <w:p w14:paraId="6F7817ED" w14:textId="32D19121" w:rsidR="00D042D2" w:rsidRPr="00BE4A67" w:rsidRDefault="00083C7F" w:rsidP="00370F0F">
      <w:pPr>
        <w:pStyle w:val="NormalHanging12a"/>
        <w:widowControl/>
      </w:pPr>
      <w:r>
        <w:t>91</w:t>
      </w:r>
      <w:r w:rsidR="00CF5C9C" w:rsidRPr="00CF5C9C">
        <w:t>.</w:t>
      </w:r>
      <w:r w:rsidR="00CF5C9C" w:rsidRPr="00CF5C9C">
        <w:tab/>
        <w:t>Europaparlamentet påpekar att en stor andel av de tillgängliga platserna i de fordon som pendlar mellan Bryssel och Strasbourg under sammanträdesperioderna förblev outnyttjade under 2022. Parlamentet upprepar sin uppmaning till parlamentets administration att utvidga användargruppen och låta parlamentets personal resa till och från Strasbourg med tjänstebilarna utan att någon ledamot reser med, samtidigt som man ser till att ledamöternas platser är säkrade.</w:t>
      </w:r>
    </w:p>
    <w:p w14:paraId="6D3AE4B1" w14:textId="665BA403" w:rsidR="00370F0F" w:rsidRPr="00BE4A67" w:rsidRDefault="00083C7F"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erkänner betydelsen och mervärdet av parlamentets Emas</w:t>
      </w:r>
      <w:r w:rsidR="00370F0F" w:rsidRPr="00BE4A67">
        <w:rPr>
          <w14:textOutline w14:w="0" w14:cap="flat" w14:cmpd="sng" w14:algn="ctr">
            <w14:noFill/>
            <w14:prstDash w14:val="solid"/>
            <w14:bevel/>
          </w14:textOutline>
        </w:rPr>
        <w:noBreakHyphen/>
        <w:t>certifiering när det gäller en hållbar miljö och parlamentets institutionella strategi för en cirkulär ekonomi. Parlamentet noterar de vattenbesparings- och avfallshanteringsåtgärder som administrationen vidtagit i detta syfte.</w:t>
      </w:r>
    </w:p>
    <w:p w14:paraId="07645569" w14:textId="1E5473D3" w:rsidR="00370F0F" w:rsidRPr="00BE4A67" w:rsidRDefault="0043738B" w:rsidP="00370F0F">
      <w:pPr>
        <w:pStyle w:val="NormalHanging12a"/>
        <w:widowControl/>
      </w:pPr>
      <w:r>
        <w:t>93</w:t>
      </w:r>
      <w:r w:rsidR="00370F0F" w:rsidRPr="00BE4A67">
        <w:t>.</w:t>
      </w:r>
      <w:r w:rsidR="00370F0F" w:rsidRPr="00BE4A67">
        <w:tab/>
      </w:r>
      <w:r w:rsidR="00CF5C9C" w:rsidRPr="007E38A3">
        <w:rPr>
          <w:szCs w:val="24"/>
          <w:lang w:eastAsia="en-US"/>
        </w:rPr>
        <w:t xml:space="preserve">Europaparlamentet noterar presidiets enhälliga beslut av den 23 oktober 2019 om att godkänna inrättandet av ett IDEA Lab i syfte att testa nya innovativa lösningar inom ramen för förvaltningen av kontor och fastigheter. Parlamentet välkomnar inrättandet av ett permanent laboratorium för innovation som potentiellt skulle kunna leda till besparingar i samband med framtida renoveringsprojekt, och efterlyser inrättandet av en separat budgetpost. Parlamentet påpekar att IDEA Lab ska stå till ledamöternas förfogande och begär att ledamöterna ska informeras om innovationer och testade lösningar som kommer att införas i framtiden och de som man inte kommer att gå vidare med samt skälen till detta. Parlamentet anser att en av prioriteringarna för IDEA Lab bör vara en innovativ arkitektonisk lösning för att bättre utnyttja det utrymme som de outnyttjade duscharna upptar i ledamöternas kontor. Parlamentet uppmanar presidiets arbetsgrupp för fastigheter och parlamentets administration att säkerställa större transparens när det gäller IDEA </w:t>
      </w:r>
      <w:proofErr w:type="spellStart"/>
      <w:r w:rsidR="00CF5C9C" w:rsidRPr="007E38A3">
        <w:rPr>
          <w:szCs w:val="24"/>
          <w:lang w:eastAsia="en-US"/>
        </w:rPr>
        <w:t>Labs</w:t>
      </w:r>
      <w:proofErr w:type="spellEnd"/>
      <w:r w:rsidR="00CF5C9C" w:rsidRPr="007E38A3">
        <w:rPr>
          <w:szCs w:val="24"/>
          <w:lang w:eastAsia="en-US"/>
        </w:rPr>
        <w:t xml:space="preserve"> budget och att regelbundet informera budgetkontrollutskottet om förteckningen över innovativa lösningar, deras kostnader och den återkoppling som tagits fram, samt de potentiella besparingarna om de genomförs.</w:t>
      </w:r>
    </w:p>
    <w:p w14:paraId="2F2D6168" w14:textId="28EC1ADA" w:rsidR="00370F0F" w:rsidRPr="00BE4A67" w:rsidRDefault="0043738B"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de olika tillgänglighetsrelaterade projekt och arbeten som genomförts på alla tre arbetsorterna samt i förbindelsekontoren och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noBreakHyphen/>
        <w:t>centrumen i syfte att säkerställa fullständig överensstämmelse med det tillämpliga regelverket i linje med parlamentets åtagande att vara en institution utan hinder som är tillgänglig för alla.</w:t>
      </w:r>
    </w:p>
    <w:p w14:paraId="7AFE9876" w14:textId="04CEF5B1" w:rsidR="00370F0F" w:rsidRPr="00BE4A67" w:rsidRDefault="0043738B"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konstaterar att på grund av Rysslands anfallskrig mot Ukraina och energikrisen tvingade störningar i leveranskedjan och råvarubristen GD INLO att se över sina projekt och anpassa sin budget. Parlamentet påpekar att GD INLO på grund av </w:t>
      </w:r>
      <w:r w:rsidR="00370F0F" w:rsidRPr="00BE4A67">
        <w:rPr>
          <w14:textOutline w14:w="0" w14:cap="flat" w14:cmpd="sng" w14:algn="ctr">
            <w14:noFill/>
            <w14:prstDash w14:val="solid"/>
            <w14:bevel/>
          </w14:textOutline>
        </w:rPr>
        <w:lastRenderedPageBreak/>
        <w:t xml:space="preserve">underskottet i energibudgeten tvingades frysa eller skjuta upp vissa projekt för att frigöra de resurser som krävdes för att hantera den stora prisökningen. </w:t>
      </w:r>
    </w:p>
    <w:p w14:paraId="142BE43A" w14:textId="12B42846" w:rsidR="00370F0F" w:rsidRPr="00BE4A67" w:rsidRDefault="0043738B" w:rsidP="00370F0F">
      <w:pPr>
        <w:pStyle w:val="NormalHanging12a"/>
        <w:widowControl/>
      </w:pPr>
      <w:r>
        <w:t>96</w:t>
      </w:r>
      <w:r w:rsidR="00370F0F" w:rsidRPr="00BE4A67">
        <w:t>.</w:t>
      </w:r>
      <w:r w:rsidR="00370F0F" w:rsidRPr="00BE4A67">
        <w:tab/>
        <w:t>Europaparlamentet noterar de åtgärder som vidtagits för att minska parlamentets energiförbrukning, såsom att minska den högsta uppvärmningstemperaturen i kontorsutrymmen och öka minimitemperaturen för kylning, stänga av värme- och kylsystemen under helger och allmänna helgdagar, minska belysningen av byggnadsfasader och minska belysningen inomhus. Parlamentet erkänner att åtgärderna måste omprövas i takt med att energikrisen utvecklas och att hänsyn alltid bör tas till personalens välbefinnande.</w:t>
      </w:r>
    </w:p>
    <w:p w14:paraId="72DF3433" w14:textId="2479B5E9" w:rsidR="00370F0F" w:rsidRPr="00BE4A67" w:rsidRDefault="0043738B"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konstaterar att de olika åtgärder som administrationen införde till följd av presidiets relevanta beslut i maj och oktober 2022 ledde till en betydande minskning av energiförbrukningen och besparingar på 10,5 miljoner EUR från maj 2022 till oktober 2023.</w:t>
      </w:r>
    </w:p>
    <w:p w14:paraId="77E26C07" w14:textId="6C447320" w:rsidR="00370F0F" w:rsidRPr="00BE4A67" w:rsidRDefault="0043738B" w:rsidP="00370F0F">
      <w:pPr>
        <w:pStyle w:val="NormalHanging12a"/>
        <w:widowControl/>
      </w:pPr>
      <w:r>
        <w:t>98</w:t>
      </w:r>
      <w:r w:rsidR="00370F0F" w:rsidRPr="00BE4A67">
        <w:t>.</w:t>
      </w:r>
      <w:r w:rsidR="00370F0F" w:rsidRPr="00BE4A67">
        <w:tab/>
        <w:t xml:space="preserve">Europaparlamentet konstaterar att GD INLO under hela 2022 fortsatte att genomföra parlamentets fastighetsstrategi efter 2019. Parlamentet noterar att köpet av </w:t>
      </w:r>
      <w:proofErr w:type="spellStart"/>
      <w:r w:rsidR="00370F0F" w:rsidRPr="00BE4A67">
        <w:t>Trèves</w:t>
      </w:r>
      <w:proofErr w:type="spellEnd"/>
      <w:r w:rsidR="00370F0F" w:rsidRPr="00BE4A67">
        <w:t xml:space="preserve"> II</w:t>
      </w:r>
      <w:r w:rsidR="00370F0F" w:rsidRPr="00BE4A67">
        <w:noBreakHyphen/>
        <w:t xml:space="preserve">byggnaden har bidragit till genomförandet av denna strategi och konsolideringen av parlamentets fastigheter, i synnerhet med avsikt på att möjliggöra en sammankoppling av parlamentets centrala byggnader i Bryssel. Parlamentet begär en tidsplan för sammankopplingen mellan </w:t>
      </w:r>
      <w:proofErr w:type="spellStart"/>
      <w:r w:rsidR="00370F0F" w:rsidRPr="00BE4A67">
        <w:t>Trèves</w:t>
      </w:r>
      <w:proofErr w:type="spellEnd"/>
      <w:r w:rsidR="00370F0F" w:rsidRPr="00BE4A67">
        <w:t xml:space="preserve"> I och </w:t>
      </w:r>
      <w:proofErr w:type="spellStart"/>
      <w:r w:rsidR="00370F0F" w:rsidRPr="00BE4A67">
        <w:t>Trèves</w:t>
      </w:r>
      <w:proofErr w:type="spellEnd"/>
      <w:r w:rsidR="00370F0F" w:rsidRPr="00BE4A67">
        <w:t xml:space="preserve"> II och de viktigaste centrala byggnaderna i Bryssel.</w:t>
      </w:r>
    </w:p>
    <w:p w14:paraId="44575123" w14:textId="39D2796B" w:rsidR="00370F0F" w:rsidRPr="00BE4A67" w:rsidRDefault="0043738B" w:rsidP="00370F0F">
      <w:pPr>
        <w:pStyle w:val="NormalHanging12a"/>
        <w:widowControl/>
      </w:pPr>
      <w:r>
        <w:t>99</w:t>
      </w:r>
      <w:r w:rsidR="00370F0F" w:rsidRPr="00BE4A67">
        <w:t>.</w:t>
      </w:r>
      <w:r w:rsidR="00370F0F" w:rsidRPr="00BE4A67">
        <w:tab/>
      </w:r>
      <w:r w:rsidR="00CF5C9C" w:rsidRPr="007E38A3">
        <w:rPr>
          <w:szCs w:val="24"/>
          <w:lang w:eastAsia="en-US"/>
        </w:rPr>
        <w:t>Europaparlamentet lovordar parlamentet för de tillgänglighetsanpassningsåtgärder som genomförts i byggnaderna i Bryssel mellan 2017 och 2022 och som uppgick till totalt 3,3 miljoner EUR</w:t>
      </w:r>
      <w:r w:rsidR="00CF5C9C" w:rsidRPr="007E38A3">
        <w:rPr>
          <w:rStyle w:val="FootnoteReference"/>
          <w:szCs w:val="24"/>
          <w:lang w:eastAsia="en-US"/>
        </w:rPr>
        <w:footnoteReference w:id="11"/>
      </w:r>
      <w:r w:rsidR="00CF5C9C" w:rsidRPr="007E38A3">
        <w:rPr>
          <w:szCs w:val="24"/>
          <w:lang w:eastAsia="en-US"/>
        </w:rPr>
        <w:t>. Parlamentet välkomnar att läktaren i besöksområdet i plenisalen i Spaak-byggnaden nu är tillgänglig för personer med nedsatt rörlighet. Parlamentet påminner om att unionen har gått i bräschen för att främja inkludering och jämlikhet för alla sina medborgare. Parlamentet påminner om att alla EU-medborgare bör ha samma tillträdesmöjligheter när de besöker unionens institutioner. Parlamentet uppmanas att fortsätta analysen av behoven hos besökare med funktionsnedsättning och vill se att lämpliga åtgärder vidtas.</w:t>
      </w:r>
    </w:p>
    <w:p w14:paraId="64D08AA6" w14:textId="5A88E0ED" w:rsidR="00370F0F" w:rsidRPr="00BE4A67" w:rsidRDefault="0043738B" w:rsidP="00370F0F">
      <w:pPr>
        <w:pStyle w:val="NormalHanging12a"/>
        <w:widowControl/>
      </w:pPr>
      <w:r>
        <w:t>100</w:t>
      </w:r>
      <w:r w:rsidR="00370F0F" w:rsidRPr="00BE4A67">
        <w:t>.</w:t>
      </w:r>
      <w:r w:rsidR="00370F0F" w:rsidRPr="00BE4A67">
        <w:tab/>
        <w:t xml:space="preserve">Europaparlamentet noterar presidiets protokoll från det extra sammanträdet den 6 juli 2022, där presidiet tog del av och godkände resultaten av den internationella arkitekturtävlingen för förnyelse av SPAAK-byggnaden. Parlamentet noterar att fem godkända sökande godkändes av presidiet. Parlamentet noterar att inget annat beslut fattades under 2022 i denna fråga och att det därför inte fick några ekonomiska konsekvenser, men betonar samtidigt att det blir allt mer angeläget att inleda renoveringsarbetet så snart som möjligt. Parlamentet framhåller att de slutliga planerna för att inleda renoveringsarbetet snabbt godkändes på utskottsnivå den 14 februari 2024 med anledning av byggnadens allt sämre skick. Parlamentet betonar att den nuvarande byggnaden har en mycket låg energieffektivitetsklassificering och saknar välbehövlig flexibilitet för att vara ändamålsenlig. Parlamentet betonar att Europaparlamentet bör vara en föregångare med sin egen byggnadsportfölj när det gäller energieffektivitet och hållbarhet för att säkra medborgarnas stöd för målen i den gröna given. Parlamentet noterar att renoveringen skulle leda till betydande kostnadsbesparingar på flera miljoner </w:t>
      </w:r>
      <w:r w:rsidR="00370F0F" w:rsidRPr="00BE4A67">
        <w:lastRenderedPageBreak/>
        <w:t>euro per år och dessutom bidra till att uppfylla kraven i EU:s framtida direktiv om energieffektivitet och framtida direktiv om byggnaders energiprestanda. </w:t>
      </w:r>
    </w:p>
    <w:p w14:paraId="2F63E177" w14:textId="5029C2E2" w:rsidR="00370F0F" w:rsidRPr="00BE4A67" w:rsidRDefault="00F23FC1" w:rsidP="00370F0F">
      <w:pPr>
        <w:pStyle w:val="NormalHanging12a"/>
        <w:widowControl/>
      </w:pPr>
      <w:r>
        <w:t>101</w:t>
      </w:r>
      <w:r w:rsidR="00370F0F" w:rsidRPr="00BE4A67">
        <w:t>.</w:t>
      </w:r>
      <w:r w:rsidR="00370F0F" w:rsidRPr="00BE4A67">
        <w:tab/>
        <w:t>Europarlamentet noterar vidare presidiets beslut av den 6 juli 2022 om fastighetsstrategin för Strasbourg, med fokus på att förbättra mottagnings- och inkvarteringskapaciteten, optimera användningen av parlamentets lokaler, förbättra tillgängligheten och konsolidera personalens funktioner.</w:t>
      </w:r>
    </w:p>
    <w:p w14:paraId="25CD5FEF" w14:textId="6D262952" w:rsidR="00370F0F" w:rsidRPr="00BE4A67" w:rsidRDefault="00F23FC1" w:rsidP="00370F0F">
      <w:pPr>
        <w:pStyle w:val="NormalHanging12a"/>
        <w:widowControl/>
      </w:pPr>
      <w:r>
        <w:t>102</w:t>
      </w:r>
      <w:r w:rsidR="00370F0F" w:rsidRPr="00BE4A67">
        <w:t>.</w:t>
      </w:r>
      <w:r w:rsidR="00370F0F" w:rsidRPr="00BE4A67">
        <w:tab/>
        <w:t>Europaparlamentet noterar att parlamentets självbetjäningsmatsal på våning -1 i </w:t>
      </w:r>
      <w:proofErr w:type="spellStart"/>
      <w:r w:rsidR="00370F0F" w:rsidRPr="00BE4A67">
        <w:t>Spinelli</w:t>
      </w:r>
      <w:proofErr w:type="spellEnd"/>
      <w:r w:rsidR="00370F0F" w:rsidRPr="00BE4A67">
        <w:t>-byggnaden ofta är överfull de tider då flest äter, vilket leder till långa köer och väntetider. Parlamentet uppmanar presidiet att överväga att begränsa tillträdet till personalmatsalarna i parlamentets huvudbyggnader för externa besökare och besöksgrupper. Parlamentet är bekymrat över det otillfredsställande förhållandet mellan pris och kvalitet och särskilt bristen på vegetariska alternativ till överkomliga priser. Parlamentet uppmanar administrationen att föreslå lösningar för att komma till rätta med denna situation.</w:t>
      </w:r>
    </w:p>
    <w:p w14:paraId="52E61529" w14:textId="6C0C2B18" w:rsidR="00370F0F" w:rsidRPr="00BE4A67" w:rsidRDefault="00F23FC1" w:rsidP="00370F0F">
      <w:pPr>
        <w:pStyle w:val="NormalHanging12a"/>
        <w:widowControl/>
      </w:pPr>
      <w:r>
        <w:t>103</w:t>
      </w:r>
      <w:r w:rsidR="00370F0F" w:rsidRPr="00BE4A67">
        <w:t>.</w:t>
      </w:r>
      <w:r w:rsidR="00370F0F" w:rsidRPr="00BE4A67">
        <w:tab/>
        <w:t xml:space="preserve">Europaparlamentet noterar att under 2022, efter det att de </w:t>
      </w:r>
      <w:proofErr w:type="spellStart"/>
      <w:r w:rsidR="00370F0F" w:rsidRPr="00BE4A67">
        <w:t>covid</w:t>
      </w:r>
      <w:proofErr w:type="spellEnd"/>
      <w:r w:rsidR="00370F0F" w:rsidRPr="00BE4A67">
        <w:t>-relaterade kapacitetsbegränsningarna hade hävts, fanns det 250 platser i de tjänstebilar som på måndagarna kör från Bryssel till Strasbourg och att man per sammanträdesvecka under 2022 i genomsnitt utnyttjade 162 platser eller 65 % av de tillgängliga platserna i bilarna. Parlamentet upprepar sin uppmaning till parlamentets administration att bredda användningen av dessa platser, samtidigt som man ser till att ledamöternas platser är säkrade, för att undvika resursslöseri.</w:t>
      </w:r>
    </w:p>
    <w:p w14:paraId="5FC6AEB8"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översättning</w:t>
      </w:r>
    </w:p>
    <w:p w14:paraId="6429A71A" w14:textId="29DE1EBF"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generaldirektoratet för översättning (GD TRAD) ansvarar för tillhandahållandet av flerspråkig lagstiftning och andra språktjänster av hög kvalitet till Europaparlamentet, parlamentets tjänster och alla unionsmedborgare, på grundval av principen om fullständig resurseffektiv flerspråkighet. Parlamentet noterar att det den 31 december 2022 fanns 1 109 anställda, varav 945 var tjänstemän, 97 tillfälligt anställda, 66 kontraktsanställda och 1 tillfälligt anställd.</w:t>
      </w:r>
    </w:p>
    <w:p w14:paraId="2CFC7D9E" w14:textId="494E55EF"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w:t>
      </w:r>
      <w:proofErr w:type="spellStart"/>
      <w:r w:rsidR="00370F0F" w:rsidRPr="00BE4A67">
        <w:rPr>
          <w14:textOutline w14:w="0" w14:cap="flat" w14:cmpd="sng" w14:algn="ctr">
            <w14:noFill/>
            <w14:prstDash w14:val="solid"/>
            <w14:bevel/>
          </w14:textOutline>
        </w:rPr>
        <w:t>TRAD:s</w:t>
      </w:r>
      <w:proofErr w:type="spellEnd"/>
      <w:r w:rsidR="00370F0F" w:rsidRPr="00BE4A67">
        <w:rPr>
          <w14:textOutline w14:w="0" w14:cap="flat" w14:cmpd="sng" w14:algn="ctr">
            <w14:noFill/>
            <w14:prstDash w14:val="solid"/>
            <w14:bevel/>
          </w14:textOutline>
        </w:rPr>
        <w:t xml:space="preserve"> slutliga anslag uppgick till 17 105 500 EUR 2022, vilket motsvarar 0,8 % av parlamentets budget. Parlamentet betonar att av detta belopp anslogs totalt 16 834 967 EUR. Parlamentet välkomnar den höga användningen av anslag.</w:t>
      </w:r>
    </w:p>
    <w:p w14:paraId="6D6BE2D3" w14:textId="5D4395C7"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välkomnar GD </w:t>
      </w:r>
      <w:proofErr w:type="spellStart"/>
      <w:r w:rsidR="00370F0F" w:rsidRPr="00BE4A67">
        <w:rPr>
          <w14:textOutline w14:w="0" w14:cap="flat" w14:cmpd="sng" w14:algn="ctr">
            <w14:noFill/>
            <w14:prstDash w14:val="solid"/>
            <w14:bevel/>
          </w14:textOutline>
        </w:rPr>
        <w:t>TRAD:s</w:t>
      </w:r>
      <w:proofErr w:type="spellEnd"/>
      <w:r w:rsidR="00370F0F" w:rsidRPr="00BE4A67">
        <w:rPr>
          <w14:textOutline w14:w="0" w14:cap="flat" w14:cmpd="sng" w14:algn="ctr">
            <w14:noFill/>
            <w14:prstDash w14:val="solid"/>
            <w14:bevel/>
          </w14:textOutline>
        </w:rPr>
        <w:t xml:space="preserve"> åtagande att tillhandahålla högkvalitativa språktjänster i tid. Parlamentet noterar med tillfredsställelse att över 2,89 miljoner bruttosidor översattes under 2022, vilket är en ökning med 26 % jämfört med 2021. Parlamentet noterar med tillfredsställelse att den allra största delen av arbetet genomfördes i tid (98,5 % under normala omständigheter och 98,6 % när förfrågningarna inte överensstämde med reglerna).</w:t>
      </w:r>
    </w:p>
    <w:p w14:paraId="5EE99CFB" w14:textId="04D5D8F9" w:rsidR="00370F0F" w:rsidRDefault="00F23FC1" w:rsidP="00370F0F">
      <w:pPr>
        <w:widowControl/>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107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välkomnar GD </w:t>
      </w:r>
      <w:proofErr w:type="spellStart"/>
      <w:r w:rsidR="00370F0F" w:rsidRPr="00BE4A67">
        <w:rPr>
          <w14:textOutline w14:w="0" w14:cap="flat" w14:cmpd="sng" w14:algn="ctr">
            <w14:noFill/>
            <w14:prstDash w14:val="solid"/>
            <w14:bevel/>
          </w14:textOutline>
        </w:rPr>
        <w:t>TRAD:s</w:t>
      </w:r>
      <w:proofErr w:type="spellEnd"/>
      <w:r w:rsidR="00370F0F" w:rsidRPr="00BE4A67">
        <w:rPr>
          <w14:textOutline w14:w="0" w14:cap="flat" w14:cmpd="sng" w14:algn="ctr">
            <w14:noFill/>
            <w14:prstDash w14:val="solid"/>
            <w14:bevel/>
          </w14:textOutline>
        </w:rPr>
        <w:t xml:space="preserve"> främjande och produktion av innehåll på ”medborgarnära språk”, parlamentets egen strategi för klarspråk som är anpassad till människors behov på unionens 24 officiella språk. Parlamentet välkomnar inrättandet av ett ukrainskt språkteam som tillhandahåller språktjänster på ukrainska, inbegripet översättningar, </w:t>
      </w:r>
      <w:proofErr w:type="spellStart"/>
      <w:r w:rsidR="00370F0F" w:rsidRPr="00BE4A67">
        <w:rPr>
          <w14:textOutline w14:w="0" w14:cap="flat" w14:cmpd="sng" w14:algn="ctr">
            <w14:noFill/>
            <w14:prstDash w14:val="solid"/>
            <w14:bevel/>
          </w14:textOutline>
        </w:rPr>
        <w:t>ljudprodukter</w:t>
      </w:r>
      <w:proofErr w:type="spellEnd"/>
      <w:r w:rsidR="00370F0F" w:rsidRPr="00BE4A67">
        <w:rPr>
          <w14:textOutline w14:w="0" w14:cap="flat" w14:cmpd="sng" w14:algn="ctr">
            <w14:noFill/>
            <w14:prstDash w14:val="solid"/>
            <w14:bevel/>
          </w14:textOutline>
        </w:rPr>
        <w:t xml:space="preserve"> och undertexter för en särskild webbplats.</w:t>
      </w:r>
    </w:p>
    <w:p w14:paraId="43382B6A" w14:textId="1AF18E98" w:rsidR="00CF5C9C" w:rsidRPr="00BE4A67" w:rsidRDefault="00F23FC1" w:rsidP="00370F0F">
      <w:pPr>
        <w:widowControl/>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lastRenderedPageBreak/>
        <w:t>108</w:t>
      </w:r>
      <w:r w:rsidR="00CF5C9C" w:rsidRPr="00CF5C9C">
        <w:rPr>
          <w:szCs w:val="24"/>
          <w14:textOutline w14:w="0" w14:cap="flat" w14:cmpd="sng" w14:algn="ctr">
            <w14:noFill/>
            <w14:prstDash w14:val="solid"/>
            <w14:bevel/>
          </w14:textOutline>
        </w:rPr>
        <w:t>.</w:t>
      </w:r>
      <w:r w:rsidR="00CF5C9C" w:rsidRPr="00CF5C9C">
        <w:rPr>
          <w:szCs w:val="24"/>
          <w14:textOutline w14:w="0" w14:cap="flat" w14:cmpd="sng" w14:algn="ctr">
            <w14:noFill/>
            <w14:prstDash w14:val="solid"/>
            <w14:bevel/>
          </w14:textOutline>
        </w:rPr>
        <w:tab/>
        <w:t xml:space="preserve">Europaparlamentet påminner om att dövsamhället redan 2016 började framföra krav på att ha möjlighet att lämna in framställningar till parlamentet på EU:s nationella teckenspråk. Parlamentet betonar att åtgärden skulle göra det möjligt för döva att uttrycka sin rätt att göra framställningar, vilket är en av alla EU-medborgares grundläggande rättigheter som fastställs både i fördraget och i </w:t>
      </w:r>
      <w:r w:rsidR="00133273">
        <w:rPr>
          <w:szCs w:val="24"/>
          <w14:textOutline w14:w="0" w14:cap="flat" w14:cmpd="sng" w14:algn="ctr">
            <w14:noFill/>
            <w14:prstDash w14:val="solid"/>
            <w14:bevel/>
          </w14:textOutline>
        </w:rPr>
        <w:t xml:space="preserve">Europeiska unionens </w:t>
      </w:r>
      <w:r w:rsidR="00CF5C9C" w:rsidRPr="00CF5C9C">
        <w:rPr>
          <w:szCs w:val="24"/>
          <w14:textOutline w14:w="0" w14:cap="flat" w14:cmpd="sng" w14:algn="ctr">
            <w14:noFill/>
            <w14:prstDash w14:val="solid"/>
            <w14:bevel/>
          </w14:textOutline>
        </w:rPr>
        <w:t>stadga om de grundläggande rättigheterna. Parlamentet noterar den analys som GD LINC och GD ITEC gjorde av den effektivaste lösningen med minimala kostnader och som skickades till utskottet för framställningar i maj 2020. Parlamentet uppmanar administrationen att anta denna lösning och att underlätta inlämnandet av framställningar som uttrycks på EU:s nationella teckenspråk via framställningsportalen.</w:t>
      </w:r>
    </w:p>
    <w:p w14:paraId="5CE6605E" w14:textId="3FF8114B"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med tillfredsställelse det framgångsrika slutförandet av den första omgången av det allmänna uttagningsprovet för språkhandläggare med interkulturell inriktning, som omfattade 11 språk, och som anordnades av GD TRAD och GD PERS. Parlamentet framhåller att GD TRAD också började rekrytera godkända sökande från sitt första allmänna uttagningsprov någonsin för språkhandläggare med klarspråksinriktning. Parlamentet välkomnar att samarbetet avsevärt påskyndade rekryteringen av högt kvalificerade tjänstemän med aktuella och framåtblickande profiler.</w:t>
      </w:r>
    </w:p>
    <w:p w14:paraId="0D0BCE58" w14:textId="2ABC4D4E" w:rsidR="00370F0F" w:rsidRPr="00BE4A67" w:rsidRDefault="00F23FC1" w:rsidP="00370F0F">
      <w:pPr>
        <w:pStyle w:val="NormalHanging12a"/>
        <w:widowControl/>
      </w:pPr>
      <w:r>
        <w:t>110</w:t>
      </w:r>
      <w:r w:rsidR="00370F0F" w:rsidRPr="00BE4A67">
        <w:t>.</w:t>
      </w:r>
      <w:r w:rsidR="00370F0F" w:rsidRPr="00BE4A67">
        <w:tab/>
        <w:t>Europaparlamentet påminner om att de officiella språk som ska användas av unionens institutioner, organ och byråer fastställs i förordning nr 1</w:t>
      </w:r>
      <w:r w:rsidR="00370F0F" w:rsidRPr="00BE4A67">
        <w:rPr>
          <w:vertAlign w:val="superscript"/>
        </w:rPr>
        <w:footnoteReference w:id="12"/>
      </w:r>
      <w:r w:rsidR="00370F0F" w:rsidRPr="00BE4A67">
        <w:t>. Parlamentet konstaterar att GD TRAD säkerställer att parlamentets förfarandemässiga innehåll finns tillgängligt på unionens 24 officiella språk och arbetsspråk. Parlamentet välkomnar tolkarnas exceptionella arbete under 2022 för att i möjligaste mån säkerställa att offentliga debatter tolkas på alla officiella unionsspråk. Parlamentet betonar att ledamöterna i enlighet med parlamentets arbetsordning har rätt att tala på något av de 24 officiella språken i unionen, vilket återspeglar den kulturella och språkliga mångfalden i Europa och också gör unionsinstitutionerna mer tillgängliga och transparenta för alla unionsmedborgare. Parlamentet noterar att särskilt ett arbetsspråk ofta används i stor utsträckning i parlamentets arbete. Parlamentet begär att respekten för flerspråkigheten, där så är lämpligt, säkerställs genom att man ser till att det finns tillräckligt med personal som sköter översättning och tolkning.</w:t>
      </w:r>
    </w:p>
    <w:p w14:paraId="18F7B16E" w14:textId="14EE61C3"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111</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framhåller att GD TRAD är Europaparlamentets språkliga myndighet, både genom att stödja antagandet av flerspråkig lagstiftning och genom att bidra till flerspråkig kommunikation på ett tydligt språk med unionsmedborgarna genom att införa standarder för klarspråk.</w:t>
      </w:r>
    </w:p>
    <w:p w14:paraId="715E89EC"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logistik och tolkning för konferenser</w:t>
      </w:r>
    </w:p>
    <w:p w14:paraId="52DE0F14" w14:textId="182920B4" w:rsidR="00370F0F" w:rsidRPr="00BE4A67" w:rsidRDefault="00F23FC1" w:rsidP="00370F0F">
      <w:pPr>
        <w:pStyle w:val="NormalHanging12a"/>
        <w:widowControl/>
      </w:pPr>
      <w:r>
        <w:t>112</w:t>
      </w:r>
      <w:r w:rsidR="00370F0F" w:rsidRPr="00BE4A67">
        <w:t>.</w:t>
      </w:r>
      <w:r w:rsidR="00370F0F" w:rsidRPr="00BE4A67">
        <w:tab/>
        <w:t>Europaparlamentet påminner om att generaldirektoratet för logistik och tolkning för konferenser (GD LINC) ansvarar för att tillhandahålla språkligt, tekniskt och logistiskt stöd till möten och konferenser. Parlamentet noterar att det den 31 december 2022 fanns 554 anställda, varav 443 var tjänstemän, 29 tillfälligt anställda och 82 kontraktsanställda. Parlamentet betonar att kvaliteten på den tolkning som tillhandahålls har en direkt inverkan på det budskap som förmedlas till unionens medborgare.</w:t>
      </w:r>
    </w:p>
    <w:p w14:paraId="2BF56548" w14:textId="7CD848F7"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113</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w:t>
      </w:r>
      <w:proofErr w:type="spellStart"/>
      <w:r w:rsidR="00370F0F" w:rsidRPr="00BE4A67">
        <w:rPr>
          <w14:textOutline w14:w="0" w14:cap="flat" w14:cmpd="sng" w14:algn="ctr">
            <w14:noFill/>
            <w14:prstDash w14:val="solid"/>
            <w14:bevel/>
          </w14:textOutline>
        </w:rPr>
        <w:t>LINC:s</w:t>
      </w:r>
      <w:proofErr w:type="spellEnd"/>
      <w:r w:rsidR="00370F0F" w:rsidRPr="00BE4A67">
        <w:rPr>
          <w14:textOutline w14:w="0" w14:cap="flat" w14:cmpd="sng" w14:algn="ctr">
            <w14:noFill/>
            <w14:prstDash w14:val="solid"/>
            <w14:bevel/>
          </w14:textOutline>
        </w:rPr>
        <w:t xml:space="preserve"> slutliga anslag uppgick till 79 569 347 EUR 2022, vilket motsvarar 3,7 % av parlamentets budget. Parlamentet framhåller att av detta belopp anslogs totalt 79 282 501 EUR. Parlamentet välkomnar den höga användningen av anslag.</w:t>
      </w:r>
    </w:p>
    <w:p w14:paraId="003B4E08" w14:textId="1074390C" w:rsidR="00370F0F" w:rsidRPr="00BE4A67" w:rsidRDefault="00F23FC1" w:rsidP="00370F0F">
      <w:pPr>
        <w:pStyle w:val="NormalHanging12a"/>
        <w:widowControl/>
      </w:pPr>
      <w:r>
        <w:t>114</w:t>
      </w:r>
      <w:r w:rsidR="00370F0F" w:rsidRPr="00BE4A67">
        <w:t>.</w:t>
      </w:r>
      <w:r w:rsidR="00370F0F" w:rsidRPr="00BE4A67">
        <w:tab/>
        <w:t>Europaparlamentet framhåller att efterfrågan på GD LINC-tjänster började öka avsevärt från och med början av 2022, medan covid-19-restriktionerna fortfarande gällde. Parlamentet konstaterar att detta satte press på resurserna eftersom fler tolkar, tekniskt stöd och komplicerade planeringsåtgärder behövdes på grund av social distansering och andra begränsningar. Parlamentet noterar att effekterna av inflationen påverkade ersättningen till externa konferenstolkar. Parlamentet noterar att de ökade kostnaderna för tolkning delvis begränsades genom distanstolkning av sammanträdesperioderna i Strasbourg från Bryssel. Parlamentet noterar att syftet var att förbättra arbetsvillkoren, främst bättre ljudkvalitet och en begränsning av antalet tolktimmar för talare på distans och inläggens längd.</w:t>
      </w:r>
    </w:p>
    <w:p w14:paraId="7E2D3855" w14:textId="55BD4B03" w:rsidR="00370F0F" w:rsidRPr="00BE4A67" w:rsidRDefault="00F23FC1" w:rsidP="00370F0F">
      <w:pPr>
        <w:pStyle w:val="NormalHanging12a"/>
        <w:widowControl/>
      </w:pPr>
      <w:r>
        <w:t>115</w:t>
      </w:r>
      <w:r w:rsidR="00370F0F" w:rsidRPr="00BE4A67">
        <w:t>.</w:t>
      </w:r>
      <w:r w:rsidR="00370F0F" w:rsidRPr="00BE4A67">
        <w:tab/>
        <w:t>Europaparlamentet noterar att företrädare för tolkarna ifrågasatte de arbetsvillkor som gäller för tolkning för distansdeltagare på grund av den inverkan på tolkarnas hälsa och välbefinnande som distanstolkning under långa perioder medför, särskilt de rapporterade hörselproblemen. Parlamentet påminner om EU-institutionernas omsorgsplikt gentemot sina arbetstagare. Parlamentet framhåller att de stridsåtgärder som följde under sommaren och hösten 2022 ledde till tolkningsstopp som påverkade talare som deltog på distans. Parlamentet påpekar att tillfälliga samarbetsavtal för tolkning för sammanträden med distansdeltagande trädde i kraft den 17 oktober 2022. Parlamentet noterar att de gjorde det möjligt att återställa tolkning för talare på distans samtidigt som man bibehöll den minskade veckoarbetstiden för tolkar, vilket ledde till en minskning av tillhandahållandet av tjänster. Parlamentet noterar att den sociala dialogen, i syfte att inrätta en permanent ram och ett fullständigt återställande av tolktjänsterna, pågick i slutet av 2022 och avslutades 2023.</w:t>
      </w:r>
    </w:p>
    <w:p w14:paraId="27D71443" w14:textId="59F3A122"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att GD LINC 2022 kunde konsolidera sitt tillhandahållande av tolktjänster och samtidigt anpassa sig till det utmanande regelverket. Parlamentet noterar med tillfredsställelse att GD LINC genomförde totalt 5 278 sammanträden i parlamentet med tolkning och levererade i genomsnitt 5 266 tolkningstimmar per arbetsvecka, en ökning från 4 172 sammanträden och 4 039 timmar per vecka under 2021. Parlamentet noterar att detta fortfarande ligger under genomsnitten 2017 och 2018, före covid-19 .</w:t>
      </w:r>
    </w:p>
    <w:p w14:paraId="0131081D" w14:textId="2604636E" w:rsidR="00370F0F" w:rsidRPr="00BE4A67" w:rsidRDefault="00F23FC1" w:rsidP="00370F0F">
      <w:pPr>
        <w:pStyle w:val="NormalHanging12a"/>
        <w:widowControl/>
      </w:pPr>
      <w:r>
        <w:t>117</w:t>
      </w:r>
      <w:r w:rsidR="00370F0F" w:rsidRPr="00BE4A67">
        <w:t>.</w:t>
      </w:r>
      <w:r w:rsidR="00370F0F" w:rsidRPr="00BE4A67">
        <w:tab/>
      </w:r>
      <w:r w:rsidR="00CF5C9C" w:rsidRPr="00CF5C9C">
        <w:t>Europaparlamentet påminner om artikel 26 i E</w:t>
      </w:r>
      <w:r w:rsidR="00133273">
        <w:t xml:space="preserve">uropeiska unionens </w:t>
      </w:r>
      <w:r w:rsidR="00CF5C9C" w:rsidRPr="00CF5C9C">
        <w:t>stadga om de grundläggande rättigheterna.</w:t>
      </w:r>
      <w:r w:rsidR="00CF5C9C">
        <w:t xml:space="preserve"> </w:t>
      </w:r>
      <w:r w:rsidR="00370F0F" w:rsidRPr="00BE4A67">
        <w:t>Europaparlamentet upprepar sin långvariga begäran till generalsekreteraren om att undersöka genomförbarheten av internationell teckenspråkstolkning för alla plenardebatter och att utan dröjsmål uppfylla denna begäran. Parlamentet anser dessutom att sändning av plenarsammanträdena på de teckenspråk som används i varje medlemsstat skulle öka deltagandet av personer med funktionsnedsättning i EU:s demokratiska process.</w:t>
      </w:r>
      <w:r w:rsidR="00CF5C9C">
        <w:t xml:space="preserve"> </w:t>
      </w:r>
      <w:r w:rsidR="00CF5C9C" w:rsidRPr="00CF5C9C">
        <w:t>Parlamentet betonar vikten av att använda digitala verktyg, inbegripet AI-drivna hjälpmedel. Parlamentet insisterar också på behovet av tillgänglig information genom lättlästa format, piktogram och ny teknik, för alla personer med funktionsnedsättning.</w:t>
      </w:r>
    </w:p>
    <w:p w14:paraId="5110F5BC"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ekonomi</w:t>
      </w:r>
    </w:p>
    <w:p w14:paraId="12B005CB" w14:textId="11673F04"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118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generaldirektoratet för ekonomi (GD FINS) är det administrativa organ som ansvarar för parlamentets budget- och finansfrågor. Parlamentet noterar att det den 31 december 2022 fanns 246 anställda, varav 149 var tjänstemän, 27 tillfälligt anställda, 63 kontraktsanställda och 7 medlemmar av personalen som var inhyrda från bemanningsföretag.</w:t>
      </w:r>
    </w:p>
    <w:p w14:paraId="05DAE92F" w14:textId="40E93DF1"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GD FINS slutliga anslag uppgick till 396 723 134 EUR 2022, vilket motsvarar 18,4 % av parlamentets budget. Parlamentet betonar att av detta belopp anslogs totalt 395 647 243 EUR. Parlamentet välkomnar den höga användningen av anslag.</w:t>
      </w:r>
    </w:p>
    <w:p w14:paraId="3A305889" w14:textId="4EFA16F3"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många av de uppgifter som GD FINS ansvarar för under 2022 återgick till nivåerna före pandemin. Parlamentet noterar att kriget i Ukraina hade en påtaglig inverkan på GD FINS verksamhet, vilket krävde motståndskraft och anpassningsförmåga för att säkerställa kontinuiteten i viss verksamhet i parlamentet genom mobilisering och omfördelning av de finansiella resurser som behövdes för att hantera inflationschocken.</w:t>
      </w:r>
    </w:p>
    <w:p w14:paraId="6BC15CE7" w14:textId="6B4F3E4B"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121</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att GD FINS, som svar på den betydande ökningen av inflationen och räntorna samt den globala energikrisen, skärpte sin övervakning av utnyttjandet av budgetanslagen och tvingades vidta exceptionella åtgärder för att säkerställa kontinuiteten i parlamentets verksamhet, bland annat genom ett stort antal budgetomfördelningar och en begäran om en ändringsbudget i november 2022.</w:t>
      </w:r>
    </w:p>
    <w:p w14:paraId="741601A7" w14:textId="5A15B12A" w:rsidR="00370F0F" w:rsidRPr="00BE4A67" w:rsidRDefault="00F23FC1" w:rsidP="00370F0F">
      <w:pPr>
        <w:pStyle w:val="NormalHanging12a"/>
        <w:widowControl/>
      </w:pPr>
      <w:r>
        <w:t>122</w:t>
      </w:r>
      <w:r w:rsidR="00370F0F" w:rsidRPr="00BE4A67">
        <w:t>.</w:t>
      </w:r>
      <w:r w:rsidR="00370F0F" w:rsidRPr="00BE4A67">
        <w:tab/>
        <w:t>Europaparlamentet noterar med tillfredsställelse att GD FINS kunde dra nytta av effektiviteten i sina processer och personalens åtagande att säkerställa kontinuiteten i de tjänster som GD FINS ansvarar för och uppnåendet av de mål som fastställts i dess årliga arbetsprogram. Parlamentet noterar den oro som ledamöterna uttryckt över onödiga och ofta betydande förseningar i handläggningen av ersättningar med en genomsnittlig tid för ersättning av rese- och dagtraktamenten på upp till 40 dagar. Parlamentet välkomnar att parlamentet kontinuerligt moderniserar sina processer för att erbjuda ledamöterna bättre tjänster genom automatisering, förenkling och digitalisering. Parlamentet uppmanar GD FINS att ytterligare påskynda arbetsflödena för att möjliggöra snabbare förfaranden, framför allt genom att förse sina medarbetare med de verktyg och den mjukvara som krävs för att hantera arbetsbelastningen på ett effektivt sätt och därigenom minska handläggningstiden.</w:t>
      </w:r>
    </w:p>
    <w:p w14:paraId="0B4A47B3" w14:textId="0D3A8415" w:rsidR="00370F0F" w:rsidRPr="00BE4A67" w:rsidRDefault="00F23FC1" w:rsidP="00370F0F">
      <w:pPr>
        <w:pStyle w:val="NormalHanging12a"/>
        <w:widowControl/>
      </w:pPr>
      <w:r>
        <w:t>123</w:t>
      </w:r>
      <w:r w:rsidR="00370F0F" w:rsidRPr="00BE4A67">
        <w:t>.</w:t>
      </w:r>
      <w:r w:rsidR="00370F0F" w:rsidRPr="00BE4A67">
        <w:tab/>
        <w:t xml:space="preserve">Europaparlamentet erkänner de lokala assistenternas arbete som en viktig del av den verksamhet som ledamöterna bedriver i sina valkretsar och som en första kontaktpunkt för medborgarna. Parlamentet betonar att processen för anställning och undertecknande av kontrakt för lokala assistenter har blivit alltmer utmanande under de senaste åren på grund av en mängd administrativa begäranden som leder till dubbla kontroller och otydliga krav. Parlamentet betonar att GD FINS bör erkänna att lokala assistenter omfattas av nationell lagstiftning och vill därför se att </w:t>
      </w:r>
      <w:proofErr w:type="spellStart"/>
      <w:r w:rsidR="00370F0F" w:rsidRPr="00BE4A67">
        <w:t>landsspecifika</w:t>
      </w:r>
      <w:proofErr w:type="spellEnd"/>
      <w:r w:rsidR="00370F0F" w:rsidRPr="00BE4A67">
        <w:t xml:space="preserve"> enheter hanterar rekryteringsprocessen. Parlamentet påminner vidare om att de lokala assistenternas frivilliga och politiska verksamhet, inom ramen för de regler som fastställts av Europaparlamentet, ofta är ordinarie arbete, vilket inte bör motivera onödiga kontroller.</w:t>
      </w:r>
    </w:p>
    <w:p w14:paraId="3BAD6463" w14:textId="18E9DBB8"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GD FINS deltagande i ändringarna av regelverket för finansiering av politiska strukturer. Parlamentet välkomnar att parlamentet bidrog till utarbetandet av det förslag som presidiet antog i juli 2022 om att ändra bestämmelserna om användningen av anslag för finansiering av politiska grupper. Parlamentet noterar </w:t>
      </w:r>
      <w:r w:rsidR="00370F0F" w:rsidRPr="00BE4A67">
        <w:rPr>
          <w14:textOutline w14:w="0" w14:cap="flat" w14:cmpd="sng" w14:algn="ctr">
            <w14:noFill/>
            <w14:prstDash w14:val="solid"/>
            <w14:bevel/>
          </w14:textOutline>
        </w:rPr>
        <w:lastRenderedPageBreak/>
        <w:t>att ändringen tar hänsyn till den situation som uppstått till följd av covid-19-pandemin och föreskriver, som ett undantag, en metod för att behålla taket för outnyttjade medel från 2022 till 2023 på 75 % i stället för 50 %. Parlamentet noterar med tillfredsställelse att GD FINS också deltog i arbetet med översynen av Europaparlamentets och rådets förordning (EU, Euratom) nr 1141/2014 av den 22 oktober 2014 om stadgar för och finansiering av europeiska politiska partier och europeiska politiska stiftelser</w:t>
      </w:r>
      <w:r w:rsidR="00370F0F" w:rsidRPr="00BE4A67">
        <w:rPr>
          <w:rStyle w:val="FootnoteReference"/>
          <w:szCs w:val="24"/>
        </w:rPr>
        <w:footnoteReference w:id="13"/>
      </w:r>
      <w:r w:rsidR="00370F0F" w:rsidRPr="00BE4A67">
        <w:rPr>
          <w14:textOutline w14:w="0" w14:cap="flat" w14:cmpd="sng" w14:algn="ctr">
            <w14:noFill/>
            <w14:prstDash w14:val="solid"/>
            <w14:bevel/>
          </w14:textOutline>
        </w:rPr>
        <w:t>.</w:t>
      </w:r>
    </w:p>
    <w:p w14:paraId="05F0F2F3" w14:textId="5E9EDD43"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de oförminskade ansträngningar som gjordes under 2022 för att digitalisera processer, inbegripet utvecklingen av nya funktioner och den nya utformningen av e-portalsapplikationen. Parlamentet noterar med tillfredsställelse att användningen av applikationen till följd av detta har ökat.</w:t>
      </w:r>
    </w:p>
    <w:p w14:paraId="07A5049C" w14:textId="0F9B2EC1" w:rsidR="00370F0F" w:rsidRPr="00BE4A67" w:rsidRDefault="00F23FC1" w:rsidP="00370F0F">
      <w:pPr>
        <w:pStyle w:val="NormalHanging12a"/>
        <w:widowControl/>
      </w:pPr>
      <w:r>
        <w:t>126</w:t>
      </w:r>
      <w:r w:rsidR="00370F0F" w:rsidRPr="00BE4A67">
        <w:t>.</w:t>
      </w:r>
      <w:r w:rsidR="00370F0F" w:rsidRPr="00BE4A67">
        <w:tab/>
        <w:t xml:space="preserve">Europaparlamentet påminner om att långvarig </w:t>
      </w:r>
      <w:proofErr w:type="spellStart"/>
      <w:r w:rsidR="00370F0F" w:rsidRPr="00BE4A67">
        <w:t>covid</w:t>
      </w:r>
      <w:proofErr w:type="spellEnd"/>
      <w:r w:rsidR="00370F0F" w:rsidRPr="00BE4A67">
        <w:t xml:space="preserve"> kräver långvarig vård och omsorg och fortfarande är föremål för intensiv forskning. Parlamentet noterar att det finns långtidssjuka bland Europaparlamentets ledamöter, personal och ackrediterade assistenter som behöver kontinuerligt stöd. Parlamentet beklagar att de nuvarande reglerna för det gemensamma sjukförsäkringssystemet inte omfattar tillräckliga ersättningar, vilket innebär en enorm ekonomisk börda för de berörda personerna. Parlamentet betonar att liknande ogynnsamma förhållanden gäller för många personer med autoimmuna sjukdomar som inte erkänns på lämpligt sätt. Parlamentet uppmanar GD FINS och PMO att ändra ersättningsreglerna för att bättre återspegla deras behov.</w:t>
      </w:r>
    </w:p>
    <w:p w14:paraId="60AE8E37" w14:textId="4F5D6CAB"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anordnandet av arbetsmöten om specifika frågor som rör offentlig upphandling, inbegripet prisstyrning och hantering av bedrägerier. Parlamentet noterar de jämförande studier och genomförbarhetsstudier som mynnade ut i kommissionens modell baserad på e-upphandling.</w:t>
      </w:r>
    </w:p>
    <w:p w14:paraId="2392C101" w14:textId="4E1EABB2"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GD FINS samordnar tjänsterna i samband med anordnandet av resor som är anpassade till ledamöternas behov och alla parlamentets administrativa tjänster, inbegripet resebyrån. Parlamentet välkomnar att GD FINS, i partnerskap med resebyrån, har gjort ansträngningar för att automatisera förvaltningen av ersättningen för ledamöternas utgifter för tågresor. Parlamentet noterar att 2022 var det andra och sista året innan den nuvarande byråns kontrakt löpte ut. Parlamentet upprepar att den nya byrå som väljs bör kunna erbjuda ledamöterna mer flexibla och förmånliga lösningar som liknar erbjudanden som de kan hitta på den öppna marknaden.</w:t>
      </w:r>
    </w:p>
    <w:p w14:paraId="500301DA" w14:textId="09ADA1C3" w:rsidR="00370F0F" w:rsidRPr="00BE4A67" w:rsidRDefault="00F23FC1" w:rsidP="00370F0F">
      <w:pPr>
        <w:pStyle w:val="NormalHanging12a"/>
        <w:widowControl/>
      </w:pPr>
      <w:r>
        <w:t>129</w:t>
      </w:r>
      <w:r w:rsidR="00370F0F" w:rsidRPr="00BE4A67">
        <w:t>.</w:t>
      </w:r>
      <w:r w:rsidR="00370F0F" w:rsidRPr="00BE4A67">
        <w:tab/>
        <w:t>Europaparlamentet är bekymrat över att fem fall av misstänkt bedrägeri upptäcktes under 2022 där ledamöter påstås ha begärt ersättning för ett visst transportmedel men i själva verket utnyttjade ett billigare alternativ. Parlamentet noterar att två betalningskrav på totalt 39 807 EUR förväntas utfärdas och att de andra fallen som omfattar flera budgetår för närvarande håller på att utredas ytterligare och kan komma att uppgå till 801 000 EUR.</w:t>
      </w:r>
    </w:p>
    <w:p w14:paraId="1E6AF4C5" w14:textId="65235E00"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tillkännagivandet vid presidiets sammanträde den 7 mars 2022 om inrättandet av en tillfällig arbetsgrupp i presidiet för ersättningen för allmänna utgifter, som har till uppgift att utvärdera genomförandet av presidiets beslut av den 2 juli 2018 om upprättande av en förteckning över utgifter som kan finansieras genom ersättningen för allmänna utgifter på grundval av erfarenheterna från den nionde valperioden. Parlamentet konstaterar att presidiet vid sitt sammanträde den 17 oktober 2022 antog en rad ändringar av tillämpningsföreskrifterna för </w:t>
      </w:r>
      <w:r w:rsidR="00370F0F" w:rsidRPr="00BE4A67">
        <w:rPr>
          <w14:textOutline w14:w="0" w14:cap="flat" w14:cmpd="sng" w14:algn="ctr">
            <w14:noFill/>
            <w14:prstDash w14:val="solid"/>
            <w14:bevel/>
          </w14:textOutline>
        </w:rPr>
        <w:lastRenderedPageBreak/>
        <w:t>ledamotsstadgan som förtydligar reglerna för rätten till och användningen av ersättningen för allmänna utgifter och åtgärder som syftar till att öka transparensen och skapa större rättssäkerhet när det gäller rätten till ersättning. Parlamentet framhåller att den tillfälliga arbetsgruppen ombads att ta vederbörlig hänsyn till aspekter som transparens, ansvarsskyldighet och sund ekonomisk förvaltning avseende medel som ställs till ledamöternas förfogande, med beaktande av principen om ett fritt och oberoende parlamentariskt mandat och målet att inte skapa onödiga administrativa bördor för ledamöterna, deras kontor och parlamentets tjänster.</w:t>
      </w:r>
    </w:p>
    <w:p w14:paraId="083CE49D" w14:textId="18DA0DA1" w:rsidR="00370F0F" w:rsidRPr="00BE4A67" w:rsidRDefault="00F23FC1" w:rsidP="00370F0F">
      <w:pPr>
        <w:pStyle w:val="NormalHanging12a"/>
        <w:widowControl/>
      </w:pPr>
      <w:r>
        <w:t>131</w:t>
      </w:r>
      <w:r w:rsidR="00370F0F" w:rsidRPr="00BE4A67">
        <w:t>.</w:t>
      </w:r>
      <w:r w:rsidR="00370F0F" w:rsidRPr="00BE4A67">
        <w:tab/>
        <w:t>Europaparlamentet påpekar att under 2022 lämnades endast 32 frivilliga förklaringar om användningen av ersättningen för allmänna utgifter in av 26 ledamöter, varav 29 innehöll ett yttrande från revisorn. Parlamentet välkomnar sekretariatets insatser för att uppmuntra ledamöterna att i större utsträckning utnyttja dessa möjligheter.</w:t>
      </w:r>
    </w:p>
    <w:p w14:paraId="231B139C" w14:textId="004994FC"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framhåller att ledamöterna är fria att dokumentera sin användning av medlen inom ramen för ersättningen för allmänna utgifter, i detalj eller efter typ av kostnad, på egen hand eller med stöd av en extern revisor, och att helt eller delvis offentliggöra denna information på sin webbsida på parlamentets webbplats i enlighet med artikel 11.2 i parlamentets arbetsordning. Parlamentet välkomnar att en förenklad förteckning över typer av kostnader har integrerats i tillämpningsföreskrifterna för ledamotsstadgan och att en ändring också har antagits som förtydligar ledamöternas möjlighet att använda ersättningen för allmänna utgifter i de fall då andra ersättningar förbrukats.</w:t>
      </w:r>
    </w:p>
    <w:p w14:paraId="60CC0077" w14:textId="21E54391" w:rsidR="00370F0F" w:rsidRPr="00BE4A67" w:rsidRDefault="00F23FC1" w:rsidP="00370F0F">
      <w:pPr>
        <w:pStyle w:val="NormalHanging12a"/>
        <w:widowControl/>
      </w:pPr>
      <w:r>
        <w:t>133</w:t>
      </w:r>
      <w:r w:rsidR="00370F0F" w:rsidRPr="00BE4A67">
        <w:t>.</w:t>
      </w:r>
      <w:r w:rsidR="00370F0F" w:rsidRPr="00BE4A67">
        <w:tab/>
        <w:t xml:space="preserve">Europaparlamentet påminner om att Olaf har mandat att utreda misstankar om allvarliga tjänstefel begångna av unionens anställda och ledamöter av unionens institutioner, inbegripet eventuella överträdelser av uppförandekoden för Europaparlamentets ledamöter. Parlamentet noterar att det under 2022 inte förekom några fall där Olaf begärde tillgång till ledamöternas kontor eller e-postkonton. Parlamentet noterar att ett förfarande för att stärka Olafs mandat i parlamentet i fall av välgrundade misstankar om enskilda ledamöter skulle kunna slutföras när det är absolut nödvändigt och proportionerligt för utredningen och med full respekt för </w:t>
      </w:r>
      <w:proofErr w:type="spellStart"/>
      <w:r w:rsidR="00370F0F" w:rsidRPr="00BE4A67">
        <w:t>konfidentialiteten</w:t>
      </w:r>
      <w:proofErr w:type="spellEnd"/>
      <w:r w:rsidR="00370F0F" w:rsidRPr="00BE4A67">
        <w:t xml:space="preserve"> i enlighet med principen om immunitet i protokoll nr 7 om Europeiska unionens immunitet och privilegier. Parlamentet upprepar sin uppmaning till presidiet att utan dröjsmål inrätta ett sådant förfarande.</w:t>
      </w:r>
    </w:p>
    <w:p w14:paraId="0D3AC94C" w14:textId="735DD81B" w:rsidR="00370F0F" w:rsidRPr="00BE4A67" w:rsidRDefault="00F23FC1" w:rsidP="00370F0F">
      <w:pPr>
        <w:pStyle w:val="NormalHanging12a"/>
        <w:widowControl/>
      </w:pPr>
      <w:r>
        <w:t>134</w:t>
      </w:r>
      <w:r w:rsidR="00370F0F" w:rsidRPr="00BE4A67">
        <w:t>.</w:t>
      </w:r>
      <w:r w:rsidR="00370F0F" w:rsidRPr="00BE4A67">
        <w:tab/>
        <w:t>Europaparlamentet noterar att Olaf under 2022 undersökte 32 fall där parlamentet var involverat i frågor som rörde i synnerhet ledamöternas ekonomiska och sociala rättigheter, finansieringen av politiska strukturer och personalens fullgörande av sina yrkesmässiga skyldigheter. Parlamentet framhåller att Olaf utfärdade 14 rapporter, av vilka vissa hade mer än en rekommendation, fem innehöll finansiella rekommendationer, fem innehöll disciplinära rekommendationer, en innehöll administrativa rekommendationer och sju saknade rekommendationer. Parlamentet noterar att Europeiska åklagarmyndigheten (</w:t>
      </w:r>
      <w:proofErr w:type="spellStart"/>
      <w:r w:rsidR="00370F0F" w:rsidRPr="00BE4A67">
        <w:t>Eppo</w:t>
      </w:r>
      <w:proofErr w:type="spellEnd"/>
      <w:r w:rsidR="00370F0F" w:rsidRPr="00BE4A67">
        <w:t xml:space="preserve">) under 2022 undersökte fyra fall som rörde parlamentet i frågor som rör ledamöternas ekonomiska och sociala rättigheter och finansieringen av politiska strukturer. Parlamentet noterar att ingen av de utredningar som </w:t>
      </w:r>
      <w:proofErr w:type="spellStart"/>
      <w:r w:rsidR="00370F0F" w:rsidRPr="00BE4A67">
        <w:t>Eppo</w:t>
      </w:r>
      <w:proofErr w:type="spellEnd"/>
      <w:r w:rsidR="00370F0F" w:rsidRPr="00BE4A67">
        <w:t xml:space="preserve"> genomförde under 2022 avslutades samma år. Parlamentet uppmanar administrationen att i den mån det är juridiskt möjligt upplysa om huruvida Olafs rekommendationer har genomförts fullt ut och huruvida de riskutsatta beloppen har återkrävts, samt att tillhandahålla en sammanfattning av den typ av ärenden som utreds, utan några känsliga uppgifter, så att slutsatser kan dras och förbättringar göras.</w:t>
      </w:r>
    </w:p>
    <w:p w14:paraId="234929F3" w14:textId="236B1B9E"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135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parlamentet systematiskt har avslagit Olafs begäran om att utföra inspektioner av ledamöternas kontor och få tillgång till deras elektroniska servrar och enheter.</w:t>
      </w:r>
      <w:r w:rsidR="00177C0C">
        <w:rPr>
          <w14:textOutline w14:w="0" w14:cap="flat" w14:cmpd="sng" w14:algn="ctr">
            <w14:noFill/>
            <w14:prstDash w14:val="solid"/>
            <w14:bevel/>
          </w14:textOutline>
        </w:rPr>
        <w:t xml:space="preserve"> </w:t>
      </w:r>
      <w:r w:rsidR="00177C0C" w:rsidRPr="00177C0C">
        <w:rPr>
          <w14:textOutline w14:w="0" w14:cap="flat" w14:cmpd="sng" w14:algn="ctr">
            <w14:noFill/>
            <w14:prstDash w14:val="solid"/>
            <w14:bevel/>
          </w14:textOutline>
        </w:rPr>
        <w:t>Parlamentet framhåller att ledamöterna skyddas av att de inte är ansvariga för avgivna röster och åsikter som uttrycks under utövandet av deras mandat och av skyddet mot åtal och begränsningar av deras personliga frihet under parlamentets plenarsammanträden. Parlamentet påminner om att Olaf endast kan få tillträde till ledamöternas kontor efter det att parlamentets talman har beviljat tillträde efter en begäran från en ansvarig myndighet i en medlemsstat, i de flesta fall en domare. Parlamentet påminner om att Olaf måste respektera dessa begränsningar när byrån fullgör sina skyldigheter och utredningar, och betonar att påstått tjänstefel inte kan användas som förevändning för att begära direkt tillgång.</w:t>
      </w:r>
    </w:p>
    <w:p w14:paraId="48DB11BD" w14:textId="5F0F3DA9" w:rsidR="00370F0F" w:rsidRPr="00BE4A67" w:rsidRDefault="00F23FC1" w:rsidP="00370F0F">
      <w:pPr>
        <w:pStyle w:val="NormalHanging12a"/>
        <w:widowControl/>
      </w:pPr>
      <w:r>
        <w:t>136</w:t>
      </w:r>
      <w:r w:rsidR="00370F0F" w:rsidRPr="00BE4A67">
        <w:t>.</w:t>
      </w:r>
      <w:r w:rsidR="00370F0F" w:rsidRPr="00BE4A67">
        <w:tab/>
        <w:t>Europaparlamentet beklagar att parlamentets talmän, trots att minst 25 överträdelser av uppförandekoden registrerats under de senaste tolv åren, inte har påfört en enda ekonomisk påföljd för en ledamot. Parlamentet uppmanar talmannen att överväga att ålägga ekonomiska påföljder när det har bevisats att ledamöter har brutit mot uppförandekoden för att säkerställa att påföljderna faktiskt har en avskräckande effekt.</w:t>
      </w:r>
    </w:p>
    <w:p w14:paraId="17445DEC" w14:textId="66BD5E40" w:rsidR="00370F0F" w:rsidRPr="00BE4A67" w:rsidRDefault="00F23FC1" w:rsidP="00370F0F">
      <w:pPr>
        <w:pStyle w:val="NormalHanging12a"/>
        <w:widowControl/>
      </w:pPr>
      <w:r>
        <w:t>137</w:t>
      </w:r>
      <w:r w:rsidR="00370F0F" w:rsidRPr="00BE4A67">
        <w:t>.</w:t>
      </w:r>
      <w:r w:rsidR="00370F0F" w:rsidRPr="00BE4A67">
        <w:tab/>
        <w:t>Europaparlamentet noterar att parlamentet under 2022 återkrävde ett belopp på 261 891 EUR från enskilda ledamöter under budgetpost 3300 ”Återbetalning av felaktiga utbetalningar”. Parlamentet noterar att en stor del av detta belopp inte är kopplat till ersättningen för assistentstöd till ledamöterna. Parlamentet noterar att de belopp som återvunnits under budgetrubrik 3300 (från enskilda ledamöter av Europaparlamentet men även från politiska grupper/partier/stiftelser, tredje parter, personal, andra personer osv.) i allmänhet och till största delen utgör tekniska återvinningar såsom regleringen av belopp som använts i samband med kontrakt som utvecklats eller avslutats och att huvuddelen inte rör ackrediterade assistenter. Parlamentet konstaterar att dessa belopp även omfattar fall som rör frivilliga återbetalningar från ett begränsat antal ledamöter av Europaparlamentet och det specifika fallet med korrigeringar, som antingen berodde på administrativa fel i parlamentets beräkningar eller på retroaktiva ändringar av reglerna i vissa medlemsstater samt kvittning. Parlamentet noterar att ändringar av kontraktsvillkoren och eventuella relaterade återkrav efter godkända anpassningar av kontraktsvillkoren också omfattas av denna kategori.</w:t>
      </w:r>
    </w:p>
    <w:p w14:paraId="34D3ED8B"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innovation och tekniskt stöd</w:t>
      </w:r>
    </w:p>
    <w:p w14:paraId="414CB9EC" w14:textId="09D59FA2"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generaldirektoratet för innovation och tekniskt stöd (GD ITEC) förser parlamentet med tjänster och utrustning för informations- och kommunikationsteknik (IKT), videokonferenser och multimedietjänster samt förlags- och tryckeritjänster. Parlamentet noterar att det den 31 december 2022 fanns 543 anställda, varav 349 var tjänstemän, 53 tillfälligt anställda och 141 kontraktsanställda.</w:t>
      </w:r>
    </w:p>
    <w:p w14:paraId="37857710" w14:textId="6359D048"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w:t>
      </w:r>
      <w:proofErr w:type="spellStart"/>
      <w:r w:rsidR="00370F0F" w:rsidRPr="00BE4A67">
        <w:rPr>
          <w14:textOutline w14:w="0" w14:cap="flat" w14:cmpd="sng" w14:algn="ctr">
            <w14:noFill/>
            <w14:prstDash w14:val="solid"/>
            <w14:bevel/>
          </w14:textOutline>
        </w:rPr>
        <w:t>ITEC:s</w:t>
      </w:r>
      <w:proofErr w:type="spellEnd"/>
      <w:r w:rsidR="00370F0F" w:rsidRPr="00BE4A67">
        <w:rPr>
          <w14:textOutline w14:w="0" w14:cap="flat" w14:cmpd="sng" w14:algn="ctr">
            <w14:noFill/>
            <w14:prstDash w14:val="solid"/>
            <w14:bevel/>
          </w14:textOutline>
        </w:rPr>
        <w:t xml:space="preserve"> slutliga anslag uppgick till 134 808 679 EUR 2022, vilket motsvarar 6,2 % av parlamentets budget. Parlamentet framhåller att av detta belopp anslogs totalt 134 439 573 EUR. Parlamentet välkomnar den höga användningen av anslag.</w:t>
      </w:r>
    </w:p>
    <w:p w14:paraId="163582F9" w14:textId="07985079"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välkomnar att GD ITEC samarbetar med de generaldirektorat som man betjänar för att ge ledamöter och personal en användarcentrerad, säker, hybridbaserad och datadriven arbetsmiljö. Parlamentet noterar med tillfredsställelse att </w:t>
      </w:r>
      <w:r w:rsidR="00370F0F" w:rsidRPr="00BE4A67">
        <w:rPr>
          <w14:textOutline w14:w="0" w14:cap="flat" w14:cmpd="sng" w14:algn="ctr">
            <w14:noFill/>
            <w14:prstDash w14:val="solid"/>
            <w14:bevel/>
          </w14:textOutline>
        </w:rPr>
        <w:lastRenderedPageBreak/>
        <w:t>GD ITEC främjar ett hållbart och ansvarsfullt införande av innovativ teknik såsom artificiell intelligens och dataanalys för att förbättra beslutskapaciteten hos parlamentets tjänster.</w:t>
      </w:r>
    </w:p>
    <w:p w14:paraId="1DEE3BFD" w14:textId="7953DE29" w:rsidR="00370F0F" w:rsidRPr="00BE4A67" w:rsidRDefault="00F23FC1" w:rsidP="00370F0F">
      <w:pPr>
        <w:pStyle w:val="NormalHanging12a"/>
        <w:widowControl/>
      </w:pPr>
      <w:r>
        <w:t>141</w:t>
      </w:r>
      <w:r w:rsidR="00370F0F" w:rsidRPr="00BE4A67">
        <w:t>.</w:t>
      </w:r>
      <w:r w:rsidR="00370F0F" w:rsidRPr="00BE4A67">
        <w:tab/>
        <w:t>Europaparlamentet påminner om mervärdet av kostnadsfri programvara med öppen källkod för att förbättra säkerheten, eftersom sådan programvara gör det möjligt för parlamentet att identifiera och åtgärda brister och kontrollera sina data genom att hysa den på sina servrar och utforma lösningar enligt sina egna specifikationer samtidigt som man kan undvika leverantörsinlåsningseffekter.</w:t>
      </w:r>
      <w:r w:rsidR="00177C0C">
        <w:t xml:space="preserve"> </w:t>
      </w:r>
      <w:r w:rsidR="00177C0C" w:rsidRPr="00177C0C">
        <w:t xml:space="preserve">Parlamentet påminner om att endast höga standarder för </w:t>
      </w:r>
      <w:proofErr w:type="spellStart"/>
      <w:r w:rsidR="00177C0C" w:rsidRPr="00177C0C">
        <w:t>it-säkerhet</w:t>
      </w:r>
      <w:proofErr w:type="spellEnd"/>
      <w:r w:rsidR="00177C0C" w:rsidRPr="00177C0C">
        <w:t xml:space="preserve"> bör vägleda valet av programvara som används.</w:t>
      </w:r>
    </w:p>
    <w:p w14:paraId="57800EDB" w14:textId="217ED18B"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parlamentets cyberförsvarsverksamhet präglades starkt av ett ständigt växande cyberhot och ett ständigt växande risklandskap kring parlamentet och unionens övriga institutioner, organ och byråer. Parlamentet välkomnar att ytterligare resurser har använts av CERT-EU för säkerhetsvägledning på områdena molninfrastrukturtillämpningar, förbättrad </w:t>
      </w:r>
      <w:proofErr w:type="spellStart"/>
      <w:r w:rsidR="00370F0F" w:rsidRPr="00BE4A67">
        <w:rPr>
          <w14:textOutline w14:w="0" w14:cap="flat" w14:cmpd="sng" w14:algn="ctr">
            <w14:noFill/>
            <w14:prstDash w14:val="solid"/>
            <w14:bevel/>
          </w14:textOutline>
        </w:rPr>
        <w:t>cyberhotinformation</w:t>
      </w:r>
      <w:proofErr w:type="spellEnd"/>
      <w:r w:rsidR="00370F0F" w:rsidRPr="00BE4A67">
        <w:rPr>
          <w14:textOutline w14:w="0" w14:cap="flat" w14:cmpd="sng" w14:algn="ctr">
            <w14:noFill/>
            <w14:prstDash w14:val="solid"/>
            <w14:bevel/>
          </w14:textOutline>
        </w:rPr>
        <w:t xml:space="preserve"> och dygnet runt</w:t>
      </w:r>
      <w:r w:rsidR="00370F0F" w:rsidRPr="00BE4A67">
        <w:rPr>
          <w14:textOutline w14:w="0" w14:cap="flat" w14:cmpd="sng" w14:algn="ctr">
            <w14:noFill/>
            <w14:prstDash w14:val="solid"/>
            <w14:bevel/>
          </w14:textOutline>
        </w:rPr>
        <w:noBreakHyphen/>
        <w:t>övervakning av säkerhetsaspekterna liksom sårbarhetsidentifiering.</w:t>
      </w:r>
    </w:p>
    <w:p w14:paraId="66C6DF5E" w14:textId="193984B6"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143</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välkomnar inrättandet av direktoratet för cybersäkerhet 2022, som ansvarar för informationssäkerhet och består av tre enheter som hanterar säkerhetsinsatser, säkerhetspolicy och säkerhetsrisker. Parlamentet uppmanas med kraft att fortsätta sina ansträngningar och öka sina investeringar i cybersäkerhet. Parlamentet välkomnar att GD ITEC erbjöd möjligheten att kontrollera </w:t>
      </w:r>
      <w:proofErr w:type="spellStart"/>
      <w:r w:rsidR="00370F0F" w:rsidRPr="00BE4A67">
        <w:rPr>
          <w14:textOutline w14:w="0" w14:cap="flat" w14:cmpd="sng" w14:algn="ctr">
            <w14:noFill/>
            <w14:prstDash w14:val="solid"/>
            <w14:bevel/>
          </w14:textOutline>
        </w:rPr>
        <w:t>it-utrustning</w:t>
      </w:r>
      <w:proofErr w:type="spellEnd"/>
      <w:r w:rsidR="00370F0F" w:rsidRPr="00BE4A67">
        <w:rPr>
          <w14:textOutline w14:w="0" w14:cap="flat" w14:cmpd="sng" w14:algn="ctr">
            <w14:noFill/>
            <w14:prstDash w14:val="solid"/>
            <w14:bevel/>
          </w14:textOutline>
        </w:rPr>
        <w:t xml:space="preserve"> för att hitta bevis för spionprogram såsom Pegasus, och uppmanar GD ITEC att fortsätta sitt arbete på detta område.</w:t>
      </w:r>
    </w:p>
    <w:p w14:paraId="767403FE" w14:textId="4EA4EAF8"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GD ITEC efter den ökade användningen av bärbara enheter 2022 genomförde en allmän studie för att planera förbättringar av </w:t>
      </w:r>
      <w:proofErr w:type="spellStart"/>
      <w:r w:rsidR="00370F0F" w:rsidRPr="00BE4A67">
        <w:rPr>
          <w14:textOutline w14:w="0" w14:cap="flat" w14:cmpd="sng" w14:algn="ctr">
            <w14:noFill/>
            <w14:prstDash w14:val="solid"/>
            <w14:bevel/>
          </w14:textOutline>
        </w:rPr>
        <w:t>wifi</w:t>
      </w:r>
      <w:proofErr w:type="spellEnd"/>
      <w:r w:rsidR="00370F0F" w:rsidRPr="00BE4A67">
        <w:rPr>
          <w14:textOutline w14:w="0" w14:cap="flat" w14:cmpd="sng" w14:algn="ctr">
            <w14:noFill/>
            <w14:prstDash w14:val="solid"/>
            <w14:bevel/>
          </w14:textOutline>
        </w:rPr>
        <w:t xml:space="preserve">-nätet i parlamentets lokaler. Parlamentet noterar att SPAAK-byggnaden i Bryssel förstärktes 2022 med ytterligare 351 antenner. Parlamentet erkänner de insatser som gjorts för att förbättra </w:t>
      </w:r>
      <w:proofErr w:type="spellStart"/>
      <w:r w:rsidR="00370F0F" w:rsidRPr="00BE4A67">
        <w:rPr>
          <w14:textOutline w14:w="0" w14:cap="flat" w14:cmpd="sng" w14:algn="ctr">
            <w14:noFill/>
            <w14:prstDash w14:val="solid"/>
            <w14:bevel/>
          </w14:textOutline>
        </w:rPr>
        <w:t>wifi</w:t>
      </w:r>
      <w:proofErr w:type="spellEnd"/>
      <w:r w:rsidR="00370F0F" w:rsidRPr="00BE4A67">
        <w:rPr>
          <w14:textOutline w14:w="0" w14:cap="flat" w14:cmpd="sng" w14:algn="ctr">
            <w14:noFill/>
            <w14:prstDash w14:val="solid"/>
            <w14:bevel/>
          </w14:textOutline>
        </w:rPr>
        <w:t>-nätet i parlamentets byggnader. Parlamentet efterlyser ytterligare förbättringar av mobilnätet i parlamentets byggnader i Strasbourg för att förbättra mobiltäckningen.</w:t>
      </w:r>
    </w:p>
    <w:p w14:paraId="5BCA2839" w14:textId="27D7166B"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framhåller att den globala inflationen i kombination med problem i leveranskedjan orsakar kostnadsökningar på områden från hårdvara till professionella tjänster. Parlamentet välkomnar att GD ITEC har omprioriterat pågående </w:t>
      </w:r>
      <w:proofErr w:type="spellStart"/>
      <w:r w:rsidR="00370F0F" w:rsidRPr="00BE4A67">
        <w:rPr>
          <w14:textOutline w14:w="0" w14:cap="flat" w14:cmpd="sng" w14:algn="ctr">
            <w14:noFill/>
            <w14:prstDash w14:val="solid"/>
            <w14:bevel/>
          </w14:textOutline>
        </w:rPr>
        <w:t>it</w:t>
      </w:r>
      <w:r w:rsidR="00370F0F" w:rsidRPr="00BE4A67">
        <w:rPr>
          <w14:textOutline w14:w="0" w14:cap="flat" w14:cmpd="sng" w14:algn="ctr">
            <w14:noFill/>
            <w14:prstDash w14:val="solid"/>
            <w14:bevel/>
          </w14:textOutline>
        </w:rPr>
        <w:noBreakHyphen/>
        <w:t>investeringar</w:t>
      </w:r>
      <w:proofErr w:type="spellEnd"/>
      <w:r w:rsidR="00370F0F" w:rsidRPr="00BE4A67">
        <w:rPr>
          <w14:textOutline w14:w="0" w14:cap="flat" w14:cmpd="sng" w14:algn="ctr">
            <w14:noFill/>
            <w14:prstDash w14:val="solid"/>
            <w14:bevel/>
          </w14:textOutline>
        </w:rPr>
        <w:t xml:space="preserve">. Parlamentet välkomnar den nya och snabbare it-förvaltningscykeln som en del av GD </w:t>
      </w:r>
      <w:proofErr w:type="spellStart"/>
      <w:r w:rsidR="00370F0F" w:rsidRPr="00BE4A67">
        <w:rPr>
          <w14:textOutline w14:w="0" w14:cap="flat" w14:cmpd="sng" w14:algn="ctr">
            <w14:noFill/>
            <w14:prstDash w14:val="solid"/>
            <w14:bevel/>
          </w14:textOutline>
        </w:rPr>
        <w:t>ITEC:s</w:t>
      </w:r>
      <w:proofErr w:type="spellEnd"/>
      <w:r w:rsidR="00370F0F" w:rsidRPr="00BE4A67">
        <w:rPr>
          <w14:textOutline w14:w="0" w14:cap="flat" w14:cmpd="sng" w14:algn="ctr">
            <w14:noFill/>
            <w14:prstDash w14:val="solid"/>
            <w14:bevel/>
          </w14:textOutline>
        </w:rPr>
        <w:t xml:space="preserve"> </w:t>
      </w:r>
      <w:proofErr w:type="spellStart"/>
      <w:r w:rsidR="00370F0F" w:rsidRPr="00BE4A67">
        <w:rPr>
          <w14:textOutline w14:w="0" w14:cap="flat" w14:cmpd="sng" w14:algn="ctr">
            <w14:noFill/>
            <w14:prstDash w14:val="solid"/>
            <w14:bevel/>
          </w14:textOutline>
        </w:rPr>
        <w:t>it-program</w:t>
      </w:r>
      <w:proofErr w:type="spellEnd"/>
      <w:r w:rsidR="00370F0F" w:rsidRPr="00BE4A67">
        <w:rPr>
          <w14:textOutline w14:w="0" w14:cap="flat" w14:cmpd="sng" w14:algn="ctr">
            <w14:noFill/>
            <w14:prstDash w14:val="solid"/>
            <w14:bevel/>
          </w14:textOutline>
        </w:rPr>
        <w:t xml:space="preserve"> </w:t>
      </w:r>
      <w:proofErr w:type="spellStart"/>
      <w:r w:rsidR="00370F0F" w:rsidRPr="00BE4A67">
        <w:rPr>
          <w14:textOutline w14:w="0" w14:cap="flat" w14:cmpd="sng" w14:algn="ctr">
            <w14:noFill/>
            <w14:prstDash w14:val="solid"/>
            <w14:bevel/>
          </w14:textOutline>
        </w:rPr>
        <w:t>Agile</w:t>
      </w:r>
      <w:proofErr w:type="spellEnd"/>
      <w:r w:rsidR="00370F0F" w:rsidRPr="00BE4A67">
        <w:rPr>
          <w14:textOutline w14:w="0" w14:cap="flat" w14:cmpd="sng" w14:algn="ctr">
            <w14:noFill/>
            <w14:prstDash w14:val="solid"/>
            <w14:bevel/>
          </w14:textOutline>
        </w:rPr>
        <w:t>.</w:t>
      </w:r>
    </w:p>
    <w:p w14:paraId="757603C5" w14:textId="0183D70C" w:rsidR="00370F0F" w:rsidRDefault="00F23FC1" w:rsidP="00370F0F">
      <w:pPr>
        <w:widowControl/>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covid-19-pandemin har varit en katalysator för den snabbt påskyndade digitala omvandlingen av parlamentet under de senaste åren. Parlamentet framhåller övergången till ett hybridparlament med fullt flexibla arbetsformer från fysisk närvaro till en helt digital arbetsmiljö. Parlamentet välkomnar den </w:t>
      </w:r>
      <w:proofErr w:type="spellStart"/>
      <w:r w:rsidR="00370F0F" w:rsidRPr="00BE4A67">
        <w:rPr>
          <w14:textOutline w14:w="0" w14:cap="flat" w14:cmpd="sng" w14:algn="ctr">
            <w14:noFill/>
            <w14:prstDash w14:val="solid"/>
            <w14:bevel/>
          </w14:textOutline>
        </w:rPr>
        <w:t>resiliens</w:t>
      </w:r>
      <w:proofErr w:type="spellEnd"/>
      <w:r w:rsidR="00370F0F" w:rsidRPr="00BE4A67">
        <w:rPr>
          <w14:textOutline w14:w="0" w14:cap="flat" w14:cmpd="sng" w14:algn="ctr">
            <w14:noFill/>
            <w14:prstDash w14:val="solid"/>
            <w14:bevel/>
          </w14:textOutline>
        </w:rPr>
        <w:t xml:space="preserve"> som parlamentet visat i samband med covid-19-pandemin och att parlamentets reaktion var snabb och flexibel och gynnades av tidigare investeringar i digitalisering.</w:t>
      </w:r>
    </w:p>
    <w:p w14:paraId="37BFB89A" w14:textId="39DDA879" w:rsidR="00177C0C" w:rsidRPr="00BE4A67" w:rsidRDefault="00F23FC1" w:rsidP="00370F0F">
      <w:pPr>
        <w:widowControl/>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147</w:t>
      </w:r>
      <w:r w:rsidR="00177C0C" w:rsidRPr="00177C0C">
        <w:rPr>
          <w:szCs w:val="24"/>
          <w14:textOutline w14:w="0" w14:cap="flat" w14:cmpd="sng" w14:algn="ctr">
            <w14:noFill/>
            <w14:prstDash w14:val="solid"/>
            <w14:bevel/>
          </w14:textOutline>
        </w:rPr>
        <w:t>.</w:t>
      </w:r>
      <w:r w:rsidR="00177C0C" w:rsidRPr="00177C0C">
        <w:rPr>
          <w:szCs w:val="24"/>
          <w14:textOutline w14:w="0" w14:cap="flat" w14:cmpd="sng" w14:algn="ctr">
            <w14:noFill/>
            <w14:prstDash w14:val="solid"/>
            <w14:bevel/>
          </w14:textOutline>
        </w:rPr>
        <w:tab/>
        <w:t xml:space="preserve">Europaparlamentet påminner om dövsamhällets krav sedan länge på att ha möjlighet att lämna in framställningar på nationella teckenspråk som används inom unionen. Parlamentet noterar diskussionerna under sammanträdet i utskottet för framställningar den 29 november 2023 och den 19 mars 2024, som särskilt behandlade framställning nr </w:t>
      </w:r>
      <w:r w:rsidR="00177C0C" w:rsidRPr="00177C0C">
        <w:rPr>
          <w:szCs w:val="24"/>
          <w14:textOutline w14:w="0" w14:cap="flat" w14:cmpd="sng" w14:algn="ctr">
            <w14:noFill/>
            <w14:prstDash w14:val="solid"/>
            <w14:bevel/>
          </w14:textOutline>
        </w:rPr>
        <w:lastRenderedPageBreak/>
        <w:t>1056/2016, och understryker parlamentets åtagande att förbättra tillgängligheten för alla EU-medborgare. Parlamentet påminner om att det i parlamentets arbetsordning föreskrivs att framställningar ska lämnas in skriftligen. Parlamentets administration uppmanas att genomföra nödvändiga ändringar i framställningsportalen för att göra det möjligt för framställare att stödja sin skriftliga framställning med en videoinspelad översättning till teckenspråk. Parlamentet uppmanar administrationen att bjuda in berörda parter, inbegripet företrädare för dövsamhället, att lämna synpunkter och återkoppling under genomförandeprocessen för att säkerställa att de föreslagna åtgärderna är ändamålsenliga och inkluderande.</w:t>
      </w:r>
    </w:p>
    <w:p w14:paraId="4B7BA071" w14:textId="0794FDE2" w:rsidR="00370F0F" w:rsidRPr="00BE4A67" w:rsidRDefault="00F23FC1" w:rsidP="00370F0F">
      <w:pPr>
        <w:pStyle w:val="NormalHanging12a"/>
        <w:widowControl/>
      </w:pPr>
      <w:r>
        <w:t>148</w:t>
      </w:r>
      <w:r w:rsidR="00370F0F" w:rsidRPr="00BE4A67">
        <w:t>.</w:t>
      </w:r>
      <w:r w:rsidR="00370F0F" w:rsidRPr="00BE4A67">
        <w:tab/>
        <w:t>Europaparlamentet välkomnar att portalen för digital underskrift (</w:t>
      </w:r>
      <w:proofErr w:type="spellStart"/>
      <w:r w:rsidR="00370F0F" w:rsidRPr="00BE4A67">
        <w:t>DiSP</w:t>
      </w:r>
      <w:proofErr w:type="spellEnd"/>
      <w:r w:rsidR="00370F0F" w:rsidRPr="00BE4A67">
        <w:t>) gör det möjligt för ledamöterna att digitalt underteckna dokument, vilket förbättrar effektiviteten, spårbarheten och transparensen i förfarandena. Parlamentet noterar att undertecknande av ändringsförslag till kammaren fortfarande är ett föråldrat och betungande förfarande, oavsett möjligheten att skicka undertecknade ändringsförslag till plenarsessionerna via e-post eller via EP Transfer portal. Parlamentet uppmanar presidiet att vidta de åtgärder som krävs för att införa möjligheten för ledamöterna att i framtiden underteckna ändringsförslag i kammaren digitalt.</w:t>
      </w:r>
    </w:p>
    <w:p w14:paraId="60C6DCE6"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Generaldirektoratet för skydd och säkerhet</w:t>
      </w:r>
    </w:p>
    <w:p w14:paraId="48155931" w14:textId="79DC7075"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generaldirektoratet för skydd och säkerhet (GD SAFE) strävar efter att förutse, förebygga och minska säkerhetsrisker och hot mot parlamentet och dess ledamöter och personal genom att använda en riskbaserad metod som tar vederbörlig hänsyn till institutionens demokratiska karaktär och de värden som den står för, särskilt öppenhet och transparens. Parlamentet noterar att det den 31 december 2022 fanns 882 anställda, varav 170 var tjänstemän, 22 tillfälligt anställda och 690 kontraktsanställda.</w:t>
      </w:r>
    </w:p>
    <w:p w14:paraId="760B8D61" w14:textId="18D342E6"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GD SAFE:s slutliga anslag uppgick till 29 507 334 EUR 2022, vilket motsvarar 1,4 % av parlamentets budget. Parlamentet framhåller att av detta belopp anslogs totalt 28 370 796 EUR. Parlamentet välkomnar den höga användningen av anslag.</w:t>
      </w:r>
    </w:p>
    <w:p w14:paraId="343BC79D" w14:textId="7BBA37E9" w:rsidR="00370F0F" w:rsidRPr="00BE4A67" w:rsidRDefault="00F23FC1" w:rsidP="00370F0F">
      <w:pPr>
        <w:pStyle w:val="NormalHanging12a"/>
        <w:widowControl/>
      </w:pPr>
      <w:r>
        <w:t>151</w:t>
      </w:r>
      <w:r w:rsidR="00370F0F" w:rsidRPr="00BE4A67">
        <w:t>.</w:t>
      </w:r>
      <w:r w:rsidR="00370F0F" w:rsidRPr="00BE4A67">
        <w:tab/>
        <w:t>Europaparlamentet välkomnar internaliseringen av allmänna säkerhetstjänster i Luxemburg, som trädde i kraft den 1 januari 2022. Parlamentet bekräftar svårigheten att locka till sig och rekrytera specialiserad personal från alla medlemsstater på säkerhetsområdet med de villkor som erbjuds i tjänstegrupp I. Parlamentet påminner om den särskilda situationen i Luxemburg, där den lön som erbjuds i denna tjänstegrupp är lägre än den nationella minimilönen för alla yrken, vilket tvingar parlamentet att använda sig av social kompensation.</w:t>
      </w:r>
    </w:p>
    <w:p w14:paraId="746591CC" w14:textId="31FFD4FD"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pekar på den ökade efterfrågan på att GD SAFE ska tillhandahålla ytterligare och exceptionella skydds- och säkerhetstjänster på alla arbetsorter för ett allt större antal storskaliga evenemang. Parlamentet erkänner den utmaning detta innebär för parlamentets säkerhetstjänster, som har ett fast antal anställda, när det gäller att tillgodose dessa växande behov.</w:t>
      </w:r>
    </w:p>
    <w:p w14:paraId="77972F0D" w14:textId="3E9AC4C1"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153</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välkomnar återgången till en normal besöksnivå efter lättnader i de </w:t>
      </w:r>
      <w:proofErr w:type="spellStart"/>
      <w:r w:rsidR="00370F0F" w:rsidRPr="00BE4A67">
        <w:rPr>
          <w14:textOutline w14:w="0" w14:cap="flat" w14:cmpd="sng" w14:algn="ctr">
            <w14:noFill/>
            <w14:prstDash w14:val="solid"/>
            <w14:bevel/>
          </w14:textOutline>
        </w:rPr>
        <w:t>covid</w:t>
      </w:r>
      <w:proofErr w:type="spellEnd"/>
      <w:r w:rsidR="00370F0F" w:rsidRPr="00BE4A67">
        <w:rPr>
          <w14:textOutline w14:w="0" w14:cap="flat" w14:cmpd="sng" w14:algn="ctr">
            <w14:noFill/>
            <w14:prstDash w14:val="solid"/>
            <w14:bevel/>
          </w14:textOutline>
        </w:rPr>
        <w:t>-relaterade restriktionerna under 2022. Parlamentet är bekymrat över att bristen på utrymme i Bryssel för att välkomna och ackreditera evenemangs- och konferensdeltagare kan utgöra en risk för parlamentets säkerhet.</w:t>
      </w:r>
    </w:p>
    <w:p w14:paraId="7DF4EDF2" w14:textId="527AE798"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154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betonar vikten av en grundlig framtidsplanering för projekt med anknytning till Europaparlamentets förbindelsekontor och Europa </w:t>
      </w:r>
      <w:proofErr w:type="spellStart"/>
      <w:r w:rsidR="00370F0F" w:rsidRPr="00BE4A67">
        <w:rPr>
          <w14:textOutline w14:w="0" w14:cap="flat" w14:cmpd="sng" w14:algn="ctr">
            <w14:noFill/>
            <w14:prstDash w14:val="solid"/>
            <w14:bevel/>
          </w14:textOutline>
        </w:rPr>
        <w:t>Experience</w:t>
      </w:r>
      <w:proofErr w:type="spellEnd"/>
      <w:r w:rsidR="00370F0F" w:rsidRPr="00BE4A67">
        <w:rPr>
          <w14:textOutline w14:w="0" w14:cap="flat" w14:cmpd="sng" w14:algn="ctr">
            <w14:noFill/>
            <w14:prstDash w14:val="solid"/>
            <w14:bevel/>
          </w14:textOutline>
        </w:rPr>
        <w:t>-centrum för att noggrant kunna uppskatta utgifterna för skydds- och säkerhetsrelaterade tjänster och utrustning.</w:t>
      </w:r>
    </w:p>
    <w:p w14:paraId="3859503B"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 xml:space="preserve">Övergripande frågor med konsekvenser för parlamentets budget för budgetåret 2022 </w:t>
      </w:r>
    </w:p>
    <w:p w14:paraId="5567AFE3" w14:textId="77777777" w:rsidR="00370F0F" w:rsidRPr="00BE4A67" w:rsidRDefault="00370F0F" w:rsidP="00370F0F">
      <w:pPr>
        <w:widowControl/>
        <w:spacing w:after="240"/>
        <w:rPr>
          <w:b/>
          <w:noProof/>
          <w:u w:val="single"/>
        </w:rPr>
      </w:pPr>
      <w:r w:rsidRPr="00BE4A67">
        <w:rPr>
          <w:b/>
          <w:u w:val="single"/>
        </w:rPr>
        <w:t xml:space="preserve">Trakasserier </w:t>
      </w:r>
    </w:p>
    <w:p w14:paraId="05D38A1C" w14:textId="501396FF" w:rsidR="00370F0F" w:rsidRPr="00BE4A67" w:rsidRDefault="00F23FC1" w:rsidP="00370F0F">
      <w:pPr>
        <w:pStyle w:val="NormalHanging12a"/>
        <w:widowControl/>
      </w:pPr>
      <w:r>
        <w:t>155</w:t>
      </w:r>
      <w:r w:rsidR="00370F0F" w:rsidRPr="00BE4A67">
        <w:t>.</w:t>
      </w:r>
      <w:r w:rsidR="00370F0F" w:rsidRPr="00BE4A67">
        <w:tab/>
        <w:t>Europaparlamentet välkomnar parlamentets nolltoleranspolitik mot trakasserier och de informationskampanjer som genomförts. Parlamentet betonar att uppförandekoden för Europaparlamentets ledamöter syftar till att se till att ledamöterna uppför sig med värdighet, artighet och respekt mot alla som arbetar i parlamentet och utan fördomar eller diskriminering. Parlamentet påminner om att 56 ledamöter deltog i utbildningen under 2022. Parlamentet noterar att sedan november 2018, då de första utbildningstillfällena erbjöds, hade sammanlagt 324 nuvarande ledamöter av Europaparlamentet (46 %) deltagit i utbildningen, plus 56 före detta ledamöter vars mandat har löpt ut. Parlamentet noterar att under 2022 hade 106 anställda och ackrediterade assistenter deltagit i kurser mot trakasserier. Parlamentet noterar med oro att trakasserier fortfarande förekommer oavsett vilka åtgärder som vidtas för att undanröja trakasserier på arbetsplatsen.</w:t>
      </w:r>
    </w:p>
    <w:p w14:paraId="1F660434" w14:textId="1A949A3E" w:rsidR="00370F0F" w:rsidRPr="00BE4A67" w:rsidRDefault="00F23FC1" w:rsidP="00370F0F">
      <w:pPr>
        <w:pStyle w:val="NormalHanging12a"/>
        <w:widowControl/>
      </w:pPr>
      <w:r>
        <w:t>156</w:t>
      </w:r>
      <w:r w:rsidR="00370F0F" w:rsidRPr="00BE4A67">
        <w:t>.</w:t>
      </w:r>
      <w:r w:rsidR="00370F0F" w:rsidRPr="00BE4A67">
        <w:tab/>
        <w:t>Europaparlamentet påminner om att man i samband med tidigare ansvarsfrihetsförfaranden begärt att obligatoriska kurser om bekämpning av trakasserier ska genomföras för alla ledamöter samt personalen, inbegripet personer i ledande ställning i de olika generaldirektoraten och politiska grupperna. Parlamentet konstaterar att presidiet den 10 juli 2023, för att bidra till att skapa en bättre arbetsmiljö i Europaparlamentet och undvika maktmissbruk, godkände ytterligare ett utbildningskoncept om hur man skapar ett bra och välfungerande team och om förebyggande av trakasserier. Parlamentet välkomnar presidiets insatser för att göra utbildningen om åtgärder mot trakasserier obligatorisk för alla ledamöter samt för enhetschefer, direktörer och generaldirektörer.</w:t>
      </w:r>
    </w:p>
    <w:p w14:paraId="27BC02ED" w14:textId="31DD6D80"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framhåller att det bör finnas obligatorisk utbildning om bekämpning av trakasserier för ledamöter, ackrediterade assistenter och anställda</w:t>
      </w:r>
      <w:r w:rsidR="0050645B" w:rsidRPr="0050645B">
        <w:rPr>
          <w14:textOutline w14:w="0" w14:cap="flat" w14:cmpd="sng" w14:algn="ctr">
            <w14:noFill/>
            <w14:prstDash w14:val="solid"/>
            <w14:bevel/>
          </w14:textOutline>
        </w:rPr>
        <w:t xml:space="preserve">, och att all personal, inklusive medicinsk personal som deltar i förfaranden mot trakasserier, </w:t>
      </w:r>
      <w:r w:rsidR="00133273">
        <w:rPr>
          <w14:textOutline w14:w="0" w14:cap="flat" w14:cmpd="sng" w14:algn="ctr">
            <w14:noFill/>
            <w14:prstDash w14:val="solid"/>
            <w14:bevel/>
          </w14:textOutline>
        </w:rPr>
        <w:t>bör vara</w:t>
      </w:r>
      <w:r w:rsidR="0050645B" w:rsidRPr="0050645B">
        <w:rPr>
          <w14:textOutline w14:w="0" w14:cap="flat" w14:cmpd="sng" w14:algn="ctr">
            <w14:noFill/>
            <w14:prstDash w14:val="solid"/>
            <w14:bevel/>
          </w14:textOutline>
        </w:rPr>
        <w:t xml:space="preserve"> särskilt utbildad för dessa förfaranden</w:t>
      </w:r>
      <w:r w:rsidR="00370F0F" w:rsidRPr="00BE4A67">
        <w:rPr>
          <w14:textOutline w14:w="0" w14:cap="flat" w14:cmpd="sng" w14:algn="ctr">
            <w14:noFill/>
            <w14:prstDash w14:val="solid"/>
            <w14:bevel/>
          </w14:textOutline>
        </w:rPr>
        <w:t>.</w:t>
      </w:r>
    </w:p>
    <w:p w14:paraId="72C9153D" w14:textId="16BE83D2"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framhåller att rådgivande kommittén för förebyggande av mobbning och trakasserier på arbetsplatsen mottog två klagomål under 2022, som lämnades in av två praktikanter. Parlamentet noterar dessutom att en anställd kontaktade kommittén för att få rådgivning. </w:t>
      </w:r>
    </w:p>
    <w:p w14:paraId="2740A884" w14:textId="25D3CB3C" w:rsidR="00370F0F" w:rsidRDefault="00F23FC1" w:rsidP="00370F0F">
      <w:pPr>
        <w:widowControl/>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159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framhåller att den rådgivande kommittén för handläggning av klagomål om trakasserier som rör ledamöter av Europaparlamentet har mandat att undersöka anklagelser mot ledamöter om psykologiska eller sexuella trakasserier från alla personalkategorier, inbegripet ackrediterade assistenter, praktikanter, utstationerade nationella experter och personal i de politiska grupperna. Parlamentet noterar att presidiet, i syfte att ytterligare stärka parlamentets plan för att motarbeta trakasserier, den 20 november 2023 antog ett antal ytterligare ändringar av bestämmelserna om hur den rådgivande kommittén för handläggning av klagomål om trakasserier som rör ledamöter ska fungera.</w:t>
      </w:r>
      <w:r w:rsidR="0050645B">
        <w:rPr>
          <w14:textOutline w14:w="0" w14:cap="flat" w14:cmpd="sng" w14:algn="ctr">
            <w14:noFill/>
            <w14:prstDash w14:val="solid"/>
            <w14:bevel/>
          </w14:textOutline>
        </w:rPr>
        <w:t xml:space="preserve"> </w:t>
      </w:r>
      <w:r w:rsidR="0050645B" w:rsidRPr="0050645B">
        <w:rPr>
          <w14:textOutline w14:w="0" w14:cap="flat" w14:cmpd="sng" w14:algn="ctr">
            <w14:noFill/>
            <w14:prstDash w14:val="solid"/>
            <w14:bevel/>
          </w14:textOutline>
        </w:rPr>
        <w:t xml:space="preserve">Parlamentet upprepar sin uppmaning till presidiet att inbegripa </w:t>
      </w:r>
      <w:r w:rsidR="0050645B" w:rsidRPr="0050645B">
        <w:rPr>
          <w14:textOutline w14:w="0" w14:cap="flat" w14:cmpd="sng" w14:algn="ctr">
            <w14:noFill/>
            <w14:prstDash w14:val="solid"/>
            <w14:bevel/>
          </w14:textOutline>
        </w:rPr>
        <w:lastRenderedPageBreak/>
        <w:t>oberoende experter på frågor som rör trakasserier i båda de rådgivande kommittéerna för att hjälpa dem att utföra sina uppgifter.</w:t>
      </w:r>
    </w:p>
    <w:p w14:paraId="17A0E792" w14:textId="42D2B9B3" w:rsidR="00896BBD" w:rsidRPr="00BE4A67" w:rsidRDefault="00F23FC1" w:rsidP="00370F0F">
      <w:pPr>
        <w:widowControl/>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160</w:t>
      </w:r>
      <w:r w:rsidR="00896BBD" w:rsidRPr="00896BBD">
        <w:rPr>
          <w:szCs w:val="24"/>
          <w14:textOutline w14:w="0" w14:cap="flat" w14:cmpd="sng" w14:algn="ctr">
            <w14:noFill/>
            <w14:prstDash w14:val="solid"/>
            <w14:bevel/>
          </w14:textOutline>
        </w:rPr>
        <w:t>.</w:t>
      </w:r>
      <w:r w:rsidR="00896BBD" w:rsidRPr="00896BBD">
        <w:rPr>
          <w:szCs w:val="24"/>
          <w14:textOutline w14:w="0" w14:cap="flat" w14:cmpd="sng" w14:algn="ctr">
            <w14:noFill/>
            <w14:prstDash w14:val="solid"/>
            <w14:bevel/>
          </w14:textOutline>
        </w:rPr>
        <w:tab/>
        <w:t>Europaparlamentet betonar att sexuella och psykologiska trakasserier under inga omständigheter är godtagbara. Parlamentet påminner om att det framgångsrikt har inrättat flera kontaktpunkter för att hantera fall av trakasserier, såsom den rådgivande kommittén för handläggning av klagomål om trakasserier som rör ledamöter och den rådgivande kommittén för trakasserier och förebyggande av trakasserier på arbetsplatsen samt konfidentiella rådgivare. Parlamentet är mycket oroat över avslöjandena i medierna om påstådda sexuella trakasserier från en ledamots sida sedan sommaren 2022 utan att några åtgärder vidtagits. Parlamentet påminner om att alla politiska grupper starkt uppmuntras att rapportera potentiella fall till dessa kommittéer och att inrättandet av externa strukturer med samma syfte leder till att parlamentets protokoll mot trakasserier kringgås och att ett dualistiskt system inrättas. Parlamentet understryker att detta leder till allvarlig osäkerhet för offren och olika regler för olika politiska partier.</w:t>
      </w:r>
    </w:p>
    <w:p w14:paraId="768DA465" w14:textId="49287C43"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161</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13 anställda under 2022 (jämfört med 9 under 2021) sökte hjälp från institutionen i enlighet med artikel 24 i tjänsteföreskrifterna. Parlamentet påpekar att 6 av fallen (jämfört med 5 under 2021) gällde påstådda trakasserier. Parlamentet betonar att ingen av de berörda anställda var tjänsteman och att alla sex var ackrediterade assistenter eller tidigare ackrediterade assistenter.</w:t>
      </w:r>
    </w:p>
    <w:p w14:paraId="32E8ABBB" w14:textId="3133EA69" w:rsidR="00370F0F" w:rsidRPr="00BE4A67" w:rsidRDefault="00F23FC1" w:rsidP="00370F0F">
      <w:pPr>
        <w:pStyle w:val="NormalHanging12a"/>
        <w:widowControl/>
      </w:pPr>
      <w:r>
        <w:t>162</w:t>
      </w:r>
      <w:r w:rsidR="00370F0F" w:rsidRPr="00BE4A67">
        <w:t>.</w:t>
      </w:r>
      <w:r w:rsidR="00370F0F" w:rsidRPr="00BE4A67">
        <w:tab/>
        <w:t>Europaparlamentet anser att trakasserier av en parlamentsassistent från andra parlamentsassistenters eller parlamentstjänstemäns sida också bör beaktas.</w:t>
      </w:r>
    </w:p>
    <w:p w14:paraId="2310F449" w14:textId="77777777" w:rsidR="00370F0F" w:rsidRPr="00BE4A67" w:rsidRDefault="00370F0F" w:rsidP="00370F0F">
      <w:pPr>
        <w:widowControl/>
        <w:spacing w:after="240"/>
        <w:rPr>
          <w:b/>
          <w:noProof/>
          <w:u w:val="single"/>
        </w:rPr>
      </w:pPr>
      <w:r w:rsidRPr="00BE4A67">
        <w:rPr>
          <w:b/>
          <w:u w:val="single"/>
        </w:rPr>
        <w:t>Visselblåsare</w:t>
      </w:r>
    </w:p>
    <w:p w14:paraId="5C7855B5" w14:textId="3D123D69" w:rsidR="00370F0F" w:rsidRPr="00BE4A67" w:rsidRDefault="00F23FC1" w:rsidP="00370F0F">
      <w:pPr>
        <w:pStyle w:val="NormalHanging12a"/>
        <w:widowControl/>
      </w:pPr>
      <w:r>
        <w:t>163</w:t>
      </w:r>
      <w:r w:rsidR="00370F0F" w:rsidRPr="00BE4A67">
        <w:t>.</w:t>
      </w:r>
      <w:r w:rsidR="00370F0F" w:rsidRPr="00BE4A67">
        <w:tab/>
        <w:t xml:space="preserve">Europaparlamentet påminner om att anställda vid unionens institutioner är skyldiga att rapportera all information som tyder på korruption, bedrägerier och andra allvarliga oriktigheter som de upptäcker i tjänsten. Parlamentet noterar att parlamentet registrerade ett fall av visselblåsning 2022. Parlamentet välkomnar det pågående arbetet under 2022 med att uppdatera de interna bestämmelserna om genomförande av artikel 22 c i tjänsteföreskrifterna av den 4 december 2015 med mer omfattande och detaljerade interna regler. Parlamentet välkomnar att ett presidiebeslut om de interna bestämmelserna om visselblåsning antogs den 20 november 2023 och tillämpas från och med den 1 december 2023. Dessa inbegriper bestämmelser om skydd av visselblåsare, översändande av bevis till Olaf och, i förekommande fall, </w:t>
      </w:r>
      <w:proofErr w:type="spellStart"/>
      <w:r w:rsidR="00370F0F" w:rsidRPr="00BE4A67">
        <w:t>Eppo</w:t>
      </w:r>
      <w:proofErr w:type="spellEnd"/>
      <w:r w:rsidR="00370F0F" w:rsidRPr="00BE4A67">
        <w:t xml:space="preserve"> samt tidsfrister för hantering av klagomål.</w:t>
      </w:r>
    </w:p>
    <w:p w14:paraId="0F7CDBA5" w14:textId="7FCABCE2" w:rsidR="00370F0F" w:rsidRPr="00BE4A67" w:rsidRDefault="00F23FC1" w:rsidP="00370F0F">
      <w:pPr>
        <w:pStyle w:val="NormalHanging12a"/>
        <w:widowControl/>
      </w:pPr>
      <w:r>
        <w:t>164</w:t>
      </w:r>
      <w:r w:rsidR="00370F0F" w:rsidRPr="00BE4A67">
        <w:t>.</w:t>
      </w:r>
      <w:r w:rsidR="00370F0F" w:rsidRPr="00BE4A67">
        <w:tab/>
        <w:t xml:space="preserve">I enlighet med presidiets meddelande nr 18/2023 om de interna bestämmelserna om visselblåsning och de skyldigheter som åligger ackrediterade assistenter och anställda att rapportera eventuella överträdelser påpekar Europaparlamentet att det är absolut nödvändigt att alla parlamentets tjänster också är skyldiga att rapportera all information de har om bedrägerier, överträdelser av finansiella bestämmelser eller beteenden som strider mot parlamentets etiska regler, och att denna skyldighet gäller all sådan information, oavsett </w:t>
      </w:r>
      <w:proofErr w:type="spellStart"/>
      <w:r w:rsidR="00370F0F" w:rsidRPr="00BE4A67">
        <w:t>konfidentialitet</w:t>
      </w:r>
      <w:proofErr w:type="spellEnd"/>
      <w:r w:rsidR="00370F0F" w:rsidRPr="00BE4A67">
        <w:t>, och bör rapporteras till parlamentets berörda tjänst.</w:t>
      </w:r>
    </w:p>
    <w:p w14:paraId="44030915" w14:textId="77777777" w:rsidR="00370F0F" w:rsidRPr="00BE4A67" w:rsidRDefault="00370F0F" w:rsidP="00370F0F">
      <w:pPr>
        <w:widowControl/>
        <w:spacing w:after="240"/>
        <w:rPr>
          <w:b/>
          <w:noProof/>
          <w:u w:val="single"/>
        </w:rPr>
      </w:pPr>
      <w:r w:rsidRPr="00BE4A67">
        <w:rPr>
          <w:b/>
          <w:u w:val="single"/>
        </w:rPr>
        <w:t>Den frivilliga pensionsfonden</w:t>
      </w:r>
    </w:p>
    <w:p w14:paraId="438030B0" w14:textId="1FBD1ED8"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165</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noterar att det försäkringstekniska underskottet i den frivilliga pensionsfonden den 31 december 2021 uppgick till 379 miljoner EUR (jämfört med </w:t>
      </w:r>
      <w:r w:rsidR="00370F0F" w:rsidRPr="00BE4A67">
        <w:rPr>
          <w14:textOutline w14:w="0" w14:cap="flat" w14:cmpd="sng" w14:algn="ctr">
            <w14:noFill/>
            <w14:prstDash w14:val="solid"/>
            <w14:bevel/>
          </w14:textOutline>
        </w:rPr>
        <w:lastRenderedPageBreak/>
        <w:t>371,4 miljoner EUR den 31 december 2020). Parlamentet välkomnar de ändringar som parlamentets presidium gjort av artikel 76 i tillämpningsföreskrifterna för Europaparlamentets ledamotsstadga när det gäller (det frivilliga) tilläggspensionssystemet, som trädde i kraft den 1 juli 2023 och som syftar till att minska framtida pensionsåtaganden från 362,7 miljoner EUR till uppskattningsvis 139 miljoner EUR, och fondens försäkringstekniska underskott från 310 miljoner EUR till uppskattningsvis 86 miljoner EUR.</w:t>
      </w:r>
    </w:p>
    <w:p w14:paraId="27D8A369" w14:textId="3554F7F2" w:rsidR="00370F0F" w:rsidRPr="00BE4A67" w:rsidRDefault="00F23FC1" w:rsidP="00370F0F">
      <w:pPr>
        <w:pStyle w:val="NormalHanging12a"/>
        <w:widowControl/>
      </w:pPr>
      <w:r>
        <w:t>166</w:t>
      </w:r>
      <w:r w:rsidR="00370F0F" w:rsidRPr="00BE4A67">
        <w:t>.</w:t>
      </w:r>
      <w:r w:rsidR="00370F0F" w:rsidRPr="00BE4A67">
        <w:tab/>
        <w:t>Europaparlamentet välkomnar presidiets senaste beslut. Parlamentet påminner om att problemet fortfarande kommer att behöva lösas i framtiden, eftersom fonden förväntas uttömma sina tillgångar senast 2027. Parlamentet är medvetet om att det inte deltar i förvaltningen av den frivilliga pensionsfondens investeringsportfölj. Parlamentet uppmanar dock fondens förvaltare att göra en ordentlig bedömning av den potentiella anseenderisken när det gäller fondens investeringar. Parlamentet noterar att den rättsliga bedömningen av de senaste domarna från Europeiska unionens domstol och deras konsekvenser för framtida presidiebeslut också gjordes tillgängliga för presidiets ledamöter för att göra det möjligt för dem att fatta ett välgrundat beslut. Parlamentet noterar att det pågår överklaganden i Europeiska unionens domstol och att frågan måste tas upp igen efter det att domarna har meddelats.</w:t>
      </w:r>
    </w:p>
    <w:p w14:paraId="3D01B3F5" w14:textId="01B51946"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uppmanar administrationen och presidiet att </w:t>
      </w:r>
      <w:r w:rsidR="000A0A84" w:rsidRPr="000A0A84">
        <w:rPr>
          <w14:textOutline w14:w="0" w14:cap="flat" w14:cmpd="sng" w14:algn="ctr">
            <w14:noFill/>
            <w14:prstDash w14:val="solid"/>
            <w14:bevel/>
          </w14:textOutline>
        </w:rPr>
        <w:t>ta upp frågan igen först efter det</w:t>
      </w:r>
      <w:r w:rsidR="00370F0F" w:rsidRPr="00BE4A67">
        <w:rPr>
          <w14:textOutline w14:w="0" w14:cap="flat" w14:cmpd="sng" w14:algn="ctr">
            <w14:noFill/>
            <w14:prstDash w14:val="solid"/>
            <w14:bevel/>
          </w14:textOutline>
        </w:rPr>
        <w:t xml:space="preserve"> att </w:t>
      </w:r>
      <w:r w:rsidR="000A0A84" w:rsidRPr="000A0A84">
        <w:rPr>
          <w14:textOutline w14:w="0" w14:cap="flat" w14:cmpd="sng" w14:algn="ctr">
            <w14:noFill/>
            <w14:prstDash w14:val="solid"/>
            <w14:bevel/>
          </w14:textOutline>
        </w:rPr>
        <w:t>EU-domstolen har gjort sin rättsliga bedömning i syfte att överväga</w:t>
      </w:r>
      <w:r w:rsidR="00370F0F" w:rsidRPr="00BE4A67">
        <w:rPr>
          <w14:textOutline w14:w="0" w14:cap="flat" w14:cmpd="sng" w14:algn="ctr">
            <w14:noFill/>
            <w14:prstDash w14:val="solid"/>
            <w14:bevel/>
          </w14:textOutline>
        </w:rPr>
        <w:t xml:space="preserve"> den frivilliga pensionsfondens </w:t>
      </w:r>
      <w:r w:rsidR="000A0A84" w:rsidRPr="000A0A84">
        <w:rPr>
          <w14:textOutline w14:w="0" w14:cap="flat" w14:cmpd="sng" w14:algn="ctr">
            <w14:noFill/>
            <w14:prstDash w14:val="solid"/>
            <w14:bevel/>
          </w14:textOutline>
        </w:rPr>
        <w:t>framtid</w:t>
      </w:r>
      <w:r w:rsidR="00370F0F" w:rsidRPr="00BE4A67">
        <w:rPr>
          <w14:textOutline w14:w="0" w14:cap="flat" w14:cmpd="sng" w14:algn="ctr">
            <w14:noFill/>
            <w14:prstDash w14:val="solid"/>
            <w14:bevel/>
          </w14:textOutline>
        </w:rPr>
        <w:t>.</w:t>
      </w:r>
    </w:p>
    <w:p w14:paraId="05619C6B" w14:textId="77777777" w:rsidR="00370F0F" w:rsidRPr="00BE4A67" w:rsidRDefault="00370F0F" w:rsidP="00370F0F">
      <w:pPr>
        <w:widowControl/>
        <w:spacing w:after="240"/>
        <w:ind w:left="567" w:hanging="567"/>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Årsrapport om tilldelade kontrakt</w:t>
      </w:r>
    </w:p>
    <w:p w14:paraId="0CBA6341" w14:textId="1B97381F"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det i budgetförordningen anges vilken information som ska lämnas till budgetmyndigheten och allmänheten i fråga om parlamentets tilldelning av kontrakt. Parlamentet noterar att budgetförordningen kräver offentliggörande av tilldelade kontrakt till ett värde som överstiger 15 000 EUR, vilket motsvarar det tröskelvärde över vilket ett konkurrensutsatt upphandlingsförfarande blir obligatoriskt. Parlamentet noterar att av 194 tilldelade kontrakt under 2022 baserades 63 på ett öppet eller selektivt förfarande, till ett värde av 359,3 miljoner EUR, och att 1 baserades på ett förhandlat förfarande, till ett värde av 460 000 EUR. Parlamentet noterar att 126 kontrakt tilldelades genom förhandlade förfaranden till ett värde av 48 miljoner EUR.</w:t>
      </w:r>
    </w:p>
    <w:p w14:paraId="657E78CC" w14:textId="1350BEC1"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det totala antalet tilldelade kontrakt minskade under 2022 (194) jämfört med 2021 (221). Parlamentet noterar den betydande minskningen av de kontrakterade beloppen, som 2022 uppgick till 410 miljoner EUR, jämfört med 1 016 miljoner EUR 2021.</w:t>
      </w:r>
    </w:p>
    <w:p w14:paraId="3FED0F30" w14:textId="1BB2B327"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följande fördelning av de kontrakt som tilldelats under 2022 och 2021 efter typ av förfarande som använts, inklusive fastighetskontrakt:</w:t>
      </w:r>
    </w:p>
    <w:tbl>
      <w:tblPr>
        <w:tblStyle w:val="TableGrid"/>
        <w:tblW w:w="5000" w:type="pct"/>
        <w:tblLook w:val="04A0" w:firstRow="1" w:lastRow="0" w:firstColumn="1" w:lastColumn="0" w:noHBand="0" w:noVBand="1"/>
      </w:tblPr>
      <w:tblGrid>
        <w:gridCol w:w="2349"/>
        <w:gridCol w:w="1979"/>
        <w:gridCol w:w="1578"/>
        <w:gridCol w:w="1578"/>
        <w:gridCol w:w="1576"/>
      </w:tblGrid>
      <w:tr w:rsidR="00370F0F" w:rsidRPr="00BE4A67" w14:paraId="4F897E6F" w14:textId="77777777" w:rsidTr="009B1F1D">
        <w:trPr>
          <w:trHeight w:val="300"/>
        </w:trPr>
        <w:tc>
          <w:tcPr>
            <w:tcW w:w="1296" w:type="pct"/>
            <w:vMerge w:val="restart"/>
            <w:hideMark/>
          </w:tcPr>
          <w:p w14:paraId="046C7F8E" w14:textId="77777777" w:rsidR="00370F0F" w:rsidRPr="00BE4A67" w:rsidRDefault="00370F0F" w:rsidP="009B1F1D">
            <w:pPr>
              <w:widowControl/>
              <w:jc w:val="center"/>
              <w:rPr>
                <w:b/>
                <w:bCs/>
                <w:color w:val="000000" w:themeColor="text1"/>
                <w:szCs w:val="24"/>
              </w:rPr>
            </w:pPr>
            <w:r w:rsidRPr="00BE4A67">
              <w:rPr>
                <w:b/>
                <w:color w:val="000000" w:themeColor="text1"/>
              </w:rPr>
              <w:t>Typ av kontrakt</w:t>
            </w:r>
          </w:p>
        </w:tc>
        <w:tc>
          <w:tcPr>
            <w:tcW w:w="1963" w:type="pct"/>
            <w:gridSpan w:val="2"/>
            <w:vMerge w:val="restart"/>
            <w:hideMark/>
          </w:tcPr>
          <w:p w14:paraId="51661944" w14:textId="77777777" w:rsidR="00370F0F" w:rsidRPr="00BE4A67" w:rsidRDefault="00370F0F" w:rsidP="009B1F1D">
            <w:pPr>
              <w:widowControl/>
              <w:jc w:val="center"/>
              <w:rPr>
                <w:b/>
                <w:bCs/>
                <w:color w:val="000000" w:themeColor="text1"/>
                <w:szCs w:val="24"/>
              </w:rPr>
            </w:pPr>
            <w:r w:rsidRPr="00BE4A67">
              <w:rPr>
                <w:b/>
                <w:color w:val="000000" w:themeColor="text1"/>
              </w:rPr>
              <w:t>2021</w:t>
            </w:r>
          </w:p>
        </w:tc>
        <w:tc>
          <w:tcPr>
            <w:tcW w:w="1741" w:type="pct"/>
            <w:gridSpan w:val="2"/>
            <w:vMerge w:val="restart"/>
            <w:hideMark/>
          </w:tcPr>
          <w:p w14:paraId="54E425C3" w14:textId="77777777" w:rsidR="00370F0F" w:rsidRPr="00BE4A67" w:rsidRDefault="00370F0F" w:rsidP="009B1F1D">
            <w:pPr>
              <w:widowControl/>
              <w:jc w:val="center"/>
              <w:rPr>
                <w:b/>
                <w:bCs/>
                <w:color w:val="000000" w:themeColor="text1"/>
                <w:szCs w:val="24"/>
              </w:rPr>
            </w:pPr>
            <w:r w:rsidRPr="00BE4A67">
              <w:rPr>
                <w:b/>
                <w:color w:val="000000" w:themeColor="text1"/>
              </w:rPr>
              <w:t>2022</w:t>
            </w:r>
          </w:p>
        </w:tc>
      </w:tr>
      <w:tr w:rsidR="00370F0F" w:rsidRPr="00BE4A67" w14:paraId="3058EDED" w14:textId="77777777" w:rsidTr="009B1F1D">
        <w:trPr>
          <w:trHeight w:val="315"/>
        </w:trPr>
        <w:tc>
          <w:tcPr>
            <w:tcW w:w="1296" w:type="pct"/>
            <w:vMerge/>
            <w:hideMark/>
          </w:tcPr>
          <w:p w14:paraId="68C444EF" w14:textId="77777777" w:rsidR="00370F0F" w:rsidRPr="00BE4A67" w:rsidRDefault="00370F0F" w:rsidP="009B1F1D">
            <w:pPr>
              <w:widowControl/>
              <w:rPr>
                <w:b/>
                <w:bCs/>
                <w:color w:val="000000" w:themeColor="text1"/>
                <w:szCs w:val="24"/>
              </w:rPr>
            </w:pPr>
          </w:p>
        </w:tc>
        <w:tc>
          <w:tcPr>
            <w:tcW w:w="1963" w:type="pct"/>
            <w:gridSpan w:val="2"/>
            <w:vMerge/>
            <w:hideMark/>
          </w:tcPr>
          <w:p w14:paraId="4C957225" w14:textId="77777777" w:rsidR="00370F0F" w:rsidRPr="00BE4A67" w:rsidRDefault="00370F0F" w:rsidP="009B1F1D">
            <w:pPr>
              <w:widowControl/>
              <w:rPr>
                <w:b/>
                <w:bCs/>
                <w:color w:val="000000" w:themeColor="text1"/>
                <w:szCs w:val="24"/>
              </w:rPr>
            </w:pPr>
          </w:p>
        </w:tc>
        <w:tc>
          <w:tcPr>
            <w:tcW w:w="1741" w:type="pct"/>
            <w:gridSpan w:val="2"/>
            <w:vMerge/>
            <w:hideMark/>
          </w:tcPr>
          <w:p w14:paraId="1C48CFCF" w14:textId="77777777" w:rsidR="00370F0F" w:rsidRPr="00BE4A67" w:rsidRDefault="00370F0F" w:rsidP="009B1F1D">
            <w:pPr>
              <w:widowControl/>
              <w:rPr>
                <w:b/>
                <w:bCs/>
                <w:color w:val="000000" w:themeColor="text1"/>
                <w:szCs w:val="24"/>
              </w:rPr>
            </w:pPr>
          </w:p>
        </w:tc>
      </w:tr>
      <w:tr w:rsidR="00370F0F" w:rsidRPr="00BE4A67" w14:paraId="5D5100A5" w14:textId="77777777" w:rsidTr="009B1F1D">
        <w:trPr>
          <w:trHeight w:val="315"/>
        </w:trPr>
        <w:tc>
          <w:tcPr>
            <w:tcW w:w="1296" w:type="pct"/>
            <w:vMerge/>
            <w:hideMark/>
          </w:tcPr>
          <w:p w14:paraId="5EAC59A3" w14:textId="77777777" w:rsidR="00370F0F" w:rsidRPr="00BE4A67" w:rsidRDefault="00370F0F" w:rsidP="009B1F1D">
            <w:pPr>
              <w:widowControl/>
              <w:rPr>
                <w:b/>
                <w:bCs/>
                <w:color w:val="000000" w:themeColor="text1"/>
                <w:szCs w:val="24"/>
              </w:rPr>
            </w:pPr>
          </w:p>
        </w:tc>
        <w:tc>
          <w:tcPr>
            <w:tcW w:w="1092" w:type="pct"/>
            <w:hideMark/>
          </w:tcPr>
          <w:p w14:paraId="14F7B96E" w14:textId="77777777" w:rsidR="00370F0F" w:rsidRPr="00BE4A67" w:rsidRDefault="00370F0F" w:rsidP="009B1F1D">
            <w:pPr>
              <w:widowControl/>
              <w:jc w:val="center"/>
              <w:rPr>
                <w:b/>
                <w:bCs/>
                <w:color w:val="000000" w:themeColor="text1"/>
                <w:szCs w:val="24"/>
              </w:rPr>
            </w:pPr>
            <w:r w:rsidRPr="00BE4A67">
              <w:rPr>
                <w:b/>
                <w:color w:val="000000" w:themeColor="text1"/>
              </w:rPr>
              <w:t>Nummer</w:t>
            </w:r>
          </w:p>
        </w:tc>
        <w:tc>
          <w:tcPr>
            <w:tcW w:w="871" w:type="pct"/>
            <w:hideMark/>
          </w:tcPr>
          <w:p w14:paraId="7E91640F" w14:textId="77777777" w:rsidR="00370F0F" w:rsidRPr="00BE4A67" w:rsidRDefault="00370F0F" w:rsidP="009B1F1D">
            <w:pPr>
              <w:widowControl/>
              <w:jc w:val="center"/>
              <w:rPr>
                <w:b/>
                <w:bCs/>
                <w:color w:val="000000" w:themeColor="text1"/>
                <w:szCs w:val="24"/>
              </w:rPr>
            </w:pPr>
            <w:r w:rsidRPr="00BE4A67">
              <w:rPr>
                <w:b/>
                <w:color w:val="000000" w:themeColor="text1"/>
              </w:rPr>
              <w:t>Procentsats</w:t>
            </w:r>
          </w:p>
        </w:tc>
        <w:tc>
          <w:tcPr>
            <w:tcW w:w="871" w:type="pct"/>
            <w:hideMark/>
          </w:tcPr>
          <w:p w14:paraId="2AB88F02" w14:textId="77777777" w:rsidR="00370F0F" w:rsidRPr="00BE4A67" w:rsidRDefault="00370F0F" w:rsidP="009B1F1D">
            <w:pPr>
              <w:widowControl/>
              <w:jc w:val="center"/>
              <w:rPr>
                <w:b/>
                <w:bCs/>
                <w:color w:val="000000" w:themeColor="text1"/>
                <w:szCs w:val="24"/>
              </w:rPr>
            </w:pPr>
            <w:r w:rsidRPr="00BE4A67">
              <w:rPr>
                <w:b/>
                <w:color w:val="000000" w:themeColor="text1"/>
              </w:rPr>
              <w:t>Nummer</w:t>
            </w:r>
          </w:p>
        </w:tc>
        <w:tc>
          <w:tcPr>
            <w:tcW w:w="870" w:type="pct"/>
            <w:hideMark/>
          </w:tcPr>
          <w:p w14:paraId="05530770" w14:textId="77777777" w:rsidR="00370F0F" w:rsidRPr="00BE4A67" w:rsidRDefault="00370F0F" w:rsidP="009B1F1D">
            <w:pPr>
              <w:widowControl/>
              <w:jc w:val="center"/>
              <w:rPr>
                <w:b/>
                <w:bCs/>
                <w:color w:val="000000" w:themeColor="text1"/>
                <w:szCs w:val="24"/>
              </w:rPr>
            </w:pPr>
            <w:r w:rsidRPr="00BE4A67">
              <w:rPr>
                <w:b/>
                <w:color w:val="000000" w:themeColor="text1"/>
              </w:rPr>
              <w:t>Procentsats</w:t>
            </w:r>
          </w:p>
        </w:tc>
      </w:tr>
      <w:tr w:rsidR="00370F0F" w:rsidRPr="00BE4A67" w14:paraId="7B538DE8" w14:textId="77777777" w:rsidTr="009B1F1D">
        <w:trPr>
          <w:trHeight w:val="300"/>
        </w:trPr>
        <w:tc>
          <w:tcPr>
            <w:tcW w:w="1296" w:type="pct"/>
            <w:hideMark/>
          </w:tcPr>
          <w:p w14:paraId="0792932F" w14:textId="77777777" w:rsidR="00370F0F" w:rsidRPr="00BE4A67" w:rsidRDefault="00370F0F" w:rsidP="009B1F1D">
            <w:pPr>
              <w:widowControl/>
              <w:rPr>
                <w:color w:val="000000" w:themeColor="text1"/>
                <w:szCs w:val="24"/>
              </w:rPr>
            </w:pPr>
            <w:r w:rsidRPr="00BE4A67">
              <w:rPr>
                <w:color w:val="000000" w:themeColor="text1"/>
              </w:rPr>
              <w:t> </w:t>
            </w:r>
          </w:p>
        </w:tc>
        <w:tc>
          <w:tcPr>
            <w:tcW w:w="1092" w:type="pct"/>
            <w:hideMark/>
          </w:tcPr>
          <w:p w14:paraId="1D25325D" w14:textId="77777777" w:rsidR="00370F0F" w:rsidRPr="00BE4A67" w:rsidRDefault="00370F0F" w:rsidP="009B1F1D">
            <w:pPr>
              <w:widowControl/>
              <w:jc w:val="center"/>
              <w:rPr>
                <w:color w:val="000000" w:themeColor="text1"/>
                <w:szCs w:val="24"/>
              </w:rPr>
            </w:pPr>
            <w:r w:rsidRPr="00BE4A67">
              <w:rPr>
                <w:color w:val="000000" w:themeColor="text1"/>
              </w:rPr>
              <w:t> </w:t>
            </w:r>
          </w:p>
        </w:tc>
        <w:tc>
          <w:tcPr>
            <w:tcW w:w="871" w:type="pct"/>
            <w:hideMark/>
          </w:tcPr>
          <w:p w14:paraId="3709EDC8" w14:textId="77777777" w:rsidR="00370F0F" w:rsidRPr="00BE4A67" w:rsidRDefault="00370F0F" w:rsidP="009B1F1D">
            <w:pPr>
              <w:widowControl/>
              <w:rPr>
                <w:color w:val="000000" w:themeColor="text1"/>
                <w:szCs w:val="24"/>
              </w:rPr>
            </w:pPr>
            <w:r w:rsidRPr="00BE4A67">
              <w:rPr>
                <w:color w:val="000000" w:themeColor="text1"/>
              </w:rPr>
              <w:t> </w:t>
            </w:r>
          </w:p>
        </w:tc>
        <w:tc>
          <w:tcPr>
            <w:tcW w:w="871" w:type="pct"/>
          </w:tcPr>
          <w:p w14:paraId="12F3DCE3" w14:textId="77777777" w:rsidR="00370F0F" w:rsidRPr="00BE4A67" w:rsidRDefault="00370F0F" w:rsidP="009B1F1D">
            <w:pPr>
              <w:widowControl/>
              <w:rPr>
                <w:color w:val="000000" w:themeColor="text1"/>
                <w:szCs w:val="24"/>
              </w:rPr>
            </w:pPr>
          </w:p>
        </w:tc>
        <w:tc>
          <w:tcPr>
            <w:tcW w:w="870" w:type="pct"/>
          </w:tcPr>
          <w:p w14:paraId="306DB207" w14:textId="77777777" w:rsidR="00370F0F" w:rsidRPr="00BE4A67" w:rsidRDefault="00370F0F" w:rsidP="009B1F1D">
            <w:pPr>
              <w:widowControl/>
              <w:jc w:val="right"/>
              <w:rPr>
                <w:color w:val="000000" w:themeColor="text1"/>
                <w:szCs w:val="24"/>
              </w:rPr>
            </w:pPr>
          </w:p>
        </w:tc>
      </w:tr>
      <w:tr w:rsidR="00370F0F" w:rsidRPr="00BE4A67" w14:paraId="6029D43C" w14:textId="77777777" w:rsidTr="009B1F1D">
        <w:trPr>
          <w:trHeight w:val="300"/>
        </w:trPr>
        <w:tc>
          <w:tcPr>
            <w:tcW w:w="1296" w:type="pct"/>
            <w:hideMark/>
          </w:tcPr>
          <w:p w14:paraId="4F77F58A" w14:textId="77777777" w:rsidR="00370F0F" w:rsidRPr="00BE4A67" w:rsidRDefault="00370F0F" w:rsidP="009B1F1D">
            <w:pPr>
              <w:widowControl/>
              <w:ind w:firstLineChars="100" w:firstLine="240"/>
              <w:rPr>
                <w:color w:val="000000" w:themeColor="text1"/>
                <w:szCs w:val="24"/>
              </w:rPr>
            </w:pPr>
            <w:r w:rsidRPr="00BE4A67">
              <w:rPr>
                <w:color w:val="000000" w:themeColor="text1"/>
              </w:rPr>
              <w:t>Byggnader</w:t>
            </w:r>
          </w:p>
        </w:tc>
        <w:tc>
          <w:tcPr>
            <w:tcW w:w="1092" w:type="pct"/>
            <w:hideMark/>
          </w:tcPr>
          <w:p w14:paraId="48139D81" w14:textId="77777777" w:rsidR="00370F0F" w:rsidRPr="00BE4A67" w:rsidRDefault="00370F0F" w:rsidP="009B1F1D">
            <w:pPr>
              <w:widowControl/>
              <w:jc w:val="center"/>
              <w:rPr>
                <w:color w:val="000000" w:themeColor="text1"/>
                <w:szCs w:val="24"/>
              </w:rPr>
            </w:pPr>
            <w:r w:rsidRPr="00BE4A67">
              <w:rPr>
                <w:color w:val="000000" w:themeColor="text1"/>
              </w:rPr>
              <w:t>8</w:t>
            </w:r>
          </w:p>
        </w:tc>
        <w:tc>
          <w:tcPr>
            <w:tcW w:w="871" w:type="pct"/>
            <w:hideMark/>
          </w:tcPr>
          <w:p w14:paraId="338E26B2" w14:textId="77777777" w:rsidR="00370F0F" w:rsidRPr="00BE4A67" w:rsidRDefault="00370F0F" w:rsidP="009B1F1D">
            <w:pPr>
              <w:widowControl/>
              <w:jc w:val="center"/>
              <w:rPr>
                <w:color w:val="000000" w:themeColor="text1"/>
                <w:szCs w:val="24"/>
              </w:rPr>
            </w:pPr>
            <w:r w:rsidRPr="00BE4A67">
              <w:rPr>
                <w:color w:val="000000" w:themeColor="text1"/>
              </w:rPr>
              <w:t>3,6 %</w:t>
            </w:r>
          </w:p>
        </w:tc>
        <w:tc>
          <w:tcPr>
            <w:tcW w:w="871" w:type="pct"/>
          </w:tcPr>
          <w:p w14:paraId="6F6F436B" w14:textId="77777777" w:rsidR="00370F0F" w:rsidRPr="00BE4A67" w:rsidRDefault="00370F0F" w:rsidP="009B1F1D">
            <w:pPr>
              <w:widowControl/>
              <w:jc w:val="center"/>
              <w:rPr>
                <w:color w:val="000000" w:themeColor="text1"/>
                <w:szCs w:val="24"/>
              </w:rPr>
            </w:pPr>
            <w:r w:rsidRPr="00BE4A67">
              <w:rPr>
                <w:color w:val="000000" w:themeColor="text1"/>
              </w:rPr>
              <w:t>2</w:t>
            </w:r>
          </w:p>
        </w:tc>
        <w:tc>
          <w:tcPr>
            <w:tcW w:w="870" w:type="pct"/>
          </w:tcPr>
          <w:p w14:paraId="1A7A4806" w14:textId="77777777" w:rsidR="00370F0F" w:rsidRPr="00BE4A67" w:rsidRDefault="00370F0F" w:rsidP="009B1F1D">
            <w:pPr>
              <w:widowControl/>
              <w:jc w:val="center"/>
              <w:rPr>
                <w:color w:val="000000" w:themeColor="text1"/>
                <w:szCs w:val="24"/>
              </w:rPr>
            </w:pPr>
            <w:r w:rsidRPr="00BE4A67">
              <w:rPr>
                <w:color w:val="000000" w:themeColor="text1"/>
              </w:rPr>
              <w:t>1 %</w:t>
            </w:r>
          </w:p>
        </w:tc>
      </w:tr>
      <w:tr w:rsidR="00370F0F" w:rsidRPr="00BE4A67" w14:paraId="35A197F5" w14:textId="77777777" w:rsidTr="009B1F1D">
        <w:trPr>
          <w:trHeight w:val="300"/>
        </w:trPr>
        <w:tc>
          <w:tcPr>
            <w:tcW w:w="1296" w:type="pct"/>
            <w:hideMark/>
          </w:tcPr>
          <w:p w14:paraId="3FBFFBA1" w14:textId="77777777" w:rsidR="00370F0F" w:rsidRPr="00BE4A67" w:rsidRDefault="00370F0F" w:rsidP="009B1F1D">
            <w:pPr>
              <w:widowControl/>
              <w:ind w:firstLineChars="100" w:firstLine="240"/>
              <w:rPr>
                <w:color w:val="000000" w:themeColor="text1"/>
                <w:szCs w:val="24"/>
              </w:rPr>
            </w:pPr>
            <w:r w:rsidRPr="00BE4A67">
              <w:rPr>
                <w:color w:val="000000" w:themeColor="text1"/>
              </w:rPr>
              <w:t>Tjänster</w:t>
            </w:r>
          </w:p>
        </w:tc>
        <w:tc>
          <w:tcPr>
            <w:tcW w:w="1092" w:type="pct"/>
            <w:hideMark/>
          </w:tcPr>
          <w:p w14:paraId="432536AA" w14:textId="77777777" w:rsidR="00370F0F" w:rsidRPr="00BE4A67" w:rsidRDefault="00370F0F" w:rsidP="009B1F1D">
            <w:pPr>
              <w:widowControl/>
              <w:jc w:val="center"/>
              <w:rPr>
                <w:color w:val="000000" w:themeColor="text1"/>
                <w:szCs w:val="24"/>
              </w:rPr>
            </w:pPr>
            <w:r w:rsidRPr="00BE4A67">
              <w:rPr>
                <w:color w:val="000000" w:themeColor="text1"/>
              </w:rPr>
              <w:t>176</w:t>
            </w:r>
          </w:p>
        </w:tc>
        <w:tc>
          <w:tcPr>
            <w:tcW w:w="871" w:type="pct"/>
            <w:hideMark/>
          </w:tcPr>
          <w:p w14:paraId="05AEF62C" w14:textId="77777777" w:rsidR="00370F0F" w:rsidRPr="00BE4A67" w:rsidRDefault="00370F0F" w:rsidP="009B1F1D">
            <w:pPr>
              <w:widowControl/>
              <w:jc w:val="center"/>
              <w:rPr>
                <w:color w:val="000000" w:themeColor="text1"/>
                <w:szCs w:val="24"/>
              </w:rPr>
            </w:pPr>
            <w:r w:rsidRPr="00BE4A67">
              <w:rPr>
                <w:color w:val="000000" w:themeColor="text1"/>
              </w:rPr>
              <w:t>79,6 %</w:t>
            </w:r>
          </w:p>
        </w:tc>
        <w:tc>
          <w:tcPr>
            <w:tcW w:w="871" w:type="pct"/>
          </w:tcPr>
          <w:p w14:paraId="2426A45E" w14:textId="77777777" w:rsidR="00370F0F" w:rsidRPr="00BE4A67" w:rsidRDefault="00370F0F" w:rsidP="009B1F1D">
            <w:pPr>
              <w:widowControl/>
              <w:jc w:val="center"/>
              <w:rPr>
                <w:color w:val="000000" w:themeColor="text1"/>
                <w:szCs w:val="24"/>
              </w:rPr>
            </w:pPr>
            <w:r w:rsidRPr="00BE4A67">
              <w:rPr>
                <w:color w:val="000000" w:themeColor="text1"/>
              </w:rPr>
              <w:t>169</w:t>
            </w:r>
          </w:p>
        </w:tc>
        <w:tc>
          <w:tcPr>
            <w:tcW w:w="870" w:type="pct"/>
          </w:tcPr>
          <w:p w14:paraId="797C6E54" w14:textId="77777777" w:rsidR="00370F0F" w:rsidRPr="00BE4A67" w:rsidRDefault="00370F0F" w:rsidP="009B1F1D">
            <w:pPr>
              <w:widowControl/>
              <w:jc w:val="center"/>
              <w:rPr>
                <w:color w:val="000000" w:themeColor="text1"/>
                <w:szCs w:val="24"/>
              </w:rPr>
            </w:pPr>
            <w:r w:rsidRPr="00BE4A67">
              <w:rPr>
                <w:color w:val="000000" w:themeColor="text1"/>
              </w:rPr>
              <w:t>87 %</w:t>
            </w:r>
          </w:p>
        </w:tc>
      </w:tr>
      <w:tr w:rsidR="00370F0F" w:rsidRPr="00BE4A67" w14:paraId="4D16204A" w14:textId="77777777" w:rsidTr="009B1F1D">
        <w:trPr>
          <w:trHeight w:val="300"/>
        </w:trPr>
        <w:tc>
          <w:tcPr>
            <w:tcW w:w="1296" w:type="pct"/>
            <w:hideMark/>
          </w:tcPr>
          <w:p w14:paraId="134F6D32" w14:textId="77777777" w:rsidR="00370F0F" w:rsidRPr="00BE4A67" w:rsidRDefault="00370F0F" w:rsidP="009B1F1D">
            <w:pPr>
              <w:widowControl/>
              <w:ind w:firstLineChars="100" w:firstLine="240"/>
              <w:rPr>
                <w:color w:val="000000" w:themeColor="text1"/>
                <w:szCs w:val="24"/>
              </w:rPr>
            </w:pPr>
            <w:r w:rsidRPr="00BE4A67">
              <w:rPr>
                <w:color w:val="000000" w:themeColor="text1"/>
              </w:rPr>
              <w:lastRenderedPageBreak/>
              <w:t>Utrustning</w:t>
            </w:r>
          </w:p>
        </w:tc>
        <w:tc>
          <w:tcPr>
            <w:tcW w:w="1092" w:type="pct"/>
            <w:hideMark/>
          </w:tcPr>
          <w:p w14:paraId="691CCCCF" w14:textId="77777777" w:rsidR="00370F0F" w:rsidRPr="00BE4A67" w:rsidRDefault="00370F0F" w:rsidP="009B1F1D">
            <w:pPr>
              <w:widowControl/>
              <w:jc w:val="center"/>
              <w:rPr>
                <w:color w:val="000000" w:themeColor="text1"/>
                <w:szCs w:val="24"/>
              </w:rPr>
            </w:pPr>
            <w:r w:rsidRPr="00BE4A67">
              <w:rPr>
                <w:color w:val="000000" w:themeColor="text1"/>
              </w:rPr>
              <w:t>27</w:t>
            </w:r>
          </w:p>
        </w:tc>
        <w:tc>
          <w:tcPr>
            <w:tcW w:w="871" w:type="pct"/>
            <w:hideMark/>
          </w:tcPr>
          <w:p w14:paraId="10EA2381" w14:textId="77777777" w:rsidR="00370F0F" w:rsidRPr="00BE4A67" w:rsidRDefault="00370F0F" w:rsidP="009B1F1D">
            <w:pPr>
              <w:widowControl/>
              <w:jc w:val="center"/>
              <w:rPr>
                <w:color w:val="000000" w:themeColor="text1"/>
                <w:szCs w:val="24"/>
              </w:rPr>
            </w:pPr>
            <w:r w:rsidRPr="00BE4A67">
              <w:rPr>
                <w:color w:val="000000" w:themeColor="text1"/>
              </w:rPr>
              <w:t>12,2 %</w:t>
            </w:r>
          </w:p>
        </w:tc>
        <w:tc>
          <w:tcPr>
            <w:tcW w:w="871" w:type="pct"/>
          </w:tcPr>
          <w:p w14:paraId="0160BA79" w14:textId="77777777" w:rsidR="00370F0F" w:rsidRPr="00BE4A67" w:rsidRDefault="00370F0F" w:rsidP="009B1F1D">
            <w:pPr>
              <w:widowControl/>
              <w:jc w:val="center"/>
              <w:rPr>
                <w:color w:val="000000" w:themeColor="text1"/>
                <w:szCs w:val="24"/>
              </w:rPr>
            </w:pPr>
            <w:r w:rsidRPr="00BE4A67">
              <w:rPr>
                <w:color w:val="000000" w:themeColor="text1"/>
              </w:rPr>
              <w:t>17</w:t>
            </w:r>
          </w:p>
        </w:tc>
        <w:tc>
          <w:tcPr>
            <w:tcW w:w="870" w:type="pct"/>
          </w:tcPr>
          <w:p w14:paraId="76DE66AE" w14:textId="77777777" w:rsidR="00370F0F" w:rsidRPr="00BE4A67" w:rsidRDefault="00370F0F" w:rsidP="009B1F1D">
            <w:pPr>
              <w:widowControl/>
              <w:jc w:val="center"/>
              <w:rPr>
                <w:color w:val="000000" w:themeColor="text1"/>
                <w:szCs w:val="24"/>
              </w:rPr>
            </w:pPr>
            <w:r w:rsidRPr="00BE4A67">
              <w:rPr>
                <w:color w:val="000000" w:themeColor="text1"/>
              </w:rPr>
              <w:t>9 %</w:t>
            </w:r>
          </w:p>
        </w:tc>
      </w:tr>
      <w:tr w:rsidR="00370F0F" w:rsidRPr="00BE4A67" w14:paraId="598168DF" w14:textId="77777777" w:rsidTr="009B1F1D">
        <w:trPr>
          <w:trHeight w:val="300"/>
        </w:trPr>
        <w:tc>
          <w:tcPr>
            <w:tcW w:w="1296" w:type="pct"/>
            <w:hideMark/>
          </w:tcPr>
          <w:p w14:paraId="64E19EA8" w14:textId="77777777" w:rsidR="00370F0F" w:rsidRPr="00BE4A67" w:rsidRDefault="00370F0F" w:rsidP="009B1F1D">
            <w:pPr>
              <w:widowControl/>
              <w:ind w:firstLineChars="100" w:firstLine="240"/>
              <w:rPr>
                <w:color w:val="000000" w:themeColor="text1"/>
                <w:szCs w:val="24"/>
              </w:rPr>
            </w:pPr>
            <w:r w:rsidRPr="00BE4A67">
              <w:rPr>
                <w:color w:val="000000" w:themeColor="text1"/>
              </w:rPr>
              <w:t>Byggentreprenader</w:t>
            </w:r>
          </w:p>
        </w:tc>
        <w:tc>
          <w:tcPr>
            <w:tcW w:w="1092" w:type="pct"/>
            <w:hideMark/>
          </w:tcPr>
          <w:p w14:paraId="3E9082D3" w14:textId="77777777" w:rsidR="00370F0F" w:rsidRPr="00BE4A67" w:rsidRDefault="00370F0F" w:rsidP="009B1F1D">
            <w:pPr>
              <w:widowControl/>
              <w:jc w:val="center"/>
              <w:rPr>
                <w:color w:val="000000" w:themeColor="text1"/>
                <w:szCs w:val="24"/>
              </w:rPr>
            </w:pPr>
            <w:r w:rsidRPr="00BE4A67">
              <w:rPr>
                <w:color w:val="000000" w:themeColor="text1"/>
              </w:rPr>
              <w:t>10</w:t>
            </w:r>
          </w:p>
        </w:tc>
        <w:tc>
          <w:tcPr>
            <w:tcW w:w="871" w:type="pct"/>
            <w:hideMark/>
          </w:tcPr>
          <w:p w14:paraId="48F7B2CA" w14:textId="77777777" w:rsidR="00370F0F" w:rsidRPr="00BE4A67" w:rsidRDefault="00370F0F" w:rsidP="009B1F1D">
            <w:pPr>
              <w:widowControl/>
              <w:jc w:val="center"/>
              <w:rPr>
                <w:color w:val="000000" w:themeColor="text1"/>
                <w:szCs w:val="24"/>
              </w:rPr>
            </w:pPr>
            <w:r w:rsidRPr="00BE4A67">
              <w:rPr>
                <w:color w:val="000000" w:themeColor="text1"/>
              </w:rPr>
              <w:t>4,5 %</w:t>
            </w:r>
          </w:p>
        </w:tc>
        <w:tc>
          <w:tcPr>
            <w:tcW w:w="871" w:type="pct"/>
          </w:tcPr>
          <w:p w14:paraId="6192DCED" w14:textId="77777777" w:rsidR="00370F0F" w:rsidRPr="00BE4A67" w:rsidRDefault="00370F0F" w:rsidP="009B1F1D">
            <w:pPr>
              <w:widowControl/>
              <w:jc w:val="center"/>
              <w:rPr>
                <w:color w:val="000000" w:themeColor="text1"/>
                <w:szCs w:val="24"/>
              </w:rPr>
            </w:pPr>
            <w:r w:rsidRPr="00BE4A67">
              <w:rPr>
                <w:color w:val="000000" w:themeColor="text1"/>
              </w:rPr>
              <w:t>6</w:t>
            </w:r>
          </w:p>
        </w:tc>
        <w:tc>
          <w:tcPr>
            <w:tcW w:w="870" w:type="pct"/>
          </w:tcPr>
          <w:p w14:paraId="5A325F5D" w14:textId="77777777" w:rsidR="00370F0F" w:rsidRPr="00BE4A67" w:rsidRDefault="00370F0F" w:rsidP="009B1F1D">
            <w:pPr>
              <w:widowControl/>
              <w:jc w:val="center"/>
              <w:rPr>
                <w:color w:val="000000" w:themeColor="text1"/>
                <w:szCs w:val="24"/>
              </w:rPr>
            </w:pPr>
            <w:r w:rsidRPr="00BE4A67">
              <w:rPr>
                <w:color w:val="000000" w:themeColor="text1"/>
              </w:rPr>
              <w:t>3 %</w:t>
            </w:r>
          </w:p>
        </w:tc>
      </w:tr>
      <w:tr w:rsidR="00370F0F" w:rsidRPr="00BE4A67" w14:paraId="08647E1B" w14:textId="77777777" w:rsidTr="009B1F1D">
        <w:trPr>
          <w:trHeight w:val="315"/>
        </w:trPr>
        <w:tc>
          <w:tcPr>
            <w:tcW w:w="1296" w:type="pct"/>
            <w:hideMark/>
          </w:tcPr>
          <w:p w14:paraId="54A1170A" w14:textId="77777777" w:rsidR="00370F0F" w:rsidRPr="00BE4A67" w:rsidRDefault="00370F0F" w:rsidP="009B1F1D">
            <w:pPr>
              <w:widowControl/>
              <w:rPr>
                <w:color w:val="000000" w:themeColor="text1"/>
                <w:szCs w:val="24"/>
              </w:rPr>
            </w:pPr>
            <w:r w:rsidRPr="00BE4A67">
              <w:rPr>
                <w:color w:val="000000" w:themeColor="text1"/>
              </w:rPr>
              <w:t> </w:t>
            </w:r>
          </w:p>
        </w:tc>
        <w:tc>
          <w:tcPr>
            <w:tcW w:w="1092" w:type="pct"/>
            <w:hideMark/>
          </w:tcPr>
          <w:p w14:paraId="42FDC747" w14:textId="77777777" w:rsidR="00370F0F" w:rsidRPr="00BE4A67" w:rsidRDefault="00370F0F" w:rsidP="009B1F1D">
            <w:pPr>
              <w:widowControl/>
              <w:jc w:val="center"/>
              <w:rPr>
                <w:color w:val="000000" w:themeColor="text1"/>
                <w:szCs w:val="24"/>
              </w:rPr>
            </w:pPr>
            <w:r w:rsidRPr="00BE4A67">
              <w:rPr>
                <w:color w:val="000000" w:themeColor="text1"/>
              </w:rPr>
              <w:t> </w:t>
            </w:r>
          </w:p>
        </w:tc>
        <w:tc>
          <w:tcPr>
            <w:tcW w:w="871" w:type="pct"/>
            <w:hideMark/>
          </w:tcPr>
          <w:p w14:paraId="1CD2D72C" w14:textId="77777777" w:rsidR="00370F0F" w:rsidRPr="00BE4A67" w:rsidRDefault="00370F0F" w:rsidP="009B1F1D">
            <w:pPr>
              <w:widowControl/>
              <w:rPr>
                <w:color w:val="000000" w:themeColor="text1"/>
                <w:szCs w:val="24"/>
              </w:rPr>
            </w:pPr>
            <w:r w:rsidRPr="00BE4A67">
              <w:rPr>
                <w:color w:val="000000" w:themeColor="text1"/>
              </w:rPr>
              <w:t> </w:t>
            </w:r>
          </w:p>
        </w:tc>
        <w:tc>
          <w:tcPr>
            <w:tcW w:w="871" w:type="pct"/>
          </w:tcPr>
          <w:p w14:paraId="5F95676F" w14:textId="77777777" w:rsidR="00370F0F" w:rsidRPr="00BE4A67" w:rsidRDefault="00370F0F" w:rsidP="009B1F1D">
            <w:pPr>
              <w:widowControl/>
              <w:rPr>
                <w:color w:val="000000" w:themeColor="text1"/>
                <w:szCs w:val="24"/>
              </w:rPr>
            </w:pPr>
          </w:p>
        </w:tc>
        <w:tc>
          <w:tcPr>
            <w:tcW w:w="870" w:type="pct"/>
          </w:tcPr>
          <w:p w14:paraId="01ADECDD" w14:textId="77777777" w:rsidR="00370F0F" w:rsidRPr="00BE4A67" w:rsidRDefault="00370F0F" w:rsidP="009B1F1D">
            <w:pPr>
              <w:widowControl/>
              <w:jc w:val="center"/>
              <w:rPr>
                <w:color w:val="000000" w:themeColor="text1"/>
                <w:szCs w:val="24"/>
              </w:rPr>
            </w:pPr>
          </w:p>
        </w:tc>
      </w:tr>
      <w:tr w:rsidR="00370F0F" w:rsidRPr="00BE4A67" w14:paraId="58CC5A56" w14:textId="77777777" w:rsidTr="009B1F1D">
        <w:trPr>
          <w:trHeight w:val="600"/>
        </w:trPr>
        <w:tc>
          <w:tcPr>
            <w:tcW w:w="1296" w:type="pct"/>
            <w:hideMark/>
          </w:tcPr>
          <w:p w14:paraId="12467E8C" w14:textId="77777777" w:rsidR="00370F0F" w:rsidRPr="00BE4A67" w:rsidRDefault="00370F0F" w:rsidP="009B1F1D">
            <w:pPr>
              <w:widowControl/>
              <w:rPr>
                <w:b/>
                <w:bCs/>
                <w:color w:val="000000" w:themeColor="text1"/>
                <w:szCs w:val="24"/>
              </w:rPr>
            </w:pPr>
            <w:r w:rsidRPr="00BE4A67">
              <w:rPr>
                <w:b/>
                <w:color w:val="000000" w:themeColor="text1"/>
              </w:rPr>
              <w:t xml:space="preserve">   Totalt</w:t>
            </w:r>
          </w:p>
        </w:tc>
        <w:tc>
          <w:tcPr>
            <w:tcW w:w="1092" w:type="pct"/>
            <w:hideMark/>
          </w:tcPr>
          <w:p w14:paraId="357175D3" w14:textId="77777777" w:rsidR="00370F0F" w:rsidRPr="00BE4A67" w:rsidRDefault="00370F0F" w:rsidP="009B1F1D">
            <w:pPr>
              <w:widowControl/>
              <w:jc w:val="center"/>
              <w:rPr>
                <w:b/>
                <w:bCs/>
                <w:color w:val="000000" w:themeColor="text1"/>
                <w:szCs w:val="24"/>
              </w:rPr>
            </w:pPr>
            <w:r w:rsidRPr="00BE4A67">
              <w:rPr>
                <w:b/>
                <w:color w:val="000000" w:themeColor="text1"/>
              </w:rPr>
              <w:t>221</w:t>
            </w:r>
          </w:p>
        </w:tc>
        <w:tc>
          <w:tcPr>
            <w:tcW w:w="871" w:type="pct"/>
            <w:hideMark/>
          </w:tcPr>
          <w:p w14:paraId="5CC1FA5A" w14:textId="77777777" w:rsidR="00370F0F" w:rsidRPr="00BE4A67" w:rsidRDefault="00370F0F" w:rsidP="009B1F1D">
            <w:pPr>
              <w:widowControl/>
              <w:jc w:val="center"/>
              <w:rPr>
                <w:b/>
                <w:bCs/>
                <w:color w:val="000000" w:themeColor="text1"/>
                <w:szCs w:val="24"/>
              </w:rPr>
            </w:pPr>
            <w:r w:rsidRPr="00BE4A67">
              <w:rPr>
                <w:b/>
                <w:color w:val="000000" w:themeColor="text1"/>
              </w:rPr>
              <w:t>100 %</w:t>
            </w:r>
          </w:p>
        </w:tc>
        <w:tc>
          <w:tcPr>
            <w:tcW w:w="871" w:type="pct"/>
          </w:tcPr>
          <w:p w14:paraId="18AE3700" w14:textId="77777777" w:rsidR="00370F0F" w:rsidRPr="00BE4A67" w:rsidRDefault="00370F0F" w:rsidP="009B1F1D">
            <w:pPr>
              <w:widowControl/>
              <w:jc w:val="center"/>
              <w:rPr>
                <w:b/>
                <w:bCs/>
                <w:color w:val="000000" w:themeColor="text1"/>
                <w:szCs w:val="24"/>
              </w:rPr>
            </w:pPr>
            <w:r w:rsidRPr="00BE4A67">
              <w:rPr>
                <w:b/>
                <w:color w:val="000000" w:themeColor="text1"/>
              </w:rPr>
              <w:t>194</w:t>
            </w:r>
          </w:p>
        </w:tc>
        <w:tc>
          <w:tcPr>
            <w:tcW w:w="870" w:type="pct"/>
          </w:tcPr>
          <w:p w14:paraId="6E80A87B" w14:textId="77777777" w:rsidR="00370F0F" w:rsidRPr="00BE4A67" w:rsidRDefault="00370F0F" w:rsidP="009B1F1D">
            <w:pPr>
              <w:widowControl/>
              <w:jc w:val="center"/>
              <w:rPr>
                <w:b/>
                <w:bCs/>
                <w:color w:val="000000" w:themeColor="text1"/>
                <w:szCs w:val="24"/>
              </w:rPr>
            </w:pPr>
            <w:r w:rsidRPr="00BE4A67">
              <w:rPr>
                <w:b/>
                <w:color w:val="000000" w:themeColor="text1"/>
              </w:rPr>
              <w:t>100 %</w:t>
            </w:r>
          </w:p>
        </w:tc>
      </w:tr>
    </w:tbl>
    <w:p w14:paraId="32B28590" w14:textId="77777777" w:rsidR="00370F0F" w:rsidRPr="00BE4A67" w:rsidRDefault="00370F0F" w:rsidP="00370F0F">
      <w:pPr>
        <w:widowControl/>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370F0F" w:rsidRPr="00BE4A67" w14:paraId="784ED48A" w14:textId="77777777" w:rsidTr="009B1F1D">
        <w:trPr>
          <w:trHeight w:val="300"/>
        </w:trPr>
        <w:tc>
          <w:tcPr>
            <w:tcW w:w="1296" w:type="pct"/>
            <w:vMerge w:val="restart"/>
            <w:hideMark/>
          </w:tcPr>
          <w:p w14:paraId="05BAA382" w14:textId="77777777" w:rsidR="00370F0F" w:rsidRPr="00BE4A67" w:rsidRDefault="00370F0F" w:rsidP="009B1F1D">
            <w:pPr>
              <w:widowControl/>
              <w:jc w:val="center"/>
              <w:rPr>
                <w:b/>
                <w:bCs/>
                <w:color w:val="000000" w:themeColor="text1"/>
                <w:szCs w:val="24"/>
              </w:rPr>
            </w:pPr>
            <w:r w:rsidRPr="00BE4A67">
              <w:rPr>
                <w:b/>
                <w:color w:val="000000" w:themeColor="text1"/>
              </w:rPr>
              <w:t>Typ av kontrakt</w:t>
            </w:r>
          </w:p>
        </w:tc>
        <w:tc>
          <w:tcPr>
            <w:tcW w:w="1872" w:type="pct"/>
            <w:gridSpan w:val="2"/>
            <w:vMerge w:val="restart"/>
            <w:hideMark/>
          </w:tcPr>
          <w:p w14:paraId="641F5C8F" w14:textId="77777777" w:rsidR="00370F0F" w:rsidRPr="00BE4A67" w:rsidRDefault="00370F0F" w:rsidP="009B1F1D">
            <w:pPr>
              <w:widowControl/>
              <w:jc w:val="center"/>
              <w:rPr>
                <w:b/>
                <w:bCs/>
                <w:color w:val="000000" w:themeColor="text1"/>
                <w:szCs w:val="24"/>
              </w:rPr>
            </w:pPr>
            <w:r w:rsidRPr="00BE4A67">
              <w:rPr>
                <w:b/>
                <w:color w:val="000000" w:themeColor="text1"/>
              </w:rPr>
              <w:t>2021</w:t>
            </w:r>
          </w:p>
        </w:tc>
        <w:tc>
          <w:tcPr>
            <w:tcW w:w="1832" w:type="pct"/>
            <w:gridSpan w:val="2"/>
            <w:vMerge w:val="restart"/>
            <w:hideMark/>
          </w:tcPr>
          <w:p w14:paraId="222ECBD8" w14:textId="77777777" w:rsidR="00370F0F" w:rsidRPr="00BE4A67" w:rsidRDefault="00370F0F" w:rsidP="009B1F1D">
            <w:pPr>
              <w:widowControl/>
              <w:jc w:val="center"/>
              <w:rPr>
                <w:b/>
                <w:bCs/>
                <w:color w:val="000000" w:themeColor="text1"/>
                <w:szCs w:val="24"/>
              </w:rPr>
            </w:pPr>
            <w:r w:rsidRPr="00BE4A67">
              <w:rPr>
                <w:b/>
                <w:color w:val="000000" w:themeColor="text1"/>
              </w:rPr>
              <w:t>2022</w:t>
            </w:r>
          </w:p>
        </w:tc>
      </w:tr>
      <w:tr w:rsidR="00370F0F" w:rsidRPr="00BE4A67" w14:paraId="70B38EC3" w14:textId="77777777" w:rsidTr="009B1F1D">
        <w:trPr>
          <w:trHeight w:val="315"/>
        </w:trPr>
        <w:tc>
          <w:tcPr>
            <w:tcW w:w="1296" w:type="pct"/>
            <w:vMerge/>
            <w:hideMark/>
          </w:tcPr>
          <w:p w14:paraId="033C9F62" w14:textId="77777777" w:rsidR="00370F0F" w:rsidRPr="00BE4A67" w:rsidRDefault="00370F0F" w:rsidP="009B1F1D">
            <w:pPr>
              <w:widowControl/>
              <w:rPr>
                <w:b/>
                <w:bCs/>
                <w:color w:val="000000" w:themeColor="text1"/>
                <w:szCs w:val="24"/>
              </w:rPr>
            </w:pPr>
          </w:p>
        </w:tc>
        <w:tc>
          <w:tcPr>
            <w:tcW w:w="1872" w:type="pct"/>
            <w:gridSpan w:val="2"/>
            <w:vMerge/>
            <w:hideMark/>
          </w:tcPr>
          <w:p w14:paraId="47BB1FC8" w14:textId="77777777" w:rsidR="00370F0F" w:rsidRPr="00BE4A67" w:rsidRDefault="00370F0F" w:rsidP="009B1F1D">
            <w:pPr>
              <w:widowControl/>
              <w:rPr>
                <w:b/>
                <w:bCs/>
                <w:color w:val="000000" w:themeColor="text1"/>
                <w:szCs w:val="24"/>
              </w:rPr>
            </w:pPr>
          </w:p>
        </w:tc>
        <w:tc>
          <w:tcPr>
            <w:tcW w:w="1832" w:type="pct"/>
            <w:gridSpan w:val="2"/>
            <w:vMerge/>
            <w:hideMark/>
          </w:tcPr>
          <w:p w14:paraId="70BF29CD" w14:textId="77777777" w:rsidR="00370F0F" w:rsidRPr="00BE4A67" w:rsidRDefault="00370F0F" w:rsidP="009B1F1D">
            <w:pPr>
              <w:widowControl/>
              <w:rPr>
                <w:b/>
                <w:bCs/>
                <w:color w:val="000000" w:themeColor="text1"/>
                <w:szCs w:val="24"/>
              </w:rPr>
            </w:pPr>
          </w:p>
        </w:tc>
      </w:tr>
      <w:tr w:rsidR="00370F0F" w:rsidRPr="00BE4A67" w14:paraId="3DDA76C6" w14:textId="77777777" w:rsidTr="009B1F1D">
        <w:trPr>
          <w:trHeight w:val="315"/>
        </w:trPr>
        <w:tc>
          <w:tcPr>
            <w:tcW w:w="1296" w:type="pct"/>
            <w:vMerge/>
            <w:hideMark/>
          </w:tcPr>
          <w:p w14:paraId="3378C142" w14:textId="77777777" w:rsidR="00370F0F" w:rsidRPr="00BE4A67" w:rsidRDefault="00370F0F" w:rsidP="009B1F1D">
            <w:pPr>
              <w:widowControl/>
              <w:rPr>
                <w:b/>
                <w:bCs/>
                <w:color w:val="000000" w:themeColor="text1"/>
                <w:szCs w:val="24"/>
              </w:rPr>
            </w:pPr>
          </w:p>
        </w:tc>
        <w:tc>
          <w:tcPr>
            <w:tcW w:w="1059" w:type="pct"/>
            <w:hideMark/>
          </w:tcPr>
          <w:p w14:paraId="3A9AC28A" w14:textId="77777777" w:rsidR="00370F0F" w:rsidRPr="00BE4A67" w:rsidRDefault="00370F0F" w:rsidP="009B1F1D">
            <w:pPr>
              <w:widowControl/>
              <w:jc w:val="center"/>
              <w:rPr>
                <w:b/>
                <w:bCs/>
                <w:color w:val="000000" w:themeColor="text1"/>
                <w:szCs w:val="24"/>
              </w:rPr>
            </w:pPr>
            <w:r w:rsidRPr="00BE4A67">
              <w:rPr>
                <w:b/>
                <w:color w:val="000000" w:themeColor="text1"/>
              </w:rPr>
              <w:t>Belopp</w:t>
            </w:r>
          </w:p>
        </w:tc>
        <w:tc>
          <w:tcPr>
            <w:tcW w:w="814" w:type="pct"/>
            <w:hideMark/>
          </w:tcPr>
          <w:p w14:paraId="5E25FF7F" w14:textId="77777777" w:rsidR="00370F0F" w:rsidRPr="00BE4A67" w:rsidRDefault="00370F0F" w:rsidP="009B1F1D">
            <w:pPr>
              <w:widowControl/>
              <w:jc w:val="center"/>
              <w:rPr>
                <w:b/>
                <w:bCs/>
                <w:color w:val="000000" w:themeColor="text1"/>
                <w:szCs w:val="24"/>
              </w:rPr>
            </w:pPr>
            <w:r w:rsidRPr="00BE4A67">
              <w:rPr>
                <w:b/>
                <w:color w:val="000000" w:themeColor="text1"/>
              </w:rPr>
              <w:t>Procentsats</w:t>
            </w:r>
          </w:p>
        </w:tc>
        <w:tc>
          <w:tcPr>
            <w:tcW w:w="973" w:type="pct"/>
            <w:hideMark/>
          </w:tcPr>
          <w:p w14:paraId="72C7A365" w14:textId="77777777" w:rsidR="00370F0F" w:rsidRPr="00BE4A67" w:rsidRDefault="00370F0F" w:rsidP="009B1F1D">
            <w:pPr>
              <w:widowControl/>
              <w:jc w:val="center"/>
              <w:rPr>
                <w:b/>
                <w:bCs/>
                <w:color w:val="000000" w:themeColor="text1"/>
                <w:szCs w:val="24"/>
              </w:rPr>
            </w:pPr>
            <w:r w:rsidRPr="00BE4A67">
              <w:rPr>
                <w:b/>
                <w:color w:val="000000" w:themeColor="text1"/>
              </w:rPr>
              <w:t>Belopp</w:t>
            </w:r>
          </w:p>
        </w:tc>
        <w:tc>
          <w:tcPr>
            <w:tcW w:w="859" w:type="pct"/>
            <w:hideMark/>
          </w:tcPr>
          <w:p w14:paraId="6FD447FC" w14:textId="77777777" w:rsidR="00370F0F" w:rsidRPr="00BE4A67" w:rsidRDefault="00370F0F" w:rsidP="009B1F1D">
            <w:pPr>
              <w:widowControl/>
              <w:jc w:val="center"/>
              <w:rPr>
                <w:b/>
                <w:bCs/>
                <w:color w:val="000000" w:themeColor="text1"/>
                <w:szCs w:val="24"/>
              </w:rPr>
            </w:pPr>
            <w:r w:rsidRPr="00BE4A67">
              <w:rPr>
                <w:b/>
                <w:color w:val="000000" w:themeColor="text1"/>
              </w:rPr>
              <w:t>Procentsats</w:t>
            </w:r>
          </w:p>
        </w:tc>
      </w:tr>
      <w:tr w:rsidR="00370F0F" w:rsidRPr="00BE4A67" w14:paraId="019418C3" w14:textId="77777777" w:rsidTr="009B1F1D">
        <w:trPr>
          <w:trHeight w:val="300"/>
        </w:trPr>
        <w:tc>
          <w:tcPr>
            <w:tcW w:w="1296" w:type="pct"/>
            <w:hideMark/>
          </w:tcPr>
          <w:p w14:paraId="010B56E3" w14:textId="77777777" w:rsidR="00370F0F" w:rsidRPr="00BE4A67" w:rsidRDefault="00370F0F" w:rsidP="009B1F1D">
            <w:pPr>
              <w:widowControl/>
              <w:rPr>
                <w:color w:val="000000" w:themeColor="text1"/>
                <w:szCs w:val="24"/>
              </w:rPr>
            </w:pPr>
            <w:r w:rsidRPr="00BE4A67">
              <w:rPr>
                <w:color w:val="000000" w:themeColor="text1"/>
              </w:rPr>
              <w:t xml:space="preserve">   </w:t>
            </w:r>
          </w:p>
        </w:tc>
        <w:tc>
          <w:tcPr>
            <w:tcW w:w="1059" w:type="pct"/>
            <w:hideMark/>
          </w:tcPr>
          <w:p w14:paraId="2B10E47C" w14:textId="77777777" w:rsidR="00370F0F" w:rsidRPr="00BE4A67" w:rsidRDefault="00370F0F" w:rsidP="009B1F1D">
            <w:pPr>
              <w:widowControl/>
              <w:rPr>
                <w:color w:val="000000" w:themeColor="text1"/>
                <w:szCs w:val="24"/>
              </w:rPr>
            </w:pPr>
            <w:r w:rsidRPr="00BE4A67">
              <w:rPr>
                <w:color w:val="000000" w:themeColor="text1"/>
              </w:rPr>
              <w:t> </w:t>
            </w:r>
          </w:p>
        </w:tc>
        <w:tc>
          <w:tcPr>
            <w:tcW w:w="814" w:type="pct"/>
            <w:hideMark/>
          </w:tcPr>
          <w:p w14:paraId="421A2E5B" w14:textId="77777777" w:rsidR="00370F0F" w:rsidRPr="00BE4A67" w:rsidRDefault="00370F0F" w:rsidP="009B1F1D">
            <w:pPr>
              <w:widowControl/>
              <w:rPr>
                <w:color w:val="000000" w:themeColor="text1"/>
                <w:szCs w:val="24"/>
              </w:rPr>
            </w:pPr>
            <w:r w:rsidRPr="00BE4A67">
              <w:rPr>
                <w:color w:val="000000" w:themeColor="text1"/>
              </w:rPr>
              <w:t> </w:t>
            </w:r>
          </w:p>
        </w:tc>
        <w:tc>
          <w:tcPr>
            <w:tcW w:w="973" w:type="pct"/>
            <w:hideMark/>
          </w:tcPr>
          <w:p w14:paraId="01713F14" w14:textId="77777777" w:rsidR="00370F0F" w:rsidRPr="00BE4A67" w:rsidRDefault="00370F0F" w:rsidP="009B1F1D">
            <w:pPr>
              <w:widowControl/>
              <w:rPr>
                <w:color w:val="000000" w:themeColor="text1"/>
                <w:szCs w:val="24"/>
              </w:rPr>
            </w:pPr>
            <w:r w:rsidRPr="00BE4A67">
              <w:rPr>
                <w:color w:val="000000" w:themeColor="text1"/>
              </w:rPr>
              <w:t> </w:t>
            </w:r>
          </w:p>
        </w:tc>
        <w:tc>
          <w:tcPr>
            <w:tcW w:w="859" w:type="pct"/>
            <w:hideMark/>
          </w:tcPr>
          <w:p w14:paraId="708D8E2C" w14:textId="77777777" w:rsidR="00370F0F" w:rsidRPr="00BE4A67" w:rsidRDefault="00370F0F" w:rsidP="009B1F1D">
            <w:pPr>
              <w:widowControl/>
              <w:rPr>
                <w:color w:val="000000" w:themeColor="text1"/>
                <w:szCs w:val="24"/>
              </w:rPr>
            </w:pPr>
            <w:r w:rsidRPr="00BE4A67">
              <w:rPr>
                <w:color w:val="000000" w:themeColor="text1"/>
              </w:rPr>
              <w:t> </w:t>
            </w:r>
          </w:p>
        </w:tc>
      </w:tr>
      <w:tr w:rsidR="00370F0F" w:rsidRPr="00BE4A67" w14:paraId="06C07863" w14:textId="77777777" w:rsidTr="009B1F1D">
        <w:trPr>
          <w:trHeight w:val="300"/>
        </w:trPr>
        <w:tc>
          <w:tcPr>
            <w:tcW w:w="1296" w:type="pct"/>
            <w:hideMark/>
          </w:tcPr>
          <w:p w14:paraId="2986A9B6" w14:textId="77777777" w:rsidR="00370F0F" w:rsidRPr="00BE4A67" w:rsidRDefault="00370F0F" w:rsidP="009B1F1D">
            <w:pPr>
              <w:widowControl/>
              <w:ind w:firstLineChars="100" w:firstLine="240"/>
              <w:rPr>
                <w:color w:val="000000" w:themeColor="text1"/>
                <w:szCs w:val="24"/>
              </w:rPr>
            </w:pPr>
            <w:r w:rsidRPr="00BE4A67">
              <w:rPr>
                <w:color w:val="000000" w:themeColor="text1"/>
              </w:rPr>
              <w:t>Byggnader</w:t>
            </w:r>
          </w:p>
        </w:tc>
        <w:tc>
          <w:tcPr>
            <w:tcW w:w="1059" w:type="pct"/>
            <w:hideMark/>
          </w:tcPr>
          <w:p w14:paraId="2E297FCA" w14:textId="77777777" w:rsidR="00370F0F" w:rsidRPr="00BE4A67" w:rsidRDefault="00370F0F" w:rsidP="009B1F1D">
            <w:pPr>
              <w:widowControl/>
              <w:jc w:val="center"/>
              <w:rPr>
                <w:color w:val="000000" w:themeColor="text1"/>
                <w:szCs w:val="24"/>
              </w:rPr>
            </w:pPr>
            <w:r w:rsidRPr="00BE4A67">
              <w:rPr>
                <w:color w:val="000000" w:themeColor="text1"/>
              </w:rPr>
              <w:t>168 302 638</w:t>
            </w:r>
          </w:p>
        </w:tc>
        <w:tc>
          <w:tcPr>
            <w:tcW w:w="814" w:type="pct"/>
            <w:hideMark/>
          </w:tcPr>
          <w:p w14:paraId="0918311B" w14:textId="77777777" w:rsidR="00370F0F" w:rsidRPr="00BE4A67" w:rsidRDefault="00370F0F" w:rsidP="009B1F1D">
            <w:pPr>
              <w:widowControl/>
              <w:jc w:val="center"/>
              <w:rPr>
                <w:color w:val="000000" w:themeColor="text1"/>
                <w:szCs w:val="24"/>
              </w:rPr>
            </w:pPr>
            <w:r w:rsidRPr="00BE4A67">
              <w:rPr>
                <w:color w:val="000000" w:themeColor="text1"/>
              </w:rPr>
              <w:t>17 %</w:t>
            </w:r>
          </w:p>
        </w:tc>
        <w:tc>
          <w:tcPr>
            <w:tcW w:w="973" w:type="pct"/>
          </w:tcPr>
          <w:p w14:paraId="002083EF" w14:textId="77777777" w:rsidR="00370F0F" w:rsidRPr="00BE4A67" w:rsidRDefault="00370F0F" w:rsidP="009B1F1D">
            <w:pPr>
              <w:widowControl/>
              <w:jc w:val="center"/>
              <w:rPr>
                <w:color w:val="000000" w:themeColor="text1"/>
                <w:szCs w:val="24"/>
              </w:rPr>
            </w:pPr>
            <w:r w:rsidRPr="00BE4A67">
              <w:rPr>
                <w:color w:val="000000" w:themeColor="text1"/>
              </w:rPr>
              <w:t>27 804 776</w:t>
            </w:r>
          </w:p>
        </w:tc>
        <w:tc>
          <w:tcPr>
            <w:tcW w:w="859" w:type="pct"/>
          </w:tcPr>
          <w:p w14:paraId="7A721C9C" w14:textId="77777777" w:rsidR="00370F0F" w:rsidRPr="00BE4A67" w:rsidRDefault="00370F0F" w:rsidP="009B1F1D">
            <w:pPr>
              <w:widowControl/>
              <w:jc w:val="center"/>
              <w:rPr>
                <w:color w:val="000000" w:themeColor="text1"/>
                <w:szCs w:val="24"/>
              </w:rPr>
            </w:pPr>
            <w:r w:rsidRPr="00BE4A67">
              <w:rPr>
                <w:color w:val="000000" w:themeColor="text1"/>
              </w:rPr>
              <w:t>7 %</w:t>
            </w:r>
          </w:p>
        </w:tc>
      </w:tr>
      <w:tr w:rsidR="00370F0F" w:rsidRPr="00BE4A67" w14:paraId="57F73942" w14:textId="77777777" w:rsidTr="009B1F1D">
        <w:trPr>
          <w:trHeight w:val="300"/>
        </w:trPr>
        <w:tc>
          <w:tcPr>
            <w:tcW w:w="1296" w:type="pct"/>
            <w:hideMark/>
          </w:tcPr>
          <w:p w14:paraId="20D720D8" w14:textId="77777777" w:rsidR="00370F0F" w:rsidRPr="00BE4A67" w:rsidRDefault="00370F0F" w:rsidP="009B1F1D">
            <w:pPr>
              <w:widowControl/>
              <w:ind w:firstLineChars="100" w:firstLine="240"/>
              <w:rPr>
                <w:color w:val="000000" w:themeColor="text1"/>
                <w:szCs w:val="24"/>
              </w:rPr>
            </w:pPr>
            <w:r w:rsidRPr="00BE4A67">
              <w:rPr>
                <w:color w:val="000000" w:themeColor="text1"/>
              </w:rPr>
              <w:t>Tjänster</w:t>
            </w:r>
          </w:p>
        </w:tc>
        <w:tc>
          <w:tcPr>
            <w:tcW w:w="1059" w:type="pct"/>
            <w:hideMark/>
          </w:tcPr>
          <w:p w14:paraId="7813BEC1" w14:textId="77777777" w:rsidR="00370F0F" w:rsidRPr="00BE4A67" w:rsidRDefault="00370F0F" w:rsidP="009B1F1D">
            <w:pPr>
              <w:widowControl/>
              <w:jc w:val="center"/>
              <w:rPr>
                <w:color w:val="000000" w:themeColor="text1"/>
                <w:szCs w:val="24"/>
              </w:rPr>
            </w:pPr>
            <w:r w:rsidRPr="00BE4A67">
              <w:rPr>
                <w:color w:val="000000" w:themeColor="text1"/>
              </w:rPr>
              <w:t>634 689 038</w:t>
            </w:r>
          </w:p>
        </w:tc>
        <w:tc>
          <w:tcPr>
            <w:tcW w:w="814" w:type="pct"/>
            <w:hideMark/>
          </w:tcPr>
          <w:p w14:paraId="2889EC79" w14:textId="77777777" w:rsidR="00370F0F" w:rsidRPr="00BE4A67" w:rsidRDefault="00370F0F" w:rsidP="009B1F1D">
            <w:pPr>
              <w:widowControl/>
              <w:jc w:val="center"/>
              <w:rPr>
                <w:color w:val="000000" w:themeColor="text1"/>
                <w:szCs w:val="24"/>
              </w:rPr>
            </w:pPr>
            <w:r w:rsidRPr="00BE4A67">
              <w:rPr>
                <w:color w:val="000000" w:themeColor="text1"/>
              </w:rPr>
              <w:t>62 %</w:t>
            </w:r>
          </w:p>
        </w:tc>
        <w:tc>
          <w:tcPr>
            <w:tcW w:w="973" w:type="pct"/>
          </w:tcPr>
          <w:p w14:paraId="4E41A942" w14:textId="77777777" w:rsidR="00370F0F" w:rsidRPr="00BE4A67" w:rsidRDefault="00370F0F" w:rsidP="009B1F1D">
            <w:pPr>
              <w:widowControl/>
              <w:jc w:val="center"/>
              <w:rPr>
                <w:color w:val="000000" w:themeColor="text1"/>
                <w:szCs w:val="24"/>
              </w:rPr>
            </w:pPr>
            <w:r w:rsidRPr="00BE4A67">
              <w:rPr>
                <w:color w:val="000000" w:themeColor="text1"/>
              </w:rPr>
              <w:t>283 779 269</w:t>
            </w:r>
          </w:p>
        </w:tc>
        <w:tc>
          <w:tcPr>
            <w:tcW w:w="859" w:type="pct"/>
          </w:tcPr>
          <w:p w14:paraId="480737DF" w14:textId="77777777" w:rsidR="00370F0F" w:rsidRPr="00BE4A67" w:rsidRDefault="00370F0F" w:rsidP="009B1F1D">
            <w:pPr>
              <w:widowControl/>
              <w:jc w:val="center"/>
              <w:rPr>
                <w:color w:val="000000" w:themeColor="text1"/>
                <w:szCs w:val="24"/>
              </w:rPr>
            </w:pPr>
            <w:r w:rsidRPr="00BE4A67">
              <w:rPr>
                <w:color w:val="000000" w:themeColor="text1"/>
              </w:rPr>
              <w:t>69 %</w:t>
            </w:r>
          </w:p>
        </w:tc>
      </w:tr>
      <w:tr w:rsidR="00370F0F" w:rsidRPr="00BE4A67" w14:paraId="3BFC36E3" w14:textId="77777777" w:rsidTr="009B1F1D">
        <w:trPr>
          <w:trHeight w:val="300"/>
        </w:trPr>
        <w:tc>
          <w:tcPr>
            <w:tcW w:w="1296" w:type="pct"/>
            <w:hideMark/>
          </w:tcPr>
          <w:p w14:paraId="425C6B3F" w14:textId="77777777" w:rsidR="00370F0F" w:rsidRPr="00BE4A67" w:rsidRDefault="00370F0F" w:rsidP="009B1F1D">
            <w:pPr>
              <w:widowControl/>
              <w:ind w:firstLineChars="100" w:firstLine="240"/>
              <w:rPr>
                <w:color w:val="000000" w:themeColor="text1"/>
                <w:szCs w:val="24"/>
              </w:rPr>
            </w:pPr>
            <w:r w:rsidRPr="00BE4A67">
              <w:rPr>
                <w:color w:val="000000" w:themeColor="text1"/>
              </w:rPr>
              <w:t>Utrustning</w:t>
            </w:r>
          </w:p>
        </w:tc>
        <w:tc>
          <w:tcPr>
            <w:tcW w:w="1059" w:type="pct"/>
            <w:hideMark/>
          </w:tcPr>
          <w:p w14:paraId="6E8B3AA8" w14:textId="77777777" w:rsidR="00370F0F" w:rsidRPr="00BE4A67" w:rsidRDefault="00370F0F" w:rsidP="009B1F1D">
            <w:pPr>
              <w:widowControl/>
              <w:jc w:val="center"/>
              <w:rPr>
                <w:color w:val="000000" w:themeColor="text1"/>
                <w:szCs w:val="24"/>
              </w:rPr>
            </w:pPr>
            <w:r w:rsidRPr="00BE4A67">
              <w:rPr>
                <w:color w:val="000000" w:themeColor="text1"/>
              </w:rPr>
              <w:t>136 777 513</w:t>
            </w:r>
          </w:p>
        </w:tc>
        <w:tc>
          <w:tcPr>
            <w:tcW w:w="814" w:type="pct"/>
            <w:hideMark/>
          </w:tcPr>
          <w:p w14:paraId="6E563903" w14:textId="77777777" w:rsidR="00370F0F" w:rsidRPr="00BE4A67" w:rsidRDefault="00370F0F" w:rsidP="009B1F1D">
            <w:pPr>
              <w:widowControl/>
              <w:jc w:val="center"/>
              <w:rPr>
                <w:color w:val="000000" w:themeColor="text1"/>
                <w:szCs w:val="24"/>
              </w:rPr>
            </w:pPr>
            <w:r w:rsidRPr="00BE4A67">
              <w:rPr>
                <w:color w:val="000000" w:themeColor="text1"/>
              </w:rPr>
              <w:t>13 %</w:t>
            </w:r>
          </w:p>
        </w:tc>
        <w:tc>
          <w:tcPr>
            <w:tcW w:w="973" w:type="pct"/>
          </w:tcPr>
          <w:p w14:paraId="7CD61D33" w14:textId="77777777" w:rsidR="00370F0F" w:rsidRPr="00BE4A67" w:rsidRDefault="00370F0F" w:rsidP="009B1F1D">
            <w:pPr>
              <w:widowControl/>
              <w:jc w:val="center"/>
              <w:rPr>
                <w:color w:val="000000" w:themeColor="text1"/>
                <w:szCs w:val="24"/>
              </w:rPr>
            </w:pPr>
            <w:r w:rsidRPr="00BE4A67">
              <w:rPr>
                <w:color w:val="000000" w:themeColor="text1"/>
              </w:rPr>
              <w:t>47 817 885</w:t>
            </w:r>
          </w:p>
        </w:tc>
        <w:tc>
          <w:tcPr>
            <w:tcW w:w="859" w:type="pct"/>
          </w:tcPr>
          <w:p w14:paraId="3D2B2A22" w14:textId="77777777" w:rsidR="00370F0F" w:rsidRPr="00BE4A67" w:rsidRDefault="00370F0F" w:rsidP="009B1F1D">
            <w:pPr>
              <w:widowControl/>
              <w:jc w:val="center"/>
              <w:rPr>
                <w:color w:val="000000" w:themeColor="text1"/>
                <w:szCs w:val="24"/>
              </w:rPr>
            </w:pPr>
            <w:r w:rsidRPr="00BE4A67">
              <w:rPr>
                <w:color w:val="000000" w:themeColor="text1"/>
              </w:rPr>
              <w:t>12 %</w:t>
            </w:r>
          </w:p>
        </w:tc>
      </w:tr>
      <w:tr w:rsidR="00370F0F" w:rsidRPr="00BE4A67" w14:paraId="6A3BF697" w14:textId="77777777" w:rsidTr="009B1F1D">
        <w:trPr>
          <w:trHeight w:val="300"/>
        </w:trPr>
        <w:tc>
          <w:tcPr>
            <w:tcW w:w="1296" w:type="pct"/>
            <w:hideMark/>
          </w:tcPr>
          <w:p w14:paraId="55D288D1" w14:textId="77777777" w:rsidR="00370F0F" w:rsidRPr="00BE4A67" w:rsidRDefault="00370F0F" w:rsidP="009B1F1D">
            <w:pPr>
              <w:widowControl/>
              <w:ind w:firstLineChars="100" w:firstLine="240"/>
              <w:rPr>
                <w:color w:val="000000" w:themeColor="text1"/>
                <w:szCs w:val="24"/>
              </w:rPr>
            </w:pPr>
            <w:r w:rsidRPr="00BE4A67">
              <w:rPr>
                <w:color w:val="000000" w:themeColor="text1"/>
              </w:rPr>
              <w:t>Byggentreprenader</w:t>
            </w:r>
          </w:p>
        </w:tc>
        <w:tc>
          <w:tcPr>
            <w:tcW w:w="1059" w:type="pct"/>
            <w:hideMark/>
          </w:tcPr>
          <w:p w14:paraId="08D7986A" w14:textId="77777777" w:rsidR="00370F0F" w:rsidRPr="00BE4A67" w:rsidRDefault="00370F0F" w:rsidP="009B1F1D">
            <w:pPr>
              <w:widowControl/>
              <w:jc w:val="center"/>
              <w:rPr>
                <w:color w:val="000000" w:themeColor="text1"/>
                <w:szCs w:val="24"/>
              </w:rPr>
            </w:pPr>
            <w:r w:rsidRPr="00BE4A67">
              <w:rPr>
                <w:color w:val="000000" w:themeColor="text1"/>
              </w:rPr>
              <w:t>76 247 759</w:t>
            </w:r>
          </w:p>
        </w:tc>
        <w:tc>
          <w:tcPr>
            <w:tcW w:w="814" w:type="pct"/>
            <w:hideMark/>
          </w:tcPr>
          <w:p w14:paraId="51FECFDB" w14:textId="77777777" w:rsidR="00370F0F" w:rsidRPr="00BE4A67" w:rsidRDefault="00370F0F" w:rsidP="009B1F1D">
            <w:pPr>
              <w:widowControl/>
              <w:jc w:val="center"/>
              <w:rPr>
                <w:color w:val="000000" w:themeColor="text1"/>
                <w:szCs w:val="24"/>
              </w:rPr>
            </w:pPr>
            <w:r w:rsidRPr="00BE4A67">
              <w:rPr>
                <w:color w:val="000000" w:themeColor="text1"/>
              </w:rPr>
              <w:t>8 %</w:t>
            </w:r>
          </w:p>
        </w:tc>
        <w:tc>
          <w:tcPr>
            <w:tcW w:w="973" w:type="pct"/>
          </w:tcPr>
          <w:p w14:paraId="3778EAFD" w14:textId="77777777" w:rsidR="00370F0F" w:rsidRPr="00BE4A67" w:rsidRDefault="00370F0F" w:rsidP="009B1F1D">
            <w:pPr>
              <w:widowControl/>
              <w:jc w:val="center"/>
              <w:rPr>
                <w:color w:val="000000" w:themeColor="text1"/>
                <w:szCs w:val="24"/>
              </w:rPr>
            </w:pPr>
            <w:r w:rsidRPr="00BE4A67">
              <w:rPr>
                <w:color w:val="000000" w:themeColor="text1"/>
              </w:rPr>
              <w:t xml:space="preserve">50 642 975 </w:t>
            </w:r>
          </w:p>
        </w:tc>
        <w:tc>
          <w:tcPr>
            <w:tcW w:w="859" w:type="pct"/>
          </w:tcPr>
          <w:p w14:paraId="34DBAB00" w14:textId="77777777" w:rsidR="00370F0F" w:rsidRPr="00BE4A67" w:rsidRDefault="00370F0F" w:rsidP="009B1F1D">
            <w:pPr>
              <w:widowControl/>
              <w:jc w:val="center"/>
              <w:rPr>
                <w:color w:val="000000" w:themeColor="text1"/>
                <w:szCs w:val="24"/>
              </w:rPr>
            </w:pPr>
            <w:r w:rsidRPr="00BE4A67">
              <w:rPr>
                <w:color w:val="000000" w:themeColor="text1"/>
              </w:rPr>
              <w:t>12 %</w:t>
            </w:r>
          </w:p>
        </w:tc>
      </w:tr>
      <w:tr w:rsidR="00370F0F" w:rsidRPr="00BE4A67" w14:paraId="51AE5463" w14:textId="77777777" w:rsidTr="009B1F1D">
        <w:trPr>
          <w:trHeight w:val="315"/>
        </w:trPr>
        <w:tc>
          <w:tcPr>
            <w:tcW w:w="1296" w:type="pct"/>
            <w:hideMark/>
          </w:tcPr>
          <w:p w14:paraId="196FE5A9" w14:textId="77777777" w:rsidR="00370F0F" w:rsidRPr="00BE4A67" w:rsidRDefault="00370F0F" w:rsidP="009B1F1D">
            <w:pPr>
              <w:widowControl/>
              <w:rPr>
                <w:color w:val="000000" w:themeColor="text1"/>
                <w:szCs w:val="24"/>
              </w:rPr>
            </w:pPr>
            <w:r w:rsidRPr="00BE4A67">
              <w:rPr>
                <w:color w:val="000000" w:themeColor="text1"/>
              </w:rPr>
              <w:t> </w:t>
            </w:r>
          </w:p>
        </w:tc>
        <w:tc>
          <w:tcPr>
            <w:tcW w:w="1059" w:type="pct"/>
            <w:hideMark/>
          </w:tcPr>
          <w:p w14:paraId="74CA3FF6" w14:textId="77777777" w:rsidR="00370F0F" w:rsidRPr="00BE4A67" w:rsidRDefault="00370F0F" w:rsidP="009B1F1D">
            <w:pPr>
              <w:widowControl/>
              <w:jc w:val="center"/>
              <w:rPr>
                <w:color w:val="000000" w:themeColor="text1"/>
                <w:szCs w:val="24"/>
              </w:rPr>
            </w:pPr>
            <w:r w:rsidRPr="00BE4A67">
              <w:rPr>
                <w:color w:val="000000" w:themeColor="text1"/>
              </w:rPr>
              <w:t> </w:t>
            </w:r>
          </w:p>
        </w:tc>
        <w:tc>
          <w:tcPr>
            <w:tcW w:w="814" w:type="pct"/>
            <w:hideMark/>
          </w:tcPr>
          <w:p w14:paraId="0E04A9B8" w14:textId="77777777" w:rsidR="00370F0F" w:rsidRPr="00BE4A67" w:rsidRDefault="00370F0F" w:rsidP="009B1F1D">
            <w:pPr>
              <w:widowControl/>
              <w:jc w:val="right"/>
              <w:rPr>
                <w:color w:val="000000" w:themeColor="text1"/>
                <w:szCs w:val="24"/>
              </w:rPr>
            </w:pPr>
            <w:r w:rsidRPr="00BE4A67">
              <w:rPr>
                <w:color w:val="000000" w:themeColor="text1"/>
              </w:rPr>
              <w:t> </w:t>
            </w:r>
          </w:p>
        </w:tc>
        <w:tc>
          <w:tcPr>
            <w:tcW w:w="973" w:type="pct"/>
          </w:tcPr>
          <w:p w14:paraId="63EFBA4E" w14:textId="77777777" w:rsidR="00370F0F" w:rsidRPr="00BE4A67" w:rsidRDefault="00370F0F" w:rsidP="009B1F1D">
            <w:pPr>
              <w:widowControl/>
              <w:jc w:val="right"/>
              <w:rPr>
                <w:color w:val="000000" w:themeColor="text1"/>
                <w:szCs w:val="24"/>
              </w:rPr>
            </w:pPr>
          </w:p>
        </w:tc>
        <w:tc>
          <w:tcPr>
            <w:tcW w:w="859" w:type="pct"/>
          </w:tcPr>
          <w:p w14:paraId="7ECB2098" w14:textId="77777777" w:rsidR="00370F0F" w:rsidRPr="00BE4A67" w:rsidRDefault="00370F0F" w:rsidP="009B1F1D">
            <w:pPr>
              <w:widowControl/>
              <w:jc w:val="right"/>
              <w:rPr>
                <w:color w:val="000000" w:themeColor="text1"/>
                <w:szCs w:val="24"/>
              </w:rPr>
            </w:pPr>
          </w:p>
        </w:tc>
      </w:tr>
      <w:tr w:rsidR="00370F0F" w:rsidRPr="00BE4A67" w14:paraId="4ECE7D77" w14:textId="77777777" w:rsidTr="009B1F1D">
        <w:trPr>
          <w:trHeight w:val="600"/>
        </w:trPr>
        <w:tc>
          <w:tcPr>
            <w:tcW w:w="1296" w:type="pct"/>
            <w:hideMark/>
          </w:tcPr>
          <w:p w14:paraId="27E84CD5" w14:textId="77777777" w:rsidR="00370F0F" w:rsidRPr="00BE4A67" w:rsidRDefault="00370F0F" w:rsidP="009B1F1D">
            <w:pPr>
              <w:widowControl/>
              <w:rPr>
                <w:b/>
                <w:bCs/>
                <w:color w:val="000000" w:themeColor="text1"/>
                <w:szCs w:val="24"/>
              </w:rPr>
            </w:pPr>
            <w:r w:rsidRPr="00BE4A67">
              <w:rPr>
                <w:b/>
                <w:color w:val="000000" w:themeColor="text1"/>
              </w:rPr>
              <w:t xml:space="preserve">   Totalt</w:t>
            </w:r>
          </w:p>
        </w:tc>
        <w:tc>
          <w:tcPr>
            <w:tcW w:w="1059" w:type="pct"/>
            <w:hideMark/>
          </w:tcPr>
          <w:p w14:paraId="15D84C51" w14:textId="77777777" w:rsidR="00370F0F" w:rsidRPr="00BE4A67" w:rsidRDefault="00370F0F" w:rsidP="009B1F1D">
            <w:pPr>
              <w:widowControl/>
              <w:jc w:val="center"/>
              <w:rPr>
                <w:b/>
                <w:bCs/>
                <w:color w:val="000000" w:themeColor="text1"/>
                <w:szCs w:val="24"/>
              </w:rPr>
            </w:pPr>
            <w:r w:rsidRPr="00BE4A67">
              <w:rPr>
                <w:b/>
                <w:color w:val="000000" w:themeColor="text1"/>
              </w:rPr>
              <w:t>1 016 016 948</w:t>
            </w:r>
          </w:p>
        </w:tc>
        <w:tc>
          <w:tcPr>
            <w:tcW w:w="814" w:type="pct"/>
            <w:hideMark/>
          </w:tcPr>
          <w:p w14:paraId="25F47719" w14:textId="77777777" w:rsidR="00370F0F" w:rsidRPr="00BE4A67" w:rsidRDefault="00370F0F" w:rsidP="009B1F1D">
            <w:pPr>
              <w:widowControl/>
              <w:jc w:val="center"/>
              <w:rPr>
                <w:b/>
                <w:bCs/>
                <w:color w:val="000000" w:themeColor="text1"/>
                <w:szCs w:val="24"/>
              </w:rPr>
            </w:pPr>
            <w:r w:rsidRPr="00BE4A67">
              <w:rPr>
                <w:b/>
                <w:color w:val="000000" w:themeColor="text1"/>
              </w:rPr>
              <w:t>100 %</w:t>
            </w:r>
          </w:p>
        </w:tc>
        <w:tc>
          <w:tcPr>
            <w:tcW w:w="973" w:type="pct"/>
          </w:tcPr>
          <w:p w14:paraId="2E89D259" w14:textId="77777777" w:rsidR="00370F0F" w:rsidRPr="00BE4A67" w:rsidRDefault="00370F0F" w:rsidP="009B1F1D">
            <w:pPr>
              <w:widowControl/>
              <w:jc w:val="center"/>
              <w:rPr>
                <w:b/>
                <w:bCs/>
                <w:color w:val="000000" w:themeColor="text1"/>
                <w:szCs w:val="24"/>
              </w:rPr>
            </w:pPr>
            <w:r w:rsidRPr="00BE4A67">
              <w:rPr>
                <w:b/>
                <w:color w:val="000000" w:themeColor="text1"/>
              </w:rPr>
              <w:t>410 044 905</w:t>
            </w:r>
          </w:p>
        </w:tc>
        <w:tc>
          <w:tcPr>
            <w:tcW w:w="859" w:type="pct"/>
          </w:tcPr>
          <w:p w14:paraId="7857791E" w14:textId="77777777" w:rsidR="00370F0F" w:rsidRPr="00BE4A67" w:rsidRDefault="00370F0F" w:rsidP="009B1F1D">
            <w:pPr>
              <w:widowControl/>
              <w:jc w:val="center"/>
              <w:rPr>
                <w:b/>
                <w:bCs/>
                <w:color w:val="000000" w:themeColor="text1"/>
                <w:szCs w:val="24"/>
              </w:rPr>
            </w:pPr>
            <w:r w:rsidRPr="00BE4A67">
              <w:rPr>
                <w:b/>
                <w:color w:val="000000" w:themeColor="text1"/>
              </w:rPr>
              <w:t>100 %</w:t>
            </w:r>
          </w:p>
        </w:tc>
      </w:tr>
    </w:tbl>
    <w:p w14:paraId="62B02AF3" w14:textId="77777777" w:rsidR="00370F0F" w:rsidRPr="00BE4A67" w:rsidRDefault="00370F0F" w:rsidP="00370F0F">
      <w:pPr>
        <w:widowControl/>
        <w:spacing w:after="240"/>
        <w:ind w:left="567" w:hanging="567"/>
        <w:jc w:val="both"/>
        <w:rPr>
          <w:szCs w:val="24"/>
          <w14:textOutline w14:w="0" w14:cap="flat" w14:cmpd="sng" w14:algn="ctr">
            <w14:noFill/>
            <w14:prstDash w14:val="solid"/>
            <w14:bevel/>
          </w14:textOutline>
        </w:rPr>
      </w:pPr>
    </w:p>
    <w:p w14:paraId="1B6C9BA0" w14:textId="318FAC1F"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171</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följande fördelning av de kontrakt som tilldelats under 2022 och 2021 efter typ av förfarande som använts, vad gäller antal och värde:</w:t>
      </w:r>
    </w:p>
    <w:tbl>
      <w:tblPr>
        <w:tblStyle w:val="TableGrid"/>
        <w:tblW w:w="5000" w:type="pct"/>
        <w:tblLook w:val="04A0" w:firstRow="1" w:lastRow="0" w:firstColumn="1" w:lastColumn="0" w:noHBand="0" w:noVBand="1"/>
      </w:tblPr>
      <w:tblGrid>
        <w:gridCol w:w="2792"/>
        <w:gridCol w:w="1328"/>
        <w:gridCol w:w="1620"/>
        <w:gridCol w:w="1678"/>
        <w:gridCol w:w="1642"/>
      </w:tblGrid>
      <w:tr w:rsidR="00370F0F" w:rsidRPr="00BE4A67" w14:paraId="3EF55218" w14:textId="77777777" w:rsidTr="009B1F1D">
        <w:trPr>
          <w:trHeight w:val="300"/>
        </w:trPr>
        <w:tc>
          <w:tcPr>
            <w:tcW w:w="1541" w:type="pct"/>
            <w:vMerge w:val="restart"/>
            <w:hideMark/>
          </w:tcPr>
          <w:p w14:paraId="309AF974" w14:textId="77777777" w:rsidR="00370F0F" w:rsidRPr="00BE4A67" w:rsidRDefault="00370F0F" w:rsidP="009B1F1D">
            <w:pPr>
              <w:widowControl/>
              <w:jc w:val="center"/>
              <w:rPr>
                <w:b/>
                <w:bCs/>
                <w:color w:val="000000" w:themeColor="text1"/>
                <w:szCs w:val="24"/>
              </w:rPr>
            </w:pPr>
            <w:r w:rsidRPr="00BE4A67">
              <w:rPr>
                <w:b/>
                <w:color w:val="000000" w:themeColor="text1"/>
              </w:rPr>
              <w:t xml:space="preserve">Typ av förfarande </w:t>
            </w:r>
          </w:p>
        </w:tc>
        <w:tc>
          <w:tcPr>
            <w:tcW w:w="1627" w:type="pct"/>
            <w:gridSpan w:val="2"/>
            <w:vMerge w:val="restart"/>
            <w:hideMark/>
          </w:tcPr>
          <w:p w14:paraId="4460B70D" w14:textId="77777777" w:rsidR="00370F0F" w:rsidRPr="00BE4A67" w:rsidRDefault="00370F0F" w:rsidP="009B1F1D">
            <w:pPr>
              <w:widowControl/>
              <w:jc w:val="center"/>
              <w:rPr>
                <w:b/>
                <w:bCs/>
                <w:color w:val="000000" w:themeColor="text1"/>
                <w:szCs w:val="24"/>
              </w:rPr>
            </w:pPr>
            <w:r w:rsidRPr="00BE4A67">
              <w:rPr>
                <w:b/>
                <w:color w:val="000000" w:themeColor="text1"/>
              </w:rPr>
              <w:t>2021</w:t>
            </w:r>
          </w:p>
        </w:tc>
        <w:tc>
          <w:tcPr>
            <w:tcW w:w="1832" w:type="pct"/>
            <w:gridSpan w:val="2"/>
            <w:vMerge w:val="restart"/>
            <w:hideMark/>
          </w:tcPr>
          <w:p w14:paraId="4D5B3461" w14:textId="77777777" w:rsidR="00370F0F" w:rsidRPr="00BE4A67" w:rsidRDefault="00370F0F" w:rsidP="009B1F1D">
            <w:pPr>
              <w:widowControl/>
              <w:jc w:val="center"/>
              <w:rPr>
                <w:b/>
                <w:bCs/>
                <w:color w:val="000000" w:themeColor="text1"/>
                <w:szCs w:val="24"/>
              </w:rPr>
            </w:pPr>
            <w:r w:rsidRPr="00BE4A67">
              <w:rPr>
                <w:b/>
                <w:color w:val="000000" w:themeColor="text1"/>
              </w:rPr>
              <w:t>2022</w:t>
            </w:r>
          </w:p>
        </w:tc>
      </w:tr>
      <w:tr w:rsidR="00370F0F" w:rsidRPr="00BE4A67" w14:paraId="51080D45" w14:textId="77777777" w:rsidTr="009B1F1D">
        <w:trPr>
          <w:trHeight w:val="315"/>
        </w:trPr>
        <w:tc>
          <w:tcPr>
            <w:tcW w:w="1541" w:type="pct"/>
            <w:vMerge/>
            <w:hideMark/>
          </w:tcPr>
          <w:p w14:paraId="645B28ED" w14:textId="77777777" w:rsidR="00370F0F" w:rsidRPr="00BE4A67" w:rsidRDefault="00370F0F" w:rsidP="009B1F1D">
            <w:pPr>
              <w:widowControl/>
              <w:rPr>
                <w:b/>
                <w:bCs/>
                <w:color w:val="000000" w:themeColor="text1"/>
                <w:szCs w:val="24"/>
              </w:rPr>
            </w:pPr>
          </w:p>
        </w:tc>
        <w:tc>
          <w:tcPr>
            <w:tcW w:w="1627" w:type="pct"/>
            <w:gridSpan w:val="2"/>
            <w:vMerge/>
            <w:hideMark/>
          </w:tcPr>
          <w:p w14:paraId="183DED82" w14:textId="77777777" w:rsidR="00370F0F" w:rsidRPr="00BE4A67" w:rsidRDefault="00370F0F" w:rsidP="009B1F1D">
            <w:pPr>
              <w:widowControl/>
              <w:rPr>
                <w:b/>
                <w:bCs/>
                <w:color w:val="000000" w:themeColor="text1"/>
                <w:szCs w:val="24"/>
              </w:rPr>
            </w:pPr>
          </w:p>
        </w:tc>
        <w:tc>
          <w:tcPr>
            <w:tcW w:w="1832" w:type="pct"/>
            <w:gridSpan w:val="2"/>
            <w:vMerge/>
            <w:hideMark/>
          </w:tcPr>
          <w:p w14:paraId="1ACD4CCD" w14:textId="77777777" w:rsidR="00370F0F" w:rsidRPr="00BE4A67" w:rsidRDefault="00370F0F" w:rsidP="009B1F1D">
            <w:pPr>
              <w:widowControl/>
              <w:rPr>
                <w:b/>
                <w:bCs/>
                <w:color w:val="000000" w:themeColor="text1"/>
                <w:szCs w:val="24"/>
              </w:rPr>
            </w:pPr>
          </w:p>
        </w:tc>
      </w:tr>
      <w:tr w:rsidR="00370F0F" w:rsidRPr="00BE4A67" w14:paraId="041189F2" w14:textId="77777777" w:rsidTr="009B1F1D">
        <w:trPr>
          <w:trHeight w:val="315"/>
        </w:trPr>
        <w:tc>
          <w:tcPr>
            <w:tcW w:w="1541" w:type="pct"/>
            <w:vMerge/>
            <w:hideMark/>
          </w:tcPr>
          <w:p w14:paraId="3CF1DDC4" w14:textId="77777777" w:rsidR="00370F0F" w:rsidRPr="00BE4A67" w:rsidRDefault="00370F0F" w:rsidP="009B1F1D">
            <w:pPr>
              <w:widowControl/>
              <w:rPr>
                <w:b/>
                <w:bCs/>
                <w:color w:val="000000" w:themeColor="text1"/>
                <w:szCs w:val="24"/>
              </w:rPr>
            </w:pPr>
          </w:p>
        </w:tc>
        <w:tc>
          <w:tcPr>
            <w:tcW w:w="733" w:type="pct"/>
            <w:hideMark/>
          </w:tcPr>
          <w:p w14:paraId="25D58FE8" w14:textId="77777777" w:rsidR="00370F0F" w:rsidRPr="00BE4A67" w:rsidRDefault="00370F0F" w:rsidP="009B1F1D">
            <w:pPr>
              <w:widowControl/>
              <w:jc w:val="center"/>
              <w:rPr>
                <w:b/>
                <w:bCs/>
                <w:color w:val="000000" w:themeColor="text1"/>
                <w:szCs w:val="24"/>
              </w:rPr>
            </w:pPr>
            <w:r w:rsidRPr="00BE4A67">
              <w:rPr>
                <w:b/>
                <w:color w:val="000000" w:themeColor="text1"/>
              </w:rPr>
              <w:t>Nummer</w:t>
            </w:r>
          </w:p>
        </w:tc>
        <w:tc>
          <w:tcPr>
            <w:tcW w:w="894" w:type="pct"/>
            <w:hideMark/>
          </w:tcPr>
          <w:p w14:paraId="0CFE79BF" w14:textId="77777777" w:rsidR="00370F0F" w:rsidRPr="00BE4A67" w:rsidRDefault="00370F0F" w:rsidP="009B1F1D">
            <w:pPr>
              <w:widowControl/>
              <w:jc w:val="center"/>
              <w:rPr>
                <w:b/>
                <w:bCs/>
                <w:color w:val="000000" w:themeColor="text1"/>
                <w:szCs w:val="24"/>
              </w:rPr>
            </w:pPr>
            <w:r w:rsidRPr="00BE4A67">
              <w:rPr>
                <w:b/>
                <w:color w:val="000000" w:themeColor="text1"/>
              </w:rPr>
              <w:t>Procentsats</w:t>
            </w:r>
          </w:p>
        </w:tc>
        <w:tc>
          <w:tcPr>
            <w:tcW w:w="926" w:type="pct"/>
            <w:hideMark/>
          </w:tcPr>
          <w:p w14:paraId="19914C49" w14:textId="77777777" w:rsidR="00370F0F" w:rsidRPr="00BE4A67" w:rsidRDefault="00370F0F" w:rsidP="009B1F1D">
            <w:pPr>
              <w:widowControl/>
              <w:jc w:val="center"/>
              <w:rPr>
                <w:b/>
                <w:bCs/>
                <w:color w:val="000000" w:themeColor="text1"/>
                <w:szCs w:val="24"/>
              </w:rPr>
            </w:pPr>
            <w:r w:rsidRPr="00BE4A67">
              <w:rPr>
                <w:b/>
                <w:color w:val="000000" w:themeColor="text1"/>
              </w:rPr>
              <w:t>Nummer</w:t>
            </w:r>
          </w:p>
        </w:tc>
        <w:tc>
          <w:tcPr>
            <w:tcW w:w="906" w:type="pct"/>
            <w:hideMark/>
          </w:tcPr>
          <w:p w14:paraId="76285353" w14:textId="77777777" w:rsidR="00370F0F" w:rsidRPr="00BE4A67" w:rsidRDefault="00370F0F" w:rsidP="009B1F1D">
            <w:pPr>
              <w:widowControl/>
              <w:jc w:val="center"/>
              <w:rPr>
                <w:b/>
                <w:bCs/>
                <w:color w:val="000000" w:themeColor="text1"/>
                <w:szCs w:val="24"/>
              </w:rPr>
            </w:pPr>
            <w:r w:rsidRPr="00BE4A67">
              <w:rPr>
                <w:b/>
                <w:color w:val="000000" w:themeColor="text1"/>
              </w:rPr>
              <w:t>Procentsats</w:t>
            </w:r>
          </w:p>
        </w:tc>
      </w:tr>
      <w:tr w:rsidR="00370F0F" w:rsidRPr="00BE4A67" w14:paraId="7349647B" w14:textId="77777777" w:rsidTr="009B1F1D">
        <w:trPr>
          <w:trHeight w:val="300"/>
        </w:trPr>
        <w:tc>
          <w:tcPr>
            <w:tcW w:w="1541" w:type="pct"/>
            <w:hideMark/>
          </w:tcPr>
          <w:p w14:paraId="2FE5C6E2" w14:textId="77777777" w:rsidR="00370F0F" w:rsidRPr="00BE4A67" w:rsidRDefault="00370F0F" w:rsidP="009B1F1D">
            <w:pPr>
              <w:widowControl/>
              <w:rPr>
                <w:color w:val="000000" w:themeColor="text1"/>
                <w:szCs w:val="24"/>
              </w:rPr>
            </w:pPr>
            <w:r w:rsidRPr="00BE4A67">
              <w:rPr>
                <w:color w:val="000000" w:themeColor="text1"/>
              </w:rPr>
              <w:t> </w:t>
            </w:r>
          </w:p>
        </w:tc>
        <w:tc>
          <w:tcPr>
            <w:tcW w:w="733" w:type="pct"/>
            <w:hideMark/>
          </w:tcPr>
          <w:p w14:paraId="1D0B87E6" w14:textId="77777777" w:rsidR="00370F0F" w:rsidRPr="00BE4A67" w:rsidRDefault="00370F0F" w:rsidP="009B1F1D">
            <w:pPr>
              <w:widowControl/>
              <w:rPr>
                <w:color w:val="000000" w:themeColor="text1"/>
                <w:szCs w:val="24"/>
              </w:rPr>
            </w:pPr>
            <w:r w:rsidRPr="00BE4A67">
              <w:rPr>
                <w:color w:val="000000" w:themeColor="text1"/>
              </w:rPr>
              <w:t> </w:t>
            </w:r>
          </w:p>
        </w:tc>
        <w:tc>
          <w:tcPr>
            <w:tcW w:w="894" w:type="pct"/>
            <w:hideMark/>
          </w:tcPr>
          <w:p w14:paraId="5E693415" w14:textId="77777777" w:rsidR="00370F0F" w:rsidRPr="00BE4A67" w:rsidRDefault="00370F0F" w:rsidP="009B1F1D">
            <w:pPr>
              <w:widowControl/>
              <w:rPr>
                <w:color w:val="000000" w:themeColor="text1"/>
                <w:szCs w:val="24"/>
              </w:rPr>
            </w:pPr>
            <w:r w:rsidRPr="00BE4A67">
              <w:rPr>
                <w:color w:val="000000" w:themeColor="text1"/>
              </w:rPr>
              <w:t> </w:t>
            </w:r>
          </w:p>
        </w:tc>
        <w:tc>
          <w:tcPr>
            <w:tcW w:w="926" w:type="pct"/>
            <w:hideMark/>
          </w:tcPr>
          <w:p w14:paraId="04FFE5F2" w14:textId="77777777" w:rsidR="00370F0F" w:rsidRPr="00BE4A67" w:rsidRDefault="00370F0F" w:rsidP="009B1F1D">
            <w:pPr>
              <w:widowControl/>
              <w:rPr>
                <w:color w:val="000000" w:themeColor="text1"/>
                <w:szCs w:val="24"/>
              </w:rPr>
            </w:pPr>
            <w:r w:rsidRPr="00BE4A67">
              <w:rPr>
                <w:color w:val="000000" w:themeColor="text1"/>
              </w:rPr>
              <w:t> </w:t>
            </w:r>
          </w:p>
        </w:tc>
        <w:tc>
          <w:tcPr>
            <w:tcW w:w="906" w:type="pct"/>
            <w:hideMark/>
          </w:tcPr>
          <w:p w14:paraId="68251FFF" w14:textId="77777777" w:rsidR="00370F0F" w:rsidRPr="00BE4A67" w:rsidRDefault="00370F0F" w:rsidP="009B1F1D">
            <w:pPr>
              <w:widowControl/>
              <w:rPr>
                <w:color w:val="000000" w:themeColor="text1"/>
                <w:szCs w:val="24"/>
              </w:rPr>
            </w:pPr>
            <w:r w:rsidRPr="00BE4A67">
              <w:rPr>
                <w:color w:val="000000" w:themeColor="text1"/>
              </w:rPr>
              <w:t> </w:t>
            </w:r>
          </w:p>
        </w:tc>
      </w:tr>
      <w:tr w:rsidR="00370F0F" w:rsidRPr="00BE4A67" w14:paraId="42388997" w14:textId="77777777" w:rsidTr="009B1F1D">
        <w:trPr>
          <w:trHeight w:val="300"/>
        </w:trPr>
        <w:tc>
          <w:tcPr>
            <w:tcW w:w="1541" w:type="pct"/>
            <w:hideMark/>
          </w:tcPr>
          <w:p w14:paraId="61A0C3A2" w14:textId="77777777" w:rsidR="00370F0F" w:rsidRPr="00BE4A67" w:rsidRDefault="00370F0F" w:rsidP="009B1F1D">
            <w:pPr>
              <w:widowControl/>
              <w:ind w:firstLineChars="100" w:firstLine="240"/>
              <w:rPr>
                <w:color w:val="000000" w:themeColor="text1"/>
                <w:szCs w:val="24"/>
              </w:rPr>
            </w:pPr>
            <w:r w:rsidRPr="00BE4A67">
              <w:rPr>
                <w:color w:val="000000" w:themeColor="text1"/>
              </w:rPr>
              <w:t>Öppet förfarande</w:t>
            </w:r>
          </w:p>
        </w:tc>
        <w:tc>
          <w:tcPr>
            <w:tcW w:w="733" w:type="pct"/>
            <w:hideMark/>
          </w:tcPr>
          <w:p w14:paraId="6F7E0EEA" w14:textId="77777777" w:rsidR="00370F0F" w:rsidRPr="00BE4A67" w:rsidRDefault="00370F0F" w:rsidP="009B1F1D">
            <w:pPr>
              <w:widowControl/>
              <w:jc w:val="center"/>
              <w:rPr>
                <w:color w:val="000000" w:themeColor="text1"/>
                <w:szCs w:val="24"/>
              </w:rPr>
            </w:pPr>
            <w:r w:rsidRPr="00BE4A67">
              <w:rPr>
                <w:color w:val="000000" w:themeColor="text1"/>
              </w:rPr>
              <w:t>78</w:t>
            </w:r>
          </w:p>
        </w:tc>
        <w:tc>
          <w:tcPr>
            <w:tcW w:w="894" w:type="pct"/>
            <w:hideMark/>
          </w:tcPr>
          <w:p w14:paraId="520F2AE1" w14:textId="77777777" w:rsidR="00370F0F" w:rsidRPr="00BE4A67" w:rsidRDefault="00370F0F" w:rsidP="009B1F1D">
            <w:pPr>
              <w:widowControl/>
              <w:jc w:val="center"/>
              <w:rPr>
                <w:color w:val="000000" w:themeColor="text1"/>
                <w:szCs w:val="24"/>
              </w:rPr>
            </w:pPr>
            <w:r w:rsidRPr="00BE4A67">
              <w:rPr>
                <w:color w:val="000000" w:themeColor="text1"/>
              </w:rPr>
              <w:t>35 %</w:t>
            </w:r>
          </w:p>
        </w:tc>
        <w:tc>
          <w:tcPr>
            <w:tcW w:w="926" w:type="pct"/>
          </w:tcPr>
          <w:p w14:paraId="2AECEDF4" w14:textId="77777777" w:rsidR="00370F0F" w:rsidRPr="00BE4A67" w:rsidRDefault="00370F0F" w:rsidP="009B1F1D">
            <w:pPr>
              <w:widowControl/>
              <w:jc w:val="center"/>
              <w:rPr>
                <w:color w:val="000000" w:themeColor="text1"/>
                <w:szCs w:val="24"/>
              </w:rPr>
            </w:pPr>
            <w:r w:rsidRPr="00BE4A67">
              <w:rPr>
                <w:color w:val="000000" w:themeColor="text1"/>
              </w:rPr>
              <w:t>63</w:t>
            </w:r>
          </w:p>
        </w:tc>
        <w:tc>
          <w:tcPr>
            <w:tcW w:w="906" w:type="pct"/>
          </w:tcPr>
          <w:p w14:paraId="5E7178EA" w14:textId="77777777" w:rsidR="00370F0F" w:rsidRPr="00BE4A67" w:rsidRDefault="00370F0F" w:rsidP="009B1F1D">
            <w:pPr>
              <w:widowControl/>
              <w:jc w:val="center"/>
              <w:rPr>
                <w:color w:val="000000" w:themeColor="text1"/>
                <w:szCs w:val="24"/>
              </w:rPr>
            </w:pPr>
            <w:r w:rsidRPr="00BE4A67">
              <w:rPr>
                <w:color w:val="000000" w:themeColor="text1"/>
              </w:rPr>
              <w:t>32,5 %</w:t>
            </w:r>
          </w:p>
        </w:tc>
      </w:tr>
      <w:tr w:rsidR="00370F0F" w:rsidRPr="00BE4A67" w14:paraId="39B38D36" w14:textId="77777777" w:rsidTr="009B1F1D">
        <w:trPr>
          <w:trHeight w:val="300"/>
        </w:trPr>
        <w:tc>
          <w:tcPr>
            <w:tcW w:w="1541" w:type="pct"/>
            <w:hideMark/>
          </w:tcPr>
          <w:p w14:paraId="0E0344DE" w14:textId="77777777" w:rsidR="00370F0F" w:rsidRPr="00BE4A67" w:rsidRDefault="00370F0F" w:rsidP="009B1F1D">
            <w:pPr>
              <w:widowControl/>
              <w:ind w:firstLineChars="100" w:firstLine="240"/>
              <w:rPr>
                <w:color w:val="000000" w:themeColor="text1"/>
                <w:szCs w:val="24"/>
              </w:rPr>
            </w:pPr>
            <w:r w:rsidRPr="00BE4A67">
              <w:rPr>
                <w:color w:val="000000" w:themeColor="text1"/>
              </w:rPr>
              <w:t>Förhandlat förfarande</w:t>
            </w:r>
          </w:p>
        </w:tc>
        <w:tc>
          <w:tcPr>
            <w:tcW w:w="733" w:type="pct"/>
            <w:hideMark/>
          </w:tcPr>
          <w:p w14:paraId="2E75B86A" w14:textId="77777777" w:rsidR="00370F0F" w:rsidRPr="00BE4A67" w:rsidRDefault="00370F0F" w:rsidP="009B1F1D">
            <w:pPr>
              <w:widowControl/>
              <w:jc w:val="center"/>
              <w:rPr>
                <w:color w:val="000000" w:themeColor="text1"/>
                <w:szCs w:val="24"/>
              </w:rPr>
            </w:pPr>
            <w:r w:rsidRPr="00BE4A67">
              <w:rPr>
                <w:color w:val="000000" w:themeColor="text1"/>
              </w:rPr>
              <w:t>135</w:t>
            </w:r>
          </w:p>
        </w:tc>
        <w:tc>
          <w:tcPr>
            <w:tcW w:w="894" w:type="pct"/>
            <w:hideMark/>
          </w:tcPr>
          <w:p w14:paraId="75308416" w14:textId="77777777" w:rsidR="00370F0F" w:rsidRPr="00BE4A67" w:rsidRDefault="00370F0F" w:rsidP="009B1F1D">
            <w:pPr>
              <w:widowControl/>
              <w:jc w:val="center"/>
              <w:rPr>
                <w:color w:val="000000" w:themeColor="text1"/>
                <w:szCs w:val="24"/>
              </w:rPr>
            </w:pPr>
            <w:r w:rsidRPr="00BE4A67">
              <w:rPr>
                <w:color w:val="000000" w:themeColor="text1"/>
              </w:rPr>
              <w:t>61 %</w:t>
            </w:r>
          </w:p>
        </w:tc>
        <w:tc>
          <w:tcPr>
            <w:tcW w:w="926" w:type="pct"/>
          </w:tcPr>
          <w:p w14:paraId="61482811" w14:textId="77777777" w:rsidR="00370F0F" w:rsidRPr="00BE4A67" w:rsidRDefault="00370F0F" w:rsidP="009B1F1D">
            <w:pPr>
              <w:widowControl/>
              <w:jc w:val="center"/>
              <w:rPr>
                <w:color w:val="000000" w:themeColor="text1"/>
                <w:szCs w:val="24"/>
              </w:rPr>
            </w:pPr>
            <w:r w:rsidRPr="00BE4A67">
              <w:rPr>
                <w:color w:val="000000" w:themeColor="text1"/>
              </w:rPr>
              <w:t>126</w:t>
            </w:r>
          </w:p>
        </w:tc>
        <w:tc>
          <w:tcPr>
            <w:tcW w:w="906" w:type="pct"/>
          </w:tcPr>
          <w:p w14:paraId="2835F98E" w14:textId="77777777" w:rsidR="00370F0F" w:rsidRPr="00BE4A67" w:rsidRDefault="00370F0F" w:rsidP="009B1F1D">
            <w:pPr>
              <w:widowControl/>
              <w:jc w:val="center"/>
              <w:rPr>
                <w:color w:val="000000" w:themeColor="text1"/>
                <w:szCs w:val="24"/>
              </w:rPr>
            </w:pPr>
            <w:r w:rsidRPr="00BE4A67">
              <w:rPr>
                <w:color w:val="000000" w:themeColor="text1"/>
              </w:rPr>
              <w:t>65 %</w:t>
            </w:r>
          </w:p>
        </w:tc>
      </w:tr>
      <w:tr w:rsidR="00370F0F" w:rsidRPr="00BE4A67" w14:paraId="183DF5E5" w14:textId="77777777" w:rsidTr="009B1F1D">
        <w:trPr>
          <w:trHeight w:val="300"/>
        </w:trPr>
        <w:tc>
          <w:tcPr>
            <w:tcW w:w="1541" w:type="pct"/>
            <w:hideMark/>
          </w:tcPr>
          <w:p w14:paraId="383D152D" w14:textId="77777777" w:rsidR="00370F0F" w:rsidRPr="00BE4A67" w:rsidRDefault="00370F0F" w:rsidP="009B1F1D">
            <w:pPr>
              <w:widowControl/>
              <w:ind w:firstLineChars="100" w:firstLine="240"/>
              <w:rPr>
                <w:color w:val="000000" w:themeColor="text1"/>
                <w:szCs w:val="24"/>
              </w:rPr>
            </w:pPr>
            <w:r w:rsidRPr="00BE4A67">
              <w:rPr>
                <w:color w:val="000000" w:themeColor="text1"/>
              </w:rPr>
              <w:t>Selektivt förfarande</w:t>
            </w:r>
          </w:p>
        </w:tc>
        <w:tc>
          <w:tcPr>
            <w:tcW w:w="733" w:type="pct"/>
            <w:hideMark/>
          </w:tcPr>
          <w:p w14:paraId="1A6240E8" w14:textId="77777777" w:rsidR="00370F0F" w:rsidRPr="00BE4A67" w:rsidRDefault="00370F0F" w:rsidP="009B1F1D">
            <w:pPr>
              <w:widowControl/>
              <w:jc w:val="center"/>
              <w:rPr>
                <w:color w:val="000000" w:themeColor="text1"/>
                <w:szCs w:val="24"/>
              </w:rPr>
            </w:pPr>
            <w:r w:rsidRPr="00BE4A67">
              <w:rPr>
                <w:color w:val="000000" w:themeColor="text1"/>
              </w:rPr>
              <w:t>2</w:t>
            </w:r>
          </w:p>
        </w:tc>
        <w:tc>
          <w:tcPr>
            <w:tcW w:w="894" w:type="pct"/>
            <w:hideMark/>
          </w:tcPr>
          <w:p w14:paraId="4660CACA" w14:textId="77777777" w:rsidR="00370F0F" w:rsidRPr="00BE4A67" w:rsidRDefault="00370F0F" w:rsidP="009B1F1D">
            <w:pPr>
              <w:widowControl/>
              <w:jc w:val="center"/>
              <w:rPr>
                <w:color w:val="000000" w:themeColor="text1"/>
                <w:szCs w:val="24"/>
              </w:rPr>
            </w:pPr>
            <w:r w:rsidRPr="00BE4A67">
              <w:rPr>
                <w:color w:val="000000" w:themeColor="text1"/>
              </w:rPr>
              <w:t>1 %</w:t>
            </w:r>
          </w:p>
        </w:tc>
        <w:tc>
          <w:tcPr>
            <w:tcW w:w="926" w:type="pct"/>
          </w:tcPr>
          <w:p w14:paraId="0A507E4E"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906" w:type="pct"/>
          </w:tcPr>
          <w:p w14:paraId="4D0A1E6C" w14:textId="77777777" w:rsidR="00370F0F" w:rsidRPr="00BE4A67" w:rsidRDefault="00370F0F" w:rsidP="009B1F1D">
            <w:pPr>
              <w:widowControl/>
              <w:jc w:val="center"/>
              <w:rPr>
                <w:color w:val="000000" w:themeColor="text1"/>
                <w:szCs w:val="24"/>
              </w:rPr>
            </w:pPr>
            <w:r w:rsidRPr="00BE4A67">
              <w:rPr>
                <w:color w:val="000000" w:themeColor="text1"/>
              </w:rPr>
              <w:t>0,5 %</w:t>
            </w:r>
          </w:p>
        </w:tc>
      </w:tr>
      <w:tr w:rsidR="00370F0F" w:rsidRPr="00BE4A67" w14:paraId="755E1F27" w14:textId="77777777" w:rsidTr="009B1F1D">
        <w:trPr>
          <w:trHeight w:val="300"/>
        </w:trPr>
        <w:tc>
          <w:tcPr>
            <w:tcW w:w="1541" w:type="pct"/>
            <w:hideMark/>
          </w:tcPr>
          <w:p w14:paraId="1C0F11CF" w14:textId="77777777" w:rsidR="00370F0F" w:rsidRPr="00BE4A67" w:rsidRDefault="00370F0F" w:rsidP="009B1F1D">
            <w:pPr>
              <w:widowControl/>
              <w:ind w:firstLineChars="100" w:firstLine="240"/>
              <w:rPr>
                <w:color w:val="000000" w:themeColor="text1"/>
                <w:szCs w:val="24"/>
              </w:rPr>
            </w:pPr>
            <w:r w:rsidRPr="00BE4A67">
              <w:rPr>
                <w:color w:val="000000" w:themeColor="text1"/>
              </w:rPr>
              <w:t>Undantag</w:t>
            </w:r>
          </w:p>
        </w:tc>
        <w:tc>
          <w:tcPr>
            <w:tcW w:w="733" w:type="pct"/>
            <w:hideMark/>
          </w:tcPr>
          <w:p w14:paraId="092AEDD9" w14:textId="77777777" w:rsidR="00370F0F" w:rsidRPr="00BE4A67" w:rsidRDefault="00370F0F" w:rsidP="009B1F1D">
            <w:pPr>
              <w:widowControl/>
              <w:jc w:val="center"/>
              <w:rPr>
                <w:color w:val="000000" w:themeColor="text1"/>
                <w:szCs w:val="24"/>
              </w:rPr>
            </w:pPr>
            <w:r w:rsidRPr="00BE4A67">
              <w:rPr>
                <w:color w:val="000000" w:themeColor="text1"/>
              </w:rPr>
              <w:t>2</w:t>
            </w:r>
          </w:p>
        </w:tc>
        <w:tc>
          <w:tcPr>
            <w:tcW w:w="894" w:type="pct"/>
            <w:hideMark/>
          </w:tcPr>
          <w:p w14:paraId="4EF3416C" w14:textId="77777777" w:rsidR="00370F0F" w:rsidRPr="00BE4A67" w:rsidRDefault="00370F0F" w:rsidP="009B1F1D">
            <w:pPr>
              <w:widowControl/>
              <w:jc w:val="center"/>
              <w:rPr>
                <w:color w:val="000000" w:themeColor="text1"/>
                <w:szCs w:val="24"/>
              </w:rPr>
            </w:pPr>
            <w:r w:rsidRPr="00BE4A67">
              <w:rPr>
                <w:color w:val="000000" w:themeColor="text1"/>
              </w:rPr>
              <w:t>1 %</w:t>
            </w:r>
          </w:p>
        </w:tc>
        <w:tc>
          <w:tcPr>
            <w:tcW w:w="926" w:type="pct"/>
          </w:tcPr>
          <w:p w14:paraId="6521B0C9"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906" w:type="pct"/>
          </w:tcPr>
          <w:p w14:paraId="58880614" w14:textId="77777777" w:rsidR="00370F0F" w:rsidRPr="00BE4A67" w:rsidRDefault="00370F0F" w:rsidP="009B1F1D">
            <w:pPr>
              <w:widowControl/>
              <w:jc w:val="center"/>
              <w:rPr>
                <w:color w:val="000000" w:themeColor="text1"/>
                <w:szCs w:val="24"/>
              </w:rPr>
            </w:pPr>
            <w:r w:rsidRPr="00BE4A67">
              <w:rPr>
                <w:color w:val="000000" w:themeColor="text1"/>
              </w:rPr>
              <w:t>0,5 %</w:t>
            </w:r>
          </w:p>
        </w:tc>
      </w:tr>
      <w:tr w:rsidR="00370F0F" w:rsidRPr="00BE4A67" w14:paraId="1BE6EB35" w14:textId="77777777" w:rsidTr="009B1F1D">
        <w:trPr>
          <w:trHeight w:val="300"/>
        </w:trPr>
        <w:tc>
          <w:tcPr>
            <w:tcW w:w="1541" w:type="pct"/>
            <w:hideMark/>
          </w:tcPr>
          <w:p w14:paraId="36DE1EF8" w14:textId="77777777" w:rsidR="00370F0F" w:rsidRPr="00BE4A67" w:rsidRDefault="00370F0F" w:rsidP="009B1F1D">
            <w:pPr>
              <w:widowControl/>
              <w:ind w:firstLineChars="100" w:firstLine="240"/>
              <w:rPr>
                <w:color w:val="000000" w:themeColor="text1"/>
                <w:szCs w:val="24"/>
              </w:rPr>
            </w:pPr>
            <w:r w:rsidRPr="00BE4A67">
              <w:rPr>
                <w:color w:val="000000" w:themeColor="text1"/>
              </w:rPr>
              <w:t>Förteckning avseende inbjudan till intresseanmälan</w:t>
            </w:r>
          </w:p>
        </w:tc>
        <w:tc>
          <w:tcPr>
            <w:tcW w:w="733" w:type="pct"/>
            <w:hideMark/>
          </w:tcPr>
          <w:p w14:paraId="0256D70E" w14:textId="77777777" w:rsidR="00370F0F" w:rsidRPr="00BE4A67" w:rsidRDefault="00370F0F" w:rsidP="009B1F1D">
            <w:pPr>
              <w:widowControl/>
              <w:jc w:val="center"/>
              <w:rPr>
                <w:color w:val="000000" w:themeColor="text1"/>
                <w:szCs w:val="24"/>
              </w:rPr>
            </w:pPr>
            <w:r w:rsidRPr="00BE4A67">
              <w:rPr>
                <w:color w:val="000000" w:themeColor="text1"/>
              </w:rPr>
              <w:t>2</w:t>
            </w:r>
          </w:p>
        </w:tc>
        <w:tc>
          <w:tcPr>
            <w:tcW w:w="894" w:type="pct"/>
            <w:hideMark/>
          </w:tcPr>
          <w:p w14:paraId="5884E816" w14:textId="77777777" w:rsidR="00370F0F" w:rsidRPr="00BE4A67" w:rsidRDefault="00370F0F" w:rsidP="009B1F1D">
            <w:pPr>
              <w:widowControl/>
              <w:jc w:val="center"/>
              <w:rPr>
                <w:color w:val="000000" w:themeColor="text1"/>
                <w:szCs w:val="24"/>
              </w:rPr>
            </w:pPr>
            <w:r w:rsidRPr="00BE4A67">
              <w:rPr>
                <w:color w:val="000000" w:themeColor="text1"/>
              </w:rPr>
              <w:t>1 %</w:t>
            </w:r>
          </w:p>
        </w:tc>
        <w:tc>
          <w:tcPr>
            <w:tcW w:w="926" w:type="pct"/>
          </w:tcPr>
          <w:p w14:paraId="7DC87014"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906" w:type="pct"/>
          </w:tcPr>
          <w:p w14:paraId="0D80A92D" w14:textId="77777777" w:rsidR="00370F0F" w:rsidRPr="00BE4A67" w:rsidRDefault="00370F0F" w:rsidP="009B1F1D">
            <w:pPr>
              <w:widowControl/>
              <w:jc w:val="center"/>
              <w:rPr>
                <w:color w:val="000000" w:themeColor="text1"/>
                <w:szCs w:val="24"/>
              </w:rPr>
            </w:pPr>
            <w:r w:rsidRPr="00BE4A67">
              <w:rPr>
                <w:color w:val="000000" w:themeColor="text1"/>
              </w:rPr>
              <w:t>0,5 %</w:t>
            </w:r>
          </w:p>
        </w:tc>
      </w:tr>
      <w:tr w:rsidR="00370F0F" w:rsidRPr="00BE4A67" w14:paraId="79949CDC" w14:textId="77777777" w:rsidTr="009B1F1D">
        <w:trPr>
          <w:trHeight w:val="300"/>
        </w:trPr>
        <w:tc>
          <w:tcPr>
            <w:tcW w:w="1541" w:type="pct"/>
            <w:hideMark/>
          </w:tcPr>
          <w:p w14:paraId="04DA0B27" w14:textId="77777777" w:rsidR="00370F0F" w:rsidRPr="00BE4A67" w:rsidRDefault="00370F0F" w:rsidP="009B1F1D">
            <w:pPr>
              <w:widowControl/>
              <w:ind w:firstLineChars="100" w:firstLine="240"/>
              <w:rPr>
                <w:color w:val="000000" w:themeColor="text1"/>
                <w:szCs w:val="24"/>
              </w:rPr>
            </w:pPr>
            <w:r w:rsidRPr="00BE4A67">
              <w:rPr>
                <w:color w:val="000000" w:themeColor="text1"/>
              </w:rPr>
              <w:t>DPS</w:t>
            </w:r>
          </w:p>
        </w:tc>
        <w:tc>
          <w:tcPr>
            <w:tcW w:w="733" w:type="pct"/>
            <w:hideMark/>
          </w:tcPr>
          <w:p w14:paraId="3BEA81CE"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894" w:type="pct"/>
            <w:hideMark/>
          </w:tcPr>
          <w:p w14:paraId="2E827CE0" w14:textId="77777777" w:rsidR="00370F0F" w:rsidRPr="00BE4A67" w:rsidRDefault="00370F0F" w:rsidP="009B1F1D">
            <w:pPr>
              <w:widowControl/>
              <w:jc w:val="center"/>
              <w:rPr>
                <w:color w:val="000000" w:themeColor="text1"/>
                <w:szCs w:val="24"/>
              </w:rPr>
            </w:pPr>
            <w:r w:rsidRPr="00BE4A67">
              <w:rPr>
                <w:color w:val="000000" w:themeColor="text1"/>
              </w:rPr>
              <w:t>0,5 %</w:t>
            </w:r>
          </w:p>
        </w:tc>
        <w:tc>
          <w:tcPr>
            <w:tcW w:w="926" w:type="pct"/>
          </w:tcPr>
          <w:p w14:paraId="5EFD6A53" w14:textId="77777777" w:rsidR="00370F0F" w:rsidRPr="00BE4A67" w:rsidRDefault="00370F0F" w:rsidP="009B1F1D">
            <w:pPr>
              <w:widowControl/>
              <w:jc w:val="center"/>
              <w:rPr>
                <w:color w:val="000000" w:themeColor="text1"/>
                <w:szCs w:val="24"/>
              </w:rPr>
            </w:pPr>
            <w:r w:rsidRPr="00BE4A67">
              <w:rPr>
                <w:color w:val="000000" w:themeColor="text1"/>
              </w:rPr>
              <w:t>0</w:t>
            </w:r>
          </w:p>
        </w:tc>
        <w:tc>
          <w:tcPr>
            <w:tcW w:w="906" w:type="pct"/>
          </w:tcPr>
          <w:p w14:paraId="3AE4E0E6" w14:textId="77777777" w:rsidR="00370F0F" w:rsidRPr="00BE4A67" w:rsidRDefault="00370F0F" w:rsidP="009B1F1D">
            <w:pPr>
              <w:widowControl/>
              <w:jc w:val="center"/>
              <w:rPr>
                <w:color w:val="000000" w:themeColor="text1"/>
                <w:szCs w:val="24"/>
              </w:rPr>
            </w:pPr>
            <w:r w:rsidRPr="00BE4A67">
              <w:rPr>
                <w:color w:val="000000" w:themeColor="text1"/>
              </w:rPr>
              <w:t>0 %</w:t>
            </w:r>
          </w:p>
        </w:tc>
      </w:tr>
      <w:tr w:rsidR="00370F0F" w:rsidRPr="00BE4A67" w14:paraId="44BDC0CA" w14:textId="77777777" w:rsidTr="009B1F1D">
        <w:trPr>
          <w:trHeight w:val="300"/>
        </w:trPr>
        <w:tc>
          <w:tcPr>
            <w:tcW w:w="1541" w:type="pct"/>
            <w:hideMark/>
          </w:tcPr>
          <w:p w14:paraId="5552A4CC" w14:textId="77777777" w:rsidR="00370F0F" w:rsidRPr="00BE4A67" w:rsidRDefault="00370F0F" w:rsidP="009B1F1D">
            <w:pPr>
              <w:widowControl/>
              <w:ind w:firstLineChars="100" w:firstLine="240"/>
              <w:rPr>
                <w:color w:val="000000" w:themeColor="text1"/>
                <w:szCs w:val="24"/>
              </w:rPr>
            </w:pPr>
            <w:r w:rsidRPr="00BE4A67">
              <w:rPr>
                <w:color w:val="000000" w:themeColor="text1"/>
              </w:rPr>
              <w:t>Innovations-partnerskap</w:t>
            </w:r>
          </w:p>
        </w:tc>
        <w:tc>
          <w:tcPr>
            <w:tcW w:w="733" w:type="pct"/>
            <w:hideMark/>
          </w:tcPr>
          <w:p w14:paraId="5E891022" w14:textId="77777777" w:rsidR="00370F0F" w:rsidRPr="00BE4A67" w:rsidRDefault="00370F0F" w:rsidP="009B1F1D">
            <w:pPr>
              <w:widowControl/>
              <w:jc w:val="center"/>
              <w:rPr>
                <w:color w:val="000000" w:themeColor="text1"/>
                <w:szCs w:val="24"/>
              </w:rPr>
            </w:pPr>
            <w:r w:rsidRPr="00BE4A67">
              <w:rPr>
                <w:color w:val="000000" w:themeColor="text1"/>
              </w:rPr>
              <w:t>0</w:t>
            </w:r>
          </w:p>
        </w:tc>
        <w:tc>
          <w:tcPr>
            <w:tcW w:w="894" w:type="pct"/>
            <w:hideMark/>
          </w:tcPr>
          <w:p w14:paraId="4B3CC304" w14:textId="77777777" w:rsidR="00370F0F" w:rsidRPr="00BE4A67" w:rsidRDefault="00370F0F" w:rsidP="009B1F1D">
            <w:pPr>
              <w:widowControl/>
              <w:jc w:val="center"/>
              <w:rPr>
                <w:color w:val="000000" w:themeColor="text1"/>
                <w:szCs w:val="24"/>
              </w:rPr>
            </w:pPr>
            <w:r w:rsidRPr="00BE4A67">
              <w:rPr>
                <w:color w:val="000000" w:themeColor="text1"/>
              </w:rPr>
              <w:t>0 %</w:t>
            </w:r>
          </w:p>
        </w:tc>
        <w:tc>
          <w:tcPr>
            <w:tcW w:w="926" w:type="pct"/>
          </w:tcPr>
          <w:p w14:paraId="7512420C" w14:textId="77777777" w:rsidR="00370F0F" w:rsidRPr="00BE4A67" w:rsidRDefault="00370F0F" w:rsidP="009B1F1D">
            <w:pPr>
              <w:widowControl/>
              <w:jc w:val="center"/>
              <w:rPr>
                <w:color w:val="000000" w:themeColor="text1"/>
                <w:szCs w:val="24"/>
              </w:rPr>
            </w:pPr>
            <w:r w:rsidRPr="00BE4A67">
              <w:rPr>
                <w:color w:val="000000" w:themeColor="text1"/>
              </w:rPr>
              <w:t>0</w:t>
            </w:r>
          </w:p>
        </w:tc>
        <w:tc>
          <w:tcPr>
            <w:tcW w:w="906" w:type="pct"/>
          </w:tcPr>
          <w:p w14:paraId="587CBF25" w14:textId="77777777" w:rsidR="00370F0F" w:rsidRPr="00BE4A67" w:rsidRDefault="00370F0F" w:rsidP="009B1F1D">
            <w:pPr>
              <w:widowControl/>
              <w:jc w:val="center"/>
              <w:rPr>
                <w:color w:val="000000" w:themeColor="text1"/>
                <w:szCs w:val="24"/>
              </w:rPr>
            </w:pPr>
            <w:r w:rsidRPr="00BE4A67">
              <w:rPr>
                <w:color w:val="000000" w:themeColor="text1"/>
              </w:rPr>
              <w:t>0 %</w:t>
            </w:r>
          </w:p>
        </w:tc>
      </w:tr>
      <w:tr w:rsidR="00370F0F" w:rsidRPr="00BE4A67" w14:paraId="6E6307FA" w14:textId="77777777" w:rsidTr="009B1F1D">
        <w:trPr>
          <w:trHeight w:val="300"/>
        </w:trPr>
        <w:tc>
          <w:tcPr>
            <w:tcW w:w="1541" w:type="pct"/>
            <w:hideMark/>
          </w:tcPr>
          <w:p w14:paraId="3E99D0C3" w14:textId="77777777" w:rsidR="00370F0F" w:rsidRPr="00BE4A67" w:rsidRDefault="00370F0F" w:rsidP="009B1F1D">
            <w:pPr>
              <w:widowControl/>
              <w:ind w:firstLineChars="100" w:firstLine="240"/>
              <w:rPr>
                <w:color w:val="000000" w:themeColor="text1"/>
                <w:szCs w:val="24"/>
              </w:rPr>
            </w:pPr>
            <w:r w:rsidRPr="00BE4A67">
              <w:rPr>
                <w:color w:val="000000" w:themeColor="text1"/>
              </w:rPr>
              <w:t>Påskyndad offentlig upphandling</w:t>
            </w:r>
          </w:p>
        </w:tc>
        <w:tc>
          <w:tcPr>
            <w:tcW w:w="733" w:type="pct"/>
            <w:hideMark/>
          </w:tcPr>
          <w:p w14:paraId="2DEA9857"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894" w:type="pct"/>
            <w:hideMark/>
          </w:tcPr>
          <w:p w14:paraId="1BE310BB" w14:textId="77777777" w:rsidR="00370F0F" w:rsidRPr="00BE4A67" w:rsidRDefault="00370F0F" w:rsidP="009B1F1D">
            <w:pPr>
              <w:widowControl/>
              <w:jc w:val="center"/>
              <w:rPr>
                <w:color w:val="000000" w:themeColor="text1"/>
                <w:szCs w:val="24"/>
              </w:rPr>
            </w:pPr>
            <w:r w:rsidRPr="00BE4A67">
              <w:rPr>
                <w:color w:val="000000" w:themeColor="text1"/>
              </w:rPr>
              <w:t>0,5 %</w:t>
            </w:r>
          </w:p>
        </w:tc>
        <w:tc>
          <w:tcPr>
            <w:tcW w:w="926" w:type="pct"/>
          </w:tcPr>
          <w:p w14:paraId="7105A894"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906" w:type="pct"/>
          </w:tcPr>
          <w:p w14:paraId="01211D05" w14:textId="77777777" w:rsidR="00370F0F" w:rsidRPr="00BE4A67" w:rsidRDefault="00370F0F" w:rsidP="009B1F1D">
            <w:pPr>
              <w:widowControl/>
              <w:jc w:val="center"/>
              <w:rPr>
                <w:color w:val="000000" w:themeColor="text1"/>
                <w:szCs w:val="24"/>
              </w:rPr>
            </w:pPr>
            <w:r w:rsidRPr="00BE4A67">
              <w:rPr>
                <w:color w:val="000000" w:themeColor="text1"/>
              </w:rPr>
              <w:t>0,5 %</w:t>
            </w:r>
          </w:p>
        </w:tc>
      </w:tr>
      <w:tr w:rsidR="00370F0F" w:rsidRPr="00BE4A67" w14:paraId="11651646" w14:textId="77777777" w:rsidTr="009B1F1D">
        <w:trPr>
          <w:trHeight w:val="315"/>
        </w:trPr>
        <w:tc>
          <w:tcPr>
            <w:tcW w:w="1541" w:type="pct"/>
            <w:hideMark/>
          </w:tcPr>
          <w:p w14:paraId="683606BE" w14:textId="77777777" w:rsidR="00370F0F" w:rsidRPr="00BE4A67" w:rsidRDefault="00370F0F" w:rsidP="009B1F1D">
            <w:pPr>
              <w:widowControl/>
              <w:rPr>
                <w:color w:val="000000" w:themeColor="text1"/>
                <w:szCs w:val="24"/>
              </w:rPr>
            </w:pPr>
            <w:r w:rsidRPr="00BE4A67">
              <w:rPr>
                <w:color w:val="000000" w:themeColor="text1"/>
              </w:rPr>
              <w:t xml:space="preserve">    Projekttävling</w:t>
            </w:r>
          </w:p>
        </w:tc>
        <w:tc>
          <w:tcPr>
            <w:tcW w:w="733" w:type="pct"/>
            <w:hideMark/>
          </w:tcPr>
          <w:p w14:paraId="7BAD953D" w14:textId="77777777" w:rsidR="00370F0F" w:rsidRPr="00BE4A67" w:rsidRDefault="00370F0F" w:rsidP="009B1F1D">
            <w:pPr>
              <w:widowControl/>
              <w:jc w:val="center"/>
              <w:rPr>
                <w:color w:val="000000" w:themeColor="text1"/>
                <w:szCs w:val="24"/>
              </w:rPr>
            </w:pPr>
            <w:r w:rsidRPr="00BE4A67">
              <w:rPr>
                <w:color w:val="000000" w:themeColor="text1"/>
              </w:rPr>
              <w:t>0</w:t>
            </w:r>
          </w:p>
        </w:tc>
        <w:tc>
          <w:tcPr>
            <w:tcW w:w="894" w:type="pct"/>
            <w:hideMark/>
          </w:tcPr>
          <w:p w14:paraId="4D434CC8" w14:textId="77777777" w:rsidR="00370F0F" w:rsidRPr="00BE4A67" w:rsidRDefault="00370F0F" w:rsidP="009B1F1D">
            <w:pPr>
              <w:widowControl/>
              <w:jc w:val="center"/>
              <w:rPr>
                <w:color w:val="000000" w:themeColor="text1"/>
                <w:szCs w:val="24"/>
              </w:rPr>
            </w:pPr>
            <w:r w:rsidRPr="00BE4A67">
              <w:rPr>
                <w:color w:val="000000" w:themeColor="text1"/>
              </w:rPr>
              <w:t>0 %</w:t>
            </w:r>
          </w:p>
        </w:tc>
        <w:tc>
          <w:tcPr>
            <w:tcW w:w="926" w:type="pct"/>
          </w:tcPr>
          <w:p w14:paraId="29E565CE" w14:textId="77777777" w:rsidR="00370F0F" w:rsidRPr="00BE4A67" w:rsidRDefault="00370F0F" w:rsidP="009B1F1D">
            <w:pPr>
              <w:widowControl/>
              <w:jc w:val="center"/>
              <w:rPr>
                <w:color w:val="000000" w:themeColor="text1"/>
                <w:szCs w:val="24"/>
              </w:rPr>
            </w:pPr>
            <w:r w:rsidRPr="00BE4A67">
              <w:rPr>
                <w:color w:val="000000" w:themeColor="text1"/>
              </w:rPr>
              <w:t>1</w:t>
            </w:r>
          </w:p>
        </w:tc>
        <w:tc>
          <w:tcPr>
            <w:tcW w:w="906" w:type="pct"/>
          </w:tcPr>
          <w:p w14:paraId="607F5ECF" w14:textId="77777777" w:rsidR="00370F0F" w:rsidRPr="00BE4A67" w:rsidRDefault="00370F0F" w:rsidP="009B1F1D">
            <w:pPr>
              <w:widowControl/>
              <w:jc w:val="center"/>
              <w:rPr>
                <w:color w:val="000000" w:themeColor="text1"/>
                <w:szCs w:val="24"/>
              </w:rPr>
            </w:pPr>
            <w:r w:rsidRPr="00BE4A67">
              <w:rPr>
                <w:color w:val="000000" w:themeColor="text1"/>
              </w:rPr>
              <w:t>0,5 %</w:t>
            </w:r>
          </w:p>
        </w:tc>
      </w:tr>
      <w:tr w:rsidR="00370F0F" w:rsidRPr="00BE4A67" w14:paraId="20EB99F4" w14:textId="77777777" w:rsidTr="009B1F1D">
        <w:trPr>
          <w:trHeight w:val="600"/>
        </w:trPr>
        <w:tc>
          <w:tcPr>
            <w:tcW w:w="1541" w:type="pct"/>
            <w:hideMark/>
          </w:tcPr>
          <w:p w14:paraId="6E14448F" w14:textId="77777777" w:rsidR="00370F0F" w:rsidRPr="00BE4A67" w:rsidRDefault="00370F0F" w:rsidP="009B1F1D">
            <w:pPr>
              <w:widowControl/>
              <w:rPr>
                <w:b/>
                <w:bCs/>
                <w:color w:val="000000" w:themeColor="text1"/>
                <w:szCs w:val="24"/>
              </w:rPr>
            </w:pPr>
            <w:r w:rsidRPr="00BE4A67">
              <w:rPr>
                <w:b/>
                <w:color w:val="000000" w:themeColor="text1"/>
              </w:rPr>
              <w:t xml:space="preserve">   Totalt</w:t>
            </w:r>
          </w:p>
        </w:tc>
        <w:tc>
          <w:tcPr>
            <w:tcW w:w="733" w:type="pct"/>
            <w:hideMark/>
          </w:tcPr>
          <w:p w14:paraId="1A970695" w14:textId="77777777" w:rsidR="00370F0F" w:rsidRPr="00BE4A67" w:rsidRDefault="00370F0F" w:rsidP="009B1F1D">
            <w:pPr>
              <w:widowControl/>
              <w:jc w:val="center"/>
              <w:rPr>
                <w:b/>
                <w:bCs/>
                <w:color w:val="000000" w:themeColor="text1"/>
                <w:szCs w:val="24"/>
              </w:rPr>
            </w:pPr>
            <w:r w:rsidRPr="00BE4A67">
              <w:rPr>
                <w:b/>
                <w:color w:val="000000" w:themeColor="text1"/>
              </w:rPr>
              <w:t>221</w:t>
            </w:r>
          </w:p>
        </w:tc>
        <w:tc>
          <w:tcPr>
            <w:tcW w:w="894" w:type="pct"/>
            <w:hideMark/>
          </w:tcPr>
          <w:p w14:paraId="2EE43382" w14:textId="77777777" w:rsidR="00370F0F" w:rsidRPr="00BE4A67" w:rsidRDefault="00370F0F" w:rsidP="009B1F1D">
            <w:pPr>
              <w:widowControl/>
              <w:jc w:val="center"/>
              <w:rPr>
                <w:b/>
                <w:bCs/>
                <w:color w:val="000000" w:themeColor="text1"/>
                <w:szCs w:val="24"/>
              </w:rPr>
            </w:pPr>
            <w:r w:rsidRPr="00BE4A67">
              <w:rPr>
                <w:b/>
                <w:color w:val="000000" w:themeColor="text1"/>
              </w:rPr>
              <w:t>100 %</w:t>
            </w:r>
          </w:p>
        </w:tc>
        <w:tc>
          <w:tcPr>
            <w:tcW w:w="926" w:type="pct"/>
          </w:tcPr>
          <w:p w14:paraId="0398D09B" w14:textId="77777777" w:rsidR="00370F0F" w:rsidRPr="00BE4A67" w:rsidRDefault="00370F0F" w:rsidP="009B1F1D">
            <w:pPr>
              <w:widowControl/>
              <w:jc w:val="center"/>
              <w:rPr>
                <w:b/>
                <w:bCs/>
                <w:color w:val="000000" w:themeColor="text1"/>
                <w:szCs w:val="24"/>
              </w:rPr>
            </w:pPr>
            <w:r w:rsidRPr="00BE4A67">
              <w:rPr>
                <w:b/>
                <w:color w:val="000000" w:themeColor="text1"/>
              </w:rPr>
              <w:t>194</w:t>
            </w:r>
          </w:p>
        </w:tc>
        <w:tc>
          <w:tcPr>
            <w:tcW w:w="906" w:type="pct"/>
          </w:tcPr>
          <w:p w14:paraId="18877DA3" w14:textId="77777777" w:rsidR="00370F0F" w:rsidRPr="00BE4A67" w:rsidRDefault="00370F0F" w:rsidP="009B1F1D">
            <w:pPr>
              <w:widowControl/>
              <w:jc w:val="center"/>
              <w:rPr>
                <w:b/>
                <w:bCs/>
                <w:color w:val="000000" w:themeColor="text1"/>
                <w:szCs w:val="24"/>
              </w:rPr>
            </w:pPr>
            <w:r w:rsidRPr="00BE4A67">
              <w:rPr>
                <w:b/>
                <w:color w:val="000000" w:themeColor="text1"/>
              </w:rPr>
              <w:t>100 %</w:t>
            </w:r>
          </w:p>
        </w:tc>
      </w:tr>
    </w:tbl>
    <w:p w14:paraId="097DE0EA" w14:textId="77777777" w:rsidR="00370F0F" w:rsidRPr="00BE4A67" w:rsidRDefault="00370F0F" w:rsidP="00370F0F">
      <w:pPr>
        <w:widowControl/>
        <w:rPr>
          <w:noProof/>
        </w:rPr>
      </w:pPr>
    </w:p>
    <w:p w14:paraId="3D2A181F" w14:textId="77777777" w:rsidR="00370F0F" w:rsidRPr="00BE4A67" w:rsidRDefault="00370F0F" w:rsidP="00370F0F">
      <w:pPr>
        <w:widowControl/>
        <w:spacing w:after="240"/>
        <w:jc w:val="both"/>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Politiska grupper (budgetpunkt 400)</w:t>
      </w:r>
    </w:p>
    <w:p w14:paraId="12EC3010" w14:textId="6FCAE9A4"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172</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de anslag som 2022 förts upp under budgetpunkt 400, som avser politiska grupper och grupplösa ledamöter, användes på följande sätt</w:t>
      </w:r>
      <w:r w:rsidR="00370F0F" w:rsidRPr="00BE4A67">
        <w:rPr>
          <w:rStyle w:val="FootnoteReference"/>
          <w:szCs w:val="24"/>
        </w:rPr>
        <w:footnoteReference w:id="14"/>
      </w:r>
      <w:r w:rsidR="00370F0F" w:rsidRPr="00BE4A67">
        <w:rPr>
          <w14:textOutline w14:w="0" w14:cap="flat" w14:cmpd="sng" w14:algn="ctr">
            <w14:noFill/>
            <w14:prstDash w14:val="solid"/>
            <w14:bevel/>
          </w14:textOutline>
        </w:rPr>
        <w:t>:</w:t>
      </w:r>
    </w:p>
    <w:p w14:paraId="09FC7E47" w14:textId="77777777" w:rsidR="00370F0F" w:rsidRPr="00BE4A67" w:rsidRDefault="00370F0F" w:rsidP="00370F0F">
      <w:pPr>
        <w:widowControl/>
        <w:rPr>
          <w:noProof/>
        </w:rPr>
      </w:pPr>
      <w:r w:rsidRPr="00BE4A67">
        <w:br w:type="page"/>
      </w:r>
    </w:p>
    <w:p w14:paraId="36852091" w14:textId="77777777" w:rsidR="00370F0F" w:rsidRPr="00BE4A67" w:rsidRDefault="00370F0F" w:rsidP="00370F0F">
      <w:pPr>
        <w:widowControl/>
        <w:rPr>
          <w:noProof/>
        </w:rPr>
        <w:sectPr w:rsidR="00370F0F" w:rsidRPr="00BE4A67" w:rsidSect="00033B0C">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370F0F" w:rsidRPr="00BE4A67" w14:paraId="188CFB45" w14:textId="77777777" w:rsidTr="009B1F1D">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3F2C0D" w14:textId="77777777" w:rsidR="00370F0F" w:rsidRPr="00BE4A67" w:rsidRDefault="00370F0F" w:rsidP="009B1F1D">
            <w:pPr>
              <w:widowControl/>
              <w:jc w:val="center"/>
              <w:rPr>
                <w:color w:val="000000"/>
                <w:sz w:val="18"/>
                <w:szCs w:val="18"/>
              </w:rPr>
            </w:pPr>
            <w:r w:rsidRPr="00BE4A67">
              <w:rPr>
                <w:color w:val="000000"/>
                <w:sz w:val="18"/>
              </w:rPr>
              <w:lastRenderedPageBreak/>
              <w:t>Grupp</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0E89AC3E" w14:textId="77777777" w:rsidR="00370F0F" w:rsidRPr="00BE4A67" w:rsidRDefault="00370F0F" w:rsidP="009B1F1D">
            <w:pPr>
              <w:widowControl/>
              <w:jc w:val="center"/>
              <w:rPr>
                <w:color w:val="000000"/>
                <w:sz w:val="18"/>
                <w:szCs w:val="18"/>
              </w:rPr>
            </w:pPr>
            <w:r w:rsidRPr="00BE4A67">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52A17EDE" w14:textId="77777777" w:rsidR="00370F0F" w:rsidRPr="00BE4A67" w:rsidRDefault="00370F0F" w:rsidP="009B1F1D">
            <w:pPr>
              <w:widowControl/>
              <w:jc w:val="center"/>
              <w:rPr>
                <w:color w:val="000000"/>
                <w:sz w:val="18"/>
                <w:szCs w:val="18"/>
              </w:rPr>
            </w:pPr>
            <w:r w:rsidRPr="00BE4A67">
              <w:rPr>
                <w:color w:val="000000"/>
                <w:sz w:val="18"/>
              </w:rPr>
              <w:t>2021</w:t>
            </w:r>
          </w:p>
        </w:tc>
      </w:tr>
      <w:tr w:rsidR="00370F0F" w:rsidRPr="00BE4A67" w14:paraId="69E93EC8" w14:textId="77777777" w:rsidTr="009B1F1D">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14:paraId="739039C4" w14:textId="77777777" w:rsidR="00370F0F" w:rsidRPr="00BE4A67" w:rsidRDefault="00370F0F" w:rsidP="009B1F1D">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14:paraId="7F04FAC7" w14:textId="77777777" w:rsidR="00370F0F" w:rsidRPr="00BE4A67" w:rsidRDefault="00370F0F" w:rsidP="009B1F1D">
            <w:pPr>
              <w:widowControl/>
              <w:jc w:val="center"/>
              <w:rPr>
                <w:color w:val="000000"/>
                <w:sz w:val="18"/>
                <w:szCs w:val="18"/>
              </w:rPr>
            </w:pPr>
            <w:r w:rsidRPr="00BE4A67">
              <w:rPr>
                <w:color w:val="000000"/>
                <w:sz w:val="18"/>
              </w:rPr>
              <w:t>Årliga anslag</w:t>
            </w:r>
          </w:p>
        </w:tc>
        <w:tc>
          <w:tcPr>
            <w:tcW w:w="412" w:type="pct"/>
            <w:tcBorders>
              <w:top w:val="nil"/>
              <w:left w:val="nil"/>
              <w:bottom w:val="single" w:sz="8" w:space="0" w:color="auto"/>
              <w:right w:val="single" w:sz="8" w:space="0" w:color="auto"/>
            </w:tcBorders>
            <w:shd w:val="clear" w:color="auto" w:fill="auto"/>
            <w:vAlign w:val="center"/>
            <w:hideMark/>
          </w:tcPr>
          <w:p w14:paraId="7D1597C1" w14:textId="77777777" w:rsidR="00370F0F" w:rsidRPr="00BE4A67" w:rsidRDefault="00370F0F" w:rsidP="009B1F1D">
            <w:pPr>
              <w:widowControl/>
              <w:jc w:val="center"/>
              <w:rPr>
                <w:color w:val="000000"/>
                <w:sz w:val="18"/>
                <w:szCs w:val="18"/>
              </w:rPr>
            </w:pPr>
            <w:r w:rsidRPr="00BE4A67">
              <w:rPr>
                <w:color w:val="000000"/>
                <w:sz w:val="18"/>
              </w:rPr>
              <w:t>Egna medel och överförda anslag</w:t>
            </w:r>
          </w:p>
        </w:tc>
        <w:tc>
          <w:tcPr>
            <w:tcW w:w="412" w:type="pct"/>
            <w:tcBorders>
              <w:top w:val="nil"/>
              <w:left w:val="nil"/>
              <w:bottom w:val="single" w:sz="8" w:space="0" w:color="auto"/>
              <w:right w:val="single" w:sz="8" w:space="0" w:color="auto"/>
            </w:tcBorders>
            <w:shd w:val="clear" w:color="auto" w:fill="auto"/>
            <w:vAlign w:val="center"/>
            <w:hideMark/>
          </w:tcPr>
          <w:p w14:paraId="406BC3DF" w14:textId="77777777" w:rsidR="00370F0F" w:rsidRPr="00BE4A67" w:rsidRDefault="00370F0F" w:rsidP="009B1F1D">
            <w:pPr>
              <w:widowControl/>
              <w:jc w:val="center"/>
              <w:rPr>
                <w:color w:val="000000"/>
                <w:sz w:val="18"/>
                <w:szCs w:val="18"/>
              </w:rPr>
            </w:pPr>
            <w:r w:rsidRPr="00BE4A67">
              <w:rPr>
                <w:color w:val="000000"/>
                <w:sz w:val="18"/>
              </w:rPr>
              <w:t>Kostnader</w:t>
            </w:r>
          </w:p>
        </w:tc>
        <w:tc>
          <w:tcPr>
            <w:tcW w:w="412" w:type="pct"/>
            <w:tcBorders>
              <w:top w:val="nil"/>
              <w:left w:val="nil"/>
              <w:bottom w:val="single" w:sz="8" w:space="0" w:color="auto"/>
              <w:right w:val="single" w:sz="8" w:space="0" w:color="auto"/>
            </w:tcBorders>
            <w:shd w:val="clear" w:color="auto" w:fill="auto"/>
            <w:vAlign w:val="center"/>
            <w:hideMark/>
          </w:tcPr>
          <w:p w14:paraId="01460620" w14:textId="77777777" w:rsidR="00370F0F" w:rsidRPr="00BE4A67" w:rsidRDefault="00370F0F" w:rsidP="009B1F1D">
            <w:pPr>
              <w:widowControl/>
              <w:jc w:val="center"/>
              <w:rPr>
                <w:color w:val="000000"/>
                <w:sz w:val="18"/>
                <w:szCs w:val="18"/>
              </w:rPr>
            </w:pPr>
            <w:r w:rsidRPr="00BE4A67">
              <w:rPr>
                <w:color w:val="000000"/>
                <w:sz w:val="18"/>
              </w:rPr>
              <w:t>Utnyttjande-grad för årliga anslag (i procent)</w:t>
            </w:r>
          </w:p>
        </w:tc>
        <w:tc>
          <w:tcPr>
            <w:tcW w:w="412" w:type="pct"/>
            <w:tcBorders>
              <w:top w:val="nil"/>
              <w:left w:val="nil"/>
              <w:bottom w:val="single" w:sz="8" w:space="0" w:color="auto"/>
              <w:right w:val="single" w:sz="8" w:space="0" w:color="auto"/>
            </w:tcBorders>
            <w:shd w:val="clear" w:color="auto" w:fill="auto"/>
            <w:vAlign w:val="center"/>
            <w:hideMark/>
          </w:tcPr>
          <w:p w14:paraId="7665B15E" w14:textId="77777777" w:rsidR="00370F0F" w:rsidRPr="00BE4A67" w:rsidRDefault="00370F0F" w:rsidP="009B1F1D">
            <w:pPr>
              <w:widowControl/>
              <w:jc w:val="center"/>
              <w:rPr>
                <w:color w:val="000000"/>
                <w:sz w:val="18"/>
                <w:szCs w:val="18"/>
              </w:rPr>
            </w:pPr>
            <w:r w:rsidRPr="00BE4A67">
              <w:rPr>
                <w:color w:val="000000"/>
                <w:sz w:val="18"/>
              </w:rPr>
              <w:t>Belopp överförda till nästa period</w:t>
            </w:r>
          </w:p>
        </w:tc>
        <w:tc>
          <w:tcPr>
            <w:tcW w:w="412" w:type="pct"/>
            <w:tcBorders>
              <w:top w:val="nil"/>
              <w:left w:val="nil"/>
              <w:bottom w:val="single" w:sz="8" w:space="0" w:color="auto"/>
              <w:right w:val="single" w:sz="8" w:space="0" w:color="auto"/>
            </w:tcBorders>
            <w:shd w:val="clear" w:color="auto" w:fill="auto"/>
            <w:vAlign w:val="center"/>
            <w:hideMark/>
          </w:tcPr>
          <w:p w14:paraId="365268BF" w14:textId="77777777" w:rsidR="00370F0F" w:rsidRPr="00BE4A67" w:rsidRDefault="00370F0F" w:rsidP="009B1F1D">
            <w:pPr>
              <w:widowControl/>
              <w:jc w:val="center"/>
              <w:rPr>
                <w:color w:val="000000"/>
                <w:sz w:val="18"/>
                <w:szCs w:val="18"/>
              </w:rPr>
            </w:pPr>
            <w:r w:rsidRPr="00BE4A67">
              <w:rPr>
                <w:color w:val="000000"/>
                <w:sz w:val="18"/>
              </w:rPr>
              <w:t>Årliga anslag</w:t>
            </w:r>
          </w:p>
        </w:tc>
        <w:tc>
          <w:tcPr>
            <w:tcW w:w="412" w:type="pct"/>
            <w:tcBorders>
              <w:top w:val="nil"/>
              <w:left w:val="nil"/>
              <w:bottom w:val="single" w:sz="8" w:space="0" w:color="auto"/>
              <w:right w:val="single" w:sz="8" w:space="0" w:color="auto"/>
            </w:tcBorders>
            <w:shd w:val="clear" w:color="auto" w:fill="auto"/>
            <w:vAlign w:val="center"/>
            <w:hideMark/>
          </w:tcPr>
          <w:p w14:paraId="128947AC" w14:textId="77777777" w:rsidR="00370F0F" w:rsidRPr="00BE4A67" w:rsidRDefault="00370F0F" w:rsidP="009B1F1D">
            <w:pPr>
              <w:widowControl/>
              <w:jc w:val="center"/>
              <w:rPr>
                <w:color w:val="000000"/>
                <w:sz w:val="18"/>
                <w:szCs w:val="18"/>
              </w:rPr>
            </w:pPr>
            <w:r w:rsidRPr="00BE4A67">
              <w:rPr>
                <w:color w:val="000000"/>
                <w:sz w:val="18"/>
              </w:rPr>
              <w:t>Egna medel och överförda anslag</w:t>
            </w:r>
          </w:p>
        </w:tc>
        <w:tc>
          <w:tcPr>
            <w:tcW w:w="412" w:type="pct"/>
            <w:tcBorders>
              <w:top w:val="nil"/>
              <w:left w:val="nil"/>
              <w:bottom w:val="single" w:sz="8" w:space="0" w:color="auto"/>
              <w:right w:val="single" w:sz="8" w:space="0" w:color="auto"/>
            </w:tcBorders>
            <w:shd w:val="clear" w:color="auto" w:fill="auto"/>
            <w:vAlign w:val="center"/>
            <w:hideMark/>
          </w:tcPr>
          <w:p w14:paraId="378F549F" w14:textId="77777777" w:rsidR="00370F0F" w:rsidRPr="00BE4A67" w:rsidRDefault="00370F0F" w:rsidP="009B1F1D">
            <w:pPr>
              <w:widowControl/>
              <w:jc w:val="center"/>
              <w:rPr>
                <w:color w:val="000000"/>
                <w:sz w:val="18"/>
                <w:szCs w:val="18"/>
              </w:rPr>
            </w:pPr>
            <w:r w:rsidRPr="00BE4A67">
              <w:rPr>
                <w:color w:val="000000"/>
                <w:sz w:val="18"/>
              </w:rPr>
              <w:t>Kostnader</w:t>
            </w:r>
          </w:p>
        </w:tc>
        <w:tc>
          <w:tcPr>
            <w:tcW w:w="412" w:type="pct"/>
            <w:tcBorders>
              <w:top w:val="nil"/>
              <w:left w:val="nil"/>
              <w:bottom w:val="single" w:sz="8" w:space="0" w:color="auto"/>
              <w:right w:val="single" w:sz="8" w:space="0" w:color="auto"/>
            </w:tcBorders>
            <w:shd w:val="clear" w:color="auto" w:fill="auto"/>
            <w:vAlign w:val="center"/>
            <w:hideMark/>
          </w:tcPr>
          <w:p w14:paraId="10AE2803" w14:textId="77777777" w:rsidR="00370F0F" w:rsidRPr="00BE4A67" w:rsidRDefault="00370F0F" w:rsidP="009B1F1D">
            <w:pPr>
              <w:widowControl/>
              <w:jc w:val="center"/>
              <w:rPr>
                <w:color w:val="000000"/>
                <w:sz w:val="18"/>
                <w:szCs w:val="18"/>
              </w:rPr>
            </w:pPr>
            <w:r w:rsidRPr="00BE4A67">
              <w:rPr>
                <w:color w:val="000000"/>
                <w:sz w:val="18"/>
              </w:rPr>
              <w:t>Utnyttjande-grad för årliga anslag (i procent)</w:t>
            </w:r>
          </w:p>
        </w:tc>
        <w:tc>
          <w:tcPr>
            <w:tcW w:w="412" w:type="pct"/>
            <w:tcBorders>
              <w:top w:val="nil"/>
              <w:left w:val="nil"/>
              <w:bottom w:val="single" w:sz="8" w:space="0" w:color="auto"/>
              <w:right w:val="single" w:sz="8" w:space="0" w:color="auto"/>
            </w:tcBorders>
            <w:shd w:val="clear" w:color="auto" w:fill="auto"/>
            <w:vAlign w:val="center"/>
            <w:hideMark/>
          </w:tcPr>
          <w:p w14:paraId="0441C32D" w14:textId="77777777" w:rsidR="00370F0F" w:rsidRPr="00BE4A67" w:rsidRDefault="00370F0F" w:rsidP="009B1F1D">
            <w:pPr>
              <w:widowControl/>
              <w:jc w:val="center"/>
              <w:rPr>
                <w:color w:val="000000"/>
                <w:sz w:val="18"/>
                <w:szCs w:val="18"/>
              </w:rPr>
            </w:pPr>
            <w:r w:rsidRPr="00BE4A67">
              <w:rPr>
                <w:color w:val="000000"/>
                <w:sz w:val="18"/>
              </w:rPr>
              <w:t>Belopp överförda till nästa period</w:t>
            </w:r>
          </w:p>
        </w:tc>
      </w:tr>
      <w:tr w:rsidR="00370F0F" w:rsidRPr="00BE4A67" w14:paraId="3EDFF3E7" w14:textId="77777777" w:rsidTr="009B1F1D">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341A69A8" w14:textId="77777777" w:rsidR="00370F0F" w:rsidRPr="00BE4A67" w:rsidRDefault="00370F0F" w:rsidP="009B1F1D">
            <w:pPr>
              <w:widowControl/>
              <w:rPr>
                <w:b/>
                <w:bCs/>
                <w:color w:val="000000"/>
                <w:sz w:val="18"/>
                <w:szCs w:val="18"/>
              </w:rPr>
            </w:pPr>
            <w:r w:rsidRPr="00BE4A67">
              <w:rPr>
                <w:b/>
                <w:color w:val="000000"/>
                <w:sz w:val="18"/>
              </w:rPr>
              <w:t>Europeiska folkpartiet (PPE)</w:t>
            </w:r>
          </w:p>
        </w:tc>
        <w:tc>
          <w:tcPr>
            <w:tcW w:w="412" w:type="pct"/>
            <w:tcBorders>
              <w:top w:val="nil"/>
              <w:left w:val="nil"/>
              <w:bottom w:val="single" w:sz="8" w:space="0" w:color="auto"/>
              <w:right w:val="single" w:sz="8" w:space="0" w:color="auto"/>
            </w:tcBorders>
            <w:shd w:val="clear" w:color="auto" w:fill="auto"/>
            <w:noWrap/>
            <w:vAlign w:val="center"/>
            <w:hideMark/>
          </w:tcPr>
          <w:p w14:paraId="74541431" w14:textId="77777777" w:rsidR="00370F0F" w:rsidRPr="00BE4A67" w:rsidRDefault="00370F0F" w:rsidP="009B1F1D">
            <w:pPr>
              <w:widowControl/>
              <w:jc w:val="right"/>
              <w:rPr>
                <w:color w:val="000000"/>
                <w:sz w:val="18"/>
                <w:szCs w:val="18"/>
              </w:rPr>
            </w:pPr>
            <w:r w:rsidRPr="00BE4A67">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14:paraId="5897848D" w14:textId="77777777" w:rsidR="00370F0F" w:rsidRPr="00BE4A67" w:rsidRDefault="00370F0F" w:rsidP="009B1F1D">
            <w:pPr>
              <w:widowControl/>
              <w:jc w:val="right"/>
              <w:rPr>
                <w:color w:val="000000"/>
                <w:sz w:val="18"/>
                <w:szCs w:val="18"/>
              </w:rPr>
            </w:pPr>
            <w:r w:rsidRPr="00BE4A67">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14:paraId="47C4ECAA" w14:textId="77777777" w:rsidR="00370F0F" w:rsidRPr="00BE4A67" w:rsidRDefault="00370F0F" w:rsidP="009B1F1D">
            <w:pPr>
              <w:widowControl/>
              <w:jc w:val="right"/>
              <w:rPr>
                <w:color w:val="000000"/>
                <w:sz w:val="18"/>
                <w:szCs w:val="18"/>
              </w:rPr>
            </w:pPr>
            <w:r w:rsidRPr="00BE4A67">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14:paraId="68B80E9F" w14:textId="77777777" w:rsidR="00370F0F" w:rsidRPr="00BE4A67" w:rsidRDefault="00370F0F" w:rsidP="009B1F1D">
            <w:pPr>
              <w:widowControl/>
              <w:jc w:val="right"/>
              <w:rPr>
                <w:color w:val="000000"/>
                <w:sz w:val="18"/>
                <w:szCs w:val="18"/>
              </w:rPr>
            </w:pPr>
            <w:r w:rsidRPr="00BE4A67">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14:paraId="7815D3EF" w14:textId="77777777" w:rsidR="00370F0F" w:rsidRPr="00BE4A67" w:rsidRDefault="00370F0F" w:rsidP="009B1F1D">
            <w:pPr>
              <w:widowControl/>
              <w:jc w:val="right"/>
              <w:rPr>
                <w:color w:val="000000"/>
                <w:sz w:val="18"/>
                <w:szCs w:val="18"/>
              </w:rPr>
            </w:pPr>
            <w:r w:rsidRPr="00BE4A67">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14:paraId="7870606C" w14:textId="77777777" w:rsidR="00370F0F" w:rsidRPr="00BE4A67" w:rsidRDefault="00370F0F" w:rsidP="009B1F1D">
            <w:pPr>
              <w:widowControl/>
              <w:jc w:val="right"/>
              <w:rPr>
                <w:color w:val="000000"/>
                <w:sz w:val="18"/>
                <w:szCs w:val="18"/>
              </w:rPr>
            </w:pPr>
            <w:r w:rsidRPr="00BE4A67">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14:paraId="0A2FFEF5" w14:textId="77777777" w:rsidR="00370F0F" w:rsidRPr="00BE4A67" w:rsidRDefault="00370F0F" w:rsidP="009B1F1D">
            <w:pPr>
              <w:widowControl/>
              <w:jc w:val="right"/>
              <w:rPr>
                <w:color w:val="000000"/>
                <w:sz w:val="18"/>
                <w:szCs w:val="18"/>
              </w:rPr>
            </w:pPr>
            <w:r w:rsidRPr="00BE4A67">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14:paraId="6E54A9E2" w14:textId="77777777" w:rsidR="00370F0F" w:rsidRPr="00BE4A67" w:rsidRDefault="00370F0F" w:rsidP="009B1F1D">
            <w:pPr>
              <w:widowControl/>
              <w:jc w:val="right"/>
              <w:rPr>
                <w:color w:val="000000"/>
                <w:sz w:val="18"/>
                <w:szCs w:val="18"/>
              </w:rPr>
            </w:pPr>
            <w:r w:rsidRPr="00BE4A67">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14:paraId="41063BBD" w14:textId="77777777" w:rsidR="00370F0F" w:rsidRPr="00BE4A67" w:rsidRDefault="00370F0F" w:rsidP="009B1F1D">
            <w:pPr>
              <w:widowControl/>
              <w:jc w:val="right"/>
              <w:rPr>
                <w:color w:val="000000"/>
                <w:sz w:val="18"/>
                <w:szCs w:val="18"/>
              </w:rPr>
            </w:pPr>
            <w:r w:rsidRPr="00BE4A67">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14:paraId="272E8639" w14:textId="77777777" w:rsidR="00370F0F" w:rsidRPr="00BE4A67" w:rsidRDefault="00370F0F" w:rsidP="009B1F1D">
            <w:pPr>
              <w:widowControl/>
              <w:jc w:val="right"/>
              <w:rPr>
                <w:color w:val="000000"/>
                <w:sz w:val="18"/>
                <w:szCs w:val="18"/>
              </w:rPr>
            </w:pPr>
            <w:r w:rsidRPr="00BE4A67">
              <w:rPr>
                <w:color w:val="000000"/>
                <w:sz w:val="18"/>
              </w:rPr>
              <w:t>12 562</w:t>
            </w:r>
          </w:p>
        </w:tc>
      </w:tr>
      <w:tr w:rsidR="00370F0F" w:rsidRPr="00BE4A67" w14:paraId="41557B64" w14:textId="77777777" w:rsidTr="009B1F1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309CAB6D" w14:textId="77777777" w:rsidR="00370F0F" w:rsidRPr="00BE4A67" w:rsidRDefault="00370F0F" w:rsidP="009B1F1D">
            <w:pPr>
              <w:widowControl/>
              <w:rPr>
                <w:b/>
                <w:bCs/>
                <w:color w:val="000000"/>
                <w:sz w:val="18"/>
                <w:szCs w:val="18"/>
              </w:rPr>
            </w:pPr>
            <w:r w:rsidRPr="00BE4A67">
              <w:rPr>
                <w:b/>
                <w:color w:val="000000"/>
                <w:sz w:val="18"/>
              </w:rPr>
              <w:t>Progressiva förbundet av socialdemokrater (S&amp;D)</w:t>
            </w:r>
          </w:p>
        </w:tc>
        <w:tc>
          <w:tcPr>
            <w:tcW w:w="412" w:type="pct"/>
            <w:tcBorders>
              <w:top w:val="nil"/>
              <w:left w:val="nil"/>
              <w:bottom w:val="single" w:sz="8" w:space="0" w:color="auto"/>
              <w:right w:val="single" w:sz="8" w:space="0" w:color="auto"/>
            </w:tcBorders>
            <w:shd w:val="clear" w:color="auto" w:fill="auto"/>
            <w:noWrap/>
            <w:vAlign w:val="center"/>
            <w:hideMark/>
          </w:tcPr>
          <w:p w14:paraId="05694B85" w14:textId="77777777" w:rsidR="00370F0F" w:rsidRPr="00BE4A67" w:rsidRDefault="00370F0F" w:rsidP="009B1F1D">
            <w:pPr>
              <w:widowControl/>
              <w:jc w:val="right"/>
              <w:rPr>
                <w:color w:val="000000"/>
                <w:sz w:val="18"/>
                <w:szCs w:val="18"/>
              </w:rPr>
            </w:pPr>
            <w:r w:rsidRPr="00BE4A67">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14:paraId="3382D567" w14:textId="77777777" w:rsidR="00370F0F" w:rsidRPr="00BE4A67" w:rsidRDefault="00370F0F" w:rsidP="009B1F1D">
            <w:pPr>
              <w:widowControl/>
              <w:jc w:val="right"/>
              <w:rPr>
                <w:color w:val="000000"/>
                <w:sz w:val="18"/>
                <w:szCs w:val="18"/>
              </w:rPr>
            </w:pPr>
            <w:r w:rsidRPr="00BE4A67">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14:paraId="3D41B113" w14:textId="77777777" w:rsidR="00370F0F" w:rsidRPr="00BE4A67" w:rsidRDefault="00370F0F" w:rsidP="009B1F1D">
            <w:pPr>
              <w:widowControl/>
              <w:jc w:val="right"/>
              <w:rPr>
                <w:color w:val="000000"/>
                <w:sz w:val="18"/>
                <w:szCs w:val="18"/>
              </w:rPr>
            </w:pPr>
            <w:r w:rsidRPr="00BE4A67">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14:paraId="1C330BE2" w14:textId="77777777" w:rsidR="00370F0F" w:rsidRPr="00BE4A67" w:rsidRDefault="00370F0F" w:rsidP="009B1F1D">
            <w:pPr>
              <w:widowControl/>
              <w:jc w:val="right"/>
              <w:rPr>
                <w:color w:val="000000"/>
                <w:sz w:val="18"/>
                <w:szCs w:val="18"/>
              </w:rPr>
            </w:pPr>
            <w:r w:rsidRPr="00BE4A67">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14:paraId="6D5B98BE" w14:textId="77777777" w:rsidR="00370F0F" w:rsidRPr="00BE4A67" w:rsidRDefault="00370F0F" w:rsidP="009B1F1D">
            <w:pPr>
              <w:widowControl/>
              <w:jc w:val="right"/>
              <w:rPr>
                <w:color w:val="000000"/>
                <w:sz w:val="18"/>
                <w:szCs w:val="18"/>
              </w:rPr>
            </w:pPr>
            <w:r w:rsidRPr="00BE4A67">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14:paraId="6DFFA157" w14:textId="77777777" w:rsidR="00370F0F" w:rsidRPr="00BE4A67" w:rsidRDefault="00370F0F" w:rsidP="009B1F1D">
            <w:pPr>
              <w:widowControl/>
              <w:jc w:val="right"/>
              <w:rPr>
                <w:color w:val="000000"/>
                <w:sz w:val="18"/>
                <w:szCs w:val="18"/>
              </w:rPr>
            </w:pPr>
            <w:r w:rsidRPr="00BE4A67">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14:paraId="02DD6B3D" w14:textId="77777777" w:rsidR="00370F0F" w:rsidRPr="00BE4A67" w:rsidRDefault="00370F0F" w:rsidP="009B1F1D">
            <w:pPr>
              <w:widowControl/>
              <w:jc w:val="right"/>
              <w:rPr>
                <w:color w:val="000000"/>
                <w:sz w:val="18"/>
                <w:szCs w:val="18"/>
              </w:rPr>
            </w:pPr>
            <w:r w:rsidRPr="00BE4A67">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14:paraId="0367B48B" w14:textId="77777777" w:rsidR="00370F0F" w:rsidRPr="00BE4A67" w:rsidRDefault="00370F0F" w:rsidP="009B1F1D">
            <w:pPr>
              <w:widowControl/>
              <w:jc w:val="right"/>
              <w:rPr>
                <w:color w:val="000000"/>
                <w:sz w:val="18"/>
                <w:szCs w:val="18"/>
              </w:rPr>
            </w:pPr>
            <w:r w:rsidRPr="00BE4A67">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14:paraId="3C85E083" w14:textId="77777777" w:rsidR="00370F0F" w:rsidRPr="00BE4A67" w:rsidRDefault="00370F0F" w:rsidP="009B1F1D">
            <w:pPr>
              <w:widowControl/>
              <w:jc w:val="right"/>
              <w:rPr>
                <w:color w:val="000000"/>
                <w:sz w:val="18"/>
                <w:szCs w:val="18"/>
              </w:rPr>
            </w:pPr>
            <w:r w:rsidRPr="00BE4A67">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14:paraId="7702CBE8" w14:textId="77777777" w:rsidR="00370F0F" w:rsidRPr="00BE4A67" w:rsidRDefault="00370F0F" w:rsidP="009B1F1D">
            <w:pPr>
              <w:widowControl/>
              <w:jc w:val="right"/>
              <w:rPr>
                <w:color w:val="000000"/>
                <w:sz w:val="18"/>
                <w:szCs w:val="18"/>
              </w:rPr>
            </w:pPr>
            <w:r w:rsidRPr="00BE4A67">
              <w:rPr>
                <w:color w:val="000000"/>
                <w:sz w:val="18"/>
              </w:rPr>
              <w:t>10 188</w:t>
            </w:r>
          </w:p>
        </w:tc>
      </w:tr>
      <w:tr w:rsidR="00370F0F" w:rsidRPr="00BE4A67" w14:paraId="063149D1" w14:textId="77777777" w:rsidTr="009B1F1D">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076B8BC4" w14:textId="77777777" w:rsidR="00370F0F" w:rsidRPr="00BE4A67" w:rsidRDefault="00370F0F" w:rsidP="009B1F1D">
            <w:pPr>
              <w:widowControl/>
              <w:rPr>
                <w:b/>
                <w:bCs/>
                <w:color w:val="000000"/>
                <w:sz w:val="18"/>
                <w:szCs w:val="18"/>
              </w:rPr>
            </w:pPr>
            <w:proofErr w:type="spellStart"/>
            <w:r w:rsidRPr="00BE4A67">
              <w:rPr>
                <w:b/>
                <w:color w:val="000000"/>
                <w:sz w:val="18"/>
              </w:rPr>
              <w:t>Renew</w:t>
            </w:r>
            <w:proofErr w:type="spellEnd"/>
            <w:r w:rsidRPr="00BE4A67">
              <w:rPr>
                <w:b/>
                <w:color w:val="000000"/>
                <w:sz w:val="18"/>
              </w:rPr>
              <w:t xml:space="preserve"> </w:t>
            </w:r>
            <w:proofErr w:type="spellStart"/>
            <w:r w:rsidRPr="00BE4A67">
              <w:rPr>
                <w:b/>
                <w:color w:val="000000"/>
                <w:sz w:val="18"/>
              </w:rPr>
              <w:t>Europe</w:t>
            </w:r>
            <w:proofErr w:type="spellEnd"/>
            <w:r w:rsidRPr="00BE4A67">
              <w:rPr>
                <w:b/>
                <w:color w:val="000000"/>
                <w:sz w:val="18"/>
              </w:rPr>
              <w:t xml:space="preserve"> (tidigare Alliansen liberaler och demokrater för Europa (ALDE))</w:t>
            </w:r>
          </w:p>
        </w:tc>
        <w:tc>
          <w:tcPr>
            <w:tcW w:w="412" w:type="pct"/>
            <w:tcBorders>
              <w:top w:val="nil"/>
              <w:left w:val="nil"/>
              <w:bottom w:val="single" w:sz="8" w:space="0" w:color="auto"/>
              <w:right w:val="single" w:sz="8" w:space="0" w:color="auto"/>
            </w:tcBorders>
            <w:shd w:val="clear" w:color="auto" w:fill="auto"/>
            <w:noWrap/>
            <w:vAlign w:val="center"/>
            <w:hideMark/>
          </w:tcPr>
          <w:p w14:paraId="43DD88EA" w14:textId="77777777" w:rsidR="00370F0F" w:rsidRPr="00BE4A67" w:rsidRDefault="00370F0F" w:rsidP="009B1F1D">
            <w:pPr>
              <w:widowControl/>
              <w:jc w:val="right"/>
              <w:rPr>
                <w:color w:val="000000"/>
                <w:sz w:val="18"/>
                <w:szCs w:val="18"/>
              </w:rPr>
            </w:pPr>
            <w:r w:rsidRPr="00BE4A67">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14:paraId="24DA4104" w14:textId="77777777" w:rsidR="00370F0F" w:rsidRPr="00BE4A67" w:rsidRDefault="00370F0F" w:rsidP="009B1F1D">
            <w:pPr>
              <w:widowControl/>
              <w:jc w:val="right"/>
              <w:rPr>
                <w:color w:val="000000"/>
                <w:sz w:val="18"/>
                <w:szCs w:val="18"/>
              </w:rPr>
            </w:pPr>
            <w:r w:rsidRPr="00BE4A67">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14:paraId="63FCFF48" w14:textId="77777777" w:rsidR="00370F0F" w:rsidRPr="00BE4A67" w:rsidRDefault="00370F0F" w:rsidP="009B1F1D">
            <w:pPr>
              <w:widowControl/>
              <w:jc w:val="right"/>
              <w:rPr>
                <w:color w:val="000000"/>
                <w:sz w:val="18"/>
                <w:szCs w:val="18"/>
              </w:rPr>
            </w:pPr>
            <w:r w:rsidRPr="00BE4A67">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14:paraId="7BDA5C46" w14:textId="77777777" w:rsidR="00370F0F" w:rsidRPr="00BE4A67" w:rsidRDefault="00370F0F" w:rsidP="009B1F1D">
            <w:pPr>
              <w:widowControl/>
              <w:jc w:val="right"/>
              <w:rPr>
                <w:color w:val="000000"/>
                <w:sz w:val="18"/>
                <w:szCs w:val="18"/>
              </w:rPr>
            </w:pPr>
            <w:r w:rsidRPr="00BE4A67">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14:paraId="0312D196" w14:textId="77777777" w:rsidR="00370F0F" w:rsidRPr="00BE4A67" w:rsidRDefault="00370F0F" w:rsidP="009B1F1D">
            <w:pPr>
              <w:widowControl/>
              <w:jc w:val="right"/>
              <w:rPr>
                <w:color w:val="000000"/>
                <w:sz w:val="18"/>
                <w:szCs w:val="18"/>
              </w:rPr>
            </w:pPr>
            <w:r w:rsidRPr="00BE4A67">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14:paraId="03FF0731" w14:textId="77777777" w:rsidR="00370F0F" w:rsidRPr="00BE4A67" w:rsidRDefault="00370F0F" w:rsidP="009B1F1D">
            <w:pPr>
              <w:widowControl/>
              <w:jc w:val="right"/>
              <w:rPr>
                <w:color w:val="000000"/>
                <w:sz w:val="18"/>
                <w:szCs w:val="18"/>
              </w:rPr>
            </w:pPr>
            <w:r w:rsidRPr="00BE4A67">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14:paraId="69C38FE8" w14:textId="77777777" w:rsidR="00370F0F" w:rsidRPr="00BE4A67" w:rsidRDefault="00370F0F" w:rsidP="009B1F1D">
            <w:pPr>
              <w:widowControl/>
              <w:jc w:val="right"/>
              <w:rPr>
                <w:color w:val="000000"/>
                <w:sz w:val="18"/>
                <w:szCs w:val="18"/>
              </w:rPr>
            </w:pPr>
            <w:r w:rsidRPr="00BE4A67">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14:paraId="0E74B574" w14:textId="77777777" w:rsidR="00370F0F" w:rsidRPr="00BE4A67" w:rsidRDefault="00370F0F" w:rsidP="009B1F1D">
            <w:pPr>
              <w:widowControl/>
              <w:jc w:val="right"/>
              <w:rPr>
                <w:color w:val="000000"/>
                <w:sz w:val="18"/>
                <w:szCs w:val="18"/>
              </w:rPr>
            </w:pPr>
            <w:r w:rsidRPr="00BE4A67">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14:paraId="2E61E933" w14:textId="77777777" w:rsidR="00370F0F" w:rsidRPr="00BE4A67" w:rsidRDefault="00370F0F" w:rsidP="009B1F1D">
            <w:pPr>
              <w:widowControl/>
              <w:jc w:val="right"/>
              <w:rPr>
                <w:color w:val="000000"/>
                <w:sz w:val="18"/>
                <w:szCs w:val="18"/>
              </w:rPr>
            </w:pPr>
            <w:r w:rsidRPr="00BE4A67">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14:paraId="7D3C1CFE" w14:textId="77777777" w:rsidR="00370F0F" w:rsidRPr="00BE4A67" w:rsidRDefault="00370F0F" w:rsidP="009B1F1D">
            <w:pPr>
              <w:widowControl/>
              <w:jc w:val="right"/>
              <w:rPr>
                <w:color w:val="000000"/>
                <w:sz w:val="18"/>
                <w:szCs w:val="18"/>
              </w:rPr>
            </w:pPr>
            <w:r w:rsidRPr="00BE4A67">
              <w:rPr>
                <w:color w:val="000000"/>
                <w:sz w:val="18"/>
              </w:rPr>
              <w:t>6 894</w:t>
            </w:r>
          </w:p>
        </w:tc>
      </w:tr>
      <w:tr w:rsidR="00370F0F" w:rsidRPr="00BE4A67" w14:paraId="4037842E" w14:textId="77777777" w:rsidTr="009B1F1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BE98F0C" w14:textId="77777777" w:rsidR="00370F0F" w:rsidRPr="00BE4A67" w:rsidRDefault="00370F0F" w:rsidP="009B1F1D">
            <w:pPr>
              <w:widowControl/>
              <w:rPr>
                <w:b/>
                <w:bCs/>
                <w:color w:val="000000"/>
                <w:sz w:val="18"/>
                <w:szCs w:val="18"/>
              </w:rPr>
            </w:pPr>
            <w:r w:rsidRPr="00BE4A67">
              <w:rPr>
                <w:b/>
                <w:color w:val="000000"/>
                <w:sz w:val="18"/>
              </w:rPr>
              <w:t>De gröna/Europeiska fria alliansen (Verts/ALE)</w:t>
            </w:r>
          </w:p>
        </w:tc>
        <w:tc>
          <w:tcPr>
            <w:tcW w:w="412" w:type="pct"/>
            <w:tcBorders>
              <w:top w:val="nil"/>
              <w:left w:val="nil"/>
              <w:bottom w:val="single" w:sz="8" w:space="0" w:color="auto"/>
              <w:right w:val="single" w:sz="8" w:space="0" w:color="auto"/>
            </w:tcBorders>
            <w:shd w:val="clear" w:color="auto" w:fill="auto"/>
            <w:noWrap/>
            <w:vAlign w:val="center"/>
            <w:hideMark/>
          </w:tcPr>
          <w:p w14:paraId="3A219B13" w14:textId="77777777" w:rsidR="00370F0F" w:rsidRPr="00BE4A67" w:rsidRDefault="00370F0F" w:rsidP="009B1F1D">
            <w:pPr>
              <w:widowControl/>
              <w:jc w:val="right"/>
              <w:rPr>
                <w:color w:val="000000"/>
                <w:sz w:val="18"/>
                <w:szCs w:val="18"/>
              </w:rPr>
            </w:pPr>
            <w:r w:rsidRPr="00BE4A67">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14:paraId="3646E7F8" w14:textId="77777777" w:rsidR="00370F0F" w:rsidRPr="00BE4A67" w:rsidRDefault="00370F0F" w:rsidP="009B1F1D">
            <w:pPr>
              <w:widowControl/>
              <w:jc w:val="right"/>
              <w:rPr>
                <w:color w:val="000000"/>
                <w:sz w:val="18"/>
                <w:szCs w:val="18"/>
              </w:rPr>
            </w:pPr>
            <w:r w:rsidRPr="00BE4A67">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14:paraId="593DD42F" w14:textId="77777777" w:rsidR="00370F0F" w:rsidRPr="00BE4A67" w:rsidRDefault="00370F0F" w:rsidP="009B1F1D">
            <w:pPr>
              <w:widowControl/>
              <w:jc w:val="right"/>
              <w:rPr>
                <w:color w:val="000000"/>
                <w:sz w:val="18"/>
                <w:szCs w:val="18"/>
              </w:rPr>
            </w:pPr>
            <w:r w:rsidRPr="00BE4A67">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14:paraId="3401E6AB" w14:textId="77777777" w:rsidR="00370F0F" w:rsidRPr="00BE4A67" w:rsidRDefault="00370F0F" w:rsidP="009B1F1D">
            <w:pPr>
              <w:widowControl/>
              <w:jc w:val="right"/>
              <w:rPr>
                <w:color w:val="000000"/>
                <w:sz w:val="18"/>
                <w:szCs w:val="18"/>
              </w:rPr>
            </w:pPr>
            <w:r w:rsidRPr="00BE4A67">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14:paraId="47FAEE8F" w14:textId="77777777" w:rsidR="00370F0F" w:rsidRPr="00BE4A67" w:rsidRDefault="00370F0F" w:rsidP="009B1F1D">
            <w:pPr>
              <w:widowControl/>
              <w:jc w:val="right"/>
              <w:rPr>
                <w:color w:val="000000"/>
                <w:sz w:val="18"/>
                <w:szCs w:val="18"/>
              </w:rPr>
            </w:pPr>
            <w:r w:rsidRPr="00BE4A67">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14:paraId="009EC5E2" w14:textId="77777777" w:rsidR="00370F0F" w:rsidRPr="00BE4A67" w:rsidRDefault="00370F0F" w:rsidP="009B1F1D">
            <w:pPr>
              <w:widowControl/>
              <w:jc w:val="right"/>
              <w:rPr>
                <w:color w:val="000000"/>
                <w:sz w:val="18"/>
                <w:szCs w:val="18"/>
              </w:rPr>
            </w:pPr>
            <w:r w:rsidRPr="00BE4A67">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14:paraId="661A3216" w14:textId="77777777" w:rsidR="00370F0F" w:rsidRPr="00BE4A67" w:rsidRDefault="00370F0F" w:rsidP="009B1F1D">
            <w:pPr>
              <w:widowControl/>
              <w:jc w:val="right"/>
              <w:rPr>
                <w:color w:val="000000"/>
                <w:sz w:val="18"/>
                <w:szCs w:val="18"/>
              </w:rPr>
            </w:pPr>
            <w:r w:rsidRPr="00BE4A67">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14:paraId="16005EAC" w14:textId="77777777" w:rsidR="00370F0F" w:rsidRPr="00BE4A67" w:rsidRDefault="00370F0F" w:rsidP="009B1F1D">
            <w:pPr>
              <w:widowControl/>
              <w:jc w:val="right"/>
              <w:rPr>
                <w:color w:val="000000"/>
                <w:sz w:val="18"/>
                <w:szCs w:val="18"/>
              </w:rPr>
            </w:pPr>
            <w:r w:rsidRPr="00BE4A67">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14:paraId="273CA1E9" w14:textId="77777777" w:rsidR="00370F0F" w:rsidRPr="00BE4A67" w:rsidRDefault="00370F0F" w:rsidP="009B1F1D">
            <w:pPr>
              <w:widowControl/>
              <w:jc w:val="right"/>
              <w:rPr>
                <w:color w:val="000000"/>
                <w:sz w:val="18"/>
                <w:szCs w:val="18"/>
              </w:rPr>
            </w:pPr>
            <w:r w:rsidRPr="00BE4A67">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14:paraId="5C1C2EAD" w14:textId="77777777" w:rsidR="00370F0F" w:rsidRPr="00BE4A67" w:rsidRDefault="00370F0F" w:rsidP="009B1F1D">
            <w:pPr>
              <w:widowControl/>
              <w:jc w:val="right"/>
              <w:rPr>
                <w:color w:val="000000"/>
                <w:sz w:val="18"/>
                <w:szCs w:val="18"/>
              </w:rPr>
            </w:pPr>
            <w:r w:rsidRPr="00BE4A67">
              <w:rPr>
                <w:color w:val="000000"/>
                <w:sz w:val="18"/>
              </w:rPr>
              <w:t>5 196</w:t>
            </w:r>
          </w:p>
        </w:tc>
      </w:tr>
      <w:tr w:rsidR="00370F0F" w:rsidRPr="00BE4A67" w14:paraId="410117CC" w14:textId="77777777" w:rsidTr="009B1F1D">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CD6B0AE" w14:textId="77777777" w:rsidR="00370F0F" w:rsidRPr="00BE4A67" w:rsidRDefault="00370F0F" w:rsidP="009B1F1D">
            <w:pPr>
              <w:widowControl/>
              <w:rPr>
                <w:b/>
                <w:bCs/>
                <w:color w:val="000000"/>
                <w:sz w:val="18"/>
                <w:szCs w:val="18"/>
              </w:rPr>
            </w:pPr>
            <w:r w:rsidRPr="00BE4A67">
              <w:rPr>
                <w:b/>
                <w:color w:val="000000"/>
                <w:sz w:val="18"/>
              </w:rPr>
              <w:t xml:space="preserve">Identitet och demokrati (ID) </w:t>
            </w:r>
          </w:p>
        </w:tc>
        <w:tc>
          <w:tcPr>
            <w:tcW w:w="412" w:type="pct"/>
            <w:tcBorders>
              <w:top w:val="nil"/>
              <w:left w:val="nil"/>
              <w:bottom w:val="single" w:sz="8" w:space="0" w:color="auto"/>
              <w:right w:val="single" w:sz="8" w:space="0" w:color="auto"/>
            </w:tcBorders>
            <w:shd w:val="clear" w:color="auto" w:fill="auto"/>
            <w:noWrap/>
            <w:vAlign w:val="center"/>
            <w:hideMark/>
          </w:tcPr>
          <w:p w14:paraId="4344C021" w14:textId="77777777" w:rsidR="00370F0F" w:rsidRPr="00BE4A67" w:rsidRDefault="00370F0F" w:rsidP="009B1F1D">
            <w:pPr>
              <w:widowControl/>
              <w:jc w:val="right"/>
              <w:rPr>
                <w:color w:val="000000"/>
                <w:sz w:val="18"/>
                <w:szCs w:val="18"/>
              </w:rPr>
            </w:pPr>
            <w:r w:rsidRPr="00BE4A67">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14:paraId="3F8B7F51" w14:textId="77777777" w:rsidR="00370F0F" w:rsidRPr="00BE4A67" w:rsidRDefault="00370F0F" w:rsidP="009B1F1D">
            <w:pPr>
              <w:widowControl/>
              <w:jc w:val="right"/>
              <w:rPr>
                <w:color w:val="000000"/>
                <w:sz w:val="18"/>
                <w:szCs w:val="18"/>
              </w:rPr>
            </w:pPr>
            <w:r w:rsidRPr="00BE4A67">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14:paraId="65A00B48" w14:textId="77777777" w:rsidR="00370F0F" w:rsidRPr="00BE4A67" w:rsidRDefault="00370F0F" w:rsidP="009B1F1D">
            <w:pPr>
              <w:widowControl/>
              <w:jc w:val="right"/>
              <w:rPr>
                <w:color w:val="000000"/>
                <w:sz w:val="18"/>
                <w:szCs w:val="18"/>
              </w:rPr>
            </w:pPr>
            <w:r w:rsidRPr="00BE4A67">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14:paraId="47DDC696" w14:textId="77777777" w:rsidR="00370F0F" w:rsidRPr="00BE4A67" w:rsidRDefault="00370F0F" w:rsidP="009B1F1D">
            <w:pPr>
              <w:widowControl/>
              <w:jc w:val="right"/>
              <w:rPr>
                <w:color w:val="000000"/>
                <w:sz w:val="18"/>
                <w:szCs w:val="18"/>
              </w:rPr>
            </w:pPr>
            <w:r w:rsidRPr="00BE4A67">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14:paraId="221844E2" w14:textId="77777777" w:rsidR="00370F0F" w:rsidRPr="00BE4A67" w:rsidRDefault="00370F0F" w:rsidP="009B1F1D">
            <w:pPr>
              <w:widowControl/>
              <w:jc w:val="right"/>
              <w:rPr>
                <w:color w:val="000000"/>
                <w:sz w:val="18"/>
                <w:szCs w:val="18"/>
              </w:rPr>
            </w:pPr>
            <w:r w:rsidRPr="00BE4A67">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14:paraId="18174428" w14:textId="77777777" w:rsidR="00370F0F" w:rsidRPr="00BE4A67" w:rsidRDefault="00370F0F" w:rsidP="009B1F1D">
            <w:pPr>
              <w:widowControl/>
              <w:jc w:val="right"/>
              <w:rPr>
                <w:color w:val="000000"/>
                <w:sz w:val="18"/>
                <w:szCs w:val="18"/>
              </w:rPr>
            </w:pPr>
            <w:r w:rsidRPr="00BE4A67">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14:paraId="4F9E72E5" w14:textId="77777777" w:rsidR="00370F0F" w:rsidRPr="00BE4A67" w:rsidRDefault="00370F0F" w:rsidP="009B1F1D">
            <w:pPr>
              <w:widowControl/>
              <w:jc w:val="right"/>
              <w:rPr>
                <w:color w:val="000000"/>
                <w:sz w:val="18"/>
                <w:szCs w:val="18"/>
              </w:rPr>
            </w:pPr>
            <w:r w:rsidRPr="00BE4A67">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14:paraId="0CAA9628" w14:textId="77777777" w:rsidR="00370F0F" w:rsidRPr="00BE4A67" w:rsidRDefault="00370F0F" w:rsidP="009B1F1D">
            <w:pPr>
              <w:widowControl/>
              <w:jc w:val="right"/>
              <w:rPr>
                <w:color w:val="000000"/>
                <w:sz w:val="18"/>
                <w:szCs w:val="18"/>
              </w:rPr>
            </w:pPr>
            <w:r w:rsidRPr="00BE4A67">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14:paraId="074F43A4" w14:textId="77777777" w:rsidR="00370F0F" w:rsidRPr="00BE4A67" w:rsidRDefault="00370F0F" w:rsidP="009B1F1D">
            <w:pPr>
              <w:widowControl/>
              <w:jc w:val="right"/>
              <w:rPr>
                <w:color w:val="000000"/>
                <w:sz w:val="18"/>
                <w:szCs w:val="18"/>
              </w:rPr>
            </w:pPr>
            <w:r w:rsidRPr="00BE4A67">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14:paraId="06E2AC85" w14:textId="77777777" w:rsidR="00370F0F" w:rsidRPr="00BE4A67" w:rsidRDefault="00370F0F" w:rsidP="009B1F1D">
            <w:pPr>
              <w:widowControl/>
              <w:jc w:val="right"/>
              <w:rPr>
                <w:color w:val="000000"/>
                <w:sz w:val="18"/>
                <w:szCs w:val="18"/>
              </w:rPr>
            </w:pPr>
            <w:r w:rsidRPr="00BE4A67">
              <w:rPr>
                <w:color w:val="000000"/>
                <w:sz w:val="18"/>
              </w:rPr>
              <w:t>5 155</w:t>
            </w:r>
          </w:p>
        </w:tc>
      </w:tr>
      <w:tr w:rsidR="00370F0F" w:rsidRPr="00BE4A67" w14:paraId="48B21A3D" w14:textId="77777777" w:rsidTr="009B1F1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61FAD0C3" w14:textId="77777777" w:rsidR="00370F0F" w:rsidRPr="00BE4A67" w:rsidRDefault="00370F0F" w:rsidP="009B1F1D">
            <w:pPr>
              <w:widowControl/>
              <w:rPr>
                <w:b/>
                <w:bCs/>
                <w:color w:val="000000"/>
                <w:sz w:val="18"/>
                <w:szCs w:val="18"/>
              </w:rPr>
            </w:pPr>
            <w:r w:rsidRPr="00BE4A67">
              <w:rPr>
                <w:b/>
                <w:color w:val="000000"/>
                <w:sz w:val="18"/>
              </w:rPr>
              <w:t>Europeiska konservativa och reformister (ECR)</w:t>
            </w:r>
          </w:p>
        </w:tc>
        <w:tc>
          <w:tcPr>
            <w:tcW w:w="412" w:type="pct"/>
            <w:tcBorders>
              <w:top w:val="nil"/>
              <w:left w:val="nil"/>
              <w:bottom w:val="single" w:sz="8" w:space="0" w:color="auto"/>
              <w:right w:val="single" w:sz="8" w:space="0" w:color="auto"/>
            </w:tcBorders>
            <w:shd w:val="clear" w:color="auto" w:fill="auto"/>
            <w:noWrap/>
            <w:vAlign w:val="center"/>
            <w:hideMark/>
          </w:tcPr>
          <w:p w14:paraId="6E27B901" w14:textId="77777777" w:rsidR="00370F0F" w:rsidRPr="00BE4A67" w:rsidRDefault="00370F0F" w:rsidP="009B1F1D">
            <w:pPr>
              <w:widowControl/>
              <w:jc w:val="right"/>
              <w:rPr>
                <w:color w:val="000000"/>
                <w:sz w:val="18"/>
                <w:szCs w:val="18"/>
              </w:rPr>
            </w:pPr>
            <w:r w:rsidRPr="00BE4A67">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14:paraId="04F15859" w14:textId="77777777" w:rsidR="00370F0F" w:rsidRPr="00BE4A67" w:rsidRDefault="00370F0F" w:rsidP="009B1F1D">
            <w:pPr>
              <w:widowControl/>
              <w:jc w:val="right"/>
              <w:rPr>
                <w:color w:val="000000"/>
                <w:sz w:val="18"/>
                <w:szCs w:val="18"/>
              </w:rPr>
            </w:pPr>
            <w:r w:rsidRPr="00BE4A67">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14:paraId="39D700E9" w14:textId="77777777" w:rsidR="00370F0F" w:rsidRPr="00BE4A67" w:rsidRDefault="00370F0F" w:rsidP="009B1F1D">
            <w:pPr>
              <w:widowControl/>
              <w:jc w:val="right"/>
              <w:rPr>
                <w:color w:val="000000"/>
                <w:sz w:val="18"/>
                <w:szCs w:val="18"/>
              </w:rPr>
            </w:pPr>
            <w:r w:rsidRPr="00BE4A67">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14:paraId="084AB56D" w14:textId="77777777" w:rsidR="00370F0F" w:rsidRPr="00BE4A67" w:rsidRDefault="00370F0F" w:rsidP="009B1F1D">
            <w:pPr>
              <w:widowControl/>
              <w:jc w:val="right"/>
              <w:rPr>
                <w:color w:val="000000"/>
                <w:sz w:val="18"/>
                <w:szCs w:val="18"/>
              </w:rPr>
            </w:pPr>
            <w:r w:rsidRPr="00BE4A67">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14:paraId="351ED4B7" w14:textId="77777777" w:rsidR="00370F0F" w:rsidRPr="00BE4A67" w:rsidRDefault="00370F0F" w:rsidP="009B1F1D">
            <w:pPr>
              <w:widowControl/>
              <w:jc w:val="right"/>
              <w:rPr>
                <w:color w:val="000000"/>
                <w:sz w:val="18"/>
                <w:szCs w:val="18"/>
              </w:rPr>
            </w:pPr>
            <w:r w:rsidRPr="00BE4A67">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14:paraId="7AD33A35" w14:textId="77777777" w:rsidR="00370F0F" w:rsidRPr="00BE4A67" w:rsidRDefault="00370F0F" w:rsidP="009B1F1D">
            <w:pPr>
              <w:widowControl/>
              <w:jc w:val="right"/>
              <w:rPr>
                <w:color w:val="000000"/>
                <w:sz w:val="18"/>
                <w:szCs w:val="18"/>
              </w:rPr>
            </w:pPr>
            <w:r w:rsidRPr="00BE4A67">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14:paraId="146CF945" w14:textId="77777777" w:rsidR="00370F0F" w:rsidRPr="00BE4A67" w:rsidRDefault="00370F0F" w:rsidP="009B1F1D">
            <w:pPr>
              <w:widowControl/>
              <w:jc w:val="right"/>
              <w:rPr>
                <w:color w:val="000000"/>
                <w:sz w:val="18"/>
                <w:szCs w:val="18"/>
              </w:rPr>
            </w:pPr>
            <w:r w:rsidRPr="00BE4A67">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14:paraId="33A382D7" w14:textId="77777777" w:rsidR="00370F0F" w:rsidRPr="00BE4A67" w:rsidRDefault="00370F0F" w:rsidP="009B1F1D">
            <w:pPr>
              <w:widowControl/>
              <w:jc w:val="right"/>
              <w:rPr>
                <w:color w:val="000000"/>
                <w:sz w:val="18"/>
                <w:szCs w:val="18"/>
              </w:rPr>
            </w:pPr>
            <w:r w:rsidRPr="00BE4A67">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14:paraId="22DF437B" w14:textId="77777777" w:rsidR="00370F0F" w:rsidRPr="00BE4A67" w:rsidRDefault="00370F0F" w:rsidP="009B1F1D">
            <w:pPr>
              <w:widowControl/>
              <w:jc w:val="right"/>
              <w:rPr>
                <w:color w:val="000000"/>
                <w:sz w:val="18"/>
                <w:szCs w:val="18"/>
              </w:rPr>
            </w:pPr>
            <w:r w:rsidRPr="00BE4A67">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14:paraId="6A2C8333" w14:textId="77777777" w:rsidR="00370F0F" w:rsidRPr="00BE4A67" w:rsidRDefault="00370F0F" w:rsidP="009B1F1D">
            <w:pPr>
              <w:widowControl/>
              <w:jc w:val="right"/>
              <w:rPr>
                <w:color w:val="000000"/>
                <w:sz w:val="18"/>
                <w:szCs w:val="18"/>
              </w:rPr>
            </w:pPr>
            <w:r w:rsidRPr="00BE4A67">
              <w:rPr>
                <w:color w:val="000000"/>
                <w:sz w:val="18"/>
              </w:rPr>
              <w:t>3 718</w:t>
            </w:r>
          </w:p>
        </w:tc>
      </w:tr>
      <w:tr w:rsidR="00370F0F" w:rsidRPr="00BE4A67" w14:paraId="557A4A77" w14:textId="77777777" w:rsidTr="009B1F1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73A56069" w14:textId="77777777" w:rsidR="00370F0F" w:rsidRPr="00BE4A67" w:rsidRDefault="00370F0F" w:rsidP="009B1F1D">
            <w:pPr>
              <w:widowControl/>
              <w:rPr>
                <w:b/>
                <w:bCs/>
                <w:color w:val="000000"/>
                <w:sz w:val="18"/>
                <w:szCs w:val="18"/>
              </w:rPr>
            </w:pPr>
            <w:r w:rsidRPr="00BE4A67">
              <w:rPr>
                <w:b/>
                <w:color w:val="000000"/>
                <w:sz w:val="18"/>
              </w:rPr>
              <w:t>Europeiska enade vänstern – Nordisk grön vänster (GUE/NGL)</w:t>
            </w:r>
          </w:p>
        </w:tc>
        <w:tc>
          <w:tcPr>
            <w:tcW w:w="412" w:type="pct"/>
            <w:tcBorders>
              <w:top w:val="nil"/>
              <w:left w:val="nil"/>
              <w:bottom w:val="single" w:sz="8" w:space="0" w:color="auto"/>
              <w:right w:val="single" w:sz="8" w:space="0" w:color="auto"/>
            </w:tcBorders>
            <w:shd w:val="clear" w:color="auto" w:fill="auto"/>
            <w:noWrap/>
            <w:vAlign w:val="center"/>
            <w:hideMark/>
          </w:tcPr>
          <w:p w14:paraId="2A709C93" w14:textId="77777777" w:rsidR="00370F0F" w:rsidRPr="00BE4A67" w:rsidRDefault="00370F0F" w:rsidP="009B1F1D">
            <w:pPr>
              <w:widowControl/>
              <w:jc w:val="right"/>
              <w:rPr>
                <w:color w:val="000000"/>
                <w:sz w:val="18"/>
                <w:szCs w:val="18"/>
              </w:rPr>
            </w:pPr>
            <w:r w:rsidRPr="00BE4A67">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14:paraId="3D3373C4" w14:textId="77777777" w:rsidR="00370F0F" w:rsidRPr="00BE4A67" w:rsidRDefault="00370F0F" w:rsidP="009B1F1D">
            <w:pPr>
              <w:widowControl/>
              <w:jc w:val="right"/>
              <w:rPr>
                <w:color w:val="000000"/>
                <w:sz w:val="18"/>
                <w:szCs w:val="18"/>
              </w:rPr>
            </w:pPr>
            <w:r w:rsidRPr="00BE4A67">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14:paraId="79ED012A" w14:textId="77777777" w:rsidR="00370F0F" w:rsidRPr="00BE4A67" w:rsidRDefault="00370F0F" w:rsidP="009B1F1D">
            <w:pPr>
              <w:widowControl/>
              <w:jc w:val="right"/>
              <w:rPr>
                <w:color w:val="000000"/>
                <w:sz w:val="18"/>
                <w:szCs w:val="18"/>
              </w:rPr>
            </w:pPr>
            <w:r w:rsidRPr="00BE4A67">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14:paraId="145295BB" w14:textId="77777777" w:rsidR="00370F0F" w:rsidRPr="00BE4A67" w:rsidRDefault="00370F0F" w:rsidP="009B1F1D">
            <w:pPr>
              <w:widowControl/>
              <w:jc w:val="right"/>
              <w:rPr>
                <w:color w:val="000000"/>
                <w:sz w:val="18"/>
                <w:szCs w:val="18"/>
              </w:rPr>
            </w:pPr>
            <w:r w:rsidRPr="00BE4A67">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14:paraId="3F46E8F2" w14:textId="77777777" w:rsidR="00370F0F" w:rsidRPr="00BE4A67" w:rsidRDefault="00370F0F" w:rsidP="009B1F1D">
            <w:pPr>
              <w:widowControl/>
              <w:jc w:val="right"/>
              <w:rPr>
                <w:color w:val="000000"/>
                <w:sz w:val="18"/>
                <w:szCs w:val="18"/>
              </w:rPr>
            </w:pPr>
            <w:r w:rsidRPr="00BE4A67">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14:paraId="1E6366BB" w14:textId="77777777" w:rsidR="00370F0F" w:rsidRPr="00BE4A67" w:rsidRDefault="00370F0F" w:rsidP="009B1F1D">
            <w:pPr>
              <w:widowControl/>
              <w:jc w:val="right"/>
              <w:rPr>
                <w:color w:val="000000"/>
                <w:sz w:val="18"/>
                <w:szCs w:val="18"/>
              </w:rPr>
            </w:pPr>
            <w:r w:rsidRPr="00BE4A67">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14:paraId="6668CD1A" w14:textId="77777777" w:rsidR="00370F0F" w:rsidRPr="00BE4A67" w:rsidRDefault="00370F0F" w:rsidP="009B1F1D">
            <w:pPr>
              <w:widowControl/>
              <w:jc w:val="right"/>
              <w:rPr>
                <w:color w:val="000000"/>
                <w:sz w:val="18"/>
                <w:szCs w:val="18"/>
              </w:rPr>
            </w:pPr>
            <w:r w:rsidRPr="00BE4A67">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14:paraId="5D914EFC" w14:textId="77777777" w:rsidR="00370F0F" w:rsidRPr="00BE4A67" w:rsidRDefault="00370F0F" w:rsidP="009B1F1D">
            <w:pPr>
              <w:widowControl/>
              <w:jc w:val="right"/>
              <w:rPr>
                <w:color w:val="000000"/>
                <w:sz w:val="18"/>
                <w:szCs w:val="18"/>
              </w:rPr>
            </w:pPr>
            <w:r w:rsidRPr="00BE4A67">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14:paraId="2A901302" w14:textId="77777777" w:rsidR="00370F0F" w:rsidRPr="00BE4A67" w:rsidRDefault="00370F0F" w:rsidP="009B1F1D">
            <w:pPr>
              <w:widowControl/>
              <w:jc w:val="right"/>
              <w:rPr>
                <w:color w:val="000000"/>
                <w:sz w:val="18"/>
                <w:szCs w:val="18"/>
              </w:rPr>
            </w:pPr>
            <w:r w:rsidRPr="00BE4A67">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14:paraId="7435F80F" w14:textId="77777777" w:rsidR="00370F0F" w:rsidRPr="00BE4A67" w:rsidRDefault="00370F0F" w:rsidP="009B1F1D">
            <w:pPr>
              <w:widowControl/>
              <w:jc w:val="right"/>
              <w:rPr>
                <w:color w:val="000000"/>
                <w:sz w:val="18"/>
                <w:szCs w:val="18"/>
              </w:rPr>
            </w:pPr>
            <w:r w:rsidRPr="00BE4A67">
              <w:rPr>
                <w:color w:val="000000"/>
                <w:sz w:val="18"/>
              </w:rPr>
              <w:t>2 036</w:t>
            </w:r>
          </w:p>
        </w:tc>
      </w:tr>
      <w:tr w:rsidR="00370F0F" w:rsidRPr="00BE4A67" w14:paraId="3FA9C7C4" w14:textId="77777777" w:rsidTr="009B1F1D">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F878A2D" w14:textId="77777777" w:rsidR="00370F0F" w:rsidRPr="00BE4A67" w:rsidRDefault="00370F0F" w:rsidP="009B1F1D">
            <w:pPr>
              <w:widowControl/>
              <w:rPr>
                <w:b/>
                <w:bCs/>
                <w:color w:val="000000"/>
                <w:sz w:val="18"/>
                <w:szCs w:val="18"/>
              </w:rPr>
            </w:pPr>
            <w:r w:rsidRPr="00BE4A67">
              <w:rPr>
                <w:b/>
                <w:color w:val="000000"/>
                <w:sz w:val="18"/>
              </w:rPr>
              <w:t xml:space="preserve">Grupplösa ledamöter </w:t>
            </w:r>
          </w:p>
        </w:tc>
        <w:tc>
          <w:tcPr>
            <w:tcW w:w="412" w:type="pct"/>
            <w:tcBorders>
              <w:top w:val="nil"/>
              <w:left w:val="nil"/>
              <w:bottom w:val="single" w:sz="8" w:space="0" w:color="auto"/>
              <w:right w:val="single" w:sz="8" w:space="0" w:color="auto"/>
            </w:tcBorders>
            <w:shd w:val="clear" w:color="auto" w:fill="auto"/>
            <w:noWrap/>
            <w:vAlign w:val="center"/>
            <w:hideMark/>
          </w:tcPr>
          <w:p w14:paraId="1DCCBD1C" w14:textId="77777777" w:rsidR="00370F0F" w:rsidRPr="00BE4A67" w:rsidRDefault="00370F0F" w:rsidP="009B1F1D">
            <w:pPr>
              <w:widowControl/>
              <w:jc w:val="right"/>
              <w:rPr>
                <w:color w:val="000000"/>
                <w:sz w:val="18"/>
                <w:szCs w:val="18"/>
              </w:rPr>
            </w:pPr>
            <w:r w:rsidRPr="00BE4A67">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14:paraId="527FB011" w14:textId="77777777" w:rsidR="00370F0F" w:rsidRPr="00BE4A67" w:rsidRDefault="00370F0F" w:rsidP="009B1F1D">
            <w:pPr>
              <w:widowControl/>
              <w:jc w:val="right"/>
              <w:rPr>
                <w:color w:val="000000"/>
                <w:sz w:val="18"/>
                <w:szCs w:val="18"/>
              </w:rPr>
            </w:pPr>
            <w:r w:rsidRPr="00BE4A67">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14:paraId="07924E4D" w14:textId="77777777" w:rsidR="00370F0F" w:rsidRPr="00BE4A67" w:rsidRDefault="00370F0F" w:rsidP="009B1F1D">
            <w:pPr>
              <w:widowControl/>
              <w:jc w:val="right"/>
              <w:rPr>
                <w:color w:val="000000"/>
                <w:sz w:val="18"/>
                <w:szCs w:val="18"/>
              </w:rPr>
            </w:pPr>
            <w:r w:rsidRPr="00BE4A67">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14:paraId="12D29673" w14:textId="77777777" w:rsidR="00370F0F" w:rsidRPr="00BE4A67" w:rsidRDefault="00370F0F" w:rsidP="009B1F1D">
            <w:pPr>
              <w:widowControl/>
              <w:jc w:val="right"/>
              <w:rPr>
                <w:color w:val="000000"/>
                <w:sz w:val="18"/>
                <w:szCs w:val="18"/>
              </w:rPr>
            </w:pPr>
            <w:r w:rsidRPr="00BE4A67">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14:paraId="33E26F47" w14:textId="77777777" w:rsidR="00370F0F" w:rsidRPr="00BE4A67" w:rsidRDefault="00370F0F" w:rsidP="009B1F1D">
            <w:pPr>
              <w:widowControl/>
              <w:jc w:val="right"/>
              <w:rPr>
                <w:color w:val="000000"/>
                <w:sz w:val="18"/>
                <w:szCs w:val="18"/>
              </w:rPr>
            </w:pPr>
            <w:r w:rsidRPr="00BE4A67">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14:paraId="10D3C4CC" w14:textId="77777777" w:rsidR="00370F0F" w:rsidRPr="00BE4A67" w:rsidRDefault="00370F0F" w:rsidP="009B1F1D">
            <w:pPr>
              <w:widowControl/>
              <w:jc w:val="right"/>
              <w:rPr>
                <w:color w:val="000000"/>
                <w:sz w:val="18"/>
                <w:szCs w:val="18"/>
              </w:rPr>
            </w:pPr>
            <w:r w:rsidRPr="00BE4A67">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14:paraId="27317CF5" w14:textId="77777777" w:rsidR="00370F0F" w:rsidRPr="00BE4A67" w:rsidRDefault="00370F0F" w:rsidP="009B1F1D">
            <w:pPr>
              <w:widowControl/>
              <w:jc w:val="right"/>
              <w:rPr>
                <w:color w:val="000000"/>
                <w:sz w:val="18"/>
                <w:szCs w:val="18"/>
              </w:rPr>
            </w:pPr>
            <w:r w:rsidRPr="00BE4A67">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14:paraId="30939B58" w14:textId="77777777" w:rsidR="00370F0F" w:rsidRPr="00BE4A67" w:rsidRDefault="00370F0F" w:rsidP="009B1F1D">
            <w:pPr>
              <w:widowControl/>
              <w:jc w:val="right"/>
              <w:rPr>
                <w:color w:val="000000"/>
                <w:sz w:val="18"/>
                <w:szCs w:val="18"/>
              </w:rPr>
            </w:pPr>
            <w:r w:rsidRPr="00BE4A67">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14:paraId="29BB5EBB" w14:textId="77777777" w:rsidR="00370F0F" w:rsidRPr="00BE4A67" w:rsidRDefault="00370F0F" w:rsidP="009B1F1D">
            <w:pPr>
              <w:widowControl/>
              <w:jc w:val="right"/>
              <w:rPr>
                <w:color w:val="000000"/>
                <w:sz w:val="18"/>
                <w:szCs w:val="18"/>
              </w:rPr>
            </w:pPr>
            <w:r w:rsidRPr="00BE4A67">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14:paraId="142DE4A8" w14:textId="77777777" w:rsidR="00370F0F" w:rsidRPr="00BE4A67" w:rsidRDefault="00370F0F" w:rsidP="009B1F1D">
            <w:pPr>
              <w:widowControl/>
              <w:jc w:val="right"/>
              <w:rPr>
                <w:color w:val="000000"/>
                <w:sz w:val="18"/>
                <w:szCs w:val="18"/>
              </w:rPr>
            </w:pPr>
            <w:r w:rsidRPr="00BE4A67">
              <w:rPr>
                <w:color w:val="000000"/>
                <w:sz w:val="18"/>
              </w:rPr>
              <w:t>861</w:t>
            </w:r>
          </w:p>
        </w:tc>
      </w:tr>
      <w:tr w:rsidR="00370F0F" w:rsidRPr="00BE4A67" w14:paraId="11AADD01" w14:textId="77777777" w:rsidTr="009B1F1D">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14:paraId="6F616FA9" w14:textId="77777777" w:rsidR="00370F0F" w:rsidRPr="00BE4A67" w:rsidRDefault="00370F0F" w:rsidP="009B1F1D">
            <w:pPr>
              <w:widowControl/>
              <w:jc w:val="right"/>
              <w:rPr>
                <w:b/>
                <w:bCs/>
                <w:color w:val="000000"/>
                <w:sz w:val="18"/>
                <w:szCs w:val="18"/>
              </w:rPr>
            </w:pPr>
            <w:r w:rsidRPr="00BE4A67">
              <w:rPr>
                <w:b/>
                <w:color w:val="000000"/>
                <w:sz w:val="18"/>
              </w:rPr>
              <w:t>Totalt</w:t>
            </w:r>
          </w:p>
        </w:tc>
        <w:tc>
          <w:tcPr>
            <w:tcW w:w="412" w:type="pct"/>
            <w:tcBorders>
              <w:top w:val="nil"/>
              <w:left w:val="nil"/>
              <w:bottom w:val="single" w:sz="8" w:space="0" w:color="auto"/>
              <w:right w:val="single" w:sz="8" w:space="0" w:color="auto"/>
            </w:tcBorders>
            <w:shd w:val="clear" w:color="000000" w:fill="E2EFD9"/>
            <w:noWrap/>
            <w:vAlign w:val="center"/>
            <w:hideMark/>
          </w:tcPr>
          <w:p w14:paraId="08058ED9" w14:textId="77777777" w:rsidR="00370F0F" w:rsidRPr="00BE4A67" w:rsidRDefault="00370F0F" w:rsidP="009B1F1D">
            <w:pPr>
              <w:widowControl/>
              <w:jc w:val="right"/>
              <w:rPr>
                <w:b/>
                <w:bCs/>
                <w:color w:val="000000"/>
                <w:sz w:val="18"/>
                <w:szCs w:val="18"/>
              </w:rPr>
            </w:pPr>
            <w:r w:rsidRPr="00BE4A67">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14:paraId="5845D666" w14:textId="77777777" w:rsidR="00370F0F" w:rsidRPr="00BE4A67" w:rsidRDefault="00370F0F" w:rsidP="009B1F1D">
            <w:pPr>
              <w:widowControl/>
              <w:jc w:val="right"/>
              <w:rPr>
                <w:b/>
                <w:bCs/>
                <w:color w:val="000000"/>
                <w:sz w:val="18"/>
                <w:szCs w:val="18"/>
              </w:rPr>
            </w:pPr>
            <w:r w:rsidRPr="00BE4A67">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14:paraId="0A3EF068" w14:textId="77777777" w:rsidR="00370F0F" w:rsidRPr="00BE4A67" w:rsidRDefault="00370F0F" w:rsidP="009B1F1D">
            <w:pPr>
              <w:widowControl/>
              <w:jc w:val="right"/>
              <w:rPr>
                <w:b/>
                <w:bCs/>
                <w:color w:val="000000"/>
                <w:sz w:val="18"/>
                <w:szCs w:val="18"/>
              </w:rPr>
            </w:pPr>
            <w:r w:rsidRPr="00BE4A67">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14:paraId="2B998818" w14:textId="77777777" w:rsidR="00370F0F" w:rsidRPr="00BE4A67" w:rsidRDefault="00370F0F" w:rsidP="009B1F1D">
            <w:pPr>
              <w:widowControl/>
              <w:jc w:val="right"/>
              <w:rPr>
                <w:b/>
                <w:bCs/>
                <w:color w:val="000000"/>
                <w:sz w:val="18"/>
                <w:szCs w:val="18"/>
              </w:rPr>
            </w:pPr>
            <w:r w:rsidRPr="00BE4A67">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14:paraId="3C06D10B" w14:textId="77777777" w:rsidR="00370F0F" w:rsidRPr="00BE4A67" w:rsidRDefault="00370F0F" w:rsidP="009B1F1D">
            <w:pPr>
              <w:widowControl/>
              <w:jc w:val="right"/>
              <w:rPr>
                <w:b/>
                <w:bCs/>
                <w:color w:val="000000"/>
                <w:sz w:val="18"/>
                <w:szCs w:val="18"/>
              </w:rPr>
            </w:pPr>
            <w:r w:rsidRPr="00BE4A67">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14:paraId="6C8E620B" w14:textId="77777777" w:rsidR="00370F0F" w:rsidRPr="00BE4A67" w:rsidRDefault="00370F0F" w:rsidP="009B1F1D">
            <w:pPr>
              <w:widowControl/>
              <w:jc w:val="right"/>
              <w:rPr>
                <w:b/>
                <w:bCs/>
                <w:color w:val="000000"/>
                <w:sz w:val="18"/>
                <w:szCs w:val="18"/>
              </w:rPr>
            </w:pPr>
            <w:r w:rsidRPr="00BE4A67">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14:paraId="2D54320A" w14:textId="77777777" w:rsidR="00370F0F" w:rsidRPr="00BE4A67" w:rsidRDefault="00370F0F" w:rsidP="009B1F1D">
            <w:pPr>
              <w:widowControl/>
              <w:jc w:val="right"/>
              <w:rPr>
                <w:b/>
                <w:bCs/>
                <w:color w:val="000000"/>
                <w:sz w:val="18"/>
                <w:szCs w:val="18"/>
              </w:rPr>
            </w:pPr>
            <w:r w:rsidRPr="00BE4A67">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14:paraId="12106ECB" w14:textId="77777777" w:rsidR="00370F0F" w:rsidRPr="00BE4A67" w:rsidRDefault="00370F0F" w:rsidP="009B1F1D">
            <w:pPr>
              <w:widowControl/>
              <w:jc w:val="right"/>
              <w:rPr>
                <w:b/>
                <w:bCs/>
                <w:color w:val="000000"/>
                <w:sz w:val="18"/>
                <w:szCs w:val="18"/>
              </w:rPr>
            </w:pPr>
            <w:r w:rsidRPr="00BE4A67">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14:paraId="1B772E53" w14:textId="77777777" w:rsidR="00370F0F" w:rsidRPr="00BE4A67" w:rsidRDefault="00370F0F" w:rsidP="009B1F1D">
            <w:pPr>
              <w:widowControl/>
              <w:jc w:val="right"/>
              <w:rPr>
                <w:b/>
                <w:bCs/>
                <w:color w:val="000000"/>
                <w:sz w:val="18"/>
                <w:szCs w:val="18"/>
              </w:rPr>
            </w:pPr>
            <w:r w:rsidRPr="00BE4A67">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14:paraId="4638F20E" w14:textId="77777777" w:rsidR="00370F0F" w:rsidRPr="00BE4A67" w:rsidRDefault="00370F0F" w:rsidP="009B1F1D">
            <w:pPr>
              <w:widowControl/>
              <w:jc w:val="right"/>
              <w:rPr>
                <w:b/>
                <w:bCs/>
                <w:color w:val="000000"/>
                <w:sz w:val="18"/>
                <w:szCs w:val="18"/>
              </w:rPr>
            </w:pPr>
            <w:r w:rsidRPr="00BE4A67">
              <w:rPr>
                <w:b/>
                <w:color w:val="000000"/>
                <w:sz w:val="18"/>
              </w:rPr>
              <w:t>46 611</w:t>
            </w:r>
          </w:p>
        </w:tc>
      </w:tr>
    </w:tbl>
    <w:p w14:paraId="62ED21A3" w14:textId="77777777" w:rsidR="00370F0F" w:rsidRPr="00BE4A67" w:rsidRDefault="00370F0F" w:rsidP="00370F0F">
      <w:pPr>
        <w:widowControl/>
        <w:rPr>
          <w:noProof/>
        </w:rPr>
      </w:pPr>
    </w:p>
    <w:p w14:paraId="3E3065D9" w14:textId="77777777" w:rsidR="00370F0F" w:rsidRPr="00BE4A67" w:rsidRDefault="00370F0F" w:rsidP="00370F0F">
      <w:pPr>
        <w:widowControl/>
        <w:rPr>
          <w:noProof/>
        </w:rPr>
      </w:pPr>
      <w:r w:rsidRPr="00BE4A67">
        <w:br w:type="page"/>
      </w:r>
    </w:p>
    <w:p w14:paraId="61C0046E" w14:textId="77777777" w:rsidR="00370F0F" w:rsidRPr="00BE4A67" w:rsidRDefault="00370F0F" w:rsidP="00370F0F">
      <w:pPr>
        <w:widowControl/>
        <w:rPr>
          <w:noProof/>
        </w:rPr>
        <w:sectPr w:rsidR="00370F0F" w:rsidRPr="00BE4A67" w:rsidSect="00033B0C">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14:paraId="1E76DE8F" w14:textId="56722440"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173</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att de oberoende externa revisorerna för de politiska grupperna endast utfärdade uttalanden utan reservation för budgetåret 2022.</w:t>
      </w:r>
    </w:p>
    <w:p w14:paraId="5144CB52" w14:textId="73E585D6"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174</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påminner om att dessa anslag är avsedda att täcka verksamhet i samband med unionens politiska verksamhet och att de politiska grupperna är ansvariga inför parlamentet för användningen av dessa anslag.</w:t>
      </w:r>
    </w:p>
    <w:p w14:paraId="5738EB8B" w14:textId="77777777" w:rsidR="00370F0F" w:rsidRPr="00BE4A67" w:rsidRDefault="00370F0F" w:rsidP="00370F0F">
      <w:pPr>
        <w:widowControl/>
        <w:spacing w:after="240"/>
        <w:rPr>
          <w:b/>
          <w:bCs/>
          <w:i/>
          <w:iCs/>
          <w:szCs w:val="24"/>
          <w14:textOutline w14:w="0" w14:cap="flat" w14:cmpd="sng" w14:algn="ctr">
            <w14:noFill/>
            <w14:prstDash w14:val="solid"/>
            <w14:bevel/>
          </w14:textOutline>
        </w:rPr>
      </w:pPr>
      <w:r w:rsidRPr="00BE4A67">
        <w:rPr>
          <w:b/>
          <w:i/>
          <w14:textOutline w14:w="0" w14:cap="flat" w14:cmpd="sng" w14:algn="ctr">
            <w14:noFill/>
            <w14:prstDash w14:val="solid"/>
            <w14:bevel/>
          </w14:textOutline>
        </w:rPr>
        <w:t>Europeiska politiska partier och europeiska politiska stiftelser</w:t>
      </w:r>
    </w:p>
    <w:p w14:paraId="3DB11CC5" w14:textId="474C53BC" w:rsidR="00370F0F" w:rsidRPr="00BE4A67" w:rsidRDefault="00F23FC1" w:rsidP="00370F0F">
      <w:pPr>
        <w:pStyle w:val="NormalHanging12a"/>
        <w:widowControl/>
      </w:pPr>
      <w:r>
        <w:t>175</w:t>
      </w:r>
      <w:r w:rsidR="00370F0F" w:rsidRPr="00BE4A67">
        <w:t>.</w:t>
      </w:r>
      <w:r w:rsidR="00370F0F" w:rsidRPr="00BE4A67">
        <w:tab/>
        <w:t>Europaparlamentet noterar att myndigheten under 2022 gav europeiska politiska partier och europeiska politiska stiftelser rätten att bli hörda samt möjligheten till korrigerande åtgärder i 9 fall. Parlamentet noterar vidare att det handlade om fall som rörde rapporteringskrav, regler om inkomster och gemensam verksamhet. Parlamentet betonar att myndighetens tidiga granskning visar att de omedelbart relevanta korrigerande åtgärderna genomfördes av de berörda europeiska politiska partierna och stiftelserna i alla dessa fall. Parlamentet noterar att myndigheten kommer att fortsätta att övervaka att korrigerande åtgärder med långvariga effekter kommer att säkerställa varaktig efterlevnad inom de berörda områdena. Parlamentet välkomnar att inga sanktioner behövde antas under 2022.</w:t>
      </w:r>
    </w:p>
    <w:p w14:paraId="4EA99346" w14:textId="563529D7"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176</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välkomnar att myndigheten inför valet till Europaparlamentet 2024 aktivt stärker samarbetsnätverken genom att utforska ytterligare partnerskap för att försvara den demokratiska integriteten.</w:t>
      </w:r>
    </w:p>
    <w:p w14:paraId="5A83B8DF" w14:textId="5092EF14"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177</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med oro att myndigheten rapporterar att den står inför begränsade personalresurser. Parlamentet framhåller att denna fråga förväntas bli mer akut på grund av de föränderliga utmaningarna inför valet till Europaparlamentet 2024, särskilt behovet av att skydda den demokratiska integriteten mot nya former av utländsk inblandning, samt det nödvändiga administrativa genomförandet av eventuella nya uppgifter som skulle uppstå för myndigheten till följd av de pågående förhandlingarna om en omarbetning av förordning (EU, Euratom) nr 1141/2014.</w:t>
      </w:r>
    </w:p>
    <w:p w14:paraId="0A58380E" w14:textId="2FEAA12B"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178</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 xml:space="preserve">Europaparlamentet påminner om den viktiga roll som en levande och motståndskraftig europeisk demokrati som bygger på en mångfald av politiska partier på unionsnivå spelar. Parlamentet betonar därför att lika villkor måste säkerställas och att efterlevnaden måste kontrolleras med full respekt för processuella rättigheter. Parlamentet välkomnar i detta avseende myndighetens viktiga arbete som oberoende, och att i nära samarbete med parlamentet säkerställa europeiska politiska partiers och stiftelsers efterlevnad av den rättsliga ramen, skapa transparens för medborgarna och bidra till integriteten i valet till Europaparlamentet. </w:t>
      </w:r>
    </w:p>
    <w:p w14:paraId="756B19EB" w14:textId="5735AC5C"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179</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de anslag som 2022 förts upp under budgetpunkt 402 användes på följande sätt</w:t>
      </w:r>
      <w:r w:rsidR="00370F0F" w:rsidRPr="00BE4A67">
        <w:rPr>
          <w:rStyle w:val="FootnoteReference"/>
          <w:szCs w:val="24"/>
        </w:rPr>
        <w:footnoteReference w:id="15"/>
      </w:r>
      <w:r w:rsidR="00370F0F" w:rsidRPr="00BE4A67">
        <w:rPr>
          <w14:textOutline w14:w="0" w14:cap="flat" w14:cmpd="sng" w14:algn="ctr">
            <w14:noFill/>
            <w14:prstDash w14:val="solid"/>
            <w14:bevel/>
          </w14:textOutline>
        </w:rPr>
        <w:t>:</w:t>
      </w:r>
    </w:p>
    <w:p w14:paraId="28CE4C5A" w14:textId="77777777" w:rsidR="00370F0F" w:rsidRPr="00BE4A67" w:rsidRDefault="00370F0F" w:rsidP="00370F0F">
      <w:pPr>
        <w:widowControl/>
        <w:rPr>
          <w:noProof/>
        </w:rPr>
      </w:pPr>
      <w:r w:rsidRPr="00BE4A67">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370F0F" w:rsidRPr="00BE4A67" w14:paraId="4D227FAA" w14:textId="77777777" w:rsidTr="009B1F1D">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D53D577"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lastRenderedPageBreak/>
              <w:t>Parti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430F59E"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Förkortning</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54BA1DD"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Egna medel</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18D719B"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EP:s slutliga bidrag (</w:t>
            </w:r>
            <w:r w:rsidRPr="00BE4A67">
              <w:rPr>
                <w:rStyle w:val="FootnoteReference"/>
                <w:sz w:val="20"/>
              </w:rPr>
              <w:footnoteReference w:id="16"/>
            </w:r>
            <w:r w:rsidRPr="00BE4A67">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A4C0460"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Totala intäkter</w:t>
            </w:r>
            <w:r w:rsidRPr="00BE4A67">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150B224"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Bidrag från EP i % av stöd-berättigande utgifter (högst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4FCED732" w14:textId="77777777" w:rsidR="00370F0F" w:rsidRPr="00BE4A67" w:rsidRDefault="00370F0F" w:rsidP="009B1F1D">
            <w:pPr>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Inkomst-överskott (överföring till reserver eller förlust)</w:t>
            </w:r>
          </w:p>
        </w:tc>
      </w:tr>
      <w:tr w:rsidR="00370F0F" w:rsidRPr="00BE4A67" w14:paraId="380B7B68"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F88892E"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folkpartiet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4037D2E"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E634E3"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87C6F3"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E833FD"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1F5756"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96663B3"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448 128</w:t>
            </w:r>
          </w:p>
        </w:tc>
      </w:tr>
      <w:tr w:rsidR="00370F0F" w:rsidRPr="00BE4A67" w14:paraId="75D96836"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B8A1328"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socialdemokraters 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B0DBF38"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6DB172"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3D1DAF"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A8900D"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AB1586"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2655E24"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675 194</w:t>
            </w:r>
          </w:p>
        </w:tc>
      </w:tr>
      <w:tr w:rsidR="00370F0F" w:rsidRPr="00BE4A67" w14:paraId="29BD83A2"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07FD75B"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Alliansen liberaler och demokrater för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3757BBA"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ELF</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1854DB"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7C1791"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A116DA"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F688BB"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AE8381D"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560 139</w:t>
            </w:r>
          </w:p>
        </w:tc>
      </w:tr>
      <w:tr w:rsidR="00370F0F" w:rsidRPr="00BE4A67" w14:paraId="45B700FF"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66FA22F"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gröna partiet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3ADD816"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47BD3A"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332FDE"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C00A4D"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57FDB8"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0AD5C33"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846 993</w:t>
            </w:r>
          </w:p>
        </w:tc>
      </w:tr>
      <w:tr w:rsidR="00370F0F" w:rsidRPr="00BE4A67" w14:paraId="07C0DDD1"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8AE02D7"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vänsterpartiet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6AFC187"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A0468F"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2BFD914"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F7BB4B"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D8FCB8"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563FBD5"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40 396</w:t>
            </w:r>
          </w:p>
        </w:tc>
      </w:tr>
      <w:tr w:rsidR="00370F0F" w:rsidRPr="00BE4A67" w14:paraId="576B362B"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D0A60B0"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demokratiska partiet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22BF788"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C41411"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42AD16"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F707D2"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F3F387"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0D285FD"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127 134</w:t>
            </w:r>
          </w:p>
        </w:tc>
      </w:tr>
      <w:tr w:rsidR="00370F0F" w:rsidRPr="00BE4A67" w14:paraId="7C2B3813"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709E1D1"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fria alliansen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128F2BB"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 xml:space="preserve">EFA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F4C7AC"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9D063A"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04928B"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76D688"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E10F8F2"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100 217</w:t>
            </w:r>
          </w:p>
        </w:tc>
      </w:tr>
      <w:tr w:rsidR="00370F0F" w:rsidRPr="00BE4A67" w14:paraId="77FFFEB0"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1131AC7"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konservativa och reformister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4F71117"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57A687"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9C5698"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B2DEFB"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213441"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7DE58C4"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w:t>
            </w:r>
          </w:p>
        </w:tc>
      </w:tr>
      <w:tr w:rsidR="00370F0F" w:rsidRPr="00BE4A67" w14:paraId="73AC2C82"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2DA9B93"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Europeiska kristna politiska rörelsen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78F3723"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43004D"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6F417E"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306F77"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310943"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13D31CC"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 </w:t>
            </w:r>
          </w:p>
        </w:tc>
      </w:tr>
      <w:tr w:rsidR="00370F0F" w:rsidRPr="00BE4A67" w14:paraId="6AA59ACF" w14:textId="77777777" w:rsidTr="009B1F1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F34696B"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14:textOutline w14:w="0" w14:cap="flat" w14:cmpd="sng" w14:algn="ctr">
                  <w14:noFill/>
                  <w14:prstDash w14:val="solid"/>
                  <w14:bevel/>
                </w14:textOutline>
              </w:rPr>
              <w:t>Identitet och demokrati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8BD00D2"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18"/>
                <w14:textOutline w14:w="0" w14:cap="flat" w14:cmpd="sng" w14:algn="ctr">
                  <w14:noFill/>
                  <w14:prstDash w14:val="solid"/>
                  <w14:bevel/>
                </w14:textOutline>
              </w:rPr>
              <w:t>ID-partiet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D52EB0"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6CEAD4"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79BF80"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B46E56"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4F9B51B"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sz w:val="20"/>
              </w:rPr>
              <w:t xml:space="preserve"> – </w:t>
            </w:r>
          </w:p>
        </w:tc>
      </w:tr>
      <w:tr w:rsidR="00370F0F" w:rsidRPr="00BE4A67" w14:paraId="027A1BF9" w14:textId="77777777" w:rsidTr="009B1F1D">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6E30D468" w14:textId="77777777" w:rsidR="00370F0F" w:rsidRPr="00BE4A67" w:rsidRDefault="00370F0F" w:rsidP="009B1F1D">
            <w:pPr>
              <w:widowControl/>
              <w:jc w:val="right"/>
              <w:rPr>
                <w:sz w:val="20"/>
                <w14:textOutline w14:w="0" w14:cap="flat" w14:cmpd="sng" w14:algn="ctr">
                  <w14:noFill/>
                  <w14:prstDash w14:val="solid"/>
                  <w14:bevel/>
                </w14:textOutline>
              </w:rPr>
            </w:pPr>
            <w:r w:rsidRPr="00BE4A67">
              <w:rPr>
                <w:b/>
                <w:sz w:val="20"/>
                <w14:textOutline w14:w="0" w14:cap="flat" w14:cmpd="sng" w14:algn="ctr">
                  <w14:noFill/>
                  <w14:prstDash w14:val="solid"/>
                  <w14:bevel/>
                </w14:textOutline>
              </w:rPr>
              <w:t>TOTALT</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6251987C" w14:textId="77777777" w:rsidR="00370F0F" w:rsidRPr="00BE4A67" w:rsidRDefault="00370F0F" w:rsidP="009B1F1D">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6F53ACE1" w14:textId="77777777" w:rsidR="00370F0F" w:rsidRPr="00BE4A67" w:rsidRDefault="00370F0F" w:rsidP="009B1F1D">
            <w:pPr>
              <w:widowControl/>
              <w:jc w:val="right"/>
              <w:rPr>
                <w:b/>
                <w:bCs/>
                <w:sz w:val="20"/>
              </w:rPr>
            </w:pPr>
            <w:r w:rsidRPr="00BE4A67">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781C19CA" w14:textId="77777777" w:rsidR="00370F0F" w:rsidRPr="00BE4A67" w:rsidRDefault="00370F0F" w:rsidP="009B1F1D">
            <w:pPr>
              <w:widowControl/>
              <w:jc w:val="right"/>
              <w:rPr>
                <w:b/>
                <w:bCs/>
                <w:sz w:val="20"/>
              </w:rPr>
            </w:pPr>
            <w:r w:rsidRPr="00BE4A67">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9164381" w14:textId="77777777" w:rsidR="00370F0F" w:rsidRPr="00BE4A67" w:rsidRDefault="00370F0F" w:rsidP="009B1F1D">
            <w:pPr>
              <w:widowControl/>
              <w:jc w:val="right"/>
              <w:rPr>
                <w:b/>
                <w:bCs/>
                <w:sz w:val="20"/>
              </w:rPr>
            </w:pPr>
            <w:r w:rsidRPr="00BE4A67">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1628A613" w14:textId="77777777" w:rsidR="00370F0F" w:rsidRPr="00BE4A67" w:rsidRDefault="00370F0F" w:rsidP="009B1F1D">
            <w:pPr>
              <w:widowControl/>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3077E432" w14:textId="77777777" w:rsidR="00370F0F" w:rsidRPr="00BE4A67" w:rsidRDefault="00370F0F" w:rsidP="009B1F1D">
            <w:pPr>
              <w:widowControl/>
              <w:jc w:val="right"/>
              <w:rPr>
                <w:b/>
                <w:sz w:val="20"/>
              </w:rPr>
            </w:pPr>
            <w:r w:rsidRPr="00BE4A67">
              <w:rPr>
                <w:b/>
                <w:sz w:val="20"/>
              </w:rPr>
              <w:t>2 798 201</w:t>
            </w:r>
          </w:p>
        </w:tc>
      </w:tr>
    </w:tbl>
    <w:p w14:paraId="218FCFB7" w14:textId="77777777" w:rsidR="00370F0F" w:rsidRPr="00BE4A67" w:rsidRDefault="00370F0F" w:rsidP="00370F0F">
      <w:pPr>
        <w:widowControl/>
        <w:rPr>
          <w:noProof/>
        </w:rPr>
      </w:pPr>
    </w:p>
    <w:p w14:paraId="25205210" w14:textId="41223909" w:rsidR="00370F0F" w:rsidRPr="00BE4A67" w:rsidRDefault="00F23FC1" w:rsidP="00370F0F">
      <w:pPr>
        <w:widowControl/>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180</w:t>
      </w:r>
      <w:r w:rsidR="00370F0F" w:rsidRPr="00BE4A67">
        <w:rPr>
          <w14:textOutline w14:w="0" w14:cap="flat" w14:cmpd="sng" w14:algn="ctr">
            <w14:noFill/>
            <w14:prstDash w14:val="solid"/>
            <w14:bevel/>
          </w14:textOutline>
        </w:rPr>
        <w:t>.</w:t>
      </w:r>
      <w:r w:rsidR="00370F0F" w:rsidRPr="00BE4A67">
        <w:rPr>
          <w14:textOutline w14:w="0" w14:cap="flat" w14:cmpd="sng" w14:algn="ctr">
            <w14:noFill/>
            <w14:prstDash w14:val="solid"/>
            <w14:bevel/>
          </w14:textOutline>
        </w:rPr>
        <w:tab/>
        <w:t>Europaparlamentet noterar att de anslag som 2022 förts upp under budgetpunkt 403 användes på följande sätt</w:t>
      </w:r>
      <w:r w:rsidR="00370F0F" w:rsidRPr="00BE4A67">
        <w:rPr>
          <w:rStyle w:val="FootnoteReference"/>
          <w:szCs w:val="24"/>
        </w:rPr>
        <w:footnoteReference w:id="17"/>
      </w:r>
      <w:r w:rsidR="00370F0F" w:rsidRPr="00BE4A67">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370F0F" w:rsidRPr="00BE4A67" w14:paraId="5E8C2C67" w14:textId="77777777" w:rsidTr="009B1F1D">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3F8EB3B"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lastRenderedPageBreak/>
              <w:t>Stiftelse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F6511D8"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Förkortning</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36A7C63"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Ansluten till parti</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732B189"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Egna medel</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ED1D13A"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Slutligt bidrag från EP</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2546C98"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Totala intäkter</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BD6EAD9"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Bidrag från EP (% av stöd-berättigande utgifter (högst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6EFC4266" w14:textId="77777777" w:rsidR="00370F0F" w:rsidRPr="00BE4A67" w:rsidRDefault="00370F0F" w:rsidP="009B1F1D">
            <w:pPr>
              <w:keepNext/>
              <w:keepLines/>
              <w:widowControl/>
              <w:jc w:val="center"/>
              <w:rPr>
                <w:szCs w:val="24"/>
                <w14:textOutline w14:w="0" w14:cap="flat" w14:cmpd="sng" w14:algn="ctr">
                  <w14:noFill/>
                  <w14:prstDash w14:val="solid"/>
                  <w14:bevel/>
                </w14:textOutline>
              </w:rPr>
            </w:pPr>
            <w:r w:rsidRPr="00BE4A67">
              <w:rPr>
                <w:sz w:val="20"/>
                <w14:textOutline w14:w="0" w14:cap="flat" w14:cmpd="sng" w14:algn="ctr">
                  <w14:noFill/>
                  <w14:prstDash w14:val="solid"/>
                  <w14:bevel/>
                </w14:textOutline>
              </w:rPr>
              <w:t>Inkomst-överskott (överföring till reserver eller förlust)</w:t>
            </w:r>
          </w:p>
        </w:tc>
      </w:tr>
      <w:tr w:rsidR="00370F0F" w:rsidRPr="00BE4A67" w14:paraId="1FBB8A80"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90543E" w14:textId="77777777" w:rsidR="00370F0F" w:rsidRPr="00BE4A67" w:rsidRDefault="00370F0F" w:rsidP="009B1F1D">
            <w:pPr>
              <w:keepNext/>
              <w:keepLines/>
              <w:widowControl/>
              <w:jc w:val="center"/>
              <w:rPr>
                <w:sz w:val="20"/>
                <w14:textOutline w14:w="0" w14:cap="flat" w14:cmpd="sng" w14:algn="ctr">
                  <w14:noFill/>
                  <w14:prstDash w14:val="solid"/>
                  <w14:bevel/>
                </w14:textOutline>
              </w:rPr>
            </w:pPr>
            <w:r w:rsidRPr="00BE4A67">
              <w:rPr>
                <w:sz w:val="20"/>
              </w:rPr>
              <w:t>Wilfried Martens-centrumet för europeiska studier</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FCACC9" w14:textId="77777777" w:rsidR="00370F0F" w:rsidRPr="00BE4A67" w:rsidRDefault="00370F0F" w:rsidP="009B1F1D">
            <w:pPr>
              <w:keepNext/>
              <w:keepLines/>
              <w:widowControl/>
              <w:jc w:val="center"/>
              <w:rPr>
                <w:sz w:val="20"/>
              </w:rPr>
            </w:pPr>
            <w:r w:rsidRPr="00BE4A67">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7D61D4" w14:textId="77777777" w:rsidR="00370F0F" w:rsidRPr="00BE4A67" w:rsidRDefault="00370F0F" w:rsidP="009B1F1D">
            <w:pPr>
              <w:keepNext/>
              <w:keepLines/>
              <w:widowControl/>
              <w:jc w:val="center"/>
              <w:rPr>
                <w:sz w:val="20"/>
              </w:rPr>
            </w:pPr>
            <w:r w:rsidRPr="00BE4A67">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1ECE72" w14:textId="77777777" w:rsidR="00370F0F" w:rsidRPr="00BE4A67" w:rsidRDefault="00370F0F" w:rsidP="009B1F1D">
            <w:pPr>
              <w:keepNext/>
              <w:keepLines/>
              <w:widowControl/>
              <w:jc w:val="right"/>
              <w:rPr>
                <w:sz w:val="20"/>
              </w:rPr>
            </w:pPr>
            <w:r w:rsidRPr="00BE4A67">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E2A962" w14:textId="77777777" w:rsidR="00370F0F" w:rsidRPr="00BE4A67" w:rsidRDefault="00370F0F" w:rsidP="009B1F1D">
            <w:pPr>
              <w:keepNext/>
              <w:keepLines/>
              <w:widowControl/>
              <w:jc w:val="right"/>
              <w:rPr>
                <w:sz w:val="20"/>
              </w:rPr>
            </w:pPr>
            <w:r w:rsidRPr="00BE4A67">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88D065" w14:textId="77777777" w:rsidR="00370F0F" w:rsidRPr="00BE4A67" w:rsidRDefault="00370F0F" w:rsidP="009B1F1D">
            <w:pPr>
              <w:keepNext/>
              <w:keepLines/>
              <w:widowControl/>
              <w:jc w:val="right"/>
              <w:rPr>
                <w:sz w:val="20"/>
              </w:rPr>
            </w:pPr>
            <w:r w:rsidRPr="00BE4A67">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AF8A96" w14:textId="77777777" w:rsidR="00370F0F" w:rsidRPr="00BE4A67" w:rsidRDefault="00370F0F" w:rsidP="009B1F1D">
            <w:pPr>
              <w:keepNext/>
              <w:keepLines/>
              <w:widowControl/>
              <w:jc w:val="right"/>
              <w:rPr>
                <w:sz w:val="20"/>
              </w:rPr>
            </w:pPr>
            <w:r w:rsidRPr="00BE4A67">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C645271" w14:textId="77777777" w:rsidR="00370F0F" w:rsidRPr="00BE4A67" w:rsidRDefault="00370F0F" w:rsidP="009B1F1D">
            <w:pPr>
              <w:keepNext/>
              <w:keepLines/>
              <w:widowControl/>
              <w:jc w:val="right"/>
              <w:rPr>
                <w:sz w:val="20"/>
              </w:rPr>
            </w:pPr>
            <w:r w:rsidRPr="00BE4A67">
              <w:rPr>
                <w:sz w:val="20"/>
              </w:rPr>
              <w:t>235 689</w:t>
            </w:r>
          </w:p>
        </w:tc>
      </w:tr>
      <w:tr w:rsidR="00370F0F" w:rsidRPr="00BE4A67" w14:paraId="72308CD7" w14:textId="77777777" w:rsidTr="009B1F1D">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78BD14FB"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rPr>
              <w:t>Stiftelsen för progressiva Europastudier</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DAE224" w14:textId="77777777" w:rsidR="00370F0F" w:rsidRPr="00BE4A67" w:rsidRDefault="00370F0F" w:rsidP="009B1F1D">
            <w:pPr>
              <w:widowControl/>
              <w:jc w:val="center"/>
              <w:rPr>
                <w:sz w:val="20"/>
              </w:rPr>
            </w:pPr>
            <w:r w:rsidRPr="00BE4A67">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22236B" w14:textId="77777777" w:rsidR="00370F0F" w:rsidRPr="00BE4A67" w:rsidRDefault="00370F0F" w:rsidP="009B1F1D">
            <w:pPr>
              <w:widowControl/>
              <w:jc w:val="center"/>
              <w:rPr>
                <w:sz w:val="20"/>
              </w:rPr>
            </w:pPr>
            <w:r w:rsidRPr="00BE4A67">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B59D62" w14:textId="77777777" w:rsidR="00370F0F" w:rsidRPr="00BE4A67" w:rsidRDefault="00370F0F" w:rsidP="009B1F1D">
            <w:pPr>
              <w:widowControl/>
              <w:jc w:val="right"/>
              <w:rPr>
                <w:sz w:val="20"/>
              </w:rPr>
            </w:pPr>
            <w:r w:rsidRPr="00BE4A67">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638673" w14:textId="77777777" w:rsidR="00370F0F" w:rsidRPr="00BE4A67" w:rsidRDefault="00370F0F" w:rsidP="009B1F1D">
            <w:pPr>
              <w:widowControl/>
              <w:jc w:val="right"/>
              <w:rPr>
                <w:sz w:val="20"/>
              </w:rPr>
            </w:pPr>
            <w:r w:rsidRPr="00BE4A67">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29DF6A" w14:textId="77777777" w:rsidR="00370F0F" w:rsidRPr="00BE4A67" w:rsidRDefault="00370F0F" w:rsidP="009B1F1D">
            <w:pPr>
              <w:widowControl/>
              <w:jc w:val="right"/>
              <w:rPr>
                <w:sz w:val="20"/>
              </w:rPr>
            </w:pPr>
            <w:r w:rsidRPr="00BE4A67">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6CC63D" w14:textId="77777777" w:rsidR="00370F0F" w:rsidRPr="00BE4A67" w:rsidRDefault="00370F0F" w:rsidP="009B1F1D">
            <w:pPr>
              <w:widowControl/>
              <w:jc w:val="right"/>
              <w:rPr>
                <w:sz w:val="20"/>
              </w:rPr>
            </w:pPr>
            <w:r w:rsidRPr="00BE4A67">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FDFF1A" w14:textId="77777777" w:rsidR="00370F0F" w:rsidRPr="00BE4A67" w:rsidRDefault="00370F0F" w:rsidP="009B1F1D">
            <w:pPr>
              <w:widowControl/>
              <w:jc w:val="right"/>
              <w:rPr>
                <w:sz w:val="20"/>
              </w:rPr>
            </w:pPr>
            <w:r w:rsidRPr="00BE4A67">
              <w:rPr>
                <w:sz w:val="20"/>
              </w:rPr>
              <w:t>288 687</w:t>
            </w:r>
          </w:p>
        </w:tc>
      </w:tr>
      <w:tr w:rsidR="00370F0F" w:rsidRPr="00BE4A67" w14:paraId="4E16EB13"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9812CF"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rPr>
              <w:t>Europeiskt liberalt forum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166F09" w14:textId="77777777" w:rsidR="00370F0F" w:rsidRPr="00BE4A67" w:rsidRDefault="00370F0F" w:rsidP="009B1F1D">
            <w:pPr>
              <w:widowControl/>
              <w:jc w:val="center"/>
              <w:rPr>
                <w:sz w:val="20"/>
              </w:rPr>
            </w:pPr>
            <w:r w:rsidRPr="00BE4A67">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AE6BF6" w14:textId="77777777" w:rsidR="00370F0F" w:rsidRPr="00BE4A67" w:rsidRDefault="00370F0F" w:rsidP="009B1F1D">
            <w:pPr>
              <w:widowControl/>
              <w:jc w:val="center"/>
              <w:rPr>
                <w:sz w:val="20"/>
              </w:rPr>
            </w:pPr>
            <w:r w:rsidRPr="00BE4A67">
              <w:rPr>
                <w:sz w:val="20"/>
              </w:rPr>
              <w:t>ELF</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707EFB" w14:textId="77777777" w:rsidR="00370F0F" w:rsidRPr="00BE4A67" w:rsidRDefault="00370F0F" w:rsidP="009B1F1D">
            <w:pPr>
              <w:widowControl/>
              <w:jc w:val="right"/>
              <w:rPr>
                <w:sz w:val="20"/>
              </w:rPr>
            </w:pPr>
            <w:r w:rsidRPr="00BE4A67">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C42905" w14:textId="77777777" w:rsidR="00370F0F" w:rsidRPr="00BE4A67" w:rsidRDefault="00370F0F" w:rsidP="009B1F1D">
            <w:pPr>
              <w:widowControl/>
              <w:jc w:val="right"/>
              <w:rPr>
                <w:sz w:val="20"/>
              </w:rPr>
            </w:pPr>
            <w:r w:rsidRPr="00BE4A67">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666362" w14:textId="77777777" w:rsidR="00370F0F" w:rsidRPr="00BE4A67" w:rsidRDefault="00370F0F" w:rsidP="009B1F1D">
            <w:pPr>
              <w:widowControl/>
              <w:jc w:val="right"/>
              <w:rPr>
                <w:sz w:val="20"/>
              </w:rPr>
            </w:pPr>
            <w:r w:rsidRPr="00BE4A67">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FF73C7" w14:textId="77777777" w:rsidR="00370F0F" w:rsidRPr="00BE4A67" w:rsidRDefault="00370F0F" w:rsidP="009B1F1D">
            <w:pPr>
              <w:widowControl/>
              <w:jc w:val="right"/>
              <w:rPr>
                <w:sz w:val="20"/>
              </w:rPr>
            </w:pPr>
            <w:r w:rsidRPr="00BE4A67">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8097694" w14:textId="77777777" w:rsidR="00370F0F" w:rsidRPr="00BE4A67" w:rsidRDefault="00370F0F" w:rsidP="009B1F1D">
            <w:pPr>
              <w:widowControl/>
              <w:jc w:val="right"/>
              <w:rPr>
                <w:sz w:val="20"/>
              </w:rPr>
            </w:pPr>
            <w:r w:rsidRPr="00BE4A67">
              <w:rPr>
                <w:sz w:val="20"/>
              </w:rPr>
              <w:t xml:space="preserve"> – </w:t>
            </w:r>
          </w:p>
        </w:tc>
      </w:tr>
      <w:tr w:rsidR="00370F0F" w:rsidRPr="00BE4A67" w14:paraId="3636C811"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45138A"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rPr>
              <w:t>Gröna Europastiftelsen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0B7497" w14:textId="77777777" w:rsidR="00370F0F" w:rsidRPr="00BE4A67" w:rsidRDefault="00370F0F" w:rsidP="009B1F1D">
            <w:pPr>
              <w:widowControl/>
              <w:jc w:val="center"/>
              <w:rPr>
                <w:sz w:val="20"/>
              </w:rPr>
            </w:pPr>
            <w:r w:rsidRPr="00BE4A67">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84AE6E" w14:textId="77777777" w:rsidR="00370F0F" w:rsidRPr="00BE4A67" w:rsidRDefault="00370F0F" w:rsidP="009B1F1D">
            <w:pPr>
              <w:widowControl/>
              <w:jc w:val="center"/>
              <w:rPr>
                <w:sz w:val="20"/>
              </w:rPr>
            </w:pPr>
            <w:r w:rsidRPr="00BE4A67">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24892E" w14:textId="77777777" w:rsidR="00370F0F" w:rsidRPr="00BE4A67" w:rsidRDefault="00370F0F" w:rsidP="009B1F1D">
            <w:pPr>
              <w:widowControl/>
              <w:jc w:val="right"/>
              <w:rPr>
                <w:sz w:val="20"/>
              </w:rPr>
            </w:pPr>
            <w:r w:rsidRPr="00BE4A67">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AF6DAD" w14:textId="77777777" w:rsidR="00370F0F" w:rsidRPr="00BE4A67" w:rsidRDefault="00370F0F" w:rsidP="009B1F1D">
            <w:pPr>
              <w:widowControl/>
              <w:jc w:val="right"/>
              <w:rPr>
                <w:sz w:val="20"/>
              </w:rPr>
            </w:pPr>
            <w:r w:rsidRPr="00BE4A67">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0F2FA8" w14:textId="77777777" w:rsidR="00370F0F" w:rsidRPr="00BE4A67" w:rsidRDefault="00370F0F" w:rsidP="009B1F1D">
            <w:pPr>
              <w:widowControl/>
              <w:jc w:val="right"/>
              <w:rPr>
                <w:sz w:val="20"/>
              </w:rPr>
            </w:pPr>
            <w:r w:rsidRPr="00BE4A67">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A42782" w14:textId="77777777" w:rsidR="00370F0F" w:rsidRPr="00BE4A67" w:rsidRDefault="00370F0F" w:rsidP="009B1F1D">
            <w:pPr>
              <w:widowControl/>
              <w:jc w:val="right"/>
              <w:rPr>
                <w:sz w:val="20"/>
              </w:rPr>
            </w:pPr>
            <w:r w:rsidRPr="00BE4A6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68C7A25" w14:textId="77777777" w:rsidR="00370F0F" w:rsidRPr="00BE4A67" w:rsidRDefault="00370F0F" w:rsidP="009B1F1D">
            <w:pPr>
              <w:widowControl/>
              <w:jc w:val="right"/>
              <w:rPr>
                <w:sz w:val="20"/>
              </w:rPr>
            </w:pPr>
            <w:r w:rsidRPr="00BE4A67">
              <w:rPr>
                <w:sz w:val="20"/>
              </w:rPr>
              <w:t xml:space="preserve"> – </w:t>
            </w:r>
          </w:p>
        </w:tc>
      </w:tr>
      <w:tr w:rsidR="00370F0F" w:rsidRPr="00BE4A67" w14:paraId="1444A108"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A5F9DB"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rPr>
              <w:t>Ombilda 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6F43E9" w14:textId="77777777" w:rsidR="00370F0F" w:rsidRPr="00BE4A67" w:rsidRDefault="00370F0F" w:rsidP="009B1F1D">
            <w:pPr>
              <w:widowControl/>
              <w:jc w:val="center"/>
              <w:rPr>
                <w:sz w:val="20"/>
              </w:rPr>
            </w:pPr>
            <w:r w:rsidRPr="00BE4A67">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8D3D7F" w14:textId="77777777" w:rsidR="00370F0F" w:rsidRPr="00BE4A67" w:rsidRDefault="00370F0F" w:rsidP="009B1F1D">
            <w:pPr>
              <w:widowControl/>
              <w:jc w:val="center"/>
              <w:rPr>
                <w:sz w:val="20"/>
              </w:rPr>
            </w:pPr>
            <w:r w:rsidRPr="00BE4A67">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7D3B15" w14:textId="77777777" w:rsidR="00370F0F" w:rsidRPr="00BE4A67" w:rsidRDefault="00370F0F" w:rsidP="009B1F1D">
            <w:pPr>
              <w:widowControl/>
              <w:jc w:val="right"/>
              <w:rPr>
                <w:sz w:val="20"/>
              </w:rPr>
            </w:pPr>
            <w:r w:rsidRPr="00BE4A67">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F50578A" w14:textId="77777777" w:rsidR="00370F0F" w:rsidRPr="00BE4A67" w:rsidRDefault="00370F0F" w:rsidP="009B1F1D">
            <w:pPr>
              <w:widowControl/>
              <w:jc w:val="right"/>
              <w:rPr>
                <w:sz w:val="20"/>
              </w:rPr>
            </w:pPr>
            <w:r w:rsidRPr="00BE4A67">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3B2AD8" w14:textId="77777777" w:rsidR="00370F0F" w:rsidRPr="00BE4A67" w:rsidRDefault="00370F0F" w:rsidP="009B1F1D">
            <w:pPr>
              <w:widowControl/>
              <w:jc w:val="right"/>
              <w:rPr>
                <w:sz w:val="20"/>
              </w:rPr>
            </w:pPr>
            <w:r w:rsidRPr="00BE4A67">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E75A05" w14:textId="77777777" w:rsidR="00370F0F" w:rsidRPr="00BE4A67" w:rsidRDefault="00370F0F" w:rsidP="009B1F1D">
            <w:pPr>
              <w:widowControl/>
              <w:jc w:val="right"/>
              <w:rPr>
                <w:sz w:val="20"/>
              </w:rPr>
            </w:pPr>
            <w:r w:rsidRPr="00BE4A6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675121C" w14:textId="77777777" w:rsidR="00370F0F" w:rsidRPr="00BE4A67" w:rsidRDefault="00370F0F" w:rsidP="009B1F1D">
            <w:pPr>
              <w:widowControl/>
              <w:jc w:val="right"/>
              <w:rPr>
                <w:sz w:val="20"/>
              </w:rPr>
            </w:pPr>
            <w:r w:rsidRPr="00BE4A67">
              <w:rPr>
                <w:sz w:val="20"/>
              </w:rPr>
              <w:t xml:space="preserve"> 3 696 </w:t>
            </w:r>
          </w:p>
        </w:tc>
      </w:tr>
      <w:tr w:rsidR="00370F0F" w:rsidRPr="00BE4A67" w14:paraId="12CA1D19"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E25B37" w14:textId="77777777" w:rsidR="00370F0F" w:rsidRPr="00BE4A67" w:rsidRDefault="00370F0F" w:rsidP="009B1F1D">
            <w:pPr>
              <w:widowControl/>
              <w:jc w:val="center"/>
              <w:rPr>
                <w:sz w:val="20"/>
                <w14:textOutline w14:w="0" w14:cap="flat" w14:cmpd="sng" w14:algn="ctr">
                  <w14:noFill/>
                  <w14:prstDash w14:val="solid"/>
                  <w14:bevel/>
                </w14:textOutline>
              </w:rPr>
            </w:pPr>
            <w:r w:rsidRPr="00BE4A67">
              <w:rPr>
                <w:sz w:val="20"/>
              </w:rPr>
              <w:t>Europeiska demokraters institut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D2265F" w14:textId="77777777" w:rsidR="00370F0F" w:rsidRPr="00BE4A67" w:rsidRDefault="00370F0F" w:rsidP="009B1F1D">
            <w:pPr>
              <w:widowControl/>
              <w:jc w:val="center"/>
              <w:rPr>
                <w:sz w:val="20"/>
              </w:rPr>
            </w:pPr>
            <w:r w:rsidRPr="00BE4A67">
              <w:rPr>
                <w:sz w:val="20"/>
              </w:rPr>
              <w:t>Industriutsläppsdirektivet</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616D8BC" w14:textId="77777777" w:rsidR="00370F0F" w:rsidRPr="00BE4A67" w:rsidRDefault="00370F0F" w:rsidP="009B1F1D">
            <w:pPr>
              <w:widowControl/>
              <w:jc w:val="center"/>
              <w:rPr>
                <w:sz w:val="20"/>
              </w:rPr>
            </w:pPr>
            <w:r w:rsidRPr="00BE4A67">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85966A" w14:textId="77777777" w:rsidR="00370F0F" w:rsidRPr="00BE4A67" w:rsidRDefault="00370F0F" w:rsidP="009B1F1D">
            <w:pPr>
              <w:widowControl/>
              <w:jc w:val="right"/>
              <w:rPr>
                <w:sz w:val="20"/>
              </w:rPr>
            </w:pPr>
            <w:r w:rsidRPr="00BE4A67">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E82C7C" w14:textId="77777777" w:rsidR="00370F0F" w:rsidRPr="00BE4A67" w:rsidRDefault="00370F0F" w:rsidP="009B1F1D">
            <w:pPr>
              <w:widowControl/>
              <w:jc w:val="right"/>
              <w:rPr>
                <w:sz w:val="20"/>
              </w:rPr>
            </w:pPr>
            <w:r w:rsidRPr="00BE4A67">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FF71EE" w14:textId="77777777" w:rsidR="00370F0F" w:rsidRPr="00BE4A67" w:rsidRDefault="00370F0F" w:rsidP="009B1F1D">
            <w:pPr>
              <w:widowControl/>
              <w:jc w:val="right"/>
              <w:rPr>
                <w:sz w:val="20"/>
              </w:rPr>
            </w:pPr>
            <w:r w:rsidRPr="00BE4A67">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3C28BFB" w14:textId="77777777" w:rsidR="00370F0F" w:rsidRPr="00BE4A67" w:rsidRDefault="00370F0F" w:rsidP="009B1F1D">
            <w:pPr>
              <w:widowControl/>
              <w:jc w:val="right"/>
              <w:rPr>
                <w:sz w:val="20"/>
              </w:rPr>
            </w:pPr>
            <w:r w:rsidRPr="00BE4A6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980F1D3" w14:textId="77777777" w:rsidR="00370F0F" w:rsidRPr="00BE4A67" w:rsidRDefault="00370F0F" w:rsidP="009B1F1D">
            <w:pPr>
              <w:widowControl/>
              <w:jc w:val="right"/>
              <w:rPr>
                <w:sz w:val="20"/>
              </w:rPr>
            </w:pPr>
            <w:r w:rsidRPr="00BE4A67">
              <w:rPr>
                <w:sz w:val="20"/>
              </w:rPr>
              <w:t xml:space="preserve"> – </w:t>
            </w:r>
          </w:p>
        </w:tc>
      </w:tr>
      <w:tr w:rsidR="00370F0F" w:rsidRPr="00BE4A67" w14:paraId="0D1119C1"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CAFBB5" w14:textId="77777777" w:rsidR="00370F0F" w:rsidRPr="00BE4A67" w:rsidRDefault="00370F0F" w:rsidP="009B1F1D">
            <w:pPr>
              <w:widowControl/>
              <w:jc w:val="center"/>
              <w:rPr>
                <w:sz w:val="20"/>
                <w14:textOutline w14:w="0" w14:cap="flat" w14:cmpd="sng" w14:algn="ctr">
                  <w14:noFill/>
                  <w14:prstDash w14:val="solid"/>
                  <w14:bevel/>
                </w14:textOutline>
              </w:rPr>
            </w:pPr>
            <w:proofErr w:type="spellStart"/>
            <w:r w:rsidRPr="00BE4A67">
              <w:rPr>
                <w:sz w:val="20"/>
              </w:rPr>
              <w:t>Coppieters</w:t>
            </w:r>
            <w:proofErr w:type="spellEnd"/>
            <w:r w:rsidRPr="00BE4A67">
              <w:rPr>
                <w:sz w:val="20"/>
              </w:rPr>
              <w:t xml:space="preserve"> Foundation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272E5C" w14:textId="77777777" w:rsidR="00370F0F" w:rsidRPr="00BE4A67" w:rsidRDefault="00370F0F" w:rsidP="009B1F1D">
            <w:pPr>
              <w:widowControl/>
              <w:jc w:val="center"/>
              <w:rPr>
                <w:sz w:val="20"/>
              </w:rPr>
            </w:pPr>
            <w:proofErr w:type="spellStart"/>
            <w:r w:rsidRPr="00BE4A67">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2A76F0" w14:textId="77777777" w:rsidR="00370F0F" w:rsidRPr="00BE4A67" w:rsidRDefault="00370F0F" w:rsidP="009B1F1D">
            <w:pPr>
              <w:widowControl/>
              <w:jc w:val="center"/>
              <w:rPr>
                <w:sz w:val="20"/>
              </w:rPr>
            </w:pPr>
            <w:r w:rsidRPr="00BE4A67">
              <w:rPr>
                <w:sz w:val="20"/>
              </w:rPr>
              <w:t>EFA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217DE0" w14:textId="77777777" w:rsidR="00370F0F" w:rsidRPr="00BE4A67" w:rsidRDefault="00370F0F" w:rsidP="009B1F1D">
            <w:pPr>
              <w:widowControl/>
              <w:jc w:val="right"/>
              <w:rPr>
                <w:sz w:val="20"/>
              </w:rPr>
            </w:pPr>
            <w:r w:rsidRPr="00BE4A67">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E6C60D" w14:textId="77777777" w:rsidR="00370F0F" w:rsidRPr="00BE4A67" w:rsidRDefault="00370F0F" w:rsidP="009B1F1D">
            <w:pPr>
              <w:widowControl/>
              <w:jc w:val="right"/>
              <w:rPr>
                <w:sz w:val="20"/>
              </w:rPr>
            </w:pPr>
            <w:r w:rsidRPr="00BE4A67">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48CC18" w14:textId="77777777" w:rsidR="00370F0F" w:rsidRPr="00BE4A67" w:rsidRDefault="00370F0F" w:rsidP="009B1F1D">
            <w:pPr>
              <w:widowControl/>
              <w:jc w:val="right"/>
              <w:rPr>
                <w:sz w:val="20"/>
              </w:rPr>
            </w:pPr>
            <w:r w:rsidRPr="00BE4A67">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CA99CD" w14:textId="77777777" w:rsidR="00370F0F" w:rsidRPr="00BE4A67" w:rsidRDefault="00370F0F" w:rsidP="009B1F1D">
            <w:pPr>
              <w:widowControl/>
              <w:jc w:val="right"/>
              <w:rPr>
                <w:sz w:val="20"/>
              </w:rPr>
            </w:pPr>
            <w:r w:rsidRPr="00BE4A6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F7B0238" w14:textId="77777777" w:rsidR="00370F0F" w:rsidRPr="00BE4A67" w:rsidRDefault="00370F0F" w:rsidP="009B1F1D">
            <w:pPr>
              <w:widowControl/>
              <w:jc w:val="right"/>
              <w:rPr>
                <w:sz w:val="20"/>
              </w:rPr>
            </w:pPr>
            <w:r w:rsidRPr="00BE4A67">
              <w:rPr>
                <w:sz w:val="20"/>
              </w:rPr>
              <w:t xml:space="preserve"> 23 981 </w:t>
            </w:r>
          </w:p>
        </w:tc>
      </w:tr>
      <w:tr w:rsidR="00370F0F" w:rsidRPr="00BE4A67" w14:paraId="27AE409C"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15BACE" w14:textId="77777777" w:rsidR="00370F0F" w:rsidRPr="00BE4A67" w:rsidRDefault="00370F0F" w:rsidP="009B1F1D">
            <w:pPr>
              <w:widowControl/>
              <w:jc w:val="center"/>
              <w:rPr>
                <w:sz w:val="20"/>
                <w:lang w:val="en-GB"/>
                <w14:textOutline w14:w="0" w14:cap="flat" w14:cmpd="sng" w14:algn="ctr">
                  <w14:noFill/>
                  <w14:prstDash w14:val="solid"/>
                  <w14:bevel/>
                </w14:textOutline>
              </w:rPr>
            </w:pPr>
            <w:r w:rsidRPr="00BE4A67">
              <w:rPr>
                <w:sz w:val="20"/>
                <w:lang w:val="en-GB"/>
              </w:rPr>
              <w:t>New Direction – Foundation for European Reform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AC6BCB" w14:textId="77777777" w:rsidR="00370F0F" w:rsidRPr="00BE4A67" w:rsidRDefault="00370F0F" w:rsidP="009B1F1D">
            <w:pPr>
              <w:widowControl/>
              <w:jc w:val="center"/>
              <w:rPr>
                <w:sz w:val="20"/>
              </w:rPr>
            </w:pPr>
            <w:r w:rsidRPr="00BE4A67">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1B0275B" w14:textId="77777777" w:rsidR="00370F0F" w:rsidRPr="00BE4A67" w:rsidRDefault="00370F0F" w:rsidP="009B1F1D">
            <w:pPr>
              <w:widowControl/>
              <w:jc w:val="center"/>
              <w:rPr>
                <w:sz w:val="20"/>
              </w:rPr>
            </w:pPr>
            <w:r w:rsidRPr="00BE4A67">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E2BB61" w14:textId="77777777" w:rsidR="00370F0F" w:rsidRPr="00BE4A67" w:rsidRDefault="00370F0F" w:rsidP="009B1F1D">
            <w:pPr>
              <w:widowControl/>
              <w:jc w:val="right"/>
              <w:rPr>
                <w:sz w:val="20"/>
              </w:rPr>
            </w:pPr>
            <w:r w:rsidRPr="00BE4A67">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3B529A" w14:textId="77777777" w:rsidR="00370F0F" w:rsidRPr="00BE4A67" w:rsidRDefault="00370F0F" w:rsidP="009B1F1D">
            <w:pPr>
              <w:widowControl/>
              <w:jc w:val="right"/>
              <w:rPr>
                <w:sz w:val="20"/>
              </w:rPr>
            </w:pPr>
            <w:r w:rsidRPr="00BE4A67">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DCBA09" w14:textId="77777777" w:rsidR="00370F0F" w:rsidRPr="00BE4A67" w:rsidRDefault="00370F0F" w:rsidP="009B1F1D">
            <w:pPr>
              <w:widowControl/>
              <w:jc w:val="right"/>
              <w:rPr>
                <w:sz w:val="20"/>
              </w:rPr>
            </w:pPr>
            <w:r w:rsidRPr="00BE4A67">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D9A7D0" w14:textId="77777777" w:rsidR="00370F0F" w:rsidRPr="00BE4A67" w:rsidRDefault="00370F0F" w:rsidP="009B1F1D">
            <w:pPr>
              <w:widowControl/>
              <w:jc w:val="right"/>
              <w:rPr>
                <w:sz w:val="20"/>
              </w:rPr>
            </w:pPr>
            <w:r w:rsidRPr="00BE4A67">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307A76A" w14:textId="77777777" w:rsidR="00370F0F" w:rsidRPr="00BE4A67" w:rsidRDefault="00370F0F" w:rsidP="009B1F1D">
            <w:pPr>
              <w:widowControl/>
              <w:jc w:val="right"/>
              <w:rPr>
                <w:sz w:val="20"/>
              </w:rPr>
            </w:pPr>
            <w:r w:rsidRPr="00BE4A67">
              <w:rPr>
                <w:sz w:val="20"/>
              </w:rPr>
              <w:t xml:space="preserve"> – </w:t>
            </w:r>
          </w:p>
        </w:tc>
      </w:tr>
      <w:tr w:rsidR="00370F0F" w:rsidRPr="00BE4A67" w14:paraId="7552B158"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F175DD" w14:textId="77777777" w:rsidR="00370F0F" w:rsidRPr="00BE4A67" w:rsidRDefault="00370F0F" w:rsidP="009B1F1D">
            <w:pPr>
              <w:widowControl/>
              <w:jc w:val="center"/>
              <w:rPr>
                <w:sz w:val="20"/>
                <w14:textOutline w14:w="0" w14:cap="flat" w14:cmpd="sng" w14:algn="ctr">
                  <w14:noFill/>
                  <w14:prstDash w14:val="solid"/>
                  <w14:bevel/>
                </w14:textOutline>
              </w:rPr>
            </w:pPr>
            <w:proofErr w:type="spellStart"/>
            <w:r w:rsidRPr="00BE4A67">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438D47" w14:textId="77777777" w:rsidR="00370F0F" w:rsidRPr="00BE4A67" w:rsidRDefault="00370F0F" w:rsidP="009B1F1D">
            <w:pPr>
              <w:widowControl/>
              <w:jc w:val="center"/>
              <w:rPr>
                <w:sz w:val="20"/>
              </w:rPr>
            </w:pPr>
            <w:r w:rsidRPr="00BE4A67">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8FCF83" w14:textId="77777777" w:rsidR="00370F0F" w:rsidRPr="00BE4A67" w:rsidRDefault="00370F0F" w:rsidP="009B1F1D">
            <w:pPr>
              <w:widowControl/>
              <w:jc w:val="center"/>
              <w:rPr>
                <w:sz w:val="20"/>
              </w:rPr>
            </w:pPr>
            <w:r w:rsidRPr="00BE4A67">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188B96" w14:textId="77777777" w:rsidR="00370F0F" w:rsidRPr="00BE4A67" w:rsidRDefault="00370F0F" w:rsidP="009B1F1D">
            <w:pPr>
              <w:widowControl/>
              <w:jc w:val="right"/>
              <w:rPr>
                <w:sz w:val="20"/>
              </w:rPr>
            </w:pPr>
            <w:r w:rsidRPr="00BE4A67">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AFDFC5" w14:textId="77777777" w:rsidR="00370F0F" w:rsidRPr="00BE4A67" w:rsidRDefault="00370F0F" w:rsidP="009B1F1D">
            <w:pPr>
              <w:widowControl/>
              <w:jc w:val="right"/>
              <w:rPr>
                <w:sz w:val="20"/>
              </w:rPr>
            </w:pPr>
            <w:r w:rsidRPr="00BE4A67">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286015" w14:textId="77777777" w:rsidR="00370F0F" w:rsidRPr="00BE4A67" w:rsidRDefault="00370F0F" w:rsidP="009B1F1D">
            <w:pPr>
              <w:widowControl/>
              <w:jc w:val="right"/>
              <w:rPr>
                <w:sz w:val="20"/>
              </w:rPr>
            </w:pPr>
            <w:r w:rsidRPr="00BE4A67">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FAE576" w14:textId="77777777" w:rsidR="00370F0F" w:rsidRPr="00BE4A67" w:rsidRDefault="00370F0F" w:rsidP="009B1F1D">
            <w:pPr>
              <w:widowControl/>
              <w:jc w:val="right"/>
              <w:rPr>
                <w:sz w:val="20"/>
              </w:rPr>
            </w:pPr>
            <w:r w:rsidRPr="00BE4A67">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B41C5EC" w14:textId="77777777" w:rsidR="00370F0F" w:rsidRPr="00BE4A67" w:rsidRDefault="00370F0F" w:rsidP="009B1F1D">
            <w:pPr>
              <w:widowControl/>
              <w:jc w:val="right"/>
              <w:rPr>
                <w:sz w:val="20"/>
              </w:rPr>
            </w:pPr>
            <w:r w:rsidRPr="00BE4A67">
              <w:rPr>
                <w:sz w:val="20"/>
              </w:rPr>
              <w:t xml:space="preserve"> – </w:t>
            </w:r>
          </w:p>
        </w:tc>
      </w:tr>
      <w:tr w:rsidR="00370F0F" w:rsidRPr="00BE4A67" w14:paraId="21B3E71E" w14:textId="77777777" w:rsidTr="009B1F1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6A692B" w14:textId="77777777" w:rsidR="00370F0F" w:rsidRPr="00BE4A67" w:rsidRDefault="00370F0F" w:rsidP="009B1F1D">
            <w:pPr>
              <w:widowControl/>
              <w:jc w:val="center"/>
              <w:rPr>
                <w:sz w:val="20"/>
                <w:lang w:val="fr-FR"/>
                <w14:textOutline w14:w="0" w14:cap="flat" w14:cmpd="sng" w14:algn="ctr">
                  <w14:noFill/>
                  <w14:prstDash w14:val="solid"/>
                  <w14:bevel/>
                </w14:textOutline>
              </w:rPr>
            </w:pPr>
            <w:r w:rsidRPr="00BE4A67">
              <w:rPr>
                <w:sz w:val="20"/>
                <w:lang w:val="fr-FR"/>
              </w:rPr>
              <w:t>Association pour l'</w:t>
            </w:r>
            <w:proofErr w:type="spellStart"/>
            <w:r w:rsidRPr="00BE4A67">
              <w:rPr>
                <w:sz w:val="20"/>
                <w:lang w:val="fr-FR"/>
              </w:rPr>
              <w:t>Identite</w:t>
            </w:r>
            <w:proofErr w:type="spellEnd"/>
            <w:r w:rsidRPr="00BE4A67">
              <w:rPr>
                <w:sz w:val="20"/>
                <w:lang w:val="fr-FR"/>
              </w:rPr>
              <w:t xml:space="preserve"> et </w:t>
            </w:r>
            <w:proofErr w:type="spellStart"/>
            <w:r w:rsidRPr="00BE4A67">
              <w:rPr>
                <w:sz w:val="20"/>
                <w:lang w:val="fr-FR"/>
              </w:rPr>
              <w:t>Democratie</w:t>
            </w:r>
            <w:proofErr w:type="spellEnd"/>
            <w:r w:rsidRPr="00BE4A67">
              <w:rPr>
                <w:sz w:val="20"/>
                <w:lang w:val="fr-FR"/>
              </w:rPr>
              <w:t xml:space="preserve"> Fondation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515531" w14:textId="77777777" w:rsidR="00370F0F" w:rsidRPr="00BE4A67" w:rsidRDefault="00370F0F" w:rsidP="009B1F1D">
            <w:pPr>
              <w:widowControl/>
              <w:jc w:val="center"/>
              <w:rPr>
                <w:sz w:val="20"/>
              </w:rPr>
            </w:pPr>
            <w:r w:rsidRPr="00BE4A67">
              <w:rPr>
                <w:sz w:val="20"/>
              </w:rPr>
              <w:t>ID-stiftelsen</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3DDF9E" w14:textId="77777777" w:rsidR="00370F0F" w:rsidRPr="00BE4A67" w:rsidRDefault="00370F0F" w:rsidP="009B1F1D">
            <w:pPr>
              <w:widowControl/>
              <w:jc w:val="center"/>
              <w:rPr>
                <w:sz w:val="20"/>
              </w:rPr>
            </w:pPr>
            <w:r w:rsidRPr="00BE4A67">
              <w:rPr>
                <w:sz w:val="20"/>
              </w:rPr>
              <w:t>ID-partiet</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B872D2" w14:textId="77777777" w:rsidR="00370F0F" w:rsidRPr="00BE4A67" w:rsidRDefault="00370F0F" w:rsidP="009B1F1D">
            <w:pPr>
              <w:widowControl/>
              <w:jc w:val="right"/>
              <w:rPr>
                <w:sz w:val="20"/>
              </w:rPr>
            </w:pPr>
            <w:r w:rsidRPr="00BE4A67">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19D03F" w14:textId="77777777" w:rsidR="00370F0F" w:rsidRPr="00BE4A67" w:rsidRDefault="00370F0F" w:rsidP="009B1F1D">
            <w:pPr>
              <w:widowControl/>
              <w:jc w:val="right"/>
              <w:rPr>
                <w:sz w:val="20"/>
              </w:rPr>
            </w:pPr>
            <w:r w:rsidRPr="00BE4A67">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056DCE6" w14:textId="77777777" w:rsidR="00370F0F" w:rsidRPr="00BE4A67" w:rsidRDefault="00370F0F" w:rsidP="009B1F1D">
            <w:pPr>
              <w:widowControl/>
              <w:jc w:val="right"/>
              <w:rPr>
                <w:sz w:val="20"/>
              </w:rPr>
            </w:pPr>
            <w:r w:rsidRPr="00BE4A67">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653F7E" w14:textId="77777777" w:rsidR="00370F0F" w:rsidRPr="00BE4A67" w:rsidRDefault="00370F0F" w:rsidP="009B1F1D">
            <w:pPr>
              <w:widowControl/>
              <w:jc w:val="right"/>
              <w:rPr>
                <w:sz w:val="20"/>
              </w:rPr>
            </w:pPr>
            <w:r w:rsidRPr="00BE4A67">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5A4199BE" w14:textId="77777777" w:rsidR="00370F0F" w:rsidRPr="00BE4A67" w:rsidRDefault="00370F0F" w:rsidP="009B1F1D">
            <w:pPr>
              <w:widowControl/>
              <w:jc w:val="right"/>
              <w:rPr>
                <w:sz w:val="20"/>
              </w:rPr>
            </w:pPr>
            <w:r w:rsidRPr="00BE4A67">
              <w:rPr>
                <w:sz w:val="20"/>
              </w:rPr>
              <w:t xml:space="preserve"> – </w:t>
            </w:r>
          </w:p>
        </w:tc>
      </w:tr>
      <w:tr w:rsidR="00370F0F" w:rsidRPr="00033B0C" w14:paraId="1F4AC6D6" w14:textId="77777777" w:rsidTr="009B1F1D">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0DB61C41" w14:textId="77777777" w:rsidR="00370F0F" w:rsidRPr="00BE4A67" w:rsidRDefault="00370F0F" w:rsidP="009B1F1D">
            <w:pPr>
              <w:widowControl/>
              <w:jc w:val="right"/>
              <w:rPr>
                <w:b/>
                <w:szCs w:val="24"/>
                <w14:textOutline w14:w="0" w14:cap="flat" w14:cmpd="sng" w14:algn="ctr">
                  <w14:noFill/>
                  <w14:prstDash w14:val="solid"/>
                  <w14:bevel/>
                </w14:textOutline>
              </w:rPr>
            </w:pPr>
            <w:r w:rsidRPr="00BE4A67">
              <w:rPr>
                <w:b/>
                <w:sz w:val="20"/>
                <w14:textOutline w14:w="0" w14:cap="flat" w14:cmpd="sng" w14:algn="ctr">
                  <w14:noFill/>
                  <w14:prstDash w14:val="solid"/>
                  <w14:bevel/>
                </w14:textOutline>
              </w:rPr>
              <w:t>TOTALT</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1E669F7D" w14:textId="77777777" w:rsidR="00370F0F" w:rsidRPr="00BE4A67" w:rsidRDefault="00370F0F" w:rsidP="009B1F1D">
            <w:pPr>
              <w:widowControl/>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620148E3" w14:textId="77777777" w:rsidR="00370F0F" w:rsidRPr="00BE4A67" w:rsidRDefault="00370F0F" w:rsidP="009B1F1D">
            <w:pPr>
              <w:widowControl/>
              <w:rPr>
                <w:szCs w:val="24"/>
                <w14:textOutline w14:w="0" w14:cap="flat" w14:cmpd="sng" w14:algn="ctr">
                  <w14:noFill/>
                  <w14:prstDash w14:val="solid"/>
                  <w14:bevel/>
                </w14:textOutline>
              </w:rPr>
            </w:pPr>
            <w:r w:rsidRPr="00BE4A67">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66561B6E" w14:textId="77777777" w:rsidR="00370F0F" w:rsidRPr="00BE4A67" w:rsidRDefault="00370F0F" w:rsidP="009B1F1D">
            <w:pPr>
              <w:widowControl/>
              <w:jc w:val="right"/>
              <w:rPr>
                <w:b/>
                <w:sz w:val="20"/>
              </w:rPr>
            </w:pPr>
            <w:r w:rsidRPr="00BE4A67">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0674B8B" w14:textId="77777777" w:rsidR="00370F0F" w:rsidRPr="00BE4A67" w:rsidRDefault="00370F0F" w:rsidP="009B1F1D">
            <w:pPr>
              <w:widowControl/>
              <w:jc w:val="right"/>
              <w:rPr>
                <w:b/>
                <w:sz w:val="20"/>
              </w:rPr>
            </w:pPr>
            <w:r w:rsidRPr="00BE4A67">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5C9BB48" w14:textId="77777777" w:rsidR="00370F0F" w:rsidRPr="00BE4A67" w:rsidRDefault="00370F0F" w:rsidP="009B1F1D">
            <w:pPr>
              <w:widowControl/>
              <w:jc w:val="right"/>
              <w:rPr>
                <w:b/>
                <w:sz w:val="20"/>
              </w:rPr>
            </w:pPr>
            <w:r w:rsidRPr="00BE4A67">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722A44F" w14:textId="77777777" w:rsidR="00370F0F" w:rsidRPr="00BE4A67" w:rsidRDefault="00370F0F" w:rsidP="009B1F1D">
            <w:pPr>
              <w:widowControl/>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5706146F" w14:textId="77777777" w:rsidR="00370F0F" w:rsidRPr="00033B0C" w:rsidRDefault="00370F0F" w:rsidP="009B1F1D">
            <w:pPr>
              <w:widowControl/>
              <w:jc w:val="right"/>
              <w:rPr>
                <w:b/>
                <w:sz w:val="20"/>
              </w:rPr>
            </w:pPr>
            <w:r w:rsidRPr="00BE4A67">
              <w:rPr>
                <w:b/>
                <w:sz w:val="20"/>
              </w:rPr>
              <w:t>552 053</w:t>
            </w:r>
          </w:p>
        </w:tc>
      </w:tr>
    </w:tbl>
    <w:p w14:paraId="12BAB16C" w14:textId="77777777" w:rsidR="00370F0F" w:rsidRPr="00033B0C" w:rsidRDefault="00370F0F" w:rsidP="00370F0F">
      <w:pPr>
        <w:widowControl/>
        <w:rPr>
          <w:noProof/>
        </w:rPr>
      </w:pPr>
    </w:p>
    <w:sectPr w:rsidR="00370F0F" w:rsidRPr="00033B0C" w:rsidSect="00033B0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D6FF9" w14:textId="77777777" w:rsidR="007D64FB" w:rsidRPr="00033B0C" w:rsidRDefault="007D64FB">
      <w:r w:rsidRPr="00033B0C">
        <w:separator/>
      </w:r>
    </w:p>
  </w:endnote>
  <w:endnote w:type="continuationSeparator" w:id="0">
    <w:p w14:paraId="426AB911" w14:textId="77777777" w:rsidR="007D64FB" w:rsidRPr="00033B0C" w:rsidRDefault="007D64FB">
      <w:r w:rsidRPr="00033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41FBE" w14:textId="77777777" w:rsidR="007D64FB" w:rsidRPr="00033B0C" w:rsidRDefault="007D64FB" w:rsidP="009B1F1D">
    <w:pPr>
      <w:pStyle w:val="EPFooter"/>
    </w:pPr>
    <w:r w:rsidRPr="00033B0C">
      <w:t>PE</w:t>
    </w:r>
    <w:r w:rsidRPr="00033B0C">
      <w:rPr>
        <w:rStyle w:val="HideTWBExt"/>
      </w:rPr>
      <w:t>&lt;NoPE&gt;</w:t>
    </w:r>
    <w:r w:rsidRPr="00033B0C">
      <w:t>753.634</w:t>
    </w:r>
    <w:r w:rsidRPr="00033B0C">
      <w:rPr>
        <w:rStyle w:val="HideTWBExt"/>
      </w:rPr>
      <w:t>&lt;/NoPE&gt;&lt;Version&gt;</w:t>
    </w:r>
    <w:r w:rsidRPr="00033B0C">
      <w:t>v02-00</w:t>
    </w:r>
    <w:r w:rsidRPr="00033B0C">
      <w:rPr>
        <w:rStyle w:val="HideTWBExt"/>
      </w:rPr>
      <w:t>&lt;/Version&gt;</w:t>
    </w:r>
    <w:r w:rsidRPr="00033B0C">
      <w:tab/>
    </w:r>
    <w:r w:rsidRPr="00033B0C">
      <w:fldChar w:fldCharType="begin"/>
    </w:r>
    <w:r w:rsidRPr="00033B0C">
      <w:instrText xml:space="preserve"> PAGE  \* MERGEFORMAT </w:instrText>
    </w:r>
    <w:r w:rsidRPr="00033B0C">
      <w:fldChar w:fldCharType="separate"/>
    </w:r>
    <w:r w:rsidRPr="00033B0C">
      <w:rPr>
        <w:noProof/>
      </w:rPr>
      <w:t>34</w:t>
    </w:r>
    <w:r w:rsidRPr="00033B0C">
      <w:fldChar w:fldCharType="end"/>
    </w:r>
    <w:r w:rsidRPr="00033B0C">
      <w:t>/</w:t>
    </w:r>
    <w:r w:rsidR="00D32388">
      <w:fldChar w:fldCharType="begin"/>
    </w:r>
    <w:r w:rsidR="00D32388">
      <w:instrText xml:space="preserve"> NUMPAGES  \* MERGEFORMAT </w:instrText>
    </w:r>
    <w:r w:rsidR="00D32388">
      <w:fldChar w:fldCharType="separate"/>
    </w:r>
    <w:r w:rsidRPr="00033B0C">
      <w:rPr>
        <w:noProof/>
      </w:rPr>
      <w:t>34</w:t>
    </w:r>
    <w:r w:rsidR="00D32388">
      <w:rPr>
        <w:noProof/>
      </w:rPr>
      <w:fldChar w:fldCharType="end"/>
    </w:r>
    <w:r w:rsidRPr="00033B0C">
      <w:tab/>
    </w:r>
    <w:r w:rsidRPr="00033B0C">
      <w:rPr>
        <w:rStyle w:val="HideTWBExt"/>
      </w:rPr>
      <w:t>&lt;PathFdR&gt;</w:t>
    </w:r>
    <w:r w:rsidRPr="00033B0C">
      <w:t>RR\1298085SV.docx</w:t>
    </w:r>
    <w:r w:rsidRPr="00033B0C">
      <w:rPr>
        <w:rStyle w:val="HideTWBExt"/>
      </w:rPr>
      <w:t>&lt;/PathFdR&gt;</w:t>
    </w:r>
  </w:p>
  <w:p w14:paraId="2BF298B6" w14:textId="77777777" w:rsidR="007D64FB" w:rsidRPr="00033B0C" w:rsidRDefault="007D64FB" w:rsidP="009B1F1D">
    <w:pPr>
      <w:pStyle w:val="EPFooter2"/>
    </w:pPr>
    <w:r w:rsidRPr="00033B0C">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7183C" w14:textId="77777777" w:rsidR="007D64FB" w:rsidRPr="00033B0C" w:rsidRDefault="007D64FB" w:rsidP="009B1F1D">
    <w:pPr>
      <w:pStyle w:val="EPFooter"/>
    </w:pPr>
    <w:r w:rsidRPr="00033B0C">
      <w:rPr>
        <w:rStyle w:val="HideTWBExt"/>
      </w:rPr>
      <w:t>&lt;PathFdR&gt;</w:t>
    </w:r>
    <w:r w:rsidRPr="00033B0C">
      <w:t>RR\1298085SV.docx</w:t>
    </w:r>
    <w:r w:rsidRPr="00033B0C">
      <w:rPr>
        <w:rStyle w:val="HideTWBExt"/>
      </w:rPr>
      <w:t>&lt;/PathFdR&gt;</w:t>
    </w:r>
    <w:r w:rsidRPr="00033B0C">
      <w:tab/>
    </w:r>
    <w:r w:rsidRPr="00033B0C">
      <w:tab/>
      <w:t>PE</w:t>
    </w:r>
    <w:r w:rsidRPr="00033B0C">
      <w:rPr>
        <w:rStyle w:val="HideTWBExt"/>
      </w:rPr>
      <w:t>&lt;NoPE&gt;</w:t>
    </w:r>
    <w:r w:rsidRPr="00033B0C">
      <w:t>753.634</w:t>
    </w:r>
    <w:r w:rsidRPr="00033B0C">
      <w:rPr>
        <w:rStyle w:val="HideTWBExt"/>
      </w:rPr>
      <w:t>&lt;/NoPE&gt;&lt;Version&gt;</w:t>
    </w:r>
    <w:r w:rsidRPr="00033B0C">
      <w:t>v02-00</w:t>
    </w:r>
    <w:r w:rsidRPr="00033B0C">
      <w:rPr>
        <w:rStyle w:val="HideTWBExt"/>
      </w:rPr>
      <w:t>&lt;/Version&gt;</w:t>
    </w:r>
  </w:p>
  <w:p w14:paraId="1579B8A0" w14:textId="77777777" w:rsidR="007D64FB" w:rsidRPr="00033B0C" w:rsidRDefault="007D64FB" w:rsidP="009B1F1D">
    <w:pPr>
      <w:pStyle w:val="EPFooter2"/>
    </w:pPr>
    <w:r w:rsidRPr="00033B0C">
      <w:t>SV</w:t>
    </w:r>
    <w:r w:rsidRPr="00033B0C">
      <w:tab/>
    </w:r>
    <w:r w:rsidRPr="00033B0C">
      <w:rPr>
        <w:b w:val="0"/>
        <w:i/>
        <w:color w:val="C0C0C0"/>
        <w:sz w:val="22"/>
      </w:rPr>
      <w:t>Förenade i mångfalden</w:t>
    </w:r>
    <w:r w:rsidRPr="00033B0C">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A3C4" w14:textId="77777777" w:rsidR="007D64FB" w:rsidRPr="00033B0C" w:rsidRDefault="007D64F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65C60" w14:textId="77777777" w:rsidR="007D64FB" w:rsidRPr="00033B0C" w:rsidRDefault="007D64F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E3BF" w14:textId="77777777" w:rsidR="007D64FB" w:rsidRPr="00033B0C" w:rsidRDefault="007D64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A011C" w14:textId="77777777" w:rsidR="007D64FB" w:rsidRPr="00033B0C" w:rsidRDefault="007D64FB">
      <w:r w:rsidRPr="00033B0C">
        <w:separator/>
      </w:r>
    </w:p>
  </w:footnote>
  <w:footnote w:type="continuationSeparator" w:id="0">
    <w:p w14:paraId="3ADC6BF2" w14:textId="77777777" w:rsidR="007D64FB" w:rsidRPr="00033B0C" w:rsidRDefault="007D64FB">
      <w:r w:rsidRPr="00033B0C">
        <w:continuationSeparator/>
      </w:r>
    </w:p>
  </w:footnote>
  <w:footnote w:id="1">
    <w:p w14:paraId="09D70804" w14:textId="77777777" w:rsidR="007D64FB" w:rsidRPr="00BE4A67" w:rsidRDefault="007D64FB" w:rsidP="00033B0C">
      <w:pPr>
        <w:pStyle w:val="FootnoteText"/>
        <w:ind w:left="567" w:hanging="567"/>
        <w:rPr>
          <w:sz w:val="24"/>
        </w:rPr>
      </w:pPr>
      <w:r w:rsidRPr="00BE4A67">
        <w:rPr>
          <w:rStyle w:val="FootnoteReference"/>
          <w:sz w:val="24"/>
          <w:lang w:val="sv-SE"/>
        </w:rPr>
        <w:footnoteRef/>
      </w:r>
      <w:r w:rsidRPr="00BE4A67">
        <w:rPr>
          <w:sz w:val="24"/>
        </w:rPr>
        <w:t xml:space="preserve"> </w:t>
      </w:r>
      <w:r w:rsidRPr="00BE4A67">
        <w:rPr>
          <w:sz w:val="24"/>
        </w:rPr>
        <w:tab/>
        <w:t>EUT L 45, 24.2.2022, s. 1.</w:t>
      </w:r>
    </w:p>
  </w:footnote>
  <w:footnote w:id="2">
    <w:p w14:paraId="195B3B27" w14:textId="77777777" w:rsidR="007D64FB" w:rsidRPr="00BE4A67" w:rsidRDefault="007D64FB" w:rsidP="00033B0C">
      <w:pPr>
        <w:pStyle w:val="FootnoteText"/>
        <w:ind w:left="567" w:hanging="567"/>
        <w:rPr>
          <w:sz w:val="24"/>
        </w:rPr>
      </w:pPr>
      <w:r w:rsidRPr="00BE4A67">
        <w:rPr>
          <w:rStyle w:val="FootnoteReference"/>
          <w:sz w:val="24"/>
          <w:lang w:val="sv-SE"/>
        </w:rPr>
        <w:footnoteRef/>
      </w:r>
      <w:r w:rsidRPr="00BE4A67">
        <w:rPr>
          <w:sz w:val="24"/>
        </w:rPr>
        <w:t xml:space="preserve"> </w:t>
      </w:r>
      <w:r w:rsidRPr="00BE4A67">
        <w:rPr>
          <w:sz w:val="24"/>
        </w:rPr>
        <w:tab/>
        <w:t>EUT C, C/2023/2, 12.10.2023.</w:t>
      </w:r>
    </w:p>
  </w:footnote>
  <w:footnote w:id="3">
    <w:p w14:paraId="5BF8F566" w14:textId="77777777" w:rsidR="007D64FB" w:rsidRPr="00BE4A67" w:rsidRDefault="007D64FB" w:rsidP="00033B0C">
      <w:pPr>
        <w:pStyle w:val="FootnoteText"/>
        <w:ind w:left="567" w:hanging="567"/>
        <w:rPr>
          <w:sz w:val="24"/>
        </w:rPr>
      </w:pPr>
      <w:r w:rsidRPr="00BE4A67">
        <w:rPr>
          <w:rStyle w:val="FootnoteReference"/>
          <w:sz w:val="24"/>
          <w:lang w:val="sv-SE"/>
        </w:rPr>
        <w:footnoteRef/>
      </w:r>
      <w:r w:rsidRPr="00BE4A67">
        <w:rPr>
          <w:sz w:val="24"/>
        </w:rPr>
        <w:t xml:space="preserve"> </w:t>
      </w:r>
      <w:r w:rsidRPr="00BE4A67">
        <w:rPr>
          <w:sz w:val="24"/>
        </w:rPr>
        <w:tab/>
        <w:t>EUT C 210, 15.6.2023, s. 1.</w:t>
      </w:r>
    </w:p>
  </w:footnote>
  <w:footnote w:id="4">
    <w:p w14:paraId="78EB26AA" w14:textId="77777777" w:rsidR="007D64FB" w:rsidRPr="00BE4A67" w:rsidRDefault="007D64FB" w:rsidP="00033B0C">
      <w:pPr>
        <w:pStyle w:val="FootnoteText"/>
        <w:ind w:left="567" w:hanging="567"/>
        <w:rPr>
          <w:sz w:val="24"/>
        </w:rPr>
      </w:pPr>
      <w:r w:rsidRPr="00BE4A67">
        <w:rPr>
          <w:rStyle w:val="FootnoteReference"/>
          <w:sz w:val="24"/>
          <w:lang w:val="sv-SE"/>
        </w:rPr>
        <w:footnoteRef/>
      </w:r>
      <w:r w:rsidRPr="00BE4A67">
        <w:rPr>
          <w:sz w:val="24"/>
        </w:rPr>
        <w:t xml:space="preserve"> </w:t>
      </w:r>
      <w:r w:rsidRPr="00BE4A67">
        <w:rPr>
          <w:sz w:val="24"/>
        </w:rPr>
        <w:tab/>
        <w:t>EUT C, C/2023/103, 4.10.2023.</w:t>
      </w:r>
    </w:p>
  </w:footnote>
  <w:footnote w:id="5">
    <w:p w14:paraId="70373513" w14:textId="77777777" w:rsidR="007D64FB" w:rsidRPr="00BE4A67" w:rsidRDefault="007D64FB" w:rsidP="00033B0C">
      <w:pPr>
        <w:pStyle w:val="FootnoteText"/>
        <w:ind w:left="567" w:hanging="567"/>
        <w:rPr>
          <w:sz w:val="24"/>
        </w:rPr>
      </w:pPr>
      <w:r w:rsidRPr="00BE4A67">
        <w:rPr>
          <w:rStyle w:val="FootnoteReference"/>
          <w:sz w:val="24"/>
          <w:lang w:val="sv-SE"/>
        </w:rPr>
        <w:footnoteRef/>
      </w:r>
      <w:r w:rsidRPr="00BE4A67">
        <w:rPr>
          <w:sz w:val="24"/>
        </w:rPr>
        <w:t xml:space="preserve"> </w:t>
      </w:r>
      <w:r w:rsidRPr="00BE4A67">
        <w:rPr>
          <w:sz w:val="24"/>
        </w:rPr>
        <w:tab/>
        <w:t>EUT C, C/2023/112, 12.10.2023.</w:t>
      </w:r>
    </w:p>
  </w:footnote>
  <w:footnote w:id="6">
    <w:p w14:paraId="10FC1AB5" w14:textId="77777777" w:rsidR="007D64FB" w:rsidRPr="00BE4A67" w:rsidRDefault="007D64FB" w:rsidP="00033B0C">
      <w:pPr>
        <w:pStyle w:val="FootnoteText"/>
        <w:ind w:left="567" w:hanging="567"/>
        <w:rPr>
          <w:sz w:val="24"/>
        </w:rPr>
      </w:pPr>
      <w:r w:rsidRPr="00BE4A67">
        <w:rPr>
          <w:rStyle w:val="FootnoteReference"/>
          <w:sz w:val="24"/>
          <w:lang w:val="sv-SE"/>
        </w:rPr>
        <w:footnoteRef/>
      </w:r>
      <w:r w:rsidRPr="00BE4A67">
        <w:rPr>
          <w:sz w:val="24"/>
        </w:rPr>
        <w:t xml:space="preserve"> </w:t>
      </w:r>
      <w:r w:rsidRPr="00BE4A67">
        <w:rPr>
          <w:sz w:val="24"/>
        </w:rPr>
        <w:tab/>
        <w:t>EUT L 193, 30.7.2018, s. 1.</w:t>
      </w:r>
    </w:p>
  </w:footnote>
  <w:footnote w:id="7">
    <w:p w14:paraId="32994E86"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Rådets förordning (EU, Euratom) 2020/2093 av den 17 december 2020 om den fleråriga budgetramen 2021−2027 (EUT L 433 I, 22.12.2020, s. 11).</w:t>
      </w:r>
    </w:p>
  </w:footnote>
  <w:footnote w:id="8">
    <w:p w14:paraId="3E662A12"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Interinstitutionellt avtal av den 20 maj 2021 mellan Europaparlamentet, Europeiska unionens råd och Europeiska kommissionen om ett obligatoriskt öppenhetsregister (EUT L 207, 11.6.2021, s. 1).</w:t>
      </w:r>
    </w:p>
  </w:footnote>
  <w:footnote w:id="9">
    <w:p w14:paraId="7068C1A3"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P9_TA(2024)0036.</w:t>
      </w:r>
    </w:p>
  </w:footnote>
  <w:footnote w:id="10">
    <w:p w14:paraId="7DD986E4"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r>
      <w:hyperlink r:id="rId1" w:history="1">
        <w:r w:rsidRPr="00BE4A67">
          <w:rPr>
            <w:rStyle w:val="Hyperlink"/>
            <w:color w:val="auto"/>
            <w:sz w:val="24"/>
            <w:u w:val="none"/>
            <w:lang w:val="sv-SE"/>
          </w:rPr>
          <w:t>https://www.eca.europa.eu/other%20publications/pl1407_letter/pl1407_letter_en.pdf</w:t>
        </w:r>
      </w:hyperlink>
      <w:r w:rsidRPr="00BE4A67">
        <w:rPr>
          <w:sz w:val="24"/>
          <w:lang w:val="sv-SE"/>
        </w:rPr>
        <w:t>.</w:t>
      </w:r>
    </w:p>
  </w:footnote>
  <w:footnote w:id="11">
    <w:p w14:paraId="1D18E2A0" w14:textId="77777777" w:rsidR="00CF5C9C" w:rsidRPr="007E38A3" w:rsidRDefault="00CF5C9C" w:rsidP="007E38A3">
      <w:pPr>
        <w:pStyle w:val="FootnoteText"/>
        <w:ind w:left="567" w:hanging="567"/>
        <w:rPr>
          <w:sz w:val="24"/>
          <w:szCs w:val="24"/>
          <w:lang w:val="sv-SE"/>
        </w:rPr>
      </w:pPr>
      <w:r w:rsidRPr="007E38A3">
        <w:rPr>
          <w:rStyle w:val="FootnoteReference"/>
          <w:sz w:val="24"/>
          <w:szCs w:val="24"/>
        </w:rPr>
        <w:footnoteRef/>
      </w:r>
      <w:r w:rsidRPr="007E38A3">
        <w:rPr>
          <w:sz w:val="24"/>
          <w:szCs w:val="24"/>
          <w:lang w:val="sv-SE"/>
        </w:rPr>
        <w:t xml:space="preserve"> </w:t>
      </w:r>
      <w:r w:rsidRPr="007E38A3">
        <w:rPr>
          <w:sz w:val="24"/>
          <w:szCs w:val="24"/>
          <w:lang w:val="sv-SE"/>
        </w:rPr>
        <w:tab/>
        <w:t>Meddelande från arbetsgruppen för fastigheter, transport och ett miljövänligt parlament till presidiet (2023)10939, punkt 16.</w:t>
      </w:r>
    </w:p>
  </w:footnote>
  <w:footnote w:id="12">
    <w:p w14:paraId="5EBAC919" w14:textId="323DF795"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Förordning nr 1 om vilka språk som ska användas i Europeisk</w:t>
      </w:r>
      <w:r w:rsidR="003518D1">
        <w:rPr>
          <w:sz w:val="24"/>
          <w:lang w:val="sv-SE"/>
        </w:rPr>
        <w:t>a ekonomiska gemenskapen (EGT </w:t>
      </w:r>
      <w:r w:rsidR="00D32388">
        <w:rPr>
          <w:sz w:val="24"/>
          <w:lang w:val="sv-SE"/>
        </w:rPr>
        <w:t xml:space="preserve">P </w:t>
      </w:r>
      <w:bookmarkStart w:id="9" w:name="_GoBack"/>
      <w:bookmarkEnd w:id="9"/>
      <w:r w:rsidR="003518D1">
        <w:rPr>
          <w:sz w:val="24"/>
          <w:lang w:val="sv-SE"/>
        </w:rPr>
        <w:t>017, 6.10.1958</w:t>
      </w:r>
      <w:r w:rsidRPr="00BE4A67">
        <w:rPr>
          <w:sz w:val="24"/>
          <w:lang w:val="sv-SE"/>
        </w:rPr>
        <w:t>, s. 385).</w:t>
      </w:r>
    </w:p>
  </w:footnote>
  <w:footnote w:id="13">
    <w:p w14:paraId="3EC1AE08" w14:textId="77777777" w:rsidR="007D64FB" w:rsidRPr="00BE4A67" w:rsidRDefault="007D64FB" w:rsidP="009B1F1D">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EUT L 317, 4.11.2014, s. 1.</w:t>
      </w:r>
    </w:p>
  </w:footnote>
  <w:footnote w:id="14">
    <w:p w14:paraId="273E3C9A"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Alla belopp i tusen EUR.</w:t>
      </w:r>
    </w:p>
  </w:footnote>
  <w:footnote w:id="15">
    <w:p w14:paraId="19A7B5AA"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Alla belopp i tusen EUR.</w:t>
      </w:r>
    </w:p>
  </w:footnote>
  <w:footnote w:id="16">
    <w:p w14:paraId="51F10CCE" w14:textId="77777777" w:rsidR="007D64FB" w:rsidRPr="00BE4A67"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Består av den andra delen av 2021 års slutliga finansiering och den första delen av 2022 års slutliga finansiering enligt presidiets beslut av den 26 februari 2024.</w:t>
      </w:r>
    </w:p>
  </w:footnote>
  <w:footnote w:id="17">
    <w:p w14:paraId="278510B5" w14:textId="77777777" w:rsidR="007D64FB" w:rsidRPr="00033B0C" w:rsidRDefault="007D64FB" w:rsidP="00033B0C">
      <w:pPr>
        <w:pStyle w:val="FootnoteText"/>
        <w:ind w:left="567" w:hanging="567"/>
        <w:rPr>
          <w:sz w:val="24"/>
          <w:lang w:val="sv-SE"/>
        </w:rPr>
      </w:pPr>
      <w:r w:rsidRPr="00BE4A67">
        <w:rPr>
          <w:rStyle w:val="FootnoteReference"/>
          <w:sz w:val="24"/>
          <w:lang w:val="sv-SE"/>
        </w:rPr>
        <w:footnoteRef/>
      </w:r>
      <w:r w:rsidRPr="00BE4A67">
        <w:rPr>
          <w:sz w:val="24"/>
          <w:lang w:val="sv-SE"/>
        </w:rPr>
        <w:t xml:space="preserve"> </w:t>
      </w:r>
      <w:r w:rsidRPr="00BE4A67">
        <w:rPr>
          <w:sz w:val="24"/>
          <w:lang w:val="sv-SE"/>
        </w:rPr>
        <w:tab/>
        <w:t>Alla belopp i tusen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8ACC9" w14:textId="77777777" w:rsidR="007D64FB" w:rsidRPr="00033B0C" w:rsidRDefault="007D64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7B6D5" w14:textId="77777777" w:rsidR="007D64FB" w:rsidRPr="00033B0C" w:rsidRDefault="007D64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4AEDF" w14:textId="77777777" w:rsidR="007D64FB" w:rsidRPr="00033B0C" w:rsidRDefault="007D64F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204EB30A">
      <w:start w:val="1"/>
      <w:numFmt w:val="decimal"/>
      <w:lvlText w:val="%1."/>
      <w:lvlJc w:val="left"/>
      <w:pPr>
        <w:ind w:left="720" w:hanging="360"/>
      </w:pPr>
    </w:lvl>
    <w:lvl w:ilvl="1" w:tplc="20D4BA1A">
      <w:start w:val="1"/>
      <w:numFmt w:val="lowerLetter"/>
      <w:lvlText w:val="%2."/>
      <w:lvlJc w:val="left"/>
      <w:pPr>
        <w:ind w:left="1440" w:hanging="360"/>
      </w:pPr>
    </w:lvl>
    <w:lvl w:ilvl="2" w:tplc="EDE4E2DE" w:tentative="1">
      <w:start w:val="1"/>
      <w:numFmt w:val="lowerRoman"/>
      <w:lvlText w:val="%3."/>
      <w:lvlJc w:val="right"/>
      <w:pPr>
        <w:ind w:left="2160" w:hanging="180"/>
      </w:pPr>
    </w:lvl>
    <w:lvl w:ilvl="3" w:tplc="E794BCA0" w:tentative="1">
      <w:start w:val="1"/>
      <w:numFmt w:val="decimal"/>
      <w:lvlText w:val="%4."/>
      <w:lvlJc w:val="left"/>
      <w:pPr>
        <w:ind w:left="2880" w:hanging="360"/>
      </w:pPr>
    </w:lvl>
    <w:lvl w:ilvl="4" w:tplc="C0A27B8E" w:tentative="1">
      <w:start w:val="1"/>
      <w:numFmt w:val="lowerLetter"/>
      <w:lvlText w:val="%5."/>
      <w:lvlJc w:val="left"/>
      <w:pPr>
        <w:ind w:left="3600" w:hanging="360"/>
      </w:pPr>
    </w:lvl>
    <w:lvl w:ilvl="5" w:tplc="841C8BE4" w:tentative="1">
      <w:start w:val="1"/>
      <w:numFmt w:val="lowerRoman"/>
      <w:lvlText w:val="%6."/>
      <w:lvlJc w:val="right"/>
      <w:pPr>
        <w:ind w:left="4320" w:hanging="180"/>
      </w:pPr>
    </w:lvl>
    <w:lvl w:ilvl="6" w:tplc="38767AB6" w:tentative="1">
      <w:start w:val="1"/>
      <w:numFmt w:val="decimal"/>
      <w:lvlText w:val="%7."/>
      <w:lvlJc w:val="left"/>
      <w:pPr>
        <w:ind w:left="5040" w:hanging="360"/>
      </w:pPr>
    </w:lvl>
    <w:lvl w:ilvl="7" w:tplc="F4305F5E" w:tentative="1">
      <w:start w:val="1"/>
      <w:numFmt w:val="lowerLetter"/>
      <w:lvlText w:val="%8."/>
      <w:lvlJc w:val="left"/>
      <w:pPr>
        <w:ind w:left="5760" w:hanging="360"/>
      </w:pPr>
    </w:lvl>
    <w:lvl w:ilvl="8" w:tplc="ED267E6A"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5E0418FE">
      <w:start w:val="1"/>
      <w:numFmt w:val="decimal"/>
      <w:lvlText w:val="%1."/>
      <w:lvlJc w:val="left"/>
      <w:pPr>
        <w:ind w:left="720" w:hanging="360"/>
      </w:pPr>
    </w:lvl>
    <w:lvl w:ilvl="1" w:tplc="168C4BAC" w:tentative="1">
      <w:start w:val="1"/>
      <w:numFmt w:val="lowerLetter"/>
      <w:lvlText w:val="%2."/>
      <w:lvlJc w:val="left"/>
      <w:pPr>
        <w:ind w:left="1440" w:hanging="360"/>
      </w:pPr>
    </w:lvl>
    <w:lvl w:ilvl="2" w:tplc="65C6D1D2" w:tentative="1">
      <w:start w:val="1"/>
      <w:numFmt w:val="lowerRoman"/>
      <w:lvlText w:val="%3."/>
      <w:lvlJc w:val="right"/>
      <w:pPr>
        <w:ind w:left="2160" w:hanging="180"/>
      </w:pPr>
    </w:lvl>
    <w:lvl w:ilvl="3" w:tplc="DF8482F6" w:tentative="1">
      <w:start w:val="1"/>
      <w:numFmt w:val="decimal"/>
      <w:lvlText w:val="%4."/>
      <w:lvlJc w:val="left"/>
      <w:pPr>
        <w:ind w:left="2880" w:hanging="360"/>
      </w:pPr>
    </w:lvl>
    <w:lvl w:ilvl="4" w:tplc="B308EB04" w:tentative="1">
      <w:start w:val="1"/>
      <w:numFmt w:val="lowerLetter"/>
      <w:lvlText w:val="%5."/>
      <w:lvlJc w:val="left"/>
      <w:pPr>
        <w:ind w:left="3600" w:hanging="360"/>
      </w:pPr>
    </w:lvl>
    <w:lvl w:ilvl="5" w:tplc="C0D079FE" w:tentative="1">
      <w:start w:val="1"/>
      <w:numFmt w:val="lowerRoman"/>
      <w:lvlText w:val="%6."/>
      <w:lvlJc w:val="right"/>
      <w:pPr>
        <w:ind w:left="4320" w:hanging="180"/>
      </w:pPr>
    </w:lvl>
    <w:lvl w:ilvl="6" w:tplc="8974AA36" w:tentative="1">
      <w:start w:val="1"/>
      <w:numFmt w:val="decimal"/>
      <w:lvlText w:val="%7."/>
      <w:lvlJc w:val="left"/>
      <w:pPr>
        <w:ind w:left="5040" w:hanging="360"/>
      </w:pPr>
    </w:lvl>
    <w:lvl w:ilvl="7" w:tplc="68A4E692" w:tentative="1">
      <w:start w:val="1"/>
      <w:numFmt w:val="lowerLetter"/>
      <w:lvlText w:val="%8."/>
      <w:lvlJc w:val="left"/>
      <w:pPr>
        <w:ind w:left="5760" w:hanging="360"/>
      </w:pPr>
    </w:lvl>
    <w:lvl w:ilvl="8" w:tplc="F5A45B6C"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9554412A">
      <w:start w:val="1"/>
      <w:numFmt w:val="decimal"/>
      <w:lvlText w:val="%1."/>
      <w:lvlJc w:val="left"/>
      <w:pPr>
        <w:ind w:left="720" w:hanging="360"/>
      </w:pPr>
    </w:lvl>
    <w:lvl w:ilvl="1" w:tplc="4008CA7C">
      <w:start w:val="1"/>
      <w:numFmt w:val="lowerLetter"/>
      <w:lvlText w:val="%2."/>
      <w:lvlJc w:val="left"/>
      <w:pPr>
        <w:ind w:left="1440" w:hanging="360"/>
      </w:pPr>
    </w:lvl>
    <w:lvl w:ilvl="2" w:tplc="9266019E" w:tentative="1">
      <w:start w:val="1"/>
      <w:numFmt w:val="lowerRoman"/>
      <w:lvlText w:val="%3."/>
      <w:lvlJc w:val="right"/>
      <w:pPr>
        <w:ind w:left="2160" w:hanging="180"/>
      </w:pPr>
    </w:lvl>
    <w:lvl w:ilvl="3" w:tplc="53F681AE" w:tentative="1">
      <w:start w:val="1"/>
      <w:numFmt w:val="decimal"/>
      <w:lvlText w:val="%4."/>
      <w:lvlJc w:val="left"/>
      <w:pPr>
        <w:ind w:left="2880" w:hanging="360"/>
      </w:pPr>
    </w:lvl>
    <w:lvl w:ilvl="4" w:tplc="510232F4" w:tentative="1">
      <w:start w:val="1"/>
      <w:numFmt w:val="lowerLetter"/>
      <w:lvlText w:val="%5."/>
      <w:lvlJc w:val="left"/>
      <w:pPr>
        <w:ind w:left="3600" w:hanging="360"/>
      </w:pPr>
    </w:lvl>
    <w:lvl w:ilvl="5" w:tplc="1EDAFCE6" w:tentative="1">
      <w:start w:val="1"/>
      <w:numFmt w:val="lowerRoman"/>
      <w:lvlText w:val="%6."/>
      <w:lvlJc w:val="right"/>
      <w:pPr>
        <w:ind w:left="4320" w:hanging="180"/>
      </w:pPr>
    </w:lvl>
    <w:lvl w:ilvl="6" w:tplc="B310125E" w:tentative="1">
      <w:start w:val="1"/>
      <w:numFmt w:val="decimal"/>
      <w:lvlText w:val="%7."/>
      <w:lvlJc w:val="left"/>
      <w:pPr>
        <w:ind w:left="5040" w:hanging="360"/>
      </w:pPr>
    </w:lvl>
    <w:lvl w:ilvl="7" w:tplc="1A6E398A" w:tentative="1">
      <w:start w:val="1"/>
      <w:numFmt w:val="lowerLetter"/>
      <w:lvlText w:val="%8."/>
      <w:lvlJc w:val="left"/>
      <w:pPr>
        <w:ind w:left="5760" w:hanging="360"/>
      </w:pPr>
    </w:lvl>
    <w:lvl w:ilvl="8" w:tplc="ABEAD3EC"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A15A9F92">
      <w:start w:val="1"/>
      <w:numFmt w:val="decimal"/>
      <w:lvlText w:val="%1."/>
      <w:lvlJc w:val="left"/>
      <w:pPr>
        <w:ind w:left="720" w:hanging="360"/>
      </w:pPr>
    </w:lvl>
    <w:lvl w:ilvl="1" w:tplc="5404B7C0">
      <w:start w:val="1"/>
      <w:numFmt w:val="lowerLetter"/>
      <w:lvlText w:val="%2."/>
      <w:lvlJc w:val="left"/>
      <w:pPr>
        <w:ind w:left="1440" w:hanging="360"/>
      </w:pPr>
    </w:lvl>
    <w:lvl w:ilvl="2" w:tplc="F9CA78D6" w:tentative="1">
      <w:start w:val="1"/>
      <w:numFmt w:val="lowerRoman"/>
      <w:lvlText w:val="%3."/>
      <w:lvlJc w:val="right"/>
      <w:pPr>
        <w:ind w:left="2160" w:hanging="180"/>
      </w:pPr>
    </w:lvl>
    <w:lvl w:ilvl="3" w:tplc="055C07FC" w:tentative="1">
      <w:start w:val="1"/>
      <w:numFmt w:val="decimal"/>
      <w:lvlText w:val="%4."/>
      <w:lvlJc w:val="left"/>
      <w:pPr>
        <w:ind w:left="2880" w:hanging="360"/>
      </w:pPr>
    </w:lvl>
    <w:lvl w:ilvl="4" w:tplc="A23C5932" w:tentative="1">
      <w:start w:val="1"/>
      <w:numFmt w:val="lowerLetter"/>
      <w:lvlText w:val="%5."/>
      <w:lvlJc w:val="left"/>
      <w:pPr>
        <w:ind w:left="3600" w:hanging="360"/>
      </w:pPr>
    </w:lvl>
    <w:lvl w:ilvl="5" w:tplc="3C3EA9BC" w:tentative="1">
      <w:start w:val="1"/>
      <w:numFmt w:val="lowerRoman"/>
      <w:lvlText w:val="%6."/>
      <w:lvlJc w:val="right"/>
      <w:pPr>
        <w:ind w:left="4320" w:hanging="180"/>
      </w:pPr>
    </w:lvl>
    <w:lvl w:ilvl="6" w:tplc="02C46B50" w:tentative="1">
      <w:start w:val="1"/>
      <w:numFmt w:val="decimal"/>
      <w:lvlText w:val="%7."/>
      <w:lvlJc w:val="left"/>
      <w:pPr>
        <w:ind w:left="5040" w:hanging="360"/>
      </w:pPr>
    </w:lvl>
    <w:lvl w:ilvl="7" w:tplc="738AF658" w:tentative="1">
      <w:start w:val="1"/>
      <w:numFmt w:val="lowerLetter"/>
      <w:lvlText w:val="%8."/>
      <w:lvlJc w:val="left"/>
      <w:pPr>
        <w:ind w:left="5760" w:hanging="360"/>
      </w:pPr>
    </w:lvl>
    <w:lvl w:ilvl="8" w:tplc="13A6487C"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2544096A">
      <w:start w:val="1"/>
      <w:numFmt w:val="decimal"/>
      <w:lvlText w:val="%1."/>
      <w:lvlJc w:val="left"/>
      <w:pPr>
        <w:ind w:left="720" w:hanging="360"/>
      </w:pPr>
    </w:lvl>
    <w:lvl w:ilvl="1" w:tplc="762E44C0">
      <w:start w:val="1"/>
      <w:numFmt w:val="lowerLetter"/>
      <w:lvlText w:val="%2."/>
      <w:lvlJc w:val="left"/>
      <w:pPr>
        <w:ind w:left="1440" w:hanging="360"/>
      </w:pPr>
    </w:lvl>
    <w:lvl w:ilvl="2" w:tplc="C4E4F222" w:tentative="1">
      <w:start w:val="1"/>
      <w:numFmt w:val="lowerRoman"/>
      <w:lvlText w:val="%3."/>
      <w:lvlJc w:val="right"/>
      <w:pPr>
        <w:ind w:left="2160" w:hanging="180"/>
      </w:pPr>
    </w:lvl>
    <w:lvl w:ilvl="3" w:tplc="C172AE18" w:tentative="1">
      <w:start w:val="1"/>
      <w:numFmt w:val="decimal"/>
      <w:lvlText w:val="%4."/>
      <w:lvlJc w:val="left"/>
      <w:pPr>
        <w:ind w:left="2880" w:hanging="360"/>
      </w:pPr>
    </w:lvl>
    <w:lvl w:ilvl="4" w:tplc="45AC2F50" w:tentative="1">
      <w:start w:val="1"/>
      <w:numFmt w:val="lowerLetter"/>
      <w:lvlText w:val="%5."/>
      <w:lvlJc w:val="left"/>
      <w:pPr>
        <w:ind w:left="3600" w:hanging="360"/>
      </w:pPr>
    </w:lvl>
    <w:lvl w:ilvl="5" w:tplc="92429964" w:tentative="1">
      <w:start w:val="1"/>
      <w:numFmt w:val="lowerRoman"/>
      <w:lvlText w:val="%6."/>
      <w:lvlJc w:val="right"/>
      <w:pPr>
        <w:ind w:left="4320" w:hanging="180"/>
      </w:pPr>
    </w:lvl>
    <w:lvl w:ilvl="6" w:tplc="1FFEB57A" w:tentative="1">
      <w:start w:val="1"/>
      <w:numFmt w:val="decimal"/>
      <w:lvlText w:val="%7."/>
      <w:lvlJc w:val="left"/>
      <w:pPr>
        <w:ind w:left="5040" w:hanging="360"/>
      </w:pPr>
    </w:lvl>
    <w:lvl w:ilvl="7" w:tplc="819CCA7C" w:tentative="1">
      <w:start w:val="1"/>
      <w:numFmt w:val="lowerLetter"/>
      <w:lvlText w:val="%8."/>
      <w:lvlJc w:val="left"/>
      <w:pPr>
        <w:ind w:left="5760" w:hanging="360"/>
      </w:pPr>
    </w:lvl>
    <w:lvl w:ilvl="8" w:tplc="729092B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SV"/>
    <w:docVar w:name="dvnumam" w:val="0"/>
    <w:docVar w:name="dvpe" w:val="753.634"/>
    <w:docVar w:name="dvrapporteur" w:val="Föredragande: "/>
    <w:docVar w:name="dvtitre" w:val="Europaparlamentets beslut av den xx xx 2024 om ansvarsfrihet för genomförandet av Europeiska unionens allmänna budget för budgetåret 2022, avsnitt I – Europaparlamentet(2023/2130(DEC))"/>
  </w:docVars>
  <w:rsids>
    <w:rsidRoot w:val="00B56F0C"/>
    <w:rsid w:val="00002272"/>
    <w:rsid w:val="00033B0C"/>
    <w:rsid w:val="00064002"/>
    <w:rsid w:val="000677B9"/>
    <w:rsid w:val="000831BA"/>
    <w:rsid w:val="00083C7F"/>
    <w:rsid w:val="000A0A84"/>
    <w:rsid w:val="000A42CC"/>
    <w:rsid w:val="000E7DD9"/>
    <w:rsid w:val="0010095E"/>
    <w:rsid w:val="00125B37"/>
    <w:rsid w:val="00133273"/>
    <w:rsid w:val="0016469D"/>
    <w:rsid w:val="00177C0C"/>
    <w:rsid w:val="00187494"/>
    <w:rsid w:val="001F32AE"/>
    <w:rsid w:val="00252119"/>
    <w:rsid w:val="002767FF"/>
    <w:rsid w:val="002B18FE"/>
    <w:rsid w:val="002B5493"/>
    <w:rsid w:val="00343214"/>
    <w:rsid w:val="003518D1"/>
    <w:rsid w:val="00361C00"/>
    <w:rsid w:val="00370F0F"/>
    <w:rsid w:val="00395FA1"/>
    <w:rsid w:val="003D2E0D"/>
    <w:rsid w:val="003D7FEB"/>
    <w:rsid w:val="003E15D4"/>
    <w:rsid w:val="00411CCE"/>
    <w:rsid w:val="0041666E"/>
    <w:rsid w:val="00421060"/>
    <w:rsid w:val="0043738B"/>
    <w:rsid w:val="00471C19"/>
    <w:rsid w:val="004867E3"/>
    <w:rsid w:val="00494A28"/>
    <w:rsid w:val="004C0004"/>
    <w:rsid w:val="004C5D52"/>
    <w:rsid w:val="0050519A"/>
    <w:rsid w:val="0050645B"/>
    <w:rsid w:val="005072A1"/>
    <w:rsid w:val="00514517"/>
    <w:rsid w:val="00521EE3"/>
    <w:rsid w:val="00545827"/>
    <w:rsid w:val="00560270"/>
    <w:rsid w:val="005C2568"/>
    <w:rsid w:val="006037C0"/>
    <w:rsid w:val="006631B6"/>
    <w:rsid w:val="00680577"/>
    <w:rsid w:val="006F74FA"/>
    <w:rsid w:val="0071718E"/>
    <w:rsid w:val="00731ADD"/>
    <w:rsid w:val="00734777"/>
    <w:rsid w:val="00747932"/>
    <w:rsid w:val="00751A4A"/>
    <w:rsid w:val="00756632"/>
    <w:rsid w:val="00762C74"/>
    <w:rsid w:val="00786EC0"/>
    <w:rsid w:val="007D1690"/>
    <w:rsid w:val="007D64FB"/>
    <w:rsid w:val="007E22AD"/>
    <w:rsid w:val="007E38A3"/>
    <w:rsid w:val="00817416"/>
    <w:rsid w:val="00842779"/>
    <w:rsid w:val="00865F67"/>
    <w:rsid w:val="00881A7B"/>
    <w:rsid w:val="008840E5"/>
    <w:rsid w:val="00887B3E"/>
    <w:rsid w:val="00896BBD"/>
    <w:rsid w:val="008C2366"/>
    <w:rsid w:val="008C2AC6"/>
    <w:rsid w:val="00930C23"/>
    <w:rsid w:val="0093193B"/>
    <w:rsid w:val="009509D8"/>
    <w:rsid w:val="00950B64"/>
    <w:rsid w:val="00981893"/>
    <w:rsid w:val="009B1F1D"/>
    <w:rsid w:val="00A1687D"/>
    <w:rsid w:val="00A43E52"/>
    <w:rsid w:val="00A4678D"/>
    <w:rsid w:val="00A778C7"/>
    <w:rsid w:val="00AB441E"/>
    <w:rsid w:val="00AB6293"/>
    <w:rsid w:val="00AE0928"/>
    <w:rsid w:val="00AF3B82"/>
    <w:rsid w:val="00B04209"/>
    <w:rsid w:val="00B12E95"/>
    <w:rsid w:val="00B22876"/>
    <w:rsid w:val="00B460A2"/>
    <w:rsid w:val="00B558F0"/>
    <w:rsid w:val="00B56F0C"/>
    <w:rsid w:val="00B75E6C"/>
    <w:rsid w:val="00BD48FE"/>
    <w:rsid w:val="00BD7BD8"/>
    <w:rsid w:val="00BE4A67"/>
    <w:rsid w:val="00BE6ADC"/>
    <w:rsid w:val="00C05BFE"/>
    <w:rsid w:val="00C23CD4"/>
    <w:rsid w:val="00C61C0C"/>
    <w:rsid w:val="00C8181E"/>
    <w:rsid w:val="00C941CB"/>
    <w:rsid w:val="00CC2357"/>
    <w:rsid w:val="00CF071A"/>
    <w:rsid w:val="00CF5C9C"/>
    <w:rsid w:val="00D042D2"/>
    <w:rsid w:val="00D058B8"/>
    <w:rsid w:val="00D32388"/>
    <w:rsid w:val="00D56C11"/>
    <w:rsid w:val="00D834A0"/>
    <w:rsid w:val="00D872DF"/>
    <w:rsid w:val="00D91E21"/>
    <w:rsid w:val="00DA60E4"/>
    <w:rsid w:val="00DA7FCD"/>
    <w:rsid w:val="00DD59BB"/>
    <w:rsid w:val="00E365E1"/>
    <w:rsid w:val="00E820A4"/>
    <w:rsid w:val="00EB006A"/>
    <w:rsid w:val="00EB4772"/>
    <w:rsid w:val="00EC3C3C"/>
    <w:rsid w:val="00ED169E"/>
    <w:rsid w:val="00ED4235"/>
    <w:rsid w:val="00F04346"/>
    <w:rsid w:val="00F075DC"/>
    <w:rsid w:val="00F149E9"/>
    <w:rsid w:val="00F23FC1"/>
    <w:rsid w:val="00F5134D"/>
    <w:rsid w:val="00F74202"/>
    <w:rsid w:val="00F87713"/>
    <w:rsid w:val="00FA72E6"/>
    <w:rsid w:val="00FB4360"/>
    <w:rsid w:val="00FD0C70"/>
    <w:rsid w:val="00FF31EC"/>
    <w:rsid w:val="00FF36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94B20"/>
  <w15:chartTrackingRefBased/>
  <w15:docId w15:val="{A715A9F6-4C84-4727-B806-955D5C85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70F0F"/>
    <w:rPr>
      <w:b/>
      <w:kern w:val="28"/>
      <w:sz w:val="28"/>
      <w:lang w:val="fr-FR" w:eastAsia="fr-FR"/>
    </w:rPr>
  </w:style>
  <w:style w:type="character" w:customStyle="1" w:styleId="Heading2Char">
    <w:name w:val="Heading 2 Char"/>
    <w:basedOn w:val="DefaultParagraphFont"/>
    <w:link w:val="Heading2"/>
    <w:semiHidden/>
    <w:rsid w:val="00370F0F"/>
    <w:rPr>
      <w:sz w:val="24"/>
      <w:lang w:val="fr-FR" w:eastAsia="fr-FR"/>
    </w:rPr>
  </w:style>
  <w:style w:type="character" w:customStyle="1" w:styleId="Heading3Char">
    <w:name w:val="Heading 3 Char"/>
    <w:basedOn w:val="DefaultParagraphFont"/>
    <w:link w:val="Heading3"/>
    <w:semiHidden/>
    <w:rsid w:val="00370F0F"/>
    <w:rPr>
      <w:rFonts w:ascii="Arial" w:hAnsi="Arial"/>
      <w:sz w:val="24"/>
      <w:lang w:val="fr-FR" w:eastAsia="fr-FR"/>
    </w:rPr>
  </w:style>
  <w:style w:type="character" w:customStyle="1" w:styleId="Heading4Char">
    <w:name w:val="Heading 4 Char"/>
    <w:basedOn w:val="DefaultParagraphFont"/>
    <w:link w:val="Heading4"/>
    <w:semiHidden/>
    <w:rsid w:val="00370F0F"/>
    <w:rPr>
      <w:sz w:val="24"/>
      <w:lang w:val="en-US" w:eastAsia="fr-FR"/>
    </w:rPr>
  </w:style>
  <w:style w:type="character" w:customStyle="1" w:styleId="Heading5Char">
    <w:name w:val="Heading 5 Char"/>
    <w:basedOn w:val="DefaultParagraphFont"/>
    <w:link w:val="Heading5"/>
    <w:semiHidden/>
    <w:rsid w:val="00370F0F"/>
    <w:rPr>
      <w:sz w:val="24"/>
      <w:lang w:val="en-US" w:eastAsia="fr-FR"/>
    </w:rPr>
  </w:style>
  <w:style w:type="character" w:customStyle="1" w:styleId="Heading6Char">
    <w:name w:val="Heading 6 Char"/>
    <w:basedOn w:val="DefaultParagraphFont"/>
    <w:link w:val="Heading6"/>
    <w:semiHidden/>
    <w:rsid w:val="00370F0F"/>
    <w:rPr>
      <w:i/>
      <w:sz w:val="22"/>
      <w:lang w:val="sv-SE"/>
    </w:rPr>
  </w:style>
  <w:style w:type="character" w:customStyle="1" w:styleId="Heading7Char">
    <w:name w:val="Heading 7 Char"/>
    <w:basedOn w:val="DefaultParagraphFont"/>
    <w:link w:val="Heading7"/>
    <w:semiHidden/>
    <w:rsid w:val="00370F0F"/>
    <w:rPr>
      <w:rFonts w:ascii="Arial" w:hAnsi="Arial"/>
      <w:sz w:val="24"/>
      <w:lang w:val="sv-SE"/>
    </w:rPr>
  </w:style>
  <w:style w:type="character" w:customStyle="1" w:styleId="Heading8Char">
    <w:name w:val="Heading 8 Char"/>
    <w:basedOn w:val="DefaultParagraphFont"/>
    <w:link w:val="Heading8"/>
    <w:semiHidden/>
    <w:rsid w:val="00370F0F"/>
    <w:rPr>
      <w:rFonts w:ascii="Arial" w:hAnsi="Arial"/>
      <w:i/>
      <w:sz w:val="24"/>
      <w:lang w:val="sv-SE"/>
    </w:rPr>
  </w:style>
  <w:style w:type="character" w:customStyle="1" w:styleId="Heading9Char">
    <w:name w:val="Heading 9 Char"/>
    <w:basedOn w:val="DefaultParagraphFont"/>
    <w:link w:val="Heading9"/>
    <w:semiHidden/>
    <w:rsid w:val="00370F0F"/>
    <w:rPr>
      <w:rFonts w:ascii="Arial" w:hAnsi="Arial"/>
      <w:b/>
      <w:i/>
      <w:sz w:val="18"/>
      <w:lang w:val="sv-SE"/>
    </w:rPr>
  </w:style>
  <w:style w:type="paragraph" w:styleId="TOCHeading">
    <w:name w:val="TOC Heading"/>
    <w:basedOn w:val="Normal"/>
    <w:next w:val="Normal"/>
    <w:unhideWhenUsed/>
    <w:qFormat/>
    <w:rsid w:val="00370F0F"/>
    <w:pPr>
      <w:widowControl/>
      <w:spacing w:after="240"/>
    </w:pPr>
    <w:rPr>
      <w:lang w:val="en-GB"/>
    </w:rPr>
  </w:style>
  <w:style w:type="paragraph" w:customStyle="1" w:styleId="EPFooter2">
    <w:name w:val="EPFooter2"/>
    <w:basedOn w:val="Normal"/>
    <w:next w:val="Normal"/>
    <w:rsid w:val="00370F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70F0F"/>
    <w:pPr>
      <w:spacing w:before="480" w:after="240"/>
    </w:pPr>
  </w:style>
  <w:style w:type="paragraph" w:customStyle="1" w:styleId="TOCPage">
    <w:name w:val="TOC Page"/>
    <w:basedOn w:val="Normal"/>
    <w:next w:val="TOC1"/>
    <w:rsid w:val="00370F0F"/>
    <w:pPr>
      <w:keepNext/>
      <w:spacing w:after="240"/>
      <w:jc w:val="right"/>
    </w:pPr>
    <w:rPr>
      <w:rFonts w:ascii="Arial" w:hAnsi="Arial"/>
      <w:b/>
    </w:rPr>
  </w:style>
  <w:style w:type="paragraph" w:customStyle="1" w:styleId="PageHeading">
    <w:name w:val="PageHeading"/>
    <w:basedOn w:val="Normal"/>
    <w:rsid w:val="00370F0F"/>
    <w:pPr>
      <w:keepNext/>
      <w:spacing w:after="480"/>
      <w:jc w:val="center"/>
    </w:pPr>
    <w:rPr>
      <w:rFonts w:ascii="Arial" w:hAnsi="Arial" w:cs="Arial"/>
      <w:b/>
    </w:rPr>
  </w:style>
  <w:style w:type="paragraph" w:customStyle="1" w:styleId="NormalBold">
    <w:name w:val="NormalBold"/>
    <w:basedOn w:val="Normal"/>
    <w:rsid w:val="00370F0F"/>
    <w:rPr>
      <w:b/>
    </w:rPr>
  </w:style>
  <w:style w:type="paragraph" w:customStyle="1" w:styleId="NormalHanging12a">
    <w:name w:val="NormalHanging12a"/>
    <w:basedOn w:val="Normal"/>
    <w:link w:val="NormalHanging12aChar"/>
    <w:rsid w:val="00370F0F"/>
    <w:pPr>
      <w:spacing w:after="240"/>
      <w:ind w:left="567" w:hanging="567"/>
    </w:pPr>
  </w:style>
  <w:style w:type="paragraph" w:customStyle="1" w:styleId="CoverNormal24a">
    <w:name w:val="CoverNormal24a"/>
    <w:basedOn w:val="Normal"/>
    <w:rsid w:val="00370F0F"/>
    <w:pPr>
      <w:spacing w:after="480"/>
      <w:ind w:left="1417"/>
    </w:pPr>
  </w:style>
  <w:style w:type="paragraph" w:customStyle="1" w:styleId="CoverNormal">
    <w:name w:val="CoverNormal"/>
    <w:basedOn w:val="Normal"/>
    <w:rsid w:val="00370F0F"/>
    <w:pPr>
      <w:ind w:left="1418"/>
    </w:pPr>
  </w:style>
  <w:style w:type="paragraph" w:customStyle="1" w:styleId="CoverReference">
    <w:name w:val="CoverReference"/>
    <w:basedOn w:val="Normal"/>
    <w:rsid w:val="00370F0F"/>
    <w:pPr>
      <w:spacing w:before="1080"/>
      <w:jc w:val="right"/>
    </w:pPr>
    <w:rPr>
      <w:rFonts w:ascii="Arial" w:hAnsi="Arial" w:cs="Arial"/>
      <w:b/>
    </w:rPr>
  </w:style>
  <w:style w:type="paragraph" w:customStyle="1" w:styleId="CoverDocType24a">
    <w:name w:val="CoverDocType24a"/>
    <w:basedOn w:val="Normal"/>
    <w:rsid w:val="00370F0F"/>
    <w:pPr>
      <w:spacing w:after="480"/>
      <w:ind w:left="1418"/>
    </w:pPr>
    <w:rPr>
      <w:rFonts w:ascii="Arial" w:hAnsi="Arial"/>
      <w:b/>
      <w:sz w:val="48"/>
    </w:rPr>
  </w:style>
  <w:style w:type="paragraph" w:customStyle="1" w:styleId="CoverDate">
    <w:name w:val="CoverDate"/>
    <w:basedOn w:val="Normal"/>
    <w:rsid w:val="00370F0F"/>
    <w:pPr>
      <w:spacing w:before="240" w:after="1200"/>
    </w:pPr>
  </w:style>
  <w:style w:type="paragraph" w:customStyle="1" w:styleId="EPBody">
    <w:name w:val="EPBody"/>
    <w:basedOn w:val="Normal"/>
    <w:rsid w:val="00370F0F"/>
    <w:pPr>
      <w:jc w:val="center"/>
    </w:pPr>
    <w:rPr>
      <w:rFonts w:ascii="Arial" w:hAnsi="Arial" w:cs="Arial"/>
      <w:i/>
      <w:sz w:val="22"/>
      <w:szCs w:val="22"/>
    </w:rPr>
  </w:style>
  <w:style w:type="paragraph" w:customStyle="1" w:styleId="EPFooter">
    <w:name w:val="EPFooter"/>
    <w:basedOn w:val="Normal"/>
    <w:rsid w:val="00370F0F"/>
    <w:pPr>
      <w:tabs>
        <w:tab w:val="center" w:pos="4535"/>
        <w:tab w:val="right" w:pos="9071"/>
      </w:tabs>
      <w:spacing w:before="240" w:after="240"/>
    </w:pPr>
    <w:rPr>
      <w:color w:val="010000"/>
      <w:sz w:val="22"/>
    </w:rPr>
  </w:style>
  <w:style w:type="paragraph" w:styleId="Header">
    <w:name w:val="header"/>
    <w:basedOn w:val="Normal"/>
    <w:link w:val="HeaderChar"/>
    <w:rsid w:val="00370F0F"/>
    <w:pPr>
      <w:tabs>
        <w:tab w:val="center" w:pos="4513"/>
        <w:tab w:val="right" w:pos="9026"/>
      </w:tabs>
    </w:pPr>
  </w:style>
  <w:style w:type="character" w:customStyle="1" w:styleId="HeaderChar">
    <w:name w:val="Header Char"/>
    <w:basedOn w:val="DefaultParagraphFont"/>
    <w:link w:val="Header"/>
    <w:rsid w:val="00370F0F"/>
    <w:rPr>
      <w:sz w:val="24"/>
      <w:lang w:val="sv-SE"/>
    </w:rPr>
  </w:style>
  <w:style w:type="character" w:customStyle="1" w:styleId="NormalHanging12aChar">
    <w:name w:val="NormalHanging12a Char"/>
    <w:basedOn w:val="DefaultParagraphFont"/>
    <w:link w:val="NormalHanging12a"/>
    <w:locked/>
    <w:rsid w:val="00370F0F"/>
    <w:rPr>
      <w:sz w:val="24"/>
      <w:lang w:val="sv-SE"/>
    </w:rPr>
  </w:style>
  <w:style w:type="character" w:styleId="CommentReference">
    <w:name w:val="annotation reference"/>
    <w:basedOn w:val="DefaultParagraphFont"/>
    <w:uiPriority w:val="99"/>
    <w:rsid w:val="00370F0F"/>
    <w:rPr>
      <w:sz w:val="16"/>
      <w:szCs w:val="16"/>
    </w:rPr>
  </w:style>
  <w:style w:type="paragraph" w:styleId="CommentText">
    <w:name w:val="annotation text"/>
    <w:basedOn w:val="Normal"/>
    <w:link w:val="CommentTextChar"/>
    <w:uiPriority w:val="99"/>
    <w:rsid w:val="00370F0F"/>
    <w:rPr>
      <w:sz w:val="20"/>
    </w:rPr>
  </w:style>
  <w:style w:type="character" w:customStyle="1" w:styleId="CommentTextChar">
    <w:name w:val="Comment Text Char"/>
    <w:basedOn w:val="DefaultParagraphFont"/>
    <w:link w:val="CommentText"/>
    <w:uiPriority w:val="99"/>
    <w:rsid w:val="00370F0F"/>
    <w:rPr>
      <w:lang w:val="sv-SE"/>
    </w:rPr>
  </w:style>
  <w:style w:type="paragraph" w:styleId="CommentSubject">
    <w:name w:val="annotation subject"/>
    <w:basedOn w:val="CommentText"/>
    <w:next w:val="CommentText"/>
    <w:link w:val="CommentSubjectChar"/>
    <w:unhideWhenUsed/>
    <w:rsid w:val="00370F0F"/>
    <w:rPr>
      <w:b/>
      <w:bCs/>
    </w:rPr>
  </w:style>
  <w:style w:type="character" w:customStyle="1" w:styleId="CommentSubjectChar">
    <w:name w:val="Comment Subject Char"/>
    <w:basedOn w:val="CommentTextChar"/>
    <w:link w:val="CommentSubject"/>
    <w:rsid w:val="00370F0F"/>
    <w:rPr>
      <w:b/>
      <w:bCs/>
      <w:lang w:val="sv-SE"/>
    </w:rPr>
  </w:style>
  <w:style w:type="paragraph" w:styleId="BalloonText">
    <w:name w:val="Balloon Text"/>
    <w:basedOn w:val="Normal"/>
    <w:link w:val="BalloonTextChar"/>
    <w:unhideWhenUsed/>
    <w:rsid w:val="00370F0F"/>
    <w:rPr>
      <w:rFonts w:ascii="Segoe UI" w:hAnsi="Segoe UI" w:cs="Segoe UI"/>
      <w:sz w:val="18"/>
      <w:szCs w:val="18"/>
    </w:rPr>
  </w:style>
  <w:style w:type="character" w:customStyle="1" w:styleId="BalloonTextChar">
    <w:name w:val="Balloon Text Char"/>
    <w:basedOn w:val="DefaultParagraphFont"/>
    <w:link w:val="BalloonText"/>
    <w:rsid w:val="00370F0F"/>
    <w:rPr>
      <w:rFonts w:ascii="Segoe UI" w:hAnsi="Segoe UI" w:cs="Segoe UI"/>
      <w:sz w:val="18"/>
      <w:szCs w:val="18"/>
      <w:lang w:val="sv-SE"/>
    </w:rPr>
  </w:style>
  <w:style w:type="paragraph" w:customStyle="1" w:styleId="Body">
    <w:name w:val="Body"/>
    <w:rsid w:val="00370F0F"/>
    <w:pPr>
      <w:widowControl w:val="0"/>
    </w:pPr>
    <w:rPr>
      <w:color w:val="000000"/>
      <w:sz w:val="24"/>
      <w:szCs w:val="24"/>
      <w:u w:color="000000"/>
      <w:lang w:val="sv-SE"/>
      <w14:textOutline w14:w="0" w14:cap="flat" w14:cmpd="sng" w14:algn="ctr">
        <w14:noFill/>
        <w14:prstDash w14:val="solid"/>
        <w14:bevel/>
      </w14:textOutline>
    </w:rPr>
  </w:style>
  <w:style w:type="paragraph" w:styleId="ListParagraph">
    <w:name w:val="List Paragraph"/>
    <w:qFormat/>
    <w:rsid w:val="00370F0F"/>
    <w:pPr>
      <w:widowControl w:val="0"/>
      <w:ind w:left="720"/>
    </w:pPr>
    <w:rPr>
      <w:rFonts w:eastAsia="Arial Unicode MS" w:cs="Arial Unicode MS"/>
      <w:color w:val="000000"/>
      <w:sz w:val="24"/>
      <w:szCs w:val="24"/>
      <w:u w:color="000000"/>
      <w:lang w:val="sv-SE"/>
    </w:rPr>
  </w:style>
  <w:style w:type="paragraph" w:customStyle="1" w:styleId="Normal12Hanging">
    <w:name w:val="Normal12Hanging"/>
    <w:basedOn w:val="Normal"/>
    <w:rsid w:val="00370F0F"/>
    <w:pPr>
      <w:spacing w:after="240"/>
      <w:ind w:left="567" w:hanging="567"/>
    </w:pPr>
  </w:style>
  <w:style w:type="character" w:styleId="Hyperlink">
    <w:name w:val="Hyperlink"/>
    <w:basedOn w:val="DefaultParagraphFont"/>
    <w:rsid w:val="00370F0F"/>
    <w:rPr>
      <w:color w:val="0563C1" w:themeColor="hyperlink"/>
      <w:u w:val="single"/>
    </w:rPr>
  </w:style>
  <w:style w:type="character" w:customStyle="1" w:styleId="HRtextbodyChar">
    <w:name w:val="HR_text body_ Char"/>
    <w:basedOn w:val="DefaultParagraphFont"/>
    <w:link w:val="HRtextbody"/>
    <w:locked/>
    <w:rsid w:val="00370F0F"/>
    <w:rPr>
      <w:rFonts w:ascii="Arial" w:hAnsi="Arial" w:cs="Arial"/>
      <w:color w:val="595959"/>
    </w:rPr>
  </w:style>
  <w:style w:type="paragraph" w:customStyle="1" w:styleId="HRtextbody">
    <w:name w:val="HR_text body_"/>
    <w:basedOn w:val="Normal"/>
    <w:link w:val="HRtextbodyChar"/>
    <w:rsid w:val="00370F0F"/>
    <w:pPr>
      <w:widowControl/>
      <w:jc w:val="both"/>
    </w:pPr>
    <w:rPr>
      <w:rFonts w:ascii="Arial" w:hAnsi="Arial" w:cs="Arial"/>
      <w:color w:val="595959"/>
      <w:sz w:val="20"/>
      <w:lang w:val="en-GB"/>
    </w:rPr>
  </w:style>
  <w:style w:type="character" w:styleId="Strong">
    <w:name w:val="Strong"/>
    <w:basedOn w:val="DefaultParagraphFont"/>
    <w:uiPriority w:val="22"/>
    <w:qFormat/>
    <w:rsid w:val="00370F0F"/>
    <w:rPr>
      <w:b/>
      <w:bCs/>
    </w:rPr>
  </w:style>
  <w:style w:type="paragraph" w:styleId="Revision">
    <w:name w:val="Revision"/>
    <w:hidden/>
    <w:uiPriority w:val="99"/>
    <w:semiHidden/>
    <w:rsid w:val="00370F0F"/>
    <w:rPr>
      <w:sz w:val="24"/>
      <w:lang w:val="sv-SE"/>
    </w:rPr>
  </w:style>
  <w:style w:type="character" w:customStyle="1" w:styleId="ui-provider">
    <w:name w:val="ui-provider"/>
    <w:basedOn w:val="DefaultParagraphFont"/>
    <w:rsid w:val="00370F0F"/>
  </w:style>
  <w:style w:type="paragraph" w:customStyle="1" w:styleId="title-article-norm">
    <w:name w:val="title-article-norm"/>
    <w:basedOn w:val="Normal"/>
    <w:rsid w:val="00370F0F"/>
    <w:pPr>
      <w:widowControl/>
      <w:spacing w:before="100" w:beforeAutospacing="1" w:after="100" w:afterAutospacing="1"/>
    </w:pPr>
    <w:rPr>
      <w:szCs w:val="24"/>
    </w:rPr>
  </w:style>
  <w:style w:type="paragraph" w:customStyle="1" w:styleId="Normal24a">
    <w:name w:val="Normal24a"/>
    <w:basedOn w:val="Normal"/>
    <w:rsid w:val="00370F0F"/>
    <w:pPr>
      <w:spacing w:after="480"/>
    </w:pPr>
  </w:style>
  <w:style w:type="paragraph" w:customStyle="1" w:styleId="NormalBoldCenter">
    <w:name w:val="NormalBoldCenter"/>
    <w:basedOn w:val="Normal"/>
    <w:rsid w:val="00370F0F"/>
    <w:pPr>
      <w:jc w:val="center"/>
    </w:pPr>
    <w:rPr>
      <w:b/>
    </w:rPr>
  </w:style>
  <w:style w:type="paragraph" w:customStyle="1" w:styleId="Normal12a">
    <w:name w:val="Normal12a"/>
    <w:basedOn w:val="Normal"/>
    <w:rsid w:val="00370F0F"/>
    <w:pPr>
      <w:spacing w:after="240"/>
    </w:pPr>
  </w:style>
  <w:style w:type="paragraph" w:customStyle="1" w:styleId="PageHeadingNotTOC">
    <w:name w:val="PageHeadingNotTOC"/>
    <w:basedOn w:val="Normal"/>
    <w:rsid w:val="00370F0F"/>
    <w:pPr>
      <w:keepNext/>
      <w:spacing w:after="480"/>
      <w:jc w:val="center"/>
    </w:pPr>
    <w:rPr>
      <w:rFonts w:ascii="Arial" w:hAnsi="Arial" w:cs="Arial"/>
      <w:b/>
    </w:rPr>
  </w:style>
  <w:style w:type="paragraph" w:customStyle="1" w:styleId="NumPar1">
    <w:name w:val="NumPar 1"/>
    <w:basedOn w:val="Normal"/>
    <w:rsid w:val="00370F0F"/>
    <w:pPr>
      <w:numPr>
        <w:numId w:val="50"/>
      </w:numPr>
    </w:pPr>
  </w:style>
  <w:style w:type="paragraph" w:customStyle="1" w:styleId="NumPar2">
    <w:name w:val="NumPar 2"/>
    <w:basedOn w:val="Normal"/>
    <w:rsid w:val="00370F0F"/>
    <w:pPr>
      <w:numPr>
        <w:ilvl w:val="1"/>
        <w:numId w:val="50"/>
      </w:numPr>
    </w:pPr>
  </w:style>
  <w:style w:type="paragraph" w:customStyle="1" w:styleId="NumPar3">
    <w:name w:val="NumPar 3"/>
    <w:basedOn w:val="Normal"/>
    <w:rsid w:val="00370F0F"/>
    <w:pPr>
      <w:numPr>
        <w:ilvl w:val="2"/>
        <w:numId w:val="50"/>
      </w:numPr>
    </w:pPr>
  </w:style>
  <w:style w:type="paragraph" w:customStyle="1" w:styleId="NumPar4">
    <w:name w:val="NumPar 4"/>
    <w:basedOn w:val="Normal"/>
    <w:rsid w:val="00370F0F"/>
    <w:pPr>
      <w:numPr>
        <w:ilvl w:val="3"/>
        <w:numId w:val="50"/>
      </w:numPr>
    </w:pPr>
  </w:style>
  <w:style w:type="paragraph" w:customStyle="1" w:styleId="NumPar5">
    <w:name w:val="NumPar 5"/>
    <w:basedOn w:val="Normal"/>
    <w:rsid w:val="00370F0F"/>
    <w:pPr>
      <w:numPr>
        <w:ilvl w:val="4"/>
        <w:numId w:val="50"/>
      </w:numPr>
    </w:pPr>
  </w:style>
  <w:style w:type="paragraph" w:customStyle="1" w:styleId="NumPar6">
    <w:name w:val="NumPar 6"/>
    <w:basedOn w:val="Normal"/>
    <w:rsid w:val="00370F0F"/>
    <w:pPr>
      <w:numPr>
        <w:ilvl w:val="5"/>
        <w:numId w:val="50"/>
      </w:numPr>
    </w:pPr>
  </w:style>
  <w:style w:type="paragraph" w:customStyle="1" w:styleId="NumPar7">
    <w:name w:val="NumPar 7"/>
    <w:basedOn w:val="Normal"/>
    <w:rsid w:val="00370F0F"/>
    <w:pPr>
      <w:numPr>
        <w:ilvl w:val="6"/>
        <w:numId w:val="50"/>
      </w:numPr>
    </w:pPr>
  </w:style>
  <w:style w:type="paragraph" w:customStyle="1" w:styleId="RollCallSymbols14pt">
    <w:name w:val="RollCallSymbols14pt"/>
    <w:basedOn w:val="Normal"/>
    <w:rsid w:val="00370F0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70F0F"/>
    <w:pPr>
      <w:tabs>
        <w:tab w:val="center" w:pos="284"/>
        <w:tab w:val="left" w:pos="426"/>
      </w:tabs>
    </w:pPr>
    <w:rPr>
      <w:snapToGrid w:val="0"/>
      <w:lang w:eastAsia="en-US"/>
    </w:rPr>
  </w:style>
  <w:style w:type="paragraph" w:customStyle="1" w:styleId="RollCallVotes">
    <w:name w:val="RollCallVotes"/>
    <w:basedOn w:val="Normal"/>
    <w:rsid w:val="00370F0F"/>
    <w:pPr>
      <w:spacing w:before="120" w:after="120"/>
      <w:jc w:val="center"/>
    </w:pPr>
    <w:rPr>
      <w:b/>
      <w:bCs/>
      <w:snapToGrid w:val="0"/>
      <w:sz w:val="16"/>
      <w:lang w:eastAsia="en-US"/>
    </w:rPr>
  </w:style>
  <w:style w:type="paragraph" w:customStyle="1" w:styleId="RollCallTable">
    <w:name w:val="RollCallTable"/>
    <w:basedOn w:val="Normal"/>
    <w:rsid w:val="00370F0F"/>
    <w:pPr>
      <w:spacing w:before="120" w:after="120"/>
    </w:pPr>
    <w:rPr>
      <w:snapToGrid w:val="0"/>
      <w:sz w:val="16"/>
      <w:lang w:eastAsia="en-US"/>
    </w:rPr>
  </w:style>
  <w:style w:type="character" w:styleId="FollowedHyperlink">
    <w:name w:val="FollowedHyperlink"/>
    <w:basedOn w:val="DefaultParagraphFont"/>
    <w:rsid w:val="00370F0F"/>
    <w:rPr>
      <w:color w:val="954F72" w:themeColor="followedHyperlink"/>
      <w:u w:val="single"/>
    </w:rPr>
  </w:style>
  <w:style w:type="paragraph" w:styleId="Footer">
    <w:name w:val="footer"/>
    <w:basedOn w:val="Normal"/>
    <w:link w:val="FooterChar"/>
    <w:rsid w:val="00370F0F"/>
    <w:pPr>
      <w:tabs>
        <w:tab w:val="center" w:pos="4513"/>
        <w:tab w:val="right" w:pos="9026"/>
      </w:tabs>
    </w:pPr>
  </w:style>
  <w:style w:type="character" w:customStyle="1" w:styleId="FooterChar">
    <w:name w:val="Footer Char"/>
    <w:basedOn w:val="DefaultParagraphFont"/>
    <w:link w:val="Footer"/>
    <w:rsid w:val="00370F0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ca.europa.eu/other%20publications/pl1407_letter/pl1407_letter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CD611-7E8A-4839-8C8E-0BCBDF57E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17590</Words>
  <Characters>100269</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Karina Pesa</cp:lastModifiedBy>
  <cp:revision>3</cp:revision>
  <cp:lastPrinted>2004-11-19T15:42:00Z</cp:lastPrinted>
  <dcterms:created xsi:type="dcterms:W3CDTF">2024-05-16T12:52:00Z</dcterms:created>
  <dcterms:modified xsi:type="dcterms:W3CDTF">2024-10-31T10:52:00Z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P9_TA(2024)0229_</vt:lpwstr>
  </property>
  <property fmtid="{D5CDD505-2E9C-101B-9397-08002B2CF9AE}" pid="4" name="&lt;Type&gt;">
    <vt:lpwstr>RR</vt:lpwstr>
  </property>
</Properties>
</file>