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1BD" w:rsidTr="0010095E">
        <w:trPr>
          <w:trHeight w:hRule="exact" w:val="1418"/>
        </w:trPr>
        <w:tc>
          <w:tcPr>
            <w:tcW w:w="6804" w:type="dxa"/>
            <w:shd w:val="clear" w:color="auto" w:fill="auto"/>
            <w:vAlign w:val="center"/>
          </w:tcPr>
          <w:p w:rsidR="00751A4A" w:rsidRPr="009261BD" w:rsidRDefault="008E2C2D" w:rsidP="0010095E">
            <w:pPr>
              <w:pStyle w:val="EPName"/>
            </w:pPr>
            <w:bookmarkStart w:id="0" w:name="_GoBack"/>
            <w:bookmarkEnd w:id="0"/>
            <w:r w:rsidRPr="009261BD">
              <w:t>Европейски</w:t>
            </w:r>
            <w:r w:rsidR="000A3439" w:rsidRPr="009261BD">
              <w:t xml:space="preserve"> парламент</w:t>
            </w:r>
          </w:p>
          <w:p w:rsidR="00751A4A" w:rsidRPr="009261BD" w:rsidRDefault="008E2C2D" w:rsidP="00756632">
            <w:pPr>
              <w:pStyle w:val="EPTerm"/>
              <w:rPr>
                <w:rStyle w:val="HideTWBExt"/>
                <w:noProof w:val="0"/>
                <w:vanish w:val="0"/>
                <w:color w:val="auto"/>
              </w:rPr>
            </w:pPr>
            <w:r>
              <w:t>2019 – </w:t>
            </w:r>
            <w:r w:rsidR="00817416" w:rsidRPr="009261BD">
              <w:t>2024</w:t>
            </w:r>
          </w:p>
        </w:tc>
        <w:tc>
          <w:tcPr>
            <w:tcW w:w="2268" w:type="dxa"/>
            <w:shd w:val="clear" w:color="auto" w:fill="auto"/>
          </w:tcPr>
          <w:p w:rsidR="00751A4A" w:rsidRPr="009261BD" w:rsidRDefault="00187494" w:rsidP="0010095E">
            <w:pPr>
              <w:pStyle w:val="EPLogo"/>
            </w:pPr>
            <w:r w:rsidRPr="009261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61BD" w:rsidRDefault="00D058B8" w:rsidP="004C5D52">
      <w:pPr>
        <w:pStyle w:val="LineTop"/>
      </w:pPr>
    </w:p>
    <w:p w:rsidR="00680577" w:rsidRPr="009261BD" w:rsidRDefault="000A3439" w:rsidP="00680577">
      <w:pPr>
        <w:pStyle w:val="EPBodyTA1"/>
      </w:pPr>
      <w:r w:rsidRPr="009261BD">
        <w:t>ПРИЕТИ ТЕКСТОВЕ</w:t>
      </w:r>
    </w:p>
    <w:p w:rsidR="00D058B8" w:rsidRPr="009261BD" w:rsidRDefault="00D058B8" w:rsidP="00D058B8">
      <w:pPr>
        <w:pStyle w:val="LineBottom"/>
      </w:pPr>
    </w:p>
    <w:p w:rsidR="000A3439" w:rsidRPr="00507DDA" w:rsidRDefault="000A3439" w:rsidP="003C7840">
      <w:pPr>
        <w:pStyle w:val="ATHeading1"/>
        <w:rPr>
          <w:lang w:val="en-GB"/>
        </w:rPr>
      </w:pPr>
      <w:bookmarkStart w:id="1" w:name="TANumber"/>
      <w:r w:rsidRPr="009261BD">
        <w:t>P9_TA(2024)</w:t>
      </w:r>
      <w:bookmarkEnd w:id="1"/>
      <w:r w:rsidR="003C7840" w:rsidRPr="009261BD">
        <w:t>0</w:t>
      </w:r>
      <w:r w:rsidR="003C7840">
        <w:rPr>
          <w:lang w:val="en-GB"/>
        </w:rPr>
        <w:t>230</w:t>
      </w:r>
    </w:p>
    <w:p w:rsidR="000A3439" w:rsidRPr="009261BD" w:rsidRDefault="000A3439" w:rsidP="000A3439">
      <w:pPr>
        <w:pStyle w:val="ATHeading2"/>
      </w:pPr>
      <w:bookmarkStart w:id="2" w:name="title"/>
      <w:r w:rsidRPr="009261BD">
        <w:t>Освобождаване от отговорност във връзка с изпълнението на бюджета за 2022 г.: Общ бюджет на ЕС – Съд на Европейския съюз</w:t>
      </w:r>
      <w:bookmarkEnd w:id="2"/>
    </w:p>
    <w:p w:rsidR="000A3439" w:rsidRPr="009261BD" w:rsidRDefault="000A3439" w:rsidP="000A3439">
      <w:pPr>
        <w:rPr>
          <w:i/>
          <w:vanish/>
        </w:rPr>
      </w:pPr>
      <w:r w:rsidRPr="009261BD">
        <w:rPr>
          <w:i/>
        </w:rPr>
        <w:fldChar w:fldCharType="begin"/>
      </w:r>
      <w:r w:rsidRPr="009261BD">
        <w:rPr>
          <w:i/>
        </w:rPr>
        <w:instrText xml:space="preserve"> TC"(</w:instrText>
      </w:r>
      <w:bookmarkStart w:id="3" w:name="DocNumber"/>
      <w:r w:rsidRPr="009261BD">
        <w:rPr>
          <w:i/>
        </w:rPr>
        <w:instrText>A9-0075/2024</w:instrText>
      </w:r>
      <w:bookmarkEnd w:id="3"/>
      <w:r w:rsidRPr="009261BD">
        <w:rPr>
          <w:i/>
        </w:rPr>
        <w:instrText xml:space="preserve"> - Докладчик: Люк Минг Фланаган)"\l3 \n&gt; \* MERGEFORMAT </w:instrText>
      </w:r>
      <w:r w:rsidRPr="009261BD">
        <w:rPr>
          <w:i/>
        </w:rPr>
        <w:fldChar w:fldCharType="end"/>
      </w:r>
    </w:p>
    <w:p w:rsidR="000A3439" w:rsidRPr="009261BD" w:rsidRDefault="000A3439" w:rsidP="000A3439">
      <w:pPr>
        <w:rPr>
          <w:vanish/>
        </w:rPr>
      </w:pPr>
      <w:bookmarkStart w:id="4" w:name="Commission"/>
      <w:r w:rsidRPr="009261BD">
        <w:rPr>
          <w:vanish/>
        </w:rPr>
        <w:t>Комисия по бюджетен контрол</w:t>
      </w:r>
      <w:bookmarkEnd w:id="4"/>
    </w:p>
    <w:p w:rsidR="000A3439" w:rsidRPr="009261BD" w:rsidRDefault="000A3439" w:rsidP="000A3439">
      <w:pPr>
        <w:rPr>
          <w:vanish/>
        </w:rPr>
      </w:pPr>
      <w:bookmarkStart w:id="5" w:name="PE"/>
      <w:r w:rsidRPr="009261BD">
        <w:rPr>
          <w:vanish/>
        </w:rPr>
        <w:t>PE753.480</w:t>
      </w:r>
      <w:bookmarkEnd w:id="5"/>
    </w:p>
    <w:p w:rsidR="000A3439" w:rsidRPr="009261BD" w:rsidRDefault="008E2C2D" w:rsidP="008E2C2D">
      <w:pPr>
        <w:pStyle w:val="ATHeading3"/>
      </w:pPr>
      <w:bookmarkStart w:id="6" w:name="Sujet"/>
      <w:r>
        <w:t xml:space="preserve">1. </w:t>
      </w:r>
      <w:r w:rsidR="000A3439" w:rsidRPr="009261BD">
        <w:t xml:space="preserve">Решение на Европейския парламент от </w:t>
      </w:r>
      <w:r w:rsidR="008A2E3D">
        <w:t>11 април</w:t>
      </w:r>
      <w:r w:rsidR="008A2E3D" w:rsidRPr="009261BD">
        <w:t xml:space="preserve"> </w:t>
      </w:r>
      <w:r w:rsidR="000A3439" w:rsidRPr="009261BD">
        <w:t>2024 г. относно освобождаването от отговорност във връзка с изпълнението на общия бюджет на Европейския съюз за финансовата 2022 година, раздел IV ‒ Съд на Европейския съюз</w:t>
      </w:r>
      <w:bookmarkEnd w:id="6"/>
      <w:r w:rsidR="000A3439" w:rsidRPr="009261BD">
        <w:t xml:space="preserve"> </w:t>
      </w:r>
      <w:bookmarkStart w:id="7" w:name="References"/>
      <w:r w:rsidR="000A3439" w:rsidRPr="009261BD">
        <w:t>(2023/2132(DEC))</w:t>
      </w:r>
      <w:bookmarkEnd w:id="7"/>
    </w:p>
    <w:p w:rsidR="00EB0B7F" w:rsidRPr="009261BD" w:rsidRDefault="00EB0B7F" w:rsidP="00EB0B7F">
      <w:pPr>
        <w:pStyle w:val="EPComma"/>
      </w:pPr>
      <w:bookmarkStart w:id="8" w:name="TextBodyBegin"/>
      <w:bookmarkEnd w:id="8"/>
      <w:r w:rsidRPr="009261BD">
        <w:rPr>
          <w:i/>
        </w:rPr>
        <w:t>Европейският парламент</w:t>
      </w:r>
      <w:r w:rsidRPr="009261BD">
        <w:t>,</w:t>
      </w:r>
    </w:p>
    <w:p w:rsidR="00EB0B7F" w:rsidRPr="009261BD" w:rsidRDefault="00EB0B7F" w:rsidP="00EB0B7F">
      <w:pPr>
        <w:pStyle w:val="NormalHanging12a"/>
      </w:pPr>
      <w:r w:rsidRPr="009261BD">
        <w:t>–</w:t>
      </w:r>
      <w:r w:rsidRPr="009261BD">
        <w:tab/>
        <w:t>като взе предвид общия бюджет на Европейския съюз за финансовата 2022 година</w:t>
      </w:r>
      <w:r w:rsidRPr="009261BD">
        <w:rPr>
          <w:rStyle w:val="FootnoteReference"/>
        </w:rPr>
        <w:footnoteReference w:id="1"/>
      </w:r>
      <w:r w:rsidRPr="009261BD">
        <w:t>,</w:t>
      </w:r>
    </w:p>
    <w:p w:rsidR="00EB0B7F" w:rsidRPr="009261BD" w:rsidRDefault="00EB0B7F" w:rsidP="00EB0B7F">
      <w:pPr>
        <w:pStyle w:val="NormalHanging12a"/>
      </w:pPr>
      <w:r w:rsidRPr="009261BD">
        <w:t>–</w:t>
      </w:r>
      <w:r w:rsidRPr="009261BD">
        <w:tab/>
        <w:t>като взе предвид консолидираните годишни отчети на Европейския съюз за финансовата 2022 година (COM(2023)0391 – C9</w:t>
      </w:r>
      <w:r w:rsidRPr="009261BD">
        <w:noBreakHyphen/>
        <w:t>0251/2023)</w:t>
      </w:r>
      <w:r w:rsidRPr="009261BD">
        <w:rPr>
          <w:rStyle w:val="FootnoteReference"/>
        </w:rPr>
        <w:footnoteReference w:id="2"/>
      </w:r>
      <w:r w:rsidRPr="009261BD">
        <w:t>,</w:t>
      </w:r>
    </w:p>
    <w:p w:rsidR="00EB0B7F" w:rsidRPr="009261BD" w:rsidRDefault="00EB0B7F" w:rsidP="00EB0B7F">
      <w:pPr>
        <w:pStyle w:val="NormalHanging12a"/>
      </w:pPr>
      <w:r w:rsidRPr="009261BD">
        <w:t>–</w:t>
      </w:r>
      <w:r w:rsidRPr="009261BD">
        <w:tab/>
        <w:t>като взе предвид годишния доклад на Съда на Европейския съюз пред органа по освобождаване от отговорност относно вътрешните одити, осъществени през 2022 г.,</w:t>
      </w:r>
    </w:p>
    <w:p w:rsidR="00EB0B7F" w:rsidRPr="009261BD" w:rsidRDefault="00EB0B7F" w:rsidP="00EB0B7F">
      <w:pPr>
        <w:pStyle w:val="NormalHanging12a"/>
      </w:pPr>
      <w:r w:rsidRPr="009261BD">
        <w:t>–</w:t>
      </w:r>
      <w:r w:rsidRPr="009261BD">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9261BD">
        <w:rPr>
          <w:rStyle w:val="FootnoteReference"/>
        </w:rPr>
        <w:footnoteReference w:id="3"/>
      </w:r>
      <w:r w:rsidRPr="009261BD">
        <w:t>,</w:t>
      </w:r>
    </w:p>
    <w:p w:rsidR="00EB0B7F" w:rsidRPr="009261BD" w:rsidRDefault="00EB0B7F" w:rsidP="00EB0B7F">
      <w:pPr>
        <w:pStyle w:val="NormalHanging12a"/>
      </w:pPr>
      <w:r w:rsidRPr="009261BD">
        <w:t>–</w:t>
      </w:r>
      <w:r w:rsidRPr="009261BD">
        <w:tab/>
        <w:t>като взе предвид декларацията за достоверност</w:t>
      </w:r>
      <w:r w:rsidRPr="009261BD">
        <w:rPr>
          <w:rStyle w:val="FootnoteReference"/>
        </w:rPr>
        <w:footnoteReference w:id="4"/>
      </w:r>
      <w:r w:rsidRPr="009261B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EB0B7F" w:rsidRPr="009261BD" w:rsidRDefault="00EB0B7F" w:rsidP="00EB0B7F">
      <w:pPr>
        <w:pStyle w:val="NormalHanging12a"/>
      </w:pPr>
      <w:r w:rsidRPr="009261BD">
        <w:t>–</w:t>
      </w:r>
      <w:r w:rsidRPr="009261BD">
        <w:tab/>
        <w:t>като взе предвид член 314, параграф 10 и членове 317, 318 и 319 от Договора за функционирането на Европейския съюз,</w:t>
      </w:r>
    </w:p>
    <w:p w:rsidR="00EB0B7F" w:rsidRPr="009261BD" w:rsidRDefault="00EB0B7F" w:rsidP="00EB0B7F">
      <w:pPr>
        <w:pStyle w:val="NormalHanging12a"/>
      </w:pPr>
      <w:r w:rsidRPr="009261BD">
        <w:t>–</w:t>
      </w:r>
      <w:r w:rsidRPr="009261BD">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9261BD">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9261BD">
        <w:rPr>
          <w:rStyle w:val="FootnoteReference"/>
        </w:rPr>
        <w:footnoteReference w:id="5"/>
      </w:r>
      <w:r w:rsidRPr="009261BD">
        <w:t>, и по-специално членове 59, 118, 260, 261 и 262 от него,</w:t>
      </w:r>
    </w:p>
    <w:p w:rsidR="00EB0B7F" w:rsidRPr="009261BD" w:rsidRDefault="00EB0B7F" w:rsidP="00EB0B7F">
      <w:pPr>
        <w:pStyle w:val="NormalHanging12a"/>
      </w:pPr>
      <w:r w:rsidRPr="009261BD">
        <w:t>–</w:t>
      </w:r>
      <w:r w:rsidRPr="009261BD">
        <w:tab/>
        <w:t>като взе предвид член 100 и приложение V към своя Правилник за дейността,</w:t>
      </w:r>
    </w:p>
    <w:p w:rsidR="00EB0B7F" w:rsidRPr="009261BD" w:rsidRDefault="00EB0B7F" w:rsidP="00EB0B7F">
      <w:pPr>
        <w:pStyle w:val="NormalHanging12a"/>
      </w:pPr>
      <w:r w:rsidRPr="009261BD">
        <w:t>–</w:t>
      </w:r>
      <w:r w:rsidRPr="009261BD">
        <w:tab/>
        <w:t>като взе предвид становището на комисията по правни въпроси,</w:t>
      </w:r>
    </w:p>
    <w:p w:rsidR="00EB0B7F" w:rsidRPr="009261BD" w:rsidRDefault="00EB0B7F" w:rsidP="00EB0B7F">
      <w:pPr>
        <w:pStyle w:val="NormalHanging12a"/>
      </w:pPr>
      <w:r w:rsidRPr="009261BD">
        <w:t>–</w:t>
      </w:r>
      <w:r w:rsidRPr="009261BD">
        <w:tab/>
        <w:t>като взе предвид доклада на комисията по бюджетен контрол (A9-0075/2024),</w:t>
      </w:r>
    </w:p>
    <w:p w:rsidR="00EB0B7F" w:rsidRPr="009261BD" w:rsidRDefault="00EB0B7F" w:rsidP="00EB0B7F">
      <w:pPr>
        <w:pStyle w:val="NormalHanging12a"/>
      </w:pPr>
      <w:r w:rsidRPr="009261BD">
        <w:t>1.</w:t>
      </w:r>
      <w:r w:rsidRPr="009261BD">
        <w:tab/>
        <w:t>освобождава от отговорност секретаря на Съда във връзка с изпълнението на бюджета на Съда на Европейския съюз за финансовата 2022 година;</w:t>
      </w:r>
    </w:p>
    <w:p w:rsidR="00EB0B7F" w:rsidRPr="009261BD" w:rsidRDefault="00EB0B7F" w:rsidP="00EB0B7F">
      <w:pPr>
        <w:pStyle w:val="NormalHanging12a"/>
      </w:pPr>
      <w:r w:rsidRPr="009261BD">
        <w:t>2.</w:t>
      </w:r>
      <w:r w:rsidRPr="009261BD">
        <w:tab/>
        <w:t>представя своите забележки в резолюцията по-долу;</w:t>
      </w:r>
    </w:p>
    <w:p w:rsidR="00EB0B7F" w:rsidRPr="009261BD" w:rsidRDefault="00EB0B7F" w:rsidP="00EB0B7F">
      <w:pPr>
        <w:pStyle w:val="NormalHanging12a"/>
      </w:pPr>
      <w:r w:rsidRPr="009261BD">
        <w:t>3.</w:t>
      </w:r>
      <w:r w:rsidRPr="009261BD">
        <w:tab/>
        <w:t xml:space="preserve">възлага на своя председател да предаде настоящото решение, както и резолюцията, която е неразделна част от него, на Съда на Европейския съюз, Съвета, Комисията и Сметната палата и да осигури публикуването им в </w:t>
      </w:r>
      <w:r w:rsidRPr="009261BD">
        <w:rPr>
          <w:i/>
        </w:rPr>
        <w:t>Официален вестник на Европейския съюз</w:t>
      </w:r>
      <w:r w:rsidRPr="009261BD">
        <w:t xml:space="preserve"> (серия L).</w:t>
      </w:r>
    </w:p>
    <w:p w:rsidR="00EB0B7F" w:rsidRPr="009261BD" w:rsidRDefault="00EB0B7F" w:rsidP="00EB0B7F"/>
    <w:p w:rsidR="00EB0B7F" w:rsidRPr="009261BD" w:rsidRDefault="00EB0B7F" w:rsidP="00EB0B7F">
      <w:pPr>
        <w:pStyle w:val="PageHeading"/>
        <w:sectPr w:rsidR="00EB0B7F" w:rsidRPr="009261BD" w:rsidSect="009261B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B0B7F" w:rsidRPr="009261BD" w:rsidRDefault="00EB0B7F" w:rsidP="008E2C2D">
      <w:pPr>
        <w:pStyle w:val="ATHeading3"/>
      </w:pPr>
      <w:bookmarkStart w:id="9" w:name="_Toc161651108"/>
      <w:r w:rsidRPr="009261BD">
        <w:lastRenderedPageBreak/>
        <w:t xml:space="preserve">2. </w:t>
      </w:r>
      <w:r w:rsidR="008E2C2D" w:rsidRPr="009261BD">
        <w:t>Резолюция на Европейския парламент</w:t>
      </w:r>
      <w:r w:rsidR="008A2E3D">
        <w:t xml:space="preserve"> от 11 април 2024 г.</w:t>
      </w:r>
      <w:r w:rsidRPr="009261BD">
        <w:t>,</w:t>
      </w:r>
      <w:bookmarkEnd w:id="9"/>
      <w:r w:rsidR="008E2C2D">
        <w:t xml:space="preserve"> </w:t>
      </w:r>
      <w:r w:rsidRPr="009261BD">
        <w:t>съдържащ</w:t>
      </w:r>
      <w:r w:rsidR="008A2E3D">
        <w:t>а</w:t>
      </w:r>
      <w:r w:rsidRPr="009261BD">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IV – Съд на Европейския съюз</w:t>
      </w:r>
      <w:r w:rsidR="008E2C2D">
        <w:t xml:space="preserve"> </w:t>
      </w:r>
      <w:r w:rsidRPr="009261BD">
        <w:t>(2023/2132(DEC))</w:t>
      </w:r>
    </w:p>
    <w:p w:rsidR="00EB0B7F" w:rsidRPr="009261BD" w:rsidRDefault="00EB0B7F" w:rsidP="00EB0B7F">
      <w:pPr>
        <w:pStyle w:val="EPComma"/>
      </w:pPr>
      <w:r w:rsidRPr="009261BD">
        <w:rPr>
          <w:i/>
        </w:rPr>
        <w:t>Европейският парламент</w:t>
      </w:r>
      <w:r w:rsidRPr="009261BD">
        <w:t>,</w:t>
      </w:r>
    </w:p>
    <w:p w:rsidR="00EB0B7F" w:rsidRPr="009261BD" w:rsidRDefault="00EB0B7F" w:rsidP="00EB0B7F">
      <w:pPr>
        <w:pStyle w:val="NormalHanging12a"/>
        <w:rPr>
          <w:szCs w:val="24"/>
        </w:rPr>
      </w:pPr>
      <w:r w:rsidRPr="009261BD">
        <w:t>–</w:t>
      </w:r>
      <w:r w:rsidRPr="009261BD">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IV ‒ Съд на Европейския съюз,</w:t>
      </w:r>
    </w:p>
    <w:p w:rsidR="00EB0B7F" w:rsidRPr="009261BD" w:rsidRDefault="00EB0B7F" w:rsidP="00EB0B7F">
      <w:pPr>
        <w:pStyle w:val="NormalHanging12a"/>
        <w:rPr>
          <w:szCs w:val="24"/>
        </w:rPr>
      </w:pPr>
      <w:r w:rsidRPr="009261BD">
        <w:t>–</w:t>
      </w:r>
      <w:r w:rsidRPr="009261BD">
        <w:tab/>
        <w:t>като взе предвид член 100 и приложение V към своя Правилник за дейността,</w:t>
      </w:r>
    </w:p>
    <w:p w:rsidR="00EB0B7F" w:rsidRPr="009261BD" w:rsidRDefault="00EB0B7F" w:rsidP="00EB0B7F">
      <w:pPr>
        <w:pStyle w:val="NormalHanging12a"/>
        <w:rPr>
          <w:szCs w:val="24"/>
        </w:rPr>
      </w:pPr>
      <w:r w:rsidRPr="009261BD">
        <w:t>–</w:t>
      </w:r>
      <w:r w:rsidRPr="009261BD">
        <w:tab/>
        <w:t>като взе предвид становището на комисията по правни въпроси,</w:t>
      </w:r>
    </w:p>
    <w:p w:rsidR="00EB0B7F" w:rsidRPr="009261BD" w:rsidRDefault="00EB0B7F" w:rsidP="00EB0B7F">
      <w:pPr>
        <w:pStyle w:val="NormalHanging12a"/>
        <w:rPr>
          <w:szCs w:val="24"/>
        </w:rPr>
      </w:pPr>
      <w:r w:rsidRPr="009261BD">
        <w:t>–</w:t>
      </w:r>
      <w:r w:rsidRPr="009261BD">
        <w:tab/>
        <w:t>като взе предвид доклада на комисията по бюджетен контрол (A9-0075/2024),</w:t>
      </w:r>
    </w:p>
    <w:p w:rsidR="00EB0B7F" w:rsidRPr="009261BD" w:rsidRDefault="00EB0B7F" w:rsidP="00EB0B7F">
      <w:pPr>
        <w:pStyle w:val="NormalHanging12a"/>
        <w:rPr>
          <w:szCs w:val="24"/>
        </w:rPr>
      </w:pPr>
      <w:r w:rsidRPr="009261BD">
        <w:t>А.</w:t>
      </w:r>
      <w:r w:rsidRPr="009261BD">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rsidR="00EB0B7F" w:rsidRPr="009261BD" w:rsidRDefault="00EB0B7F" w:rsidP="00EB0B7F">
      <w:pPr>
        <w:pStyle w:val="NormalHanging12a"/>
        <w:rPr>
          <w:rStyle w:val="HideTWBExt"/>
          <w:rFonts w:ascii="Times New Roman" w:hAnsi="Times New Roman"/>
          <w:noProof w:val="0"/>
          <w:vanish w:val="0"/>
          <w:color w:val="auto"/>
          <w:sz w:val="24"/>
          <w:szCs w:val="24"/>
        </w:rPr>
      </w:pPr>
      <w:r w:rsidRPr="009261BD">
        <w:t>Б.</w:t>
      </w:r>
      <w:r w:rsidRPr="009261BD">
        <w:tab/>
        <w:t>като има предвид, че Съдът на Европейския съюз (Съдът на ЕС) е съдебната институция на Съюза, която има за задача да гарантира спазването на правото на Съюза, като следи за еднаквото тълкуване и прилагане на Договорите и осигурява законосъобразността на мерките, приети от институциите, органите, службите и агенциите на Съюза;</w:t>
      </w:r>
    </w:p>
    <w:p w:rsidR="00EB0B7F" w:rsidRPr="009261BD" w:rsidRDefault="00EB0B7F" w:rsidP="00EB0B7F">
      <w:pPr>
        <w:pStyle w:val="NormalHanging12a"/>
        <w:rPr>
          <w:szCs w:val="24"/>
        </w:rPr>
      </w:pPr>
      <w:r w:rsidRPr="009261BD">
        <w:t>В.</w:t>
      </w:r>
      <w:r w:rsidRPr="009261BD">
        <w:tab/>
        <w:t>като има предвид, че Съдът на ЕС спомага за опазването на ценностите на Съюза и чрез своята практика работи за изграждането на Европа;</w:t>
      </w:r>
    </w:p>
    <w:p w:rsidR="00EB0B7F" w:rsidRPr="009261BD" w:rsidRDefault="00EB0B7F" w:rsidP="00EB0B7F">
      <w:pPr>
        <w:pStyle w:val="NormalHanging12a"/>
        <w:rPr>
          <w:szCs w:val="24"/>
        </w:rPr>
      </w:pPr>
      <w:r w:rsidRPr="009261BD">
        <w:t>Г.</w:t>
      </w:r>
      <w:r w:rsidRPr="009261BD">
        <w:tab/>
        <w:t>като има предвид, че Съдът на ЕС се състои от две съдилища: Съд и Общ съд;</w:t>
      </w:r>
    </w:p>
    <w:p w:rsidR="00EB0B7F" w:rsidRPr="009261BD" w:rsidRDefault="00EB0B7F" w:rsidP="00EB0B7F">
      <w:pPr>
        <w:pStyle w:val="NormalHanging12a"/>
        <w:rPr>
          <w:szCs w:val="24"/>
        </w:rPr>
      </w:pPr>
      <w:r w:rsidRPr="009261BD">
        <w:t>1.</w:t>
      </w:r>
      <w:r w:rsidRPr="009261BD">
        <w:tab/>
        <w:t>отбелязва, че бюджетът на Съда на ЕС попада в обхвата на функция 7 от МФР „Европейска публична администрация“, която възлиза на общо 11,6 милиарда евро през 2022 г. (което представлява 5,9% от разходите на Съюза); отбелязва, че през 2022 г. бюджетът на Съда на ЕС в размер на приблизително 0,5 милиарда евро представлява 3,9% от общите административни разходи;</w:t>
      </w:r>
    </w:p>
    <w:p w:rsidR="00EB0B7F" w:rsidRPr="009261BD" w:rsidRDefault="00EB0B7F" w:rsidP="00EB0B7F">
      <w:pPr>
        <w:pStyle w:val="NormalHanging12a"/>
        <w:rPr>
          <w:szCs w:val="24"/>
        </w:rPr>
      </w:pPr>
      <w:r w:rsidRPr="009261BD">
        <w:t>2.</w:t>
      </w:r>
      <w:r w:rsidRPr="009261BD">
        <w:tab/>
        <w:t>отбелязва, че в своя годишен доклад за финансовата 2022 година Сметната палата е проверила извадка от 60 операции в обхвата на функция „Администрация“, същия брой като този на проверените през 2021 г. операции; отбелязва освен това, че Сметната палата посочва, че административните разходи включват разходи за човешки ресурси, в т.ч. за пенсии, които през 2022 г. представляват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разходите в тази област като цяло се характеризират с ниско ниво на риск;</w:t>
      </w:r>
    </w:p>
    <w:p w:rsidR="00EB0B7F" w:rsidRPr="009261BD" w:rsidRDefault="00EB0B7F" w:rsidP="00EB0B7F">
      <w:pPr>
        <w:pStyle w:val="NormalHanging12a"/>
        <w:rPr>
          <w:szCs w:val="24"/>
        </w:rPr>
      </w:pPr>
      <w:r w:rsidRPr="009261BD">
        <w:lastRenderedPageBreak/>
        <w:t>3.</w:t>
      </w:r>
      <w:r w:rsidRPr="009261BD">
        <w:tab/>
        <w:t>отбелязва, че като част от нейния одит за 2022 г. Сметната палата е разгледала системите за наблюдение и контрол на Съда на ЕС, по-специално прилагането на стандартите за вътрешен контрол, управлението на риска и функционирането на ключови контроли, определени във Финансовия регламент, включително предварителни и последващи проверки на плащанията;</w:t>
      </w:r>
    </w:p>
    <w:p w:rsidR="00EB0B7F" w:rsidRPr="009261BD" w:rsidRDefault="00EB0B7F" w:rsidP="00EB0B7F">
      <w:pPr>
        <w:pStyle w:val="NormalHanging12a"/>
        <w:rPr>
          <w:szCs w:val="24"/>
        </w:rPr>
      </w:pPr>
      <w:r w:rsidRPr="009261BD">
        <w:t>4.</w:t>
      </w:r>
      <w:r w:rsidRPr="009261BD">
        <w:tab/>
        <w:t xml:space="preserve">отбелязва, че 14 (23%) от 60-те операции съдържат грешки, но че въз основа на петте </w:t>
      </w:r>
      <w:proofErr w:type="spellStart"/>
      <w:r w:rsidRPr="009261BD">
        <w:t>остойностени</w:t>
      </w:r>
      <w:proofErr w:type="spellEnd"/>
      <w:r w:rsidRPr="009261BD">
        <w:t xml:space="preserve"> грешки изчисленият от Сметната палата процент грешки е под прага на същественост;</w:t>
      </w:r>
    </w:p>
    <w:p w:rsidR="00EB0B7F" w:rsidRPr="009261BD" w:rsidRDefault="00EB0B7F" w:rsidP="00EB0B7F">
      <w:pPr>
        <w:pStyle w:val="NormalHanging12a"/>
        <w:rPr>
          <w:szCs w:val="24"/>
        </w:rPr>
      </w:pPr>
      <w:r w:rsidRPr="009261BD">
        <w:t>5.</w:t>
      </w:r>
      <w:r w:rsidRPr="009261BD">
        <w:tab/>
        <w:t>отбелязва със задоволство, че в годишния си доклад за финансовата 2022 година Сметната палата заявява, че не е установила никакви конкретни проблеми, засягащи Съда на ЕС;</w:t>
      </w:r>
    </w:p>
    <w:p w:rsidR="00EB0B7F" w:rsidRPr="008E2C2D" w:rsidRDefault="00EB0B7F" w:rsidP="00EB0B7F">
      <w:pPr>
        <w:pStyle w:val="NormalHanging12a"/>
        <w:rPr>
          <w:b/>
          <w:i/>
          <w:szCs w:val="24"/>
        </w:rPr>
      </w:pPr>
      <w:r w:rsidRPr="008E2C2D">
        <w:rPr>
          <w:b/>
          <w:i/>
        </w:rPr>
        <w:t>Бюджетно и финансово управление</w:t>
      </w:r>
    </w:p>
    <w:p w:rsidR="00EB0B7F" w:rsidRPr="009261BD" w:rsidRDefault="00EB0B7F" w:rsidP="00EB0B7F">
      <w:pPr>
        <w:pStyle w:val="NormalHanging12a"/>
        <w:rPr>
          <w:szCs w:val="24"/>
        </w:rPr>
      </w:pPr>
      <w:r w:rsidRPr="009261BD">
        <w:t>6.</w:t>
      </w:r>
      <w:r w:rsidRPr="009261BD">
        <w:tab/>
        <w:t>отбелязва, че общият бюджет, отпуснат на Съда на ЕС за 2022 г., възлиза на 467 900 000 EUR, което представлява увеличение от 444 049 000 EUR през 2021 г. и 2020 г., което се равнява на увеличение от 5,4% от 2021 г. до 2022 г., и че 79% от бюджета през 2022 г. са били използвани за неговите членове и служители, 14% за сгради, 6% за информационни технологии и 1% за други разходи;</w:t>
      </w:r>
    </w:p>
    <w:p w:rsidR="00EB0B7F" w:rsidRPr="009261BD" w:rsidRDefault="00EB0B7F" w:rsidP="00EB0B7F">
      <w:pPr>
        <w:pStyle w:val="NormalHanging12a"/>
        <w:rPr>
          <w:szCs w:val="24"/>
        </w:rPr>
      </w:pPr>
      <w:r w:rsidRPr="009261BD">
        <w:t>7.</w:t>
      </w:r>
      <w:r w:rsidRPr="009261BD">
        <w:tab/>
        <w:t>отбелязва, че през финансовата 2022 година Съдът на ЕС е извършил 19 бюджетни трансфера съгласно член 29 от Финансовия регламент, които представляват общо 12,7 милиона евро, или 2,7% от бюджетните кредити за посочената финансова година; отбелязва освен това, че степента на изпълнение на бюджета за 2022 г. е 98,43%, което съответства на предходните години;</w:t>
      </w:r>
    </w:p>
    <w:p w:rsidR="00EB0B7F" w:rsidRPr="009261BD" w:rsidRDefault="00EB0B7F" w:rsidP="00EB0B7F">
      <w:pPr>
        <w:pStyle w:val="NormalHanging12a"/>
        <w:rPr>
          <w:szCs w:val="24"/>
        </w:rPr>
      </w:pPr>
      <w:r w:rsidRPr="009261BD">
        <w:t>8.</w:t>
      </w:r>
      <w:r w:rsidRPr="009261BD">
        <w:tab/>
        <w:t>отбелязва със задоволство, че оправомощеният разпоредител с бюджетни кредити декларира, че разпределените ресурси са използвани по предназначение и в съответствие с принципите на доброто финансово управление и че въведените процедури за контрол осигуряват необходимите гаранции по отношение на законосъобразността и редовността на съответните операции;</w:t>
      </w:r>
    </w:p>
    <w:p w:rsidR="00EB0B7F" w:rsidRPr="009261BD" w:rsidRDefault="00EB0B7F" w:rsidP="00EB0B7F">
      <w:pPr>
        <w:pStyle w:val="NormalHanging12a"/>
        <w:rPr>
          <w:szCs w:val="24"/>
        </w:rPr>
      </w:pPr>
      <w:r w:rsidRPr="009261BD">
        <w:t>9.</w:t>
      </w:r>
      <w:r w:rsidRPr="009261BD">
        <w:tab/>
        <w:t>приветства факта, че Съдът на ЕС работи по широк набор от информационни системи, както във вътрешен план, така и чрез споразумения за нивото на обслужване, в различни области, което ще го направи по-ефективен по отношение на ресурсите;</w:t>
      </w:r>
    </w:p>
    <w:p w:rsidR="00EB0B7F" w:rsidRPr="009261BD" w:rsidRDefault="00EB0B7F" w:rsidP="00EB0B7F">
      <w:pPr>
        <w:pStyle w:val="NormalHanging12a"/>
        <w:rPr>
          <w:szCs w:val="24"/>
        </w:rPr>
      </w:pPr>
      <w:r w:rsidRPr="009261BD">
        <w:t>10.</w:t>
      </w:r>
      <w:r w:rsidRPr="009261BD">
        <w:tab/>
        <w:t>отбелязва, че агресивната война на Русия срещу Украйна по различни начини създаде бюджетен натиск за Съда на ЕС, включително чрез нарастваща инфлация и корекции на заплатите, силно увеличаващи се разходи за енергия и разходи за редица стоки и услуги;</w:t>
      </w:r>
    </w:p>
    <w:p w:rsidR="00EB0B7F" w:rsidRPr="009261BD" w:rsidRDefault="00EB0B7F" w:rsidP="00EB0B7F">
      <w:pPr>
        <w:pStyle w:val="NormalHanging12a"/>
        <w:rPr>
          <w:szCs w:val="24"/>
        </w:rPr>
      </w:pPr>
      <w:r w:rsidRPr="009261BD">
        <w:t>11.</w:t>
      </w:r>
      <w:r w:rsidRPr="009261BD">
        <w:tab/>
        <w:t xml:space="preserve">отбелязва, че общият бюджет за командировки на Съда на ЕС е намалял от 405 000 EUR през 2021 г. на 390 000 EUR през 2022 г., което се равнява на намаление от 3,7%, което се дължи основно на промени в методите на работа с по-голям брой дистанционни заседания; отбелязва освен това, че Съдът на ЕС няма специален бюджетен ред за командировки и пътувания на своя председател; отбелязва накрая, че бюджетният ред за командировките на всички членове на Съда на ЕС е намалял от 280 000 EUR през 2021 г. на 270 000 EUR през 2022 г., </w:t>
      </w:r>
      <w:r w:rsidRPr="009261BD">
        <w:lastRenderedPageBreak/>
        <w:t>което се равнява на намаление от 3,6%, което се дължи основно и на увеличеното използване на инструменти за видеоконферентна връзка;</w:t>
      </w:r>
    </w:p>
    <w:p w:rsidR="00EB0B7F" w:rsidRPr="008E2C2D" w:rsidRDefault="00EB0B7F" w:rsidP="00EB0B7F">
      <w:pPr>
        <w:pStyle w:val="NormalHanging12a"/>
        <w:rPr>
          <w:b/>
          <w:i/>
          <w:szCs w:val="24"/>
        </w:rPr>
      </w:pPr>
      <w:r w:rsidRPr="008E2C2D">
        <w:rPr>
          <w:b/>
          <w:i/>
        </w:rPr>
        <w:t>Вътрешно управление, резултати от дейността и вътрешен контрол</w:t>
      </w:r>
    </w:p>
    <w:p w:rsidR="00EB0B7F" w:rsidRPr="009261BD" w:rsidRDefault="00EB0B7F" w:rsidP="00EB0B7F">
      <w:pPr>
        <w:pStyle w:val="NormalHanging12a"/>
        <w:rPr>
          <w:szCs w:val="24"/>
        </w:rPr>
      </w:pPr>
      <w:r w:rsidRPr="009261BD">
        <w:t>12.</w:t>
      </w:r>
      <w:r w:rsidRPr="009261BD">
        <w:tab/>
        <w:t>отбелязва, че през 2022 г. извънредните мерки, свързани с пандемията от COVID-19, бяха постепенно премахнати и Съдът на ЕС започна да функционира нормално; в тази връзка приветства факта, че броят на посетителите се е увеличил на 11 653 души, което обаче все още не е на равнището отпреди пандемията, когато (през 2019 г.) е имало 17 136 посетители, но че това може отчасти да се дължи и на новите възможности за виртуално посещение в Съда на ЕС;</w:t>
      </w:r>
    </w:p>
    <w:p w:rsidR="00EB0B7F" w:rsidRPr="009261BD" w:rsidRDefault="00EB0B7F" w:rsidP="00EB0B7F">
      <w:pPr>
        <w:pStyle w:val="NormalHanging12a"/>
        <w:rPr>
          <w:szCs w:val="24"/>
        </w:rPr>
      </w:pPr>
      <w:r w:rsidRPr="009261BD">
        <w:t>13.</w:t>
      </w:r>
      <w:r w:rsidRPr="009261BD">
        <w:tab/>
        <w:t xml:space="preserve">отбелязва със задоволство, че през 2022 г. беше отбелязана 70-ата годишнина на Съда на ЕС, което представлява много важна годишнина за целия Съюз; приветства факта, че Съдът на ЕС е използвал възможността да стартира инициативи по темата „Доближаване на правосъдието до гражданите“, включително новата инициатива за предлагане на услуга за </w:t>
      </w:r>
      <w:proofErr w:type="spellStart"/>
      <w:r w:rsidRPr="009261BD">
        <w:t>стрийминг</w:t>
      </w:r>
      <w:proofErr w:type="spellEnd"/>
      <w:r w:rsidRPr="009261BD">
        <w:t xml:space="preserve"> за изслушвания на уебсайта </w:t>
      </w:r>
      <w:proofErr w:type="spellStart"/>
      <w:r w:rsidRPr="009261BD">
        <w:t>Curia</w:t>
      </w:r>
      <w:proofErr w:type="spellEnd"/>
      <w:r w:rsidRPr="009261BD">
        <w:t>;</w:t>
      </w:r>
    </w:p>
    <w:p w:rsidR="00EB0B7F" w:rsidRPr="009261BD" w:rsidRDefault="00EB0B7F" w:rsidP="00EB0B7F">
      <w:pPr>
        <w:pStyle w:val="NormalHanging12a"/>
        <w:rPr>
          <w:szCs w:val="24"/>
        </w:rPr>
      </w:pPr>
      <w:r w:rsidRPr="009261BD">
        <w:t>14.</w:t>
      </w:r>
      <w:r w:rsidRPr="009261BD">
        <w:tab/>
        <w:t xml:space="preserve">отбелязва, че през 2022 г. за Съда на ЕС 68% от новите дела са били </w:t>
      </w:r>
      <w:proofErr w:type="spellStart"/>
      <w:r w:rsidRPr="009261BD">
        <w:t>преюдициални</w:t>
      </w:r>
      <w:proofErr w:type="spellEnd"/>
      <w:r w:rsidRPr="009261BD">
        <w:t xml:space="preserve"> запитвания, 24% са били дела по обжалване на решения на Общия съд, а 4% са били искове срещу държави членки за неизпълнение на задължения; отбелязва освен това, че през 2022 г. за Общия съд 46% от новите дела се отнасят до искове за отмяна на актове на институциите на Съюза, 30% — до искове, свързани с интелектуална собственост, а 7% — до спорове между институциите на Съюза и техните служители;</w:t>
      </w:r>
    </w:p>
    <w:p w:rsidR="00EB0B7F" w:rsidRPr="009261BD" w:rsidRDefault="00EB0B7F" w:rsidP="00EB0B7F">
      <w:pPr>
        <w:pStyle w:val="NormalHanging12a"/>
        <w:rPr>
          <w:szCs w:val="24"/>
        </w:rPr>
      </w:pPr>
      <w:r w:rsidRPr="009261BD">
        <w:t>15.</w:t>
      </w:r>
      <w:r w:rsidRPr="009261BD">
        <w:tab/>
        <w:t>отбелязва, че броят на делата, постъпили в двете съдилища през 2022 г., е сравним с този от предходната година (1 710 дела през 2022 г. спрямо 1 720 през 2021 г.), и подчертава, че Съдът и Общият съд са успели да приключат 1 666 дела през 2022 г. в сравнение с 1 723 през 2021 г., което съответства на средния брой през последните години (1 692 дела годишно между 2018 г. и 2021 г.); отбелязва обаче, че общият брой на висящите дела се увеличава, като през 2022 г. те са били 2 585 дела в сравнение с 2 541 през 2021 г.;</w:t>
      </w:r>
    </w:p>
    <w:p w:rsidR="00EB0B7F" w:rsidRPr="009261BD" w:rsidRDefault="00EB0B7F" w:rsidP="00EB0B7F">
      <w:pPr>
        <w:pStyle w:val="NormalHanging12a"/>
        <w:rPr>
          <w:szCs w:val="24"/>
        </w:rPr>
      </w:pPr>
      <w:r w:rsidRPr="009261BD">
        <w:t>16.</w:t>
      </w:r>
      <w:r w:rsidRPr="009261BD">
        <w:tab/>
        <w:t>отбелязва, че средната продължителност на производствата по делата пред Съда остава подобна на тази от предходните години, а именно 16,4 месеца през 2022 г. в сравнение с 16,6 месеца през 2021 г.; приветства намаляването на средната продължителност на производствата по делата пред Общия съд на 16,2 месеца през 2022 г. в сравнение със 17,3 месеца през 2021 г.;</w:t>
      </w:r>
    </w:p>
    <w:p w:rsidR="00EB0B7F" w:rsidRPr="009261BD" w:rsidRDefault="00EB0B7F" w:rsidP="00EB0B7F">
      <w:pPr>
        <w:pStyle w:val="NormalHanging12a"/>
        <w:rPr>
          <w:szCs w:val="24"/>
        </w:rPr>
      </w:pPr>
      <w:r w:rsidRPr="009261BD">
        <w:t>17.</w:t>
      </w:r>
      <w:r w:rsidRPr="009261BD">
        <w:tab/>
        <w:t>приветства факта, че Съдът на ЕС е предоставил обобщение на броя и вида на вътрешните одити, извършени в Съда на ЕС, и обобщение на препоръките и действията, предприети по тези препоръки, в съответствие с член 118, параграф 8 от Финансовия регламент; отбелязва, че вътрешният одитор има годишна работна програма с многогодишен компонент;</w:t>
      </w:r>
    </w:p>
    <w:p w:rsidR="00EB0B7F" w:rsidRPr="009261BD" w:rsidRDefault="00EB0B7F" w:rsidP="00EB0B7F">
      <w:pPr>
        <w:pStyle w:val="NormalHanging12a"/>
        <w:rPr>
          <w:szCs w:val="24"/>
        </w:rPr>
      </w:pPr>
      <w:r w:rsidRPr="009261BD">
        <w:t>18.</w:t>
      </w:r>
      <w:r w:rsidRPr="009261BD">
        <w:tab/>
        <w:t>отбелязва, че най-важните вътрешни одити през 2022 г. засягат управлението на банкови сметки, изпълнението на касовите средства и плащанията, застрахователните договори и покритието на риска, разпространението на информация за устойчивостта и потоците за управление на езиковите преводи;</w:t>
      </w:r>
    </w:p>
    <w:p w:rsidR="00EB0B7F" w:rsidRPr="009261BD" w:rsidRDefault="00EB0B7F" w:rsidP="00EB0B7F">
      <w:pPr>
        <w:pStyle w:val="NormalHanging12a"/>
        <w:rPr>
          <w:szCs w:val="24"/>
        </w:rPr>
      </w:pPr>
      <w:r w:rsidRPr="009261BD">
        <w:lastRenderedPageBreak/>
        <w:t>19.</w:t>
      </w:r>
      <w:r w:rsidRPr="009261BD">
        <w:tab/>
        <w:t>отбелязва, че в отговорите на въпросника на комисията по бюджетен контрол на Парламента, който е част от настоящата процедура по освобождаване от отговорност във връзка с изпълнението на бюджета, Съдът на ЕС посочва, че вътрешните одити са довели до много препоръки, които са били приветствани от съответните служби; изисква Парламентът да бъде информиран, ако съответните служби не предприемат последващи действия по препоръките на вътрешния одитор;</w:t>
      </w:r>
    </w:p>
    <w:p w:rsidR="00EB0B7F" w:rsidRPr="008E2C2D" w:rsidRDefault="00EB0B7F" w:rsidP="00EB0B7F">
      <w:pPr>
        <w:pStyle w:val="NormalHanging12a"/>
        <w:rPr>
          <w:b/>
          <w:i/>
          <w:szCs w:val="24"/>
        </w:rPr>
      </w:pPr>
      <w:r w:rsidRPr="008E2C2D">
        <w:rPr>
          <w:b/>
          <w:i/>
        </w:rPr>
        <w:t>Човешки ресурси, равенство и благосъстояние на служителите</w:t>
      </w:r>
    </w:p>
    <w:p w:rsidR="00EB0B7F" w:rsidRPr="009261BD" w:rsidRDefault="00EB0B7F" w:rsidP="00EB0B7F">
      <w:pPr>
        <w:pStyle w:val="NormalHanging12a"/>
        <w:rPr>
          <w:szCs w:val="24"/>
        </w:rPr>
      </w:pPr>
      <w:r w:rsidRPr="009261BD">
        <w:t>20.</w:t>
      </w:r>
      <w:r w:rsidRPr="009261BD">
        <w:tab/>
        <w:t>отбелязва, че Съдът се състои от 27 съдии и 11 генерални адвокати и че през 2022 г. не е встъпил в длъжност нов съдия; отбелязва освен това, че Общият съд се състои от 54 съдии и че осем нови съдии са встъпили в длъжност през 2022 г.;</w:t>
      </w:r>
    </w:p>
    <w:p w:rsidR="00EB0B7F" w:rsidRPr="009261BD" w:rsidRDefault="00EB0B7F" w:rsidP="00EB0B7F">
      <w:pPr>
        <w:pStyle w:val="NormalHanging12a"/>
        <w:rPr>
          <w:szCs w:val="24"/>
        </w:rPr>
      </w:pPr>
      <w:r w:rsidRPr="009261BD">
        <w:t>21.</w:t>
      </w:r>
      <w:r w:rsidRPr="009261BD">
        <w:tab/>
        <w:t>отбелязва със загриженост, че Съдът и Общият съд продължават да имат много небалансиран състав от гледна точка на съотношението между половете и че от осемте нови съдии, встъпили в длъжност в Общия съд през 2022 г., петима са мъже, а трима — жени; отново изразява задоволство от писмото на председателя на Общия съд до председателя на Конференцията на представителите на държавите членки през 2021 г., в което се призовава държавите членки да вземат предвид необходимостта от баланс между половете при номинирането на кандидати за замяна на съдии; изразява съжаление, че писмото остава без отговор;</w:t>
      </w:r>
    </w:p>
    <w:p w:rsidR="00EB0B7F" w:rsidRPr="009261BD" w:rsidRDefault="00EB0B7F" w:rsidP="00EB0B7F">
      <w:pPr>
        <w:pStyle w:val="NormalHanging12a"/>
        <w:rPr>
          <w:szCs w:val="24"/>
        </w:rPr>
      </w:pPr>
      <w:r w:rsidRPr="009261BD">
        <w:t>22.</w:t>
      </w:r>
      <w:r w:rsidRPr="009261BD">
        <w:tab/>
        <w:t>оценява факта, че Съдът на ЕС, като част от отговорите си на въпросника на комисията по бюджетен контрол на Парламента, е предоставил много подробна информация относно разпределението на служителите в края на 2022 г.;</w:t>
      </w:r>
    </w:p>
    <w:p w:rsidR="00EB0B7F" w:rsidRPr="009261BD" w:rsidRDefault="00EB0B7F" w:rsidP="00EB0B7F">
      <w:pPr>
        <w:pStyle w:val="NormalHanging12a"/>
        <w:rPr>
          <w:szCs w:val="24"/>
        </w:rPr>
      </w:pPr>
      <w:r w:rsidRPr="009261BD">
        <w:t>23.</w:t>
      </w:r>
      <w:r w:rsidRPr="009261BD">
        <w:tab/>
        <w:t>отбелязва, че в края на 2022 г. в Съда на ЕС са работили 2253 служители, което представлява леко увеличение спрямо 2 247 служители в края на 2021 г. и 2 239 в края на 2020 г.; отбелязва, че общото разпределение по пол в края на 2022 г. е било 893 мъже, което се равнява на 40%, и 1 360 жени, което се равнява на 60%; отбелязва освен това, че общото разпределение между различните категории служители е било 1 300 длъжностни лица (58%), 774 срочно наети служители (34%) и 179 договорно наети служители (8%), което представлява малък спад в процента на служителите, които са длъжностни лица, в сравнение с 2021 г., което се изразява в леко увеличение на процента на срочно наетите служители и без промяна по отношение на договорно наетите служители;</w:t>
      </w:r>
    </w:p>
    <w:p w:rsidR="00EB0B7F" w:rsidRPr="009261BD" w:rsidRDefault="00EB0B7F" w:rsidP="00EB0B7F">
      <w:pPr>
        <w:pStyle w:val="NormalHanging12a"/>
        <w:rPr>
          <w:szCs w:val="24"/>
        </w:rPr>
      </w:pPr>
      <w:r w:rsidRPr="009261BD">
        <w:t>24.</w:t>
      </w:r>
      <w:r w:rsidRPr="009261BD">
        <w:tab/>
        <w:t>отбелязва, че за висшето ръководство разпределението по пол е било девет мъже и шест жени, което се равнява на 60% мъже и 40% жени; отбелязва, че за средното управленско равнище разпределението по пол е било 36 мъже и 24 жени, което също се равнява на 60% мъже и 40% жени;</w:t>
      </w:r>
    </w:p>
    <w:p w:rsidR="00EB0B7F" w:rsidRPr="009261BD" w:rsidRDefault="00EB0B7F" w:rsidP="00EB0B7F">
      <w:pPr>
        <w:pStyle w:val="NormalHanging12a"/>
        <w:rPr>
          <w:szCs w:val="24"/>
        </w:rPr>
      </w:pPr>
      <w:r w:rsidRPr="009261BD">
        <w:t>25.</w:t>
      </w:r>
      <w:r w:rsidRPr="009261BD">
        <w:tab/>
        <w:t xml:space="preserve">приветства факта, че всички националности на Съюза са представени в персонала на Съда на ЕС; отбелязва обаче със съжаление, че гражданите на някои държави членки са </w:t>
      </w:r>
      <w:proofErr w:type="spellStart"/>
      <w:r w:rsidRPr="009261BD">
        <w:t>свръхпредставени</w:t>
      </w:r>
      <w:proofErr w:type="spellEnd"/>
      <w:r w:rsidRPr="009261BD">
        <w:t xml:space="preserve">; отбелязва в това отношение, че френските граждани съставляват 505 от общо 2 253 служители, което се равнява на 22%, и че </w:t>
      </w:r>
      <w:proofErr w:type="spellStart"/>
      <w:r w:rsidRPr="009261BD">
        <w:t>свръхпредставеността</w:t>
      </w:r>
      <w:proofErr w:type="spellEnd"/>
      <w:r w:rsidRPr="009261BD">
        <w:t xml:space="preserve"> е дори още по-висока сред асистентите, където те представляват 223 от общо 719 служители, което се равнява на 31%; отбелязва, че белгийските и италианските граждани са </w:t>
      </w:r>
      <w:proofErr w:type="spellStart"/>
      <w:r w:rsidRPr="009261BD">
        <w:t>свръхпредставени</w:t>
      </w:r>
      <w:proofErr w:type="spellEnd"/>
      <w:r w:rsidRPr="009261BD">
        <w:t xml:space="preserve"> на ниво „администратор“ (AD), съответно със 108 и 97 служители от общо 1 274 </w:t>
      </w:r>
      <w:r w:rsidRPr="009261BD">
        <w:lastRenderedPageBreak/>
        <w:t>служители; отбелязва също така, че Кипър е най-недостатъчно представената държава — само двама граждани на длъжност „администратор“ — съответно длъжностно лице и срочно нает служител, и нито един гражданин на длъжност „асистент“ и „асистент секретар“. отбелязва, че Съдът на ЕС следва да се стреми към по-балансирано представителство на граждани на Съюза на всички позиции и да има за цел да осигури подходящо разпределение по географски признак;</w:t>
      </w:r>
    </w:p>
    <w:p w:rsidR="00EB0B7F" w:rsidRPr="009261BD" w:rsidRDefault="00EB0B7F" w:rsidP="00EB0B7F">
      <w:pPr>
        <w:pStyle w:val="NormalHanging12a"/>
        <w:rPr>
          <w:szCs w:val="24"/>
        </w:rPr>
      </w:pPr>
      <w:r w:rsidRPr="009261BD">
        <w:t>26.</w:t>
      </w:r>
      <w:r w:rsidRPr="009261BD">
        <w:tab/>
        <w:t>насърчава Съда на ЕС да подкрепя многоезичната работна среда; отбелязва, че въпреки че съгласно Процедурния правилник на Съда, глава 8, член 36, езикът на делото може да бъде на всеки език на Съюза (български, чешки, датски, холандски, английски, естонски, фински, френски , немски, гръцки, унгарски, ирландски, латвийски, литовски, малтийски, полски, португалски, румънски, словашки, словенски, испански или шведски), ежедневната административна работа се извършва в 90% на френски език; насърчава другите два работни езика на Европейския съюз, а именно немският и английският, да се използват по-често в ежедневната административна работа на Съда на ЕС, за да се поощри многоезичието и да се направи заетостта по-достъпна за гражданите на всички държави членки, включително тези, в които френският език не се изучава в училищата; отбелязва, че това би допринесло и за по-равномерно разпределение на националностите сред служителите на Съда на ЕС, призовава всички институции да гарантират многоезичието;</w:t>
      </w:r>
    </w:p>
    <w:p w:rsidR="00EB0B7F" w:rsidRPr="009261BD" w:rsidRDefault="00EB0B7F" w:rsidP="00EB0B7F">
      <w:pPr>
        <w:pStyle w:val="NormalHanging12a"/>
        <w:rPr>
          <w:szCs w:val="24"/>
        </w:rPr>
      </w:pPr>
      <w:r w:rsidRPr="009261BD">
        <w:t>27.</w:t>
      </w:r>
      <w:r w:rsidRPr="009261BD">
        <w:tab/>
        <w:t>приветства работата, извършена в междуинституционалната група на високо равнище за повишаване на привлекателността на Люксембург за персонала; насърчава Съда на ЕС да продължи да работи с другите институции, установени в Люксембург, по различни действия, включително идеята за въвеждане на специална жилищна надбавка за компенсиране на високите наеми, които се усещат особено от служителите с по-ниски степени, и да гарантира, че служителите на Съда на ЕС се ползват от подходящи договорености по отношение на условията им на живот; изисква Парламентът да бъде информиран за напредъка на всички подобни инициативи;</w:t>
      </w:r>
    </w:p>
    <w:p w:rsidR="00EB0B7F" w:rsidRPr="009261BD" w:rsidRDefault="00EB0B7F" w:rsidP="00EB0B7F">
      <w:pPr>
        <w:pStyle w:val="NormalHanging12a"/>
        <w:rPr>
          <w:szCs w:val="24"/>
        </w:rPr>
      </w:pPr>
      <w:r w:rsidRPr="009261BD">
        <w:t>28.</w:t>
      </w:r>
      <w:r w:rsidRPr="009261BD">
        <w:tab/>
        <w:t>отбелязва със задоволство, че на 1 май 2022 г. Съдът на ЕС въведе нова схема за дистанционна работа, която предоставя възможност за работа от дома два дни в седмицата; отбелязва освен това, че схемата позволява на служителите да работят до 10 дни годишно извън мястото на работа и че проучване сред ръководителите показа общо удовлетворение от тази възможност, която се оказа съвместима с правилното функциониране на службите;</w:t>
      </w:r>
    </w:p>
    <w:p w:rsidR="00EB0B7F" w:rsidRPr="009261BD" w:rsidRDefault="00EB0B7F" w:rsidP="00EB0B7F">
      <w:pPr>
        <w:pStyle w:val="NormalHanging12a"/>
        <w:rPr>
          <w:szCs w:val="24"/>
        </w:rPr>
      </w:pPr>
      <w:r w:rsidRPr="009261BD">
        <w:t>29.</w:t>
      </w:r>
      <w:r w:rsidRPr="009261BD">
        <w:tab/>
        <w:t>отбелязва със загриженост, че броят на дните отпуск по болест през 2022 г. в рамките на Съда на ЕС е бил 23 702, което се равнява на увеличение с 38% спрямо 2021 г., когато броят на дните отпуск по болест е бил 17 138; същевременно отбелязва, че през 2019 г. е имало 25 629 дни отпуск по болест и че относително малкият брой през 2021 г. може да е свързан с пандемията от COVID-19;</w:t>
      </w:r>
    </w:p>
    <w:p w:rsidR="00EB0B7F" w:rsidRPr="009261BD" w:rsidRDefault="00EB0B7F" w:rsidP="00EB0B7F">
      <w:pPr>
        <w:pStyle w:val="NormalHanging12a"/>
        <w:rPr>
          <w:szCs w:val="24"/>
        </w:rPr>
      </w:pPr>
      <w:r w:rsidRPr="009261BD">
        <w:t>30.</w:t>
      </w:r>
      <w:r w:rsidRPr="009261BD">
        <w:tab/>
        <w:t xml:space="preserve">отбелязва със загриженост, че 46 служители са докладвали за изтощение поради свързани с работата причини, докато според оценка на медицинските служби на Съда на ЕС през 2022 г. е имало 23 случая, при които служителите са показали симптоми, които биха могли да бъдат свързани с диагностициране на професионално изчерпване; отбелязва, че Съдът на ЕС е предложил курсове за обучение на ръководителите с цел повишаване на осведомеността относно </w:t>
      </w:r>
      <w:r w:rsidRPr="009261BD">
        <w:lastRenderedPageBreak/>
        <w:t>различните рискове, свързани с професионалното изчерпване, и относно благосъстоянието на персонала; призовава Съда на ЕС да запази акцента върху този проблем, да обмисли допълнително как може да се предотврати професионалното изчерпване и да предприеме всички необходими мерки за гарантиране на благосъстоянието на своите служители, за да намали броя на случаите, свързани с професионално изчерпване; предлага Съдът на ЕС и другите институции да създадат кутия за коментари, в която служителите да могат да оставят коментари, като се гарантира, че служителите няма да бъдат обект на ответни действия с цел отмъщение; настоятелно призовава съдържанието на такава кутия за коментари да се възприема сериозно и да се анализира, за да се подпомогне идентифицирането и намаляването на източниците на професионално изчерпване;</w:t>
      </w:r>
    </w:p>
    <w:p w:rsidR="00EB0B7F" w:rsidRPr="009261BD" w:rsidRDefault="00EB0B7F" w:rsidP="00EB0B7F">
      <w:pPr>
        <w:pStyle w:val="NormalHanging12a"/>
        <w:rPr>
          <w:szCs w:val="24"/>
        </w:rPr>
      </w:pPr>
      <w:r w:rsidRPr="009261BD">
        <w:t>31.</w:t>
      </w:r>
      <w:r w:rsidRPr="009261BD">
        <w:tab/>
        <w:t>насърчава отдела за човешките ресурси да бъдат по-наясно с последиците и симптомите на състоянието след прекаран COVID-19, други вирусни заболявания и автоимунни заболявания; настоява здравната застраховка, предоставяна от Съда на ЕС и всички други институции на Съюза, да покрива финансово терапиите, необходими за лечението на тези заболявания;</w:t>
      </w:r>
    </w:p>
    <w:p w:rsidR="00EB0B7F" w:rsidRPr="009261BD" w:rsidRDefault="00EB0B7F" w:rsidP="00EB0B7F">
      <w:pPr>
        <w:pStyle w:val="NormalHanging12a"/>
        <w:rPr>
          <w:szCs w:val="24"/>
        </w:rPr>
      </w:pPr>
      <w:r w:rsidRPr="009261BD">
        <w:t>32.</w:t>
      </w:r>
      <w:r w:rsidRPr="009261BD">
        <w:tab/>
        <w:t>отбелязва, че през 2023 г. е започнало едно административно разследване във връзка със случай, който може да бъде определен като сексуален тормоз, относно факти, настъпили през 2022 г., което понастоящем е в ход;</w:t>
      </w:r>
    </w:p>
    <w:p w:rsidR="00EB0B7F" w:rsidRPr="009261BD" w:rsidRDefault="00EB0B7F" w:rsidP="00EB0B7F">
      <w:pPr>
        <w:pStyle w:val="NormalHanging12a"/>
        <w:rPr>
          <w:szCs w:val="24"/>
        </w:rPr>
      </w:pPr>
      <w:r w:rsidRPr="009261BD">
        <w:t>33.</w:t>
      </w:r>
      <w:r w:rsidRPr="009261BD">
        <w:tab/>
        <w:t>отбелязва със задоволство, че Съдът на ЕС предлага курсове за обучение с цел способстване и насърчаване на многообразието в рамките на своите служби; отбелязва освен това, че в Съда на ЕС има 27 служители с увреждания, от които 14 се считат за лица с тежко увреждане; оценява факта, че през 2022 г. са предприети значителни последващи действия във връзка с вътрешен одит от 2021 г., за да се гарантират правата на хората с увреждания;</w:t>
      </w:r>
    </w:p>
    <w:p w:rsidR="00EB0B7F" w:rsidRPr="009261BD" w:rsidRDefault="00EB0B7F" w:rsidP="00EB0B7F">
      <w:pPr>
        <w:pStyle w:val="NormalHanging12a"/>
        <w:rPr>
          <w:szCs w:val="24"/>
        </w:rPr>
      </w:pPr>
      <w:r w:rsidRPr="009261BD">
        <w:t>34.</w:t>
      </w:r>
      <w:r w:rsidRPr="009261BD">
        <w:tab/>
        <w:t>отбелязва, че през 2022 г. Съдът на ЕС е приветствал с добре дошли 267 стажанти; отбелязва със задоволство, че от есента на 2022 г., по препоръка на Парламента, Съдът на ЕС е решил да изплаща възнаграждение на всички стажанти, с изключение на тези, които получават стипендия от други източници; насърчава Съда на ЕС да провери дали стажантите са пропорционално представени от всички държави членки;</w:t>
      </w:r>
    </w:p>
    <w:p w:rsidR="00EB0B7F" w:rsidRPr="009261BD" w:rsidRDefault="00EB0B7F" w:rsidP="00EB0B7F">
      <w:pPr>
        <w:pStyle w:val="NormalHanging12a"/>
        <w:rPr>
          <w:szCs w:val="24"/>
        </w:rPr>
      </w:pPr>
      <w:r w:rsidRPr="009261BD">
        <w:t>35.</w:t>
      </w:r>
      <w:r w:rsidRPr="009261BD">
        <w:tab/>
        <w:t>изразява съжаление, че през 2022 г. Съдът на ЕС е приел неплатени стажанти, независимо дали по време на преходния период след приемането на новото решение относно стажовете през ноември 2021 г. или поради алтернативни източници на финансиране. подчертава контраста между Съда на ЕС, който няма политика за платени стажове, и други европейски институции, които поддържат такива политики; настоятелно призовава Съда на ЕС да осигури прозрачност относно външните източници на финансиране на неплатените стажанти и да изложи подробно мотивите за поддържането на тази политика;</w:t>
      </w:r>
    </w:p>
    <w:p w:rsidR="00EB0B7F" w:rsidRPr="008E2C2D" w:rsidRDefault="00EB0B7F" w:rsidP="00EB0B7F">
      <w:pPr>
        <w:pStyle w:val="NormalHanging12a"/>
        <w:rPr>
          <w:b/>
          <w:i/>
          <w:szCs w:val="24"/>
        </w:rPr>
      </w:pPr>
      <w:r w:rsidRPr="008E2C2D">
        <w:rPr>
          <w:b/>
          <w:i/>
        </w:rPr>
        <w:t>Етична рамка и прозрачност</w:t>
      </w:r>
    </w:p>
    <w:p w:rsidR="00EB0B7F" w:rsidRPr="009261BD" w:rsidRDefault="00EB0B7F" w:rsidP="00EB0B7F">
      <w:pPr>
        <w:pStyle w:val="NormalHanging12a"/>
        <w:rPr>
          <w:szCs w:val="24"/>
        </w:rPr>
      </w:pPr>
      <w:r w:rsidRPr="009261BD">
        <w:t>36.</w:t>
      </w:r>
      <w:r w:rsidRPr="009261BD">
        <w:tab/>
        <w:t xml:space="preserve">продължава да оценява реформите, извършени през 2021 г. по отношение на членовете на Съда и на Общия съд по отношение на техния кодекс за поведение и декларациите за интереси, които заедно с новите изисквания за автобиографиите </w:t>
      </w:r>
      <w:r w:rsidRPr="009261BD">
        <w:lastRenderedPageBreak/>
        <w:t>на членовете представляват подобряване на прозрачността на Съда на ЕС; въпреки това счита, че валидността и полезността на декларациите за интереси биха били подобрени чрез някакъв вид проверка и контрол на качеството;</w:t>
      </w:r>
    </w:p>
    <w:p w:rsidR="00EB0B7F" w:rsidRPr="009261BD" w:rsidRDefault="00EB0B7F" w:rsidP="00EB0B7F">
      <w:pPr>
        <w:pStyle w:val="NormalHanging12a"/>
        <w:rPr>
          <w:szCs w:val="24"/>
        </w:rPr>
      </w:pPr>
      <w:r w:rsidRPr="009261BD">
        <w:t>37.</w:t>
      </w:r>
      <w:r w:rsidRPr="009261BD">
        <w:tab/>
        <w:t>приветства факта, че от 2018 г. насам Съдът на ЕС публикува списък на външните дейности, извършвани от членовете както на Съда, така и на Общия съд; отбелязва, че списъкът е труден за четене от широката общественост и препоръчва той да стане по-информативен чрез включване на информация относно естеството на външната дейност; подчертава, че от членовете се очаква да се посветят изцяло на изпълнението на своите служебни задължения в Съда на ЕС и че те могат да извършват единствено външни дейности, които са свързани с изпълнението на техните служебни задължения и подлежат на предварително разрешение, което се дава само ако тези дейности са съвместими с изискванията на кодекса за поведение, и по-специално със задължението да бъдат на разположение за съдебните дейности;</w:t>
      </w:r>
    </w:p>
    <w:p w:rsidR="00EB0B7F" w:rsidRPr="009261BD" w:rsidRDefault="00EB0B7F" w:rsidP="00EB0B7F">
      <w:pPr>
        <w:pStyle w:val="NormalHanging12a"/>
        <w:rPr>
          <w:szCs w:val="24"/>
        </w:rPr>
      </w:pPr>
      <w:r w:rsidRPr="009261BD">
        <w:t>38.</w:t>
      </w:r>
      <w:r w:rsidRPr="009261BD">
        <w:tab/>
        <w:t>отбелязва решението от 2021 г. относно пътуванията и командировките на членовете и използването на шофьори и автомобили от членовете, което предполага, че членовете ще трябва да покриват всички текущи разходи за използването на превозно средство, което не е обхванато от командировъчна заповед, за разстояние над 10 000 км; отново изразява становището си, че при никакви обстоятелства автомобилният парк не следва да се използва извън стриктното изпълнение на задълженията на членовете на Съда на ЕС; призовава всички институции на Съюза да се споразумеят за единна система, която да се прилага хоризонтално, което би намалило объркването и би увеличило прозрачността и ефикасността при използването на публични финансови средства;</w:t>
      </w:r>
    </w:p>
    <w:p w:rsidR="00EB0B7F" w:rsidRPr="009261BD" w:rsidRDefault="00EB0B7F" w:rsidP="00EB0B7F">
      <w:pPr>
        <w:pStyle w:val="NormalHanging12a"/>
        <w:rPr>
          <w:szCs w:val="24"/>
        </w:rPr>
      </w:pPr>
      <w:r w:rsidRPr="009261BD">
        <w:t>39.</w:t>
      </w:r>
      <w:r w:rsidRPr="009261BD">
        <w:tab/>
        <w:t xml:space="preserve">приветства факта, че Съдът на ЕС обучава всички </w:t>
      </w:r>
      <w:proofErr w:type="spellStart"/>
      <w:r w:rsidRPr="009261BD">
        <w:t>новопостъпили</w:t>
      </w:r>
      <w:proofErr w:type="spellEnd"/>
      <w:r w:rsidRPr="009261BD">
        <w:t xml:space="preserve"> служители относно всички етични аспекти, както и относно правата и задълженията на длъжностните лица и служителите, както е предвидено в Правилника за длъжностните лица, като обхваща и подаването на сигнали за нередности, забраната на тормоза, предотвратяването на конфликти на интереси и други етични въпроси; приветства също така организирането на шест курса за обучение, озаглавени „Правила за добро поведение“, с участието на 70 служители и 11 курса за обучение, озаглавени „Вътрешен контрол“, с участието на 80 служители; насърчава Съда на ЕС да въведе един курс на обучение относно правилата за добро поведение като изискване за всички служители, независимо дали са стари или нови, за да се поощри безопасното и продуктивно работно пространство и етичното разглеждане на делата;</w:t>
      </w:r>
    </w:p>
    <w:p w:rsidR="00EB0B7F" w:rsidRPr="009261BD" w:rsidRDefault="00EB0B7F" w:rsidP="00EB0B7F">
      <w:pPr>
        <w:pStyle w:val="NormalHanging12a"/>
        <w:rPr>
          <w:szCs w:val="24"/>
        </w:rPr>
      </w:pPr>
      <w:r w:rsidRPr="009261BD">
        <w:t>40.</w:t>
      </w:r>
      <w:r w:rsidRPr="009261BD">
        <w:tab/>
        <w:t>отбелязва със задоволство, че през 2022 г. Европейската служба за борба с измамите (OLAF) не е започнала нови разследвания, свързани с участие на Съда на ЕС, но че едно разследване относно поведението на служители, което може да съставлява сериозно неизпълнение на техните задължения, все още е в ход, и че в четири случая, разгледани от Европейския омбудсман във връзка с Съда на ЕС, не е установено лошо администриране, което означава, че Европейският омбудсман не е отправил препоръки по отношение на Съда на ЕС през 2022 г.; отбелязва, че през 2022 г. не са регистрирани случаи на подаване на сигнали за нередности в Съда на ЕС;</w:t>
      </w:r>
    </w:p>
    <w:p w:rsidR="00EB0B7F" w:rsidRPr="009261BD" w:rsidRDefault="00EB0B7F" w:rsidP="00EB0B7F">
      <w:pPr>
        <w:pStyle w:val="NormalHanging12a"/>
        <w:rPr>
          <w:szCs w:val="24"/>
        </w:rPr>
      </w:pPr>
      <w:r w:rsidRPr="009261BD">
        <w:lastRenderedPageBreak/>
        <w:t>41.</w:t>
      </w:r>
      <w:r w:rsidRPr="009261BD">
        <w:tab/>
        <w:t>изразява дълбоко съжаление, че новият кодекс за поведение на служителите, който първоначално се очакваше да бъде финализиран до края на 2021 г., все още не беше финализиран до края на 2022 г.; отбелязва, че се очакваше новият кодекс за поведение да бъде приет до края на 2023 г., но той все още е в процес на приемане; призовава Съда да финализира и приеме нов кодекс за поведение без забавяне в съответствие с исканията от предишните цикли на освобождаване от отговорност и изисква Парламентът да бъде информиран за неговото приемане и неговото съдържание възможно най-скоро;</w:t>
      </w:r>
    </w:p>
    <w:p w:rsidR="00EB0B7F" w:rsidRPr="009261BD" w:rsidRDefault="00EB0B7F" w:rsidP="00EB0B7F">
      <w:pPr>
        <w:pStyle w:val="NormalHanging12a"/>
        <w:rPr>
          <w:szCs w:val="24"/>
        </w:rPr>
      </w:pPr>
      <w:r w:rsidRPr="009261BD">
        <w:t>42.</w:t>
      </w:r>
      <w:r w:rsidRPr="009261BD">
        <w:tab/>
        <w:t>приветства факта, че през 2022 г. не са открити конфликти на интереси; отбелязва, че са разгледани 112 искания съгласно член 16 от Правилника за длъжностните лица относно професионални дейности след прекратяване на служебното правоотношение и че всички те са били одобрени; отбелязва освен това, че са декларирани девет случая на външна дейност по време на отпуск по лични причини и че всички те са били одобрени; счита, че тази област би могла евентуално да бъде разгледана от вътрешния одитор или от предложения орган по етика на ЕС;</w:t>
      </w:r>
    </w:p>
    <w:p w:rsidR="00EB0B7F" w:rsidRPr="008E2C2D" w:rsidRDefault="00EB0B7F" w:rsidP="00EB0B7F">
      <w:pPr>
        <w:pStyle w:val="NormalHanging12a"/>
        <w:rPr>
          <w:b/>
          <w:i/>
          <w:szCs w:val="24"/>
        </w:rPr>
      </w:pPr>
      <w:r w:rsidRPr="008E2C2D">
        <w:rPr>
          <w:b/>
          <w:i/>
        </w:rPr>
        <w:t>Цифровизация, киберсигурност и защита на данните</w:t>
      </w:r>
    </w:p>
    <w:p w:rsidR="00EB0B7F" w:rsidRPr="009261BD" w:rsidRDefault="00EB0B7F" w:rsidP="00EB0B7F">
      <w:pPr>
        <w:pStyle w:val="NormalHanging12a"/>
        <w:rPr>
          <w:szCs w:val="24"/>
        </w:rPr>
      </w:pPr>
      <w:r w:rsidRPr="009261BD">
        <w:t>43.</w:t>
      </w:r>
      <w:r w:rsidRPr="009261BD">
        <w:tab/>
        <w:t>приветства факта, че Съдът на ЕС е ускорил прилагането на интегрирана деловодна система (SIGA), което ще му позволи да работи в условията на изцяло цифров, сигурен и интегриран работен процес, и приветства факта, че Съдът на ЕС е постигнал напредък в изпълнението на програмата HAN/</w:t>
      </w:r>
      <w:proofErr w:type="spellStart"/>
      <w:r w:rsidRPr="009261BD">
        <w:t>Ares</w:t>
      </w:r>
      <w:proofErr w:type="spellEnd"/>
      <w:r w:rsidRPr="009261BD">
        <w:t xml:space="preserve"> по отношение на всички административни служби на Съда на ЕС; изисква от Съда на ЕС да предоставя на Парламента актуална информация относно това изпълнение като част от годишната процедура по освобождаване от отговорност във връзка с изпълнението на бюджета;</w:t>
      </w:r>
    </w:p>
    <w:p w:rsidR="00EB0B7F" w:rsidRPr="009261BD" w:rsidRDefault="00EB0B7F" w:rsidP="00EB0B7F">
      <w:pPr>
        <w:pStyle w:val="NormalHanging12a"/>
        <w:rPr>
          <w:szCs w:val="24"/>
        </w:rPr>
      </w:pPr>
      <w:r w:rsidRPr="009261BD">
        <w:t>44.</w:t>
      </w:r>
      <w:r w:rsidRPr="009261BD">
        <w:tab/>
        <w:t xml:space="preserve">оценява факта, че Съдът на ЕС реши да не използва повече платформи в облак за обработваните чувствителни съдебни данни, за да защити собствеността върху данните и системите, с цел да </w:t>
      </w:r>
      <w:proofErr w:type="spellStart"/>
      <w:r w:rsidRPr="009261BD">
        <w:t>хоства</w:t>
      </w:r>
      <w:proofErr w:type="spellEnd"/>
      <w:r w:rsidRPr="009261BD">
        <w:t xml:space="preserve"> всички свои данни на място и да няма критична за дейността зависимост от външни системи; освен това приветства политиката на Съда на ЕС да избягва използването на всякакви инструменти или инфраструктура, </w:t>
      </w:r>
      <w:proofErr w:type="spellStart"/>
      <w:r w:rsidRPr="009261BD">
        <w:t>хоствани</w:t>
      </w:r>
      <w:proofErr w:type="spellEnd"/>
      <w:r w:rsidRPr="009261BD">
        <w:t xml:space="preserve"> в облака, за целите на обработката на непублична информация, за да защити личните данни и да запази пълен контрол върху своите системи и данни;</w:t>
      </w:r>
    </w:p>
    <w:p w:rsidR="00EB0B7F" w:rsidRPr="009261BD" w:rsidRDefault="00EB0B7F" w:rsidP="00EB0B7F">
      <w:pPr>
        <w:pStyle w:val="NormalHanging12a"/>
        <w:rPr>
          <w:szCs w:val="24"/>
        </w:rPr>
      </w:pPr>
      <w:r w:rsidRPr="009261BD">
        <w:t>45.</w:t>
      </w:r>
      <w:r w:rsidRPr="009261BD">
        <w:tab/>
        <w:t>отбелязва със задоволство възходящата тенденция при процента на използване на e-</w:t>
      </w:r>
      <w:proofErr w:type="spellStart"/>
      <w:r w:rsidRPr="009261BD">
        <w:t>Curia</w:t>
      </w:r>
      <w:proofErr w:type="spellEnd"/>
      <w:r w:rsidRPr="009261BD">
        <w:t>, като през 2022 г. 94% от процесуалните документи са подадени в Общия съд чрез e-</w:t>
      </w:r>
      <w:proofErr w:type="spellStart"/>
      <w:r w:rsidRPr="009261BD">
        <w:t>Curia</w:t>
      </w:r>
      <w:proofErr w:type="spellEnd"/>
      <w:r w:rsidRPr="009261BD">
        <w:t xml:space="preserve"> в сравнение с 93% през 2021 г., а процентът на използване на e-</w:t>
      </w:r>
      <w:proofErr w:type="spellStart"/>
      <w:r w:rsidRPr="009261BD">
        <w:t>Curia</w:t>
      </w:r>
      <w:proofErr w:type="spellEnd"/>
      <w:r w:rsidRPr="009261BD">
        <w:t xml:space="preserve"> в Съда е бил за приблизително 87% от всички подадени процесуални документи през 2022 г. в сравнение с 85% през 2021 г.;</w:t>
      </w:r>
    </w:p>
    <w:p w:rsidR="00EB0B7F" w:rsidRPr="009261BD" w:rsidRDefault="00EB0B7F" w:rsidP="00EB0B7F">
      <w:pPr>
        <w:pStyle w:val="NormalHanging12a"/>
        <w:rPr>
          <w:szCs w:val="24"/>
        </w:rPr>
      </w:pPr>
      <w:r w:rsidRPr="009261BD">
        <w:t>46.</w:t>
      </w:r>
      <w:r w:rsidRPr="009261BD">
        <w:tab/>
        <w:t xml:space="preserve">отбелязва, че през 2022 г. не са съобщени допълнителни запитвания от страна на Европейския надзорен орган по защита на данните (ЕНОЗД); очаква с интерес решението относно разследването от началото на 2021 г. относно използването на уеб услуги от трета част и задължението за предоставяне на информация за същността на дадено споразумение за съвместен администратор; очаква с интерес и решението относно разследването на използването на услуги в облак, предоставяни от </w:t>
      </w:r>
      <w:proofErr w:type="spellStart"/>
      <w:r w:rsidRPr="009261BD">
        <w:t>Amazon</w:t>
      </w:r>
      <w:proofErr w:type="spellEnd"/>
      <w:r w:rsidRPr="009261BD">
        <w:t xml:space="preserve"> </w:t>
      </w:r>
      <w:proofErr w:type="spellStart"/>
      <w:r w:rsidRPr="009261BD">
        <w:t>Web</w:t>
      </w:r>
      <w:proofErr w:type="spellEnd"/>
      <w:r w:rsidRPr="009261BD">
        <w:t xml:space="preserve"> Services и Microsoft по договори „</w:t>
      </w:r>
      <w:proofErr w:type="spellStart"/>
      <w:r w:rsidRPr="009261BD">
        <w:t>Cloud</w:t>
      </w:r>
      <w:proofErr w:type="spellEnd"/>
      <w:r w:rsidRPr="009261BD">
        <w:t xml:space="preserve"> II“, от </w:t>
      </w:r>
      <w:r w:rsidRPr="009261BD">
        <w:lastRenderedPageBreak/>
        <w:t>институциите, органите и агенциите на Съюза;</w:t>
      </w:r>
    </w:p>
    <w:p w:rsidR="00EB0B7F" w:rsidRPr="009261BD" w:rsidRDefault="00EB0B7F" w:rsidP="00EB0B7F">
      <w:pPr>
        <w:pStyle w:val="NormalHanging12a"/>
        <w:rPr>
          <w:szCs w:val="24"/>
        </w:rPr>
      </w:pPr>
      <w:r w:rsidRPr="009261BD">
        <w:t>47.</w:t>
      </w:r>
      <w:r w:rsidRPr="009261BD">
        <w:tab/>
        <w:t>приветства факта, че Съдът на ЕС обмисля как и до каква степен следва да използва цифровите технологии в своята работа, например за установяване на сходства между делата, за целите на превода, за преобразуване на реч в текст и за автоматизирани резюмета на дълги документи; подчертава, че по-специално за правна институция като Съда на ЕС автоматизираните процеси винаги ще трябва да бъдат обект на оценка по отношение на етичните аспекти и допълвани с извършван от човек надзор и контрол; подчертава значението на възможността за съпоставяне на делата по ключови термини и ключови показатели, за да се открият припокривания или модели в съдържанието им; също така насърчава Съда на ЕС да проучи възможностите за по-добро предаване на информация на съдиите и техните екипи;</w:t>
      </w:r>
    </w:p>
    <w:p w:rsidR="00EB0B7F" w:rsidRPr="009261BD" w:rsidRDefault="00EB0B7F" w:rsidP="00EB0B7F">
      <w:pPr>
        <w:pStyle w:val="NormalHanging12a"/>
        <w:rPr>
          <w:szCs w:val="24"/>
        </w:rPr>
      </w:pPr>
      <w:r w:rsidRPr="009261BD">
        <w:t>48.</w:t>
      </w:r>
      <w:r w:rsidRPr="009261BD">
        <w:tab/>
        <w:t xml:space="preserve">приветства факта, че Съдът на ЕС използва операционни системи с отворен код в около една трета от сървърната си база и че първият му избор е да разчита на вътрешни </w:t>
      </w:r>
      <w:proofErr w:type="spellStart"/>
      <w:r w:rsidRPr="009261BD">
        <w:t>хоствани</w:t>
      </w:r>
      <w:proofErr w:type="spellEnd"/>
      <w:r w:rsidRPr="009261BD">
        <w:t xml:space="preserve"> системи, основани на технология с отворен код, тъй като това позволява на Съда на ЕС да запази технически контрол върху своите системи, да контролира съхранението на данни и потоците от данни, като по този начин гарантира по-добра защита на данните и неприкосновеността на личния живот; насърчава Съда на ЕС да се присъедини към инициативата за използване на софтуер с отворен код, стартирана от ЕНОЗД, чрез внедряването на решения с отворен код на </w:t>
      </w:r>
      <w:proofErr w:type="spellStart"/>
      <w:r w:rsidRPr="009261BD">
        <w:t>Nextcloud</w:t>
      </w:r>
      <w:proofErr w:type="spellEnd"/>
      <w:r w:rsidRPr="009261BD">
        <w:t>;</w:t>
      </w:r>
    </w:p>
    <w:p w:rsidR="00EB0B7F" w:rsidRPr="009261BD" w:rsidRDefault="00EB0B7F" w:rsidP="00EB0B7F">
      <w:pPr>
        <w:pStyle w:val="NormalHanging12a"/>
        <w:rPr>
          <w:szCs w:val="24"/>
        </w:rPr>
      </w:pPr>
      <w:r w:rsidRPr="009261BD">
        <w:t>49.</w:t>
      </w:r>
      <w:r w:rsidRPr="009261BD">
        <w:tab/>
        <w:t>призовава Съда на ЕС да предостави на своя уебсайт всички досиета, свързани с дадено дело, след публикуването на съдебното решение, като същевременно гарантира, че не се разкрива частна или чувствителна информация, с цел защита на личните данни;</w:t>
      </w:r>
    </w:p>
    <w:p w:rsidR="00EB0B7F" w:rsidRPr="009261BD" w:rsidRDefault="00EB0B7F" w:rsidP="00EB0B7F">
      <w:pPr>
        <w:pStyle w:val="NormalHanging12a"/>
        <w:rPr>
          <w:szCs w:val="24"/>
        </w:rPr>
      </w:pPr>
      <w:r w:rsidRPr="009261BD">
        <w:t>50.</w:t>
      </w:r>
      <w:r w:rsidRPr="009261BD">
        <w:tab/>
        <w:t>приветства ангажимента на Съда на ЕС за интегриране на инструментите на изкуствения интелект в неговата работа и факта, че през юли 2023 г. беше приета всеобхватна стратегия относно изкуствения интелект; подчертава, че е от жизненоважно значение изкуственият интелект да се използва по начин, който напълно запазва независимостта, качеството и спокойствието на правните процеси, при пълно зачитане на етичните въпроси, и да се използва под извършван от човек надзор, както и да дава възможност за намеса от човек с цел предотвратяване на отрицателни последици или на рискове и за спиране на системата, ако тя не функционира в съответствие със своето предвидено предназначение; приветства факта, че Съдът на ЕС е създал съвет по въпросите на изкуствения интелект, който отговаря за разглеждането на етичните аспекти и определянето на ясни граници за използването на изкуствения интелект; припомня, че Съдът на ЕС следва да осигури пълен контрол от страна на потребителите в съответствие с Европейската етична харта за използване на изкуствения интелект в съдебните системи и тяхната среда; очаква насоките за персонала относно използването на изкуствения интелект да бъдат приети до края на есента на 2023 г., както е предвидено, и изисква Парламентът да бъде информиран относно съдържанието на тези насоки;</w:t>
      </w:r>
    </w:p>
    <w:p w:rsidR="00EB0B7F" w:rsidRPr="009261BD" w:rsidRDefault="00EB0B7F" w:rsidP="00EB0B7F">
      <w:pPr>
        <w:pStyle w:val="NormalHanging12a"/>
        <w:rPr>
          <w:b/>
          <w:i/>
          <w:szCs w:val="24"/>
        </w:rPr>
      </w:pPr>
      <w:r w:rsidRPr="009261BD">
        <w:t>51.</w:t>
      </w:r>
      <w:r w:rsidRPr="009261BD">
        <w:tab/>
        <w:t xml:space="preserve">отбелязва със загриженост, че Съдът на ЕС докладва, че броят на </w:t>
      </w:r>
      <w:proofErr w:type="spellStart"/>
      <w:r w:rsidRPr="009261BD">
        <w:t>кибератаките</w:t>
      </w:r>
      <w:proofErr w:type="spellEnd"/>
      <w:r w:rsidRPr="009261BD">
        <w:t xml:space="preserve"> е продължил да нараства през 2022 г.; изпитва облекчение, че въпреки разнообразието и обема им, всички атаки са били обработени от наличните </w:t>
      </w:r>
      <w:r w:rsidRPr="009261BD">
        <w:lastRenderedPageBreak/>
        <w:t xml:space="preserve">системи за защита или от специалния екип за реагиране при инциденти в Съда на ЕС, според предоставените от него отговори на въпроси, зададени от комисията по бюджетен контрол на Парламента през октомври 2023 г.; същевременно приветства факта, че Съдът на ЕС участва активно в съответните междуинституционални структури на Съюза с цел укрепване на цялостната киберсигурност на институциите на Съюза; настоятелно призовава ръководството на Съда на ЕС да превърне укрепването на киберсигурността в свой приоритет, настоява ръководството проактивно да проучи кои аспекти на ИТ инфраструктурата правят Съда на ЕС уязвим на атаки и да ги коригира възможно най-скоро, както и да гарантира редовни одити и изпитвания на своите </w:t>
      </w:r>
      <w:proofErr w:type="spellStart"/>
      <w:r w:rsidRPr="009261BD">
        <w:t>киберзащити</w:t>
      </w:r>
      <w:proofErr w:type="spellEnd"/>
      <w:r w:rsidRPr="009261BD">
        <w:t>;</w:t>
      </w:r>
    </w:p>
    <w:p w:rsidR="00EB0B7F" w:rsidRPr="009261BD" w:rsidRDefault="00EB0B7F" w:rsidP="00EB0B7F">
      <w:pPr>
        <w:pStyle w:val="NormalHanging12a"/>
        <w:rPr>
          <w:szCs w:val="24"/>
        </w:rPr>
      </w:pPr>
      <w:r w:rsidRPr="009261BD">
        <w:t>52.</w:t>
      </w:r>
      <w:r w:rsidRPr="009261BD">
        <w:tab/>
        <w:t>отбелязва, че Съдът на ЕС е анализирал възможностите за свободно достъпни данни през 2022 г. и 2023 г. и че Съдът на ЕС възнамерява да сподели цялата публикувана информация, налична на неговия уебсайт, като свободно достъпни данни; все пак предупреждава Съда на ЕС, че преди да предостави публикуваната информация като свободно достъпни данни, той трябва да извърши оценки, като вземе предвид сигурността, поверителността, правото на неприкосновеност на личния живот и правата на интелектуална собственост;</w:t>
      </w:r>
    </w:p>
    <w:p w:rsidR="00EB0B7F" w:rsidRPr="008E2C2D" w:rsidRDefault="00EB0B7F" w:rsidP="00EB0B7F">
      <w:pPr>
        <w:spacing w:after="240"/>
        <w:rPr>
          <w:b/>
          <w:bCs/>
          <w:i/>
          <w:iCs/>
          <w:szCs w:val="24"/>
        </w:rPr>
      </w:pPr>
      <w:r w:rsidRPr="008E2C2D">
        <w:rPr>
          <w:b/>
          <w:i/>
        </w:rPr>
        <w:t>Сгради</w:t>
      </w:r>
    </w:p>
    <w:p w:rsidR="00EB0B7F" w:rsidRPr="009261BD" w:rsidRDefault="00EB0B7F" w:rsidP="00EB0B7F">
      <w:pPr>
        <w:pStyle w:val="NormalHanging12a"/>
        <w:rPr>
          <w:szCs w:val="24"/>
        </w:rPr>
      </w:pPr>
      <w:r w:rsidRPr="009261BD">
        <w:t>53.</w:t>
      </w:r>
      <w:r w:rsidRPr="009261BD">
        <w:tab/>
        <w:t>отбелязва с интерес, че Съдът на ЕС е създал работна група с представителство от различни части на Съда на ЕС и неговия комитет по персонала, за да обмисли оптимизирането на заемането на помещенията на Съда на ЕС, и че неговите заключения бяха представени през 2023 г.; изисква Парламентът да бъде информиран относно прилагането на тези заключения и последиците за организацията на работното пространство;</w:t>
      </w:r>
    </w:p>
    <w:p w:rsidR="00EB0B7F" w:rsidRPr="009261BD" w:rsidRDefault="00EB0B7F" w:rsidP="00EB0B7F">
      <w:pPr>
        <w:pStyle w:val="NormalHanging12a"/>
        <w:rPr>
          <w:szCs w:val="24"/>
        </w:rPr>
      </w:pPr>
      <w:r w:rsidRPr="009261BD">
        <w:t>54.</w:t>
      </w:r>
      <w:r w:rsidRPr="009261BD">
        <w:tab/>
        <w:t xml:space="preserve">отбелязва с интерес, че е извършен вътрешен одит на достъпността на сградите за хора с увреждания и че в съответствие с новото люксембургско законодателство Съдът на ЕС прилага подходящи мерки; приветства факта, че тези мерки включват осигуряване на достъп до съдебните зали за хора с намалена подвижност, като </w:t>
      </w:r>
      <w:proofErr w:type="spellStart"/>
      <w:r w:rsidRPr="009261BD">
        <w:t>тактилна</w:t>
      </w:r>
      <w:proofErr w:type="spellEnd"/>
      <w:r w:rsidRPr="009261BD">
        <w:t xml:space="preserve"> настилка и парапети; изисква Парламентът да бъде информиран за по-нататъшните инициативи в тази област;</w:t>
      </w:r>
    </w:p>
    <w:p w:rsidR="00EB0B7F" w:rsidRPr="008E2C2D" w:rsidRDefault="00EB0B7F" w:rsidP="00EB0B7F">
      <w:pPr>
        <w:spacing w:after="240"/>
        <w:rPr>
          <w:b/>
          <w:i/>
          <w:szCs w:val="24"/>
        </w:rPr>
      </w:pPr>
      <w:r w:rsidRPr="008E2C2D">
        <w:rPr>
          <w:b/>
          <w:i/>
        </w:rPr>
        <w:t>Околна среда и устойчивост</w:t>
      </w:r>
    </w:p>
    <w:p w:rsidR="00EB0B7F" w:rsidRPr="009261BD" w:rsidRDefault="00EB0B7F" w:rsidP="00EB0B7F">
      <w:pPr>
        <w:pStyle w:val="NormalHanging12a"/>
        <w:rPr>
          <w:szCs w:val="24"/>
        </w:rPr>
      </w:pPr>
      <w:r w:rsidRPr="009261BD">
        <w:t>55.</w:t>
      </w:r>
      <w:r w:rsidRPr="009261BD">
        <w:tab/>
        <w:t>високо оценява факта, че Съдът на ЕС изготвя отделен годишен доклад, свързан с отпечатъка на институцията върху околната среда, който би могъл да послужи като модел за други институции;</w:t>
      </w:r>
    </w:p>
    <w:p w:rsidR="00EB0B7F" w:rsidRPr="009261BD" w:rsidRDefault="00EB0B7F" w:rsidP="00EB0B7F">
      <w:pPr>
        <w:pStyle w:val="NormalHanging12a"/>
        <w:rPr>
          <w:szCs w:val="24"/>
        </w:rPr>
      </w:pPr>
      <w:r w:rsidRPr="009261BD">
        <w:t xml:space="preserve">56. </w:t>
      </w:r>
      <w:r w:rsidRPr="009261BD">
        <w:tab/>
        <w:t>поздравява Съда на ЕС за постигнатите резултати по отношение на значителното намаляване на общото му потребление през 2022 г. в сравнение с базовата 2015 г.; счита, че е особено впечатляващо, че отоплението е намаляло с 23,6%, хартията — с 42,6%, отпадъците от столовите — с 49,9%, а емисиите на парникови газове — с 31,7%;</w:t>
      </w:r>
    </w:p>
    <w:p w:rsidR="00EB0B7F" w:rsidRPr="009261BD" w:rsidRDefault="00EB0B7F" w:rsidP="00EB0B7F">
      <w:pPr>
        <w:pStyle w:val="NormalHanging12a"/>
        <w:rPr>
          <w:szCs w:val="24"/>
        </w:rPr>
      </w:pPr>
      <w:r w:rsidRPr="009261BD">
        <w:t>57.</w:t>
      </w:r>
      <w:r w:rsidRPr="009261BD">
        <w:tab/>
        <w:t xml:space="preserve">отбелязва, че Съдът на ЕС има слънчеви панели с площ от 3 447,8 </w:t>
      </w:r>
      <w:proofErr w:type="spellStart"/>
      <w:r w:rsidRPr="009261BD">
        <w:t>кв.м</w:t>
      </w:r>
      <w:proofErr w:type="spellEnd"/>
      <w:r w:rsidRPr="009261BD">
        <w:t>., които са произвели 452 959 </w:t>
      </w:r>
      <w:proofErr w:type="spellStart"/>
      <w:r w:rsidRPr="009261BD">
        <w:t>kWh</w:t>
      </w:r>
      <w:proofErr w:type="spellEnd"/>
      <w:r w:rsidRPr="009261BD">
        <w:t xml:space="preserve"> през 2022 г.; насърчава Съда на ЕС да продължи да работи за определяне на възможностите за намаляване на общото потребление, за </w:t>
      </w:r>
      <w:r w:rsidRPr="009261BD">
        <w:lastRenderedPageBreak/>
        <w:t>рециклиране и за производството на енергия от възобновяеми източници;</w:t>
      </w:r>
    </w:p>
    <w:p w:rsidR="00EB0B7F" w:rsidRPr="009261BD" w:rsidRDefault="00EB0B7F" w:rsidP="00EB0B7F">
      <w:pPr>
        <w:pStyle w:val="NormalHanging12a"/>
        <w:rPr>
          <w:szCs w:val="24"/>
        </w:rPr>
      </w:pPr>
      <w:r w:rsidRPr="009261BD">
        <w:t>58.</w:t>
      </w:r>
      <w:r w:rsidRPr="009261BD">
        <w:tab/>
        <w:t>приветства факта, че Съдът на ЕС е предприел няколко инициативи за подкрепа и увеличаване на устойчивата мобилност, включително субсидии за обществен транспорт, субсидии за велосипеди на самообслужване, подобрени съоръжения за паркиране на велосипеди и подобрени съоръжения за хибридни и електрически автомобили;</w:t>
      </w:r>
    </w:p>
    <w:p w:rsidR="00EB0B7F" w:rsidRPr="008E2C2D" w:rsidRDefault="00EB0B7F" w:rsidP="00EB0B7F">
      <w:pPr>
        <w:spacing w:after="240"/>
        <w:rPr>
          <w:b/>
          <w:i/>
          <w:szCs w:val="24"/>
        </w:rPr>
      </w:pPr>
      <w:r w:rsidRPr="008E2C2D">
        <w:rPr>
          <w:b/>
          <w:i/>
        </w:rPr>
        <w:t>Междуинституционално сътрудничество</w:t>
      </w:r>
    </w:p>
    <w:p w:rsidR="00EB0B7F" w:rsidRPr="009261BD" w:rsidRDefault="00EB0B7F" w:rsidP="00EB0B7F">
      <w:pPr>
        <w:pStyle w:val="NormalHanging12a"/>
        <w:rPr>
          <w:szCs w:val="24"/>
        </w:rPr>
      </w:pPr>
      <w:r w:rsidRPr="009261BD">
        <w:t>59.</w:t>
      </w:r>
      <w:r w:rsidRPr="009261BD">
        <w:tab/>
        <w:t xml:space="preserve">приветства факта, че Съдът на ЕС има широк набор от споразумения за нивото на обслужване с други институции на Съюза, което спомага за намаляване на разходите за участващите институции и гарантира, че във всички институции се използват сходни процедури, техники и работни потоци; оценява по-специално споразуменията за нивото на обслужване със Службата на Комисията за управление и плащане по индивидуални права и споразумението за нивото на обслужване с Генерална дирекция „Цифрови услуги“ на Комисията като доставчик на хостинг услуги за информационните системи на Съда на ЕС, включително </w:t>
      </w:r>
      <w:proofErr w:type="spellStart"/>
      <w:r w:rsidRPr="009261BD">
        <w:t>eCuria</w:t>
      </w:r>
      <w:proofErr w:type="spellEnd"/>
      <w:r w:rsidRPr="009261BD">
        <w:t xml:space="preserve">, портала </w:t>
      </w:r>
      <w:proofErr w:type="spellStart"/>
      <w:r w:rsidRPr="009261BD">
        <w:t>Cvria</w:t>
      </w:r>
      <w:proofErr w:type="spellEnd"/>
      <w:r w:rsidRPr="009261BD">
        <w:t xml:space="preserve"> и други; признава също така продължаващото сътрудничество в рамките на Междуинституционалния комитет по писмени и устни преводи; приветства най-накрая факта, че през 2023 г., след преговори, проведени през 2022 г., със Службата за публикации на Европейския съюз е подписано ново споразумение за нивото на обслужване, което за първи път обхваща всички аспекти на сътрудничеството;</w:t>
      </w:r>
    </w:p>
    <w:p w:rsidR="00EB0B7F" w:rsidRPr="009261BD" w:rsidRDefault="00EB0B7F" w:rsidP="00EB0B7F">
      <w:pPr>
        <w:pStyle w:val="NormalHanging12a"/>
        <w:rPr>
          <w:szCs w:val="24"/>
        </w:rPr>
      </w:pPr>
      <w:r w:rsidRPr="009261BD">
        <w:t>60.</w:t>
      </w:r>
      <w:r w:rsidRPr="009261BD">
        <w:tab/>
        <w:t>отбелязва със задоволство, че Съдът на ЕС, заедно с всички други институции, органи, служби и агенции на Съюза, е участвал в съвместна процедура за възлагане на обществена поръчка за предоставяне на застраховка срещу злополука, както е посочено в член 73 от Правилника за длъжностните лица;</w:t>
      </w:r>
    </w:p>
    <w:p w:rsidR="00EB0B7F" w:rsidRPr="009261BD" w:rsidRDefault="00EB0B7F" w:rsidP="00EB0B7F">
      <w:pPr>
        <w:pStyle w:val="NormalHanging12a"/>
        <w:rPr>
          <w:szCs w:val="24"/>
        </w:rPr>
      </w:pPr>
      <w:r w:rsidRPr="009261BD">
        <w:t>61.</w:t>
      </w:r>
      <w:r w:rsidRPr="009261BD">
        <w:tab/>
        <w:t>приветства факта, че сътрудничеството с Европейската прокуратура е доразвито и че е подписан меморандум за разбирателство с цел създаване на задълбочено сътрудничество по отношение на библиографските и документалните услуги в полза на двете институции; приветства освен това факта, че на прокурорите на Европейската прокуратура е предложено специално обучение, за да им се даде възможност да се запознаят с дейностите на Съда на ЕС;</w:t>
      </w:r>
    </w:p>
    <w:p w:rsidR="00EB0B7F" w:rsidRPr="009261BD" w:rsidRDefault="00EB0B7F" w:rsidP="00EB0B7F">
      <w:pPr>
        <w:pStyle w:val="NormalHanging12a"/>
        <w:rPr>
          <w:szCs w:val="24"/>
        </w:rPr>
      </w:pPr>
      <w:r w:rsidRPr="009261BD">
        <w:t>62.</w:t>
      </w:r>
      <w:r w:rsidRPr="009261BD">
        <w:tab/>
        <w:t>оценява факта, че Съдът на ЕС си сътрудничи изцяло с OLAF, Сметната палата, ЕНОЗД и Европейския омбудсман, включително като гарантира, че вътрешните му решения относно разследванията на OLAF се актуализират, за да се гарантира спазването на най-новите изисквания;</w:t>
      </w:r>
    </w:p>
    <w:p w:rsidR="00EB0B7F" w:rsidRPr="009261BD" w:rsidRDefault="00EB0B7F" w:rsidP="00EB0B7F">
      <w:pPr>
        <w:pStyle w:val="NormalHanging12a"/>
        <w:rPr>
          <w:szCs w:val="24"/>
        </w:rPr>
      </w:pPr>
      <w:r w:rsidRPr="009261BD">
        <w:t>63.</w:t>
      </w:r>
      <w:r w:rsidRPr="009261BD">
        <w:tab/>
        <w:t>насърчава Съда на ЕС да сподели с Комисията и Службата на Европейския съюз за интелектуална собственост броя на делата в областта на интелектуалната собственост и конкретните спорни въпроси, за да се проучат причините, поради които 30% от съответните искове в Общия съд през 2022 г. са свързани с интелектуалната собственост, с цел да се подпомогне установяването на евентуални пропуски в законодателните актове на Съюза; счита, че би могъл да бъде спестен бюджет на Съюза при разглеждането на тези дела, ако конкретен спорен въпрос може да бъде установен и решен чрез нов законодателен акт на Съюза;</w:t>
      </w:r>
    </w:p>
    <w:p w:rsidR="00EB0B7F" w:rsidRPr="009261BD" w:rsidRDefault="00EB0B7F" w:rsidP="00EB0B7F">
      <w:pPr>
        <w:pStyle w:val="NormalHanging12a"/>
        <w:rPr>
          <w:szCs w:val="24"/>
        </w:rPr>
      </w:pPr>
      <w:r w:rsidRPr="009261BD">
        <w:lastRenderedPageBreak/>
        <w:t>64.</w:t>
      </w:r>
      <w:r w:rsidRPr="009261BD">
        <w:tab/>
        <w:t>отбелязва продължаването на дейностите на Съдебната мрежа на Европейския съюз, която допринася за насърчаването и улесняването на сътрудничеството между Съда на ЕС и националните съдилища, особено в областите на съдебния контрол, правните изследвания, многоезичната терминология и нововъзникващите технологии, както и за насърчаването на обединяването на най-ефективните практики в администрирането на правораздаването;</w:t>
      </w:r>
    </w:p>
    <w:p w:rsidR="00EB0B7F" w:rsidRPr="008E2C2D" w:rsidRDefault="00EB0B7F" w:rsidP="00EB0B7F">
      <w:pPr>
        <w:spacing w:after="240"/>
        <w:rPr>
          <w:b/>
          <w:i/>
          <w:szCs w:val="24"/>
        </w:rPr>
      </w:pPr>
      <w:r w:rsidRPr="008E2C2D">
        <w:rPr>
          <w:b/>
          <w:i/>
        </w:rPr>
        <w:t>Комуникация</w:t>
      </w:r>
    </w:p>
    <w:p w:rsidR="00EB0B7F" w:rsidRPr="009261BD" w:rsidRDefault="00EB0B7F" w:rsidP="00EB0B7F">
      <w:pPr>
        <w:pStyle w:val="NormalHanging12a"/>
        <w:rPr>
          <w:szCs w:val="24"/>
        </w:rPr>
      </w:pPr>
      <w:r w:rsidRPr="009261BD">
        <w:t>65.</w:t>
      </w:r>
      <w:r w:rsidRPr="009261BD">
        <w:tab/>
        <w:t>отбелязва, че през 2022 г. бюджетът за комуникации, който обхваща подготовката на съдържание и отпечатването на вътрешни и външни публикации, възлиза на 527 500 EUR, което се равнява на увеличение с 3,3% спрямо 2021 г.;</w:t>
      </w:r>
    </w:p>
    <w:p w:rsidR="00EB0B7F" w:rsidRPr="009261BD" w:rsidRDefault="00EB0B7F" w:rsidP="00EB0B7F">
      <w:pPr>
        <w:pStyle w:val="NormalHanging12a"/>
        <w:rPr>
          <w:szCs w:val="24"/>
        </w:rPr>
      </w:pPr>
      <w:r w:rsidRPr="009261BD">
        <w:t>66.</w:t>
      </w:r>
      <w:r w:rsidRPr="009261BD">
        <w:tab/>
        <w:t>приветства факта, че Съдът на ЕС използва своята 70-годишна годишнина като възможност за засилване на прозрачността и комуникацията си с гражданите на Съюза и за организиране на два дни на отворените врати с възможност гражданите да задават въпроси на място; насърчава Съда на ЕС да обмисли предприемането на последващи действия във връзка с тези инициативи и през следващите години;</w:t>
      </w:r>
    </w:p>
    <w:p w:rsidR="00EB0B7F" w:rsidRPr="009261BD" w:rsidRDefault="00EB0B7F" w:rsidP="00EB0B7F">
      <w:pPr>
        <w:pStyle w:val="NormalHanging12a"/>
        <w:rPr>
          <w:szCs w:val="24"/>
        </w:rPr>
      </w:pPr>
      <w:r w:rsidRPr="009261BD">
        <w:t>67.</w:t>
      </w:r>
      <w:r w:rsidRPr="009261BD">
        <w:tab/>
        <w:t>отбелязва със задоволство, че през 2022 г. Съдът на ЕС започна услуга за пряко предаване чрез непрекъсната връзка на съдебните заседания, възложени на големия състав, като предостави на обществеността възможност да разбере по-добре как работи Съдът на ЕС; насърчава Съда на ЕС да разшири тази инициатива, за да осигури повече прозрачност;</w:t>
      </w:r>
    </w:p>
    <w:p w:rsidR="00EB0B7F" w:rsidRPr="009261BD" w:rsidRDefault="00EB0B7F" w:rsidP="00EB0B7F">
      <w:pPr>
        <w:pStyle w:val="NormalHanging12a"/>
        <w:rPr>
          <w:szCs w:val="24"/>
        </w:rPr>
      </w:pPr>
      <w:r w:rsidRPr="009261BD">
        <w:t>68.</w:t>
      </w:r>
      <w:r w:rsidRPr="009261BD">
        <w:tab/>
        <w:t xml:space="preserve">приветства факта, че Съдът на ЕС участва активно в проекта „EU </w:t>
      </w:r>
      <w:proofErr w:type="spellStart"/>
      <w:r w:rsidRPr="009261BD">
        <w:t>Voice</w:t>
      </w:r>
      <w:proofErr w:type="spellEnd"/>
      <w:r w:rsidRPr="009261BD">
        <w:t>“, стартиран от ЕНОЗД за взаимодействие с обществеността, който има за цел да насърчава използването на децентрализирани и безплатни социални мрежи с отворен код като алтернатива на мрежите, които са обект на интелектуална собственост;</w:t>
      </w:r>
    </w:p>
    <w:p w:rsidR="00EB0B7F" w:rsidRPr="009261BD" w:rsidRDefault="00EB0B7F" w:rsidP="00EB0B7F">
      <w:pPr>
        <w:pStyle w:val="NormalHanging12a"/>
        <w:rPr>
          <w:szCs w:val="24"/>
        </w:rPr>
      </w:pPr>
      <w:r w:rsidRPr="009261BD">
        <w:t>69.</w:t>
      </w:r>
      <w:r w:rsidRPr="009261BD">
        <w:tab/>
        <w:t>счита, че тъй като от Съда все повече се изисква да се произнася по въпроси от конституционно естество и въпроси, свързани с правата на човека и Хартата на основните права на Европейския съюз, прозрачността и откритостта на процеса на правораздаване на Съюза следва да бъдат засилени; във връзка с това приветства създаването на система за пряко предаване чрез непрекъсната връзка на съдебните заседания на Съда, което служи за укрепване на измерението „Граждански съд“ на Съда на ЕС чрез повишена достъпност за широката общественост; подчертава във връзка с това, че към новата система за пряко предаване чрез непрекъсната връзка трябва постепенно да се добавят допълнителни външни средства за комуникация, които да дават възможност за по-голяма видимост на работата на институцията;</w:t>
      </w:r>
    </w:p>
    <w:p w:rsidR="00EB0B7F" w:rsidRPr="009261BD" w:rsidRDefault="00EB0B7F" w:rsidP="00EB0B7F">
      <w:pPr>
        <w:pStyle w:val="NormalHanging12a"/>
        <w:rPr>
          <w:szCs w:val="24"/>
        </w:rPr>
      </w:pPr>
      <w:r w:rsidRPr="009261BD">
        <w:t>70.</w:t>
      </w:r>
      <w:r w:rsidRPr="009261BD">
        <w:tab/>
        <w:t xml:space="preserve">приветства факта, че през 2022 г. беше стартирана инициатива, предлагаща дистанционни посещения в Съда на ЕС, след като пилотната фаза приключи през 2021 г., което даде на младите хора на възраст между 15 и 18 години разбиране за Съда на ЕС и за въздействието на съдебната практика върху тяхното ежедневие и повиши разбирането им за правата им като граждани на Съюза и за демократичните ценности на Съюза; насърчава Съда на ЕС да разшири тези дистанционни посещения, насочени към младите хора на възраст между 15 и </w:t>
      </w:r>
      <w:r w:rsidRPr="009261BD">
        <w:lastRenderedPageBreak/>
        <w:t>29 години; освен това насърчава Съда на ЕС да предлага дистанционни посещения и на граждани от всички възрасти; подчертава, че дистанционните посещения следва да бъдат възможно най-достъпни за всички европейски граждани;</w:t>
      </w:r>
    </w:p>
    <w:p w:rsidR="00EB0B7F" w:rsidRPr="009261BD" w:rsidRDefault="00EB0B7F" w:rsidP="008E2C2D">
      <w:pPr>
        <w:ind w:left="567" w:hanging="567"/>
      </w:pPr>
      <w:r w:rsidRPr="009261BD">
        <w:t>71.</w:t>
      </w:r>
      <w:r w:rsidRPr="009261BD">
        <w:tab/>
        <w:t xml:space="preserve">отбелязва, че Съдът на ЕС заедно с няколко други институции на Съюза участва активно в проект, стартиран от ЕНОЗД, с редовни публикации в децентрализираните социални медии </w:t>
      </w:r>
      <w:proofErr w:type="spellStart"/>
      <w:r w:rsidRPr="009261BD">
        <w:t>Mastodon</w:t>
      </w:r>
      <w:proofErr w:type="spellEnd"/>
      <w:r w:rsidRPr="009261BD">
        <w:t xml:space="preserve">, използващи свободен софтуер с отворен код; отбелязва, че Съдът на ЕС също така използва платформите X (преди </w:t>
      </w:r>
      <w:proofErr w:type="spellStart"/>
      <w:r w:rsidRPr="009261BD">
        <w:t>Twitter</w:t>
      </w:r>
      <w:proofErr w:type="spellEnd"/>
      <w:r w:rsidRPr="009261BD">
        <w:t xml:space="preserve">) и </w:t>
      </w:r>
      <w:proofErr w:type="spellStart"/>
      <w:r w:rsidRPr="009261BD">
        <w:t>LinkedIn</w:t>
      </w:r>
      <w:proofErr w:type="spellEnd"/>
      <w:r w:rsidRPr="009261BD">
        <w:t xml:space="preserve"> и че Съдът на ЕС продължи предишната си практика на публикуване както на платформата X (преди </w:t>
      </w:r>
      <w:proofErr w:type="spellStart"/>
      <w:r w:rsidRPr="009261BD">
        <w:t>Twitter</w:t>
      </w:r>
      <w:proofErr w:type="spellEnd"/>
      <w:r w:rsidRPr="009261BD">
        <w:t xml:space="preserve">), така и на платформата </w:t>
      </w:r>
      <w:proofErr w:type="spellStart"/>
      <w:r w:rsidRPr="009261BD">
        <w:t>Mastodon</w:t>
      </w:r>
      <w:proofErr w:type="spellEnd"/>
      <w:r w:rsidRPr="009261BD">
        <w:t>, веднага щом беше намерено техническо решение, позволяващо автоматизирано паралелно публикуване; насърчава Съда на ЕС, ако има присъствие в дадена платформа на социална медия, да публикува редовно в нея, за да се избегне застой в профилите в социалните медии, тъй като това би породило риск от създаване на впечатление за бездействие в ежедневната работа на Съда.</w:t>
      </w:r>
    </w:p>
    <w:sectPr w:rsidR="00EB0B7F" w:rsidRPr="009261BD" w:rsidSect="009261B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439" w:rsidRPr="009261BD" w:rsidRDefault="000A3439">
      <w:r w:rsidRPr="009261BD">
        <w:separator/>
      </w:r>
    </w:p>
  </w:endnote>
  <w:endnote w:type="continuationSeparator" w:id="0">
    <w:p w:rsidR="000A3439" w:rsidRPr="009261BD" w:rsidRDefault="000A3439">
      <w:r w:rsidRPr="009261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B7F" w:rsidRPr="009261BD" w:rsidRDefault="00EB0B7F" w:rsidP="005D498E">
    <w:pPr>
      <w:pStyle w:val="EPFooter"/>
    </w:pPr>
    <w:r w:rsidRPr="009261BD">
      <w:t>PE</w:t>
    </w:r>
    <w:r w:rsidRPr="009261BD">
      <w:rPr>
        <w:rStyle w:val="HideTWBExt"/>
      </w:rPr>
      <w:t>&lt;NoPE&gt;</w:t>
    </w:r>
    <w:r w:rsidRPr="009261BD">
      <w:t>753.480</w:t>
    </w:r>
    <w:r w:rsidRPr="009261BD">
      <w:rPr>
        <w:rStyle w:val="HideTWBExt"/>
      </w:rPr>
      <w:t>&lt;/NoPE&gt;&lt;Version&gt;</w:t>
    </w:r>
    <w:r w:rsidRPr="009261BD">
      <w:t>v02-00</w:t>
    </w:r>
    <w:r w:rsidRPr="009261BD">
      <w:rPr>
        <w:rStyle w:val="HideTWBExt"/>
      </w:rPr>
      <w:t>&lt;/Version&gt;</w:t>
    </w:r>
    <w:r w:rsidRPr="009261BD">
      <w:tab/>
    </w:r>
    <w:r w:rsidRPr="009261BD">
      <w:fldChar w:fldCharType="begin"/>
    </w:r>
    <w:r w:rsidRPr="009261BD">
      <w:instrText xml:space="preserve"> PAGE  \* MERGEFORMAT </w:instrText>
    </w:r>
    <w:r w:rsidRPr="009261BD">
      <w:fldChar w:fldCharType="separate"/>
    </w:r>
    <w:r w:rsidR="009261BD" w:rsidRPr="009261BD">
      <w:rPr>
        <w:noProof/>
      </w:rPr>
      <w:t>2</w:t>
    </w:r>
    <w:r w:rsidRPr="009261BD">
      <w:fldChar w:fldCharType="end"/>
    </w:r>
    <w:r w:rsidRPr="009261BD">
      <w:t>/</w:t>
    </w:r>
    <w:r w:rsidR="00507DDA">
      <w:fldChar w:fldCharType="begin"/>
    </w:r>
    <w:r w:rsidR="00507DDA">
      <w:instrText xml:space="preserve"> NUMPAGES  \* MERGEFORMAT </w:instrText>
    </w:r>
    <w:r w:rsidR="00507DDA">
      <w:fldChar w:fldCharType="separate"/>
    </w:r>
    <w:r w:rsidR="009261BD" w:rsidRPr="009261BD">
      <w:rPr>
        <w:noProof/>
      </w:rPr>
      <w:t>3</w:t>
    </w:r>
    <w:r w:rsidR="00507DDA">
      <w:rPr>
        <w:noProof/>
      </w:rPr>
      <w:fldChar w:fldCharType="end"/>
    </w:r>
    <w:r w:rsidRPr="009261BD">
      <w:tab/>
    </w:r>
    <w:r w:rsidRPr="009261BD">
      <w:rPr>
        <w:rStyle w:val="HideTWBExt"/>
      </w:rPr>
      <w:t>&lt;PathFdR&gt;</w:t>
    </w:r>
    <w:r w:rsidRPr="009261BD">
      <w:t>RR\1298529BG.docx</w:t>
    </w:r>
    <w:r w:rsidRPr="009261BD">
      <w:rPr>
        <w:rStyle w:val="HideTWBExt"/>
      </w:rPr>
      <w:t>&lt;/PathFdR&gt;</w:t>
    </w:r>
  </w:p>
  <w:p w:rsidR="00EB0B7F" w:rsidRPr="009261BD" w:rsidRDefault="00EB0B7F" w:rsidP="005D498E">
    <w:pPr>
      <w:pStyle w:val="EPFooter2"/>
    </w:pPr>
    <w:r w:rsidRPr="009261BD">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B7F" w:rsidRPr="009261BD" w:rsidRDefault="00EB0B7F" w:rsidP="005D498E">
    <w:pPr>
      <w:pStyle w:val="EPFooter"/>
    </w:pPr>
    <w:r w:rsidRPr="009261BD">
      <w:rPr>
        <w:rStyle w:val="HideTWBExt"/>
      </w:rPr>
      <w:t>&lt;PathFdR&gt;</w:t>
    </w:r>
    <w:r w:rsidRPr="009261BD">
      <w:t>RR\1298529BG.docx</w:t>
    </w:r>
    <w:r w:rsidRPr="009261BD">
      <w:rPr>
        <w:rStyle w:val="HideTWBExt"/>
      </w:rPr>
      <w:t>&lt;/PathFdR&gt;</w:t>
    </w:r>
    <w:r w:rsidRPr="009261BD">
      <w:tab/>
    </w:r>
    <w:r w:rsidRPr="009261BD">
      <w:tab/>
      <w:t>PE</w:t>
    </w:r>
    <w:r w:rsidRPr="009261BD">
      <w:rPr>
        <w:rStyle w:val="HideTWBExt"/>
      </w:rPr>
      <w:t>&lt;NoPE&gt;</w:t>
    </w:r>
    <w:r w:rsidRPr="009261BD">
      <w:t>753.480</w:t>
    </w:r>
    <w:r w:rsidRPr="009261BD">
      <w:rPr>
        <w:rStyle w:val="HideTWBExt"/>
      </w:rPr>
      <w:t>&lt;/NoPE&gt;&lt;Version&gt;</w:t>
    </w:r>
    <w:r w:rsidRPr="009261BD">
      <w:t>v02-00</w:t>
    </w:r>
    <w:r w:rsidRPr="009261BD">
      <w:rPr>
        <w:rStyle w:val="HideTWBExt"/>
      </w:rPr>
      <w:t>&lt;/Version&gt;</w:t>
    </w:r>
  </w:p>
  <w:p w:rsidR="00EB0B7F" w:rsidRPr="009261BD" w:rsidRDefault="00EB0B7F" w:rsidP="005D498E">
    <w:pPr>
      <w:pStyle w:val="EPFooter2"/>
    </w:pPr>
    <w:r w:rsidRPr="009261BD">
      <w:t>BG</w:t>
    </w:r>
    <w:r w:rsidRPr="009261BD">
      <w:tab/>
    </w:r>
    <w:r w:rsidRPr="009261BD">
      <w:rPr>
        <w:b w:val="0"/>
        <w:i/>
        <w:color w:val="C0C0C0"/>
        <w:sz w:val="22"/>
      </w:rPr>
      <w:t>Единство в многообразието</w:t>
    </w:r>
    <w:r w:rsidRPr="009261BD">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B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B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439" w:rsidRPr="009261BD" w:rsidRDefault="000A3439">
      <w:r w:rsidRPr="009261BD">
        <w:separator/>
      </w:r>
    </w:p>
  </w:footnote>
  <w:footnote w:type="continuationSeparator" w:id="0">
    <w:p w:rsidR="000A3439" w:rsidRPr="009261BD" w:rsidRDefault="000A3439">
      <w:r w:rsidRPr="009261BD">
        <w:continuationSeparator/>
      </w:r>
    </w:p>
  </w:footnote>
  <w:footnote w:id="1">
    <w:p w:rsidR="00EB0B7F" w:rsidRPr="009261BD" w:rsidRDefault="00EB0B7F" w:rsidP="009261BD">
      <w:pPr>
        <w:pStyle w:val="FootnoteText"/>
        <w:ind w:left="567" w:hanging="567"/>
        <w:rPr>
          <w:sz w:val="24"/>
          <w:lang w:val="bg-BG"/>
        </w:rPr>
      </w:pPr>
      <w:r w:rsidRPr="009261BD">
        <w:rPr>
          <w:rStyle w:val="FootnoteReference"/>
          <w:sz w:val="24"/>
          <w:lang w:val="bg-BG"/>
        </w:rPr>
        <w:footnoteRef/>
      </w:r>
      <w:r w:rsidR="009261BD" w:rsidRPr="009261BD">
        <w:rPr>
          <w:sz w:val="24"/>
          <w:lang w:val="bg-BG"/>
        </w:rPr>
        <w:t xml:space="preserve"> </w:t>
      </w:r>
      <w:r w:rsidR="009261BD" w:rsidRPr="009261BD">
        <w:rPr>
          <w:sz w:val="24"/>
          <w:lang w:val="bg-BG"/>
        </w:rPr>
        <w:tab/>
      </w:r>
      <w:r w:rsidRPr="009261BD">
        <w:rPr>
          <w:sz w:val="24"/>
          <w:lang w:val="bg-BG"/>
        </w:rPr>
        <w:t>OВ L 45, 24.2.2022 г.</w:t>
      </w:r>
    </w:p>
  </w:footnote>
  <w:footnote w:id="2">
    <w:p w:rsidR="00EB0B7F" w:rsidRPr="009261BD" w:rsidRDefault="00EB0B7F" w:rsidP="009261BD">
      <w:pPr>
        <w:pStyle w:val="FootnoteText"/>
        <w:ind w:left="567" w:hanging="567"/>
        <w:rPr>
          <w:sz w:val="24"/>
          <w:lang w:val="bg-BG"/>
        </w:rPr>
      </w:pPr>
      <w:r w:rsidRPr="009261BD">
        <w:rPr>
          <w:rStyle w:val="FootnoteReference"/>
          <w:sz w:val="24"/>
          <w:lang w:val="bg-BG"/>
        </w:rPr>
        <w:footnoteRef/>
      </w:r>
      <w:r w:rsidR="009261BD" w:rsidRPr="009261BD">
        <w:rPr>
          <w:sz w:val="24"/>
          <w:lang w:val="bg-BG"/>
        </w:rPr>
        <w:t xml:space="preserve"> </w:t>
      </w:r>
      <w:r w:rsidR="009261BD" w:rsidRPr="009261BD">
        <w:rPr>
          <w:sz w:val="24"/>
          <w:lang w:val="bg-BG"/>
        </w:rPr>
        <w:tab/>
      </w:r>
      <w:r w:rsidRPr="009261BD">
        <w:rPr>
          <w:sz w:val="24"/>
          <w:lang w:val="bg-BG"/>
        </w:rPr>
        <w:t>ОВ C, C/2023/2, 12.10.2023 г.</w:t>
      </w:r>
    </w:p>
  </w:footnote>
  <w:footnote w:id="3">
    <w:p w:rsidR="00EB0B7F" w:rsidRPr="009261BD" w:rsidRDefault="00EB0B7F" w:rsidP="009261BD">
      <w:pPr>
        <w:pStyle w:val="FootnoteText"/>
        <w:ind w:left="567" w:hanging="567"/>
        <w:rPr>
          <w:sz w:val="24"/>
          <w:lang w:val="bg-BG"/>
        </w:rPr>
      </w:pPr>
      <w:r w:rsidRPr="009261BD">
        <w:rPr>
          <w:rStyle w:val="FootnoteReference"/>
          <w:sz w:val="24"/>
          <w:lang w:val="bg-BG"/>
        </w:rPr>
        <w:footnoteRef/>
      </w:r>
      <w:r w:rsidR="009261BD" w:rsidRPr="009261BD">
        <w:rPr>
          <w:sz w:val="24"/>
          <w:lang w:val="bg-BG"/>
        </w:rPr>
        <w:t xml:space="preserve"> </w:t>
      </w:r>
      <w:r w:rsidR="009261BD" w:rsidRPr="009261BD">
        <w:rPr>
          <w:sz w:val="24"/>
          <w:lang w:val="bg-BG"/>
        </w:rPr>
        <w:tab/>
      </w:r>
      <w:r w:rsidRPr="009261BD">
        <w:rPr>
          <w:sz w:val="24"/>
          <w:lang w:val="bg-BG"/>
        </w:rPr>
        <w:t>ОВ C, C/2023/103, 4.10.2023 г.</w:t>
      </w:r>
    </w:p>
  </w:footnote>
  <w:footnote w:id="4">
    <w:p w:rsidR="00EB0B7F" w:rsidRPr="009261BD" w:rsidRDefault="00EB0B7F" w:rsidP="009261BD">
      <w:pPr>
        <w:pStyle w:val="FootnoteText"/>
        <w:ind w:left="567" w:hanging="567"/>
        <w:rPr>
          <w:sz w:val="24"/>
          <w:lang w:val="bg-BG"/>
        </w:rPr>
      </w:pPr>
      <w:r w:rsidRPr="009261BD">
        <w:rPr>
          <w:rStyle w:val="FootnoteReference"/>
          <w:sz w:val="24"/>
          <w:lang w:val="bg-BG"/>
        </w:rPr>
        <w:footnoteRef/>
      </w:r>
      <w:r w:rsidR="009261BD" w:rsidRPr="009261BD">
        <w:rPr>
          <w:sz w:val="24"/>
          <w:lang w:val="bg-BG"/>
        </w:rPr>
        <w:t xml:space="preserve"> </w:t>
      </w:r>
      <w:r w:rsidR="009261BD" w:rsidRPr="009261BD">
        <w:rPr>
          <w:sz w:val="24"/>
          <w:lang w:val="bg-BG"/>
        </w:rPr>
        <w:tab/>
      </w:r>
      <w:r w:rsidRPr="009261BD">
        <w:rPr>
          <w:sz w:val="24"/>
          <w:lang w:val="bg-BG"/>
        </w:rPr>
        <w:t>ОВ C, C/2023/112, 12.10.2023 г.</w:t>
      </w:r>
    </w:p>
  </w:footnote>
  <w:footnote w:id="5">
    <w:p w:rsidR="00EB0B7F" w:rsidRPr="009261BD" w:rsidRDefault="00EB0B7F" w:rsidP="009261BD">
      <w:pPr>
        <w:pStyle w:val="FootnoteText"/>
        <w:ind w:left="567" w:hanging="567"/>
        <w:rPr>
          <w:sz w:val="24"/>
          <w:szCs w:val="24"/>
          <w:lang w:val="bg-BG"/>
        </w:rPr>
      </w:pPr>
      <w:r w:rsidRPr="009261BD">
        <w:rPr>
          <w:rStyle w:val="FootnoteReference"/>
          <w:sz w:val="24"/>
          <w:lang w:val="bg-BG"/>
        </w:rPr>
        <w:footnoteRef/>
      </w:r>
      <w:r w:rsidR="009261BD" w:rsidRPr="009261BD">
        <w:rPr>
          <w:sz w:val="24"/>
          <w:lang w:val="bg-BG"/>
        </w:rPr>
        <w:t xml:space="preserve"> </w:t>
      </w:r>
      <w:r w:rsidR="009261BD" w:rsidRPr="009261BD">
        <w:rPr>
          <w:sz w:val="24"/>
          <w:lang w:val="bg-BG"/>
        </w:rPr>
        <w:tab/>
      </w:r>
      <w:r w:rsidRPr="009261BD">
        <w:rPr>
          <w:sz w:val="24"/>
          <w:lang w:val="bg-BG"/>
        </w:rPr>
        <w:t>ОВ L 193, 30.7.2018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BG"/>
    <w:docVar w:name="dvnumam" w:val="0"/>
    <w:docVar w:name="dvpe" w:val="753.480"/>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IV ‒ Съд на Европейския съюз(2023/2132(DEC))"/>
  </w:docVars>
  <w:rsids>
    <w:rsidRoot w:val="000A3439"/>
    <w:rsid w:val="00002272"/>
    <w:rsid w:val="00064002"/>
    <w:rsid w:val="000677B9"/>
    <w:rsid w:val="000831BA"/>
    <w:rsid w:val="000A3439"/>
    <w:rsid w:val="000A42CC"/>
    <w:rsid w:val="000E7DD9"/>
    <w:rsid w:val="0010095E"/>
    <w:rsid w:val="00125B37"/>
    <w:rsid w:val="00187494"/>
    <w:rsid w:val="001F32AE"/>
    <w:rsid w:val="002767FF"/>
    <w:rsid w:val="002B18FE"/>
    <w:rsid w:val="002B5493"/>
    <w:rsid w:val="00343214"/>
    <w:rsid w:val="00361C00"/>
    <w:rsid w:val="00395FA1"/>
    <w:rsid w:val="003C7840"/>
    <w:rsid w:val="003E15D4"/>
    <w:rsid w:val="00411CCE"/>
    <w:rsid w:val="0041666E"/>
    <w:rsid w:val="00421060"/>
    <w:rsid w:val="00471C19"/>
    <w:rsid w:val="004867E3"/>
    <w:rsid w:val="00494A28"/>
    <w:rsid w:val="004C0004"/>
    <w:rsid w:val="004C5D52"/>
    <w:rsid w:val="0050519A"/>
    <w:rsid w:val="005072A1"/>
    <w:rsid w:val="00507DDA"/>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E3D"/>
    <w:rsid w:val="008C2AC6"/>
    <w:rsid w:val="008E2C2D"/>
    <w:rsid w:val="009261B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B7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2D182E-8957-4437-B348-9150DCF7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0B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B0B7F"/>
    <w:pPr>
      <w:spacing w:before="480" w:after="240"/>
    </w:pPr>
  </w:style>
  <w:style w:type="paragraph" w:customStyle="1" w:styleId="PageHeading">
    <w:name w:val="PageHeading"/>
    <w:basedOn w:val="Normal"/>
    <w:rsid w:val="00EB0B7F"/>
    <w:pPr>
      <w:keepNext/>
      <w:spacing w:after="480"/>
      <w:jc w:val="center"/>
    </w:pPr>
    <w:rPr>
      <w:rFonts w:ascii="Arial" w:hAnsi="Arial" w:cs="Arial"/>
      <w:b/>
    </w:rPr>
  </w:style>
  <w:style w:type="paragraph" w:customStyle="1" w:styleId="NormalBold">
    <w:name w:val="NormalBold"/>
    <w:basedOn w:val="Normal"/>
    <w:rsid w:val="00EB0B7F"/>
    <w:rPr>
      <w:b/>
    </w:rPr>
  </w:style>
  <w:style w:type="paragraph" w:customStyle="1" w:styleId="NormalHanging12a">
    <w:name w:val="NormalHanging12a"/>
    <w:basedOn w:val="Normal"/>
    <w:link w:val="NormalHanging12aChar"/>
    <w:qFormat/>
    <w:rsid w:val="00EB0B7F"/>
    <w:pPr>
      <w:spacing w:after="240"/>
      <w:ind w:left="567" w:hanging="567"/>
    </w:pPr>
  </w:style>
  <w:style w:type="paragraph" w:styleId="Header">
    <w:name w:val="header"/>
    <w:basedOn w:val="Normal"/>
    <w:link w:val="HeaderChar"/>
    <w:rsid w:val="00EB0B7F"/>
    <w:pPr>
      <w:tabs>
        <w:tab w:val="center" w:pos="4513"/>
        <w:tab w:val="right" w:pos="9026"/>
      </w:tabs>
    </w:pPr>
  </w:style>
  <w:style w:type="character" w:customStyle="1" w:styleId="HeaderChar">
    <w:name w:val="Header Char"/>
    <w:basedOn w:val="DefaultParagraphFont"/>
    <w:link w:val="Header"/>
    <w:rsid w:val="00EB0B7F"/>
    <w:rPr>
      <w:sz w:val="24"/>
      <w:lang w:val="bg-BG"/>
    </w:rPr>
  </w:style>
  <w:style w:type="paragraph" w:customStyle="1" w:styleId="EPFooter">
    <w:name w:val="EPFooter"/>
    <w:basedOn w:val="Normal"/>
    <w:rsid w:val="00EB0B7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B0B7F"/>
    <w:rPr>
      <w:sz w:val="24"/>
      <w:lang w:val="bg-BG"/>
    </w:rPr>
  </w:style>
  <w:style w:type="paragraph" w:styleId="BalloonText">
    <w:name w:val="Balloon Text"/>
    <w:basedOn w:val="Normal"/>
    <w:link w:val="BalloonTextChar"/>
    <w:rsid w:val="003C7840"/>
    <w:rPr>
      <w:rFonts w:ascii="Segoe UI" w:hAnsi="Segoe UI" w:cs="Segoe UI"/>
      <w:sz w:val="18"/>
      <w:szCs w:val="18"/>
    </w:rPr>
  </w:style>
  <w:style w:type="character" w:customStyle="1" w:styleId="BalloonTextChar">
    <w:name w:val="Balloon Text Char"/>
    <w:basedOn w:val="DefaultParagraphFont"/>
    <w:link w:val="BalloonText"/>
    <w:rsid w:val="003C7840"/>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A2A51-B1AB-442F-BF6C-214711512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6257</Words>
  <Characters>34162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2024-04-11T10:48:00Z</dcterms:created>
  <dcterms:modified xsi:type="dcterms:W3CDTF">2024-04-11T10:48:00Z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A9-0075/2024</vt:lpwstr>
  </property>
  <property fmtid="{D5CDD505-2E9C-101B-9397-08002B2CF9AE}" pid="4" name="&lt;Type&gt;">
    <vt:lpwstr>RR</vt:lpwstr>
  </property>
</Properties>
</file>