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4E53" w:rsidTr="0010095E">
        <w:trPr>
          <w:trHeight w:hRule="exact" w:val="1418"/>
        </w:trPr>
        <w:tc>
          <w:tcPr>
            <w:tcW w:w="6804" w:type="dxa"/>
            <w:shd w:val="clear" w:color="auto" w:fill="auto"/>
            <w:vAlign w:val="center"/>
          </w:tcPr>
          <w:p w:rsidR="00751A4A" w:rsidRPr="00CE4E53" w:rsidRDefault="001742D7" w:rsidP="0010095E">
            <w:pPr>
              <w:pStyle w:val="EPName"/>
            </w:pPr>
            <w:r w:rsidRPr="00CE4E53">
              <w:t>Evropský parlament</w:t>
            </w:r>
          </w:p>
          <w:p w:rsidR="00751A4A" w:rsidRPr="00CE4E53" w:rsidRDefault="00817416" w:rsidP="00756632">
            <w:pPr>
              <w:pStyle w:val="EPTerm"/>
              <w:rPr>
                <w:rStyle w:val="HideTWBExt"/>
                <w:noProof w:val="0"/>
                <w:vanish w:val="0"/>
                <w:color w:val="auto"/>
              </w:rPr>
            </w:pPr>
            <w:r w:rsidRPr="00CE4E53">
              <w:t>2019-2024</w:t>
            </w:r>
          </w:p>
        </w:tc>
        <w:tc>
          <w:tcPr>
            <w:tcW w:w="2268" w:type="dxa"/>
            <w:shd w:val="clear" w:color="auto" w:fill="auto"/>
          </w:tcPr>
          <w:p w:rsidR="00751A4A" w:rsidRPr="00CE4E53" w:rsidRDefault="00187494" w:rsidP="0010095E">
            <w:pPr>
              <w:pStyle w:val="EPLogo"/>
            </w:pPr>
            <w:r w:rsidRPr="00CE4E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4E53" w:rsidRDefault="00D058B8" w:rsidP="004C5D52">
      <w:pPr>
        <w:pStyle w:val="LineTop"/>
      </w:pPr>
    </w:p>
    <w:p w:rsidR="00680577" w:rsidRPr="00CE4E53" w:rsidRDefault="001742D7" w:rsidP="00680577">
      <w:pPr>
        <w:pStyle w:val="EPBodyTA1"/>
      </w:pPr>
      <w:r w:rsidRPr="00CE4E53">
        <w:t>PŘIJATÉ TEXTY</w:t>
      </w:r>
    </w:p>
    <w:p w:rsidR="00D058B8" w:rsidRPr="00CE4E53" w:rsidRDefault="00D058B8" w:rsidP="00D058B8">
      <w:pPr>
        <w:pStyle w:val="LineBottom"/>
      </w:pPr>
    </w:p>
    <w:p w:rsidR="001742D7" w:rsidRPr="00CE4E53" w:rsidRDefault="001742D7" w:rsidP="001742D7">
      <w:pPr>
        <w:pStyle w:val="ATHeading1"/>
      </w:pPr>
      <w:bookmarkStart w:id="0" w:name="TANumber"/>
      <w:r w:rsidRPr="00CE4E53">
        <w:t>P9_TA(2024)0</w:t>
      </w:r>
      <w:r w:rsidR="00CC7C6E">
        <w:t>23</w:t>
      </w:r>
      <w:r w:rsidRPr="00CE4E53">
        <w:t>0</w:t>
      </w:r>
      <w:bookmarkStart w:id="1" w:name="_GoBack"/>
      <w:bookmarkEnd w:id="0"/>
      <w:bookmarkEnd w:id="1"/>
    </w:p>
    <w:p w:rsidR="001742D7" w:rsidRPr="00CE4E53" w:rsidRDefault="001742D7" w:rsidP="001742D7">
      <w:pPr>
        <w:pStyle w:val="ATHeading2"/>
      </w:pPr>
      <w:bookmarkStart w:id="2" w:name="title"/>
      <w:r w:rsidRPr="00CE4E53">
        <w:t>Udělení absolutoria za rok 2022: souhrnný rozpočet EU – Soudní dvůr Evropské unie</w:t>
      </w:r>
      <w:bookmarkEnd w:id="2"/>
    </w:p>
    <w:p w:rsidR="001742D7" w:rsidRPr="00CE4E53" w:rsidRDefault="001742D7" w:rsidP="001742D7">
      <w:pPr>
        <w:rPr>
          <w:i/>
          <w:vanish/>
        </w:rPr>
      </w:pPr>
      <w:r w:rsidRPr="00CE4E53">
        <w:rPr>
          <w:i/>
        </w:rPr>
        <w:fldChar w:fldCharType="begin"/>
      </w:r>
      <w:r w:rsidRPr="00CE4E53">
        <w:rPr>
          <w:i/>
        </w:rPr>
        <w:instrText xml:space="preserve"> TC"(</w:instrText>
      </w:r>
      <w:bookmarkStart w:id="3" w:name="DocNumber"/>
      <w:r w:rsidRPr="00CE4E53">
        <w:rPr>
          <w:i/>
        </w:rPr>
        <w:instrText>A9-0075/2024</w:instrText>
      </w:r>
      <w:bookmarkEnd w:id="3"/>
      <w:r w:rsidRPr="00CE4E53">
        <w:rPr>
          <w:i/>
        </w:rPr>
        <w:instrText xml:space="preserve"> - Zpravodaj: </w:instrText>
      </w:r>
      <w:proofErr w:type="spellStart"/>
      <w:r w:rsidRPr="00CE4E53">
        <w:rPr>
          <w:i/>
        </w:rPr>
        <w:instrText>Luke</w:instrText>
      </w:r>
      <w:proofErr w:type="spellEnd"/>
      <w:r w:rsidRPr="00CE4E53">
        <w:rPr>
          <w:i/>
        </w:rPr>
        <w:instrText xml:space="preserve"> Ming </w:instrText>
      </w:r>
      <w:proofErr w:type="spellStart"/>
      <w:r w:rsidRPr="00CE4E53">
        <w:rPr>
          <w:i/>
        </w:rPr>
        <w:instrText>Flanagan</w:instrText>
      </w:r>
      <w:proofErr w:type="spellEnd"/>
      <w:r w:rsidRPr="00CE4E53">
        <w:rPr>
          <w:i/>
        </w:rPr>
        <w:instrText xml:space="preserve">)"\l3 \n&gt; \* MERGEFORMAT </w:instrText>
      </w:r>
      <w:r w:rsidRPr="00CE4E53">
        <w:rPr>
          <w:i/>
        </w:rPr>
        <w:fldChar w:fldCharType="end"/>
      </w:r>
    </w:p>
    <w:p w:rsidR="001742D7" w:rsidRPr="00CE4E53" w:rsidRDefault="001742D7" w:rsidP="001742D7">
      <w:pPr>
        <w:rPr>
          <w:vanish/>
        </w:rPr>
      </w:pPr>
      <w:bookmarkStart w:id="4" w:name="Commission"/>
      <w:r w:rsidRPr="00CE4E53">
        <w:rPr>
          <w:vanish/>
        </w:rPr>
        <w:t>Výbor pro rozpočtovou kontrolu</w:t>
      </w:r>
      <w:bookmarkEnd w:id="4"/>
    </w:p>
    <w:p w:rsidR="001742D7" w:rsidRPr="00CE4E53" w:rsidRDefault="001742D7" w:rsidP="001742D7">
      <w:pPr>
        <w:rPr>
          <w:vanish/>
        </w:rPr>
      </w:pPr>
      <w:bookmarkStart w:id="5" w:name="PE"/>
      <w:r w:rsidRPr="00CE4E53">
        <w:rPr>
          <w:vanish/>
        </w:rPr>
        <w:t>PE753.480</w:t>
      </w:r>
      <w:bookmarkEnd w:id="5"/>
    </w:p>
    <w:p w:rsidR="001742D7" w:rsidRPr="00CE4E53" w:rsidRDefault="001742D7" w:rsidP="001742D7">
      <w:pPr>
        <w:pStyle w:val="ATHeading3"/>
      </w:pPr>
      <w:bookmarkStart w:id="6" w:name="Sujet"/>
      <w:r w:rsidRPr="00CE4E53">
        <w:t>1. Rozhodnutí Evropského parlamentu ze dne 11. dubna 2024 o udělení absolutoria za plnění souhrnného rozpočtu Evropské unie na rozpočtový rok 2022, oddíl IV – Soudní dvůr Evropské unie</w:t>
      </w:r>
      <w:bookmarkEnd w:id="6"/>
      <w:r w:rsidRPr="00CE4E53">
        <w:t xml:space="preserve"> </w:t>
      </w:r>
      <w:bookmarkStart w:id="7" w:name="References"/>
      <w:r w:rsidRPr="00CE4E53">
        <w:t>(2023/2132(DEC))</w:t>
      </w:r>
      <w:bookmarkEnd w:id="7"/>
    </w:p>
    <w:p w:rsidR="00397996" w:rsidRPr="00CE4E53" w:rsidRDefault="00397996" w:rsidP="00397996">
      <w:pPr>
        <w:pStyle w:val="EPComma"/>
      </w:pPr>
      <w:bookmarkStart w:id="8" w:name="TextBodyBegin"/>
      <w:bookmarkEnd w:id="8"/>
      <w:r w:rsidRPr="00CE4E53">
        <w:rPr>
          <w:i/>
        </w:rPr>
        <w:t>Evropský parlament</w:t>
      </w:r>
      <w:r w:rsidRPr="00CE4E53">
        <w:t>,</w:t>
      </w:r>
    </w:p>
    <w:p w:rsidR="00397996" w:rsidRPr="00CE4E53" w:rsidRDefault="00397996" w:rsidP="00397996">
      <w:pPr>
        <w:pStyle w:val="NormalHanging12a"/>
      </w:pPr>
      <w:r w:rsidRPr="00CE4E53">
        <w:t>–</w:t>
      </w:r>
      <w:r w:rsidRPr="00CE4E53">
        <w:tab/>
        <w:t>s ohledem na souhrnný rozpočet Evropské unie na rozpočtový rok 2022</w:t>
      </w:r>
      <w:r w:rsidRPr="00CE4E53">
        <w:rPr>
          <w:rStyle w:val="FootnoteReference"/>
        </w:rPr>
        <w:footnoteReference w:id="1"/>
      </w:r>
      <w:r w:rsidRPr="00CE4E53">
        <w:t>,</w:t>
      </w:r>
    </w:p>
    <w:p w:rsidR="00397996" w:rsidRPr="00CE4E53" w:rsidRDefault="00397996" w:rsidP="00397996">
      <w:pPr>
        <w:pStyle w:val="NormalHanging12a"/>
      </w:pPr>
      <w:r w:rsidRPr="00CE4E53">
        <w:t>–</w:t>
      </w:r>
      <w:r w:rsidRPr="00CE4E53">
        <w:tab/>
        <w:t>s ohledem na konsolidovanou účetní závěrku Evropské unie za rozpočtový rok 2022 (COM(2023)0391 – C9</w:t>
      </w:r>
      <w:r w:rsidRPr="00CE4E53">
        <w:noBreakHyphen/>
        <w:t>0251/2023)</w:t>
      </w:r>
      <w:r w:rsidRPr="00CE4E53">
        <w:rPr>
          <w:rStyle w:val="FootnoteReference"/>
        </w:rPr>
        <w:footnoteReference w:id="2"/>
      </w:r>
      <w:r w:rsidRPr="00CE4E53">
        <w:t>,</w:t>
      </w:r>
    </w:p>
    <w:p w:rsidR="00397996" w:rsidRPr="00CE4E53" w:rsidRDefault="00397996" w:rsidP="00397996">
      <w:pPr>
        <w:pStyle w:val="NormalHanging12a"/>
      </w:pPr>
      <w:r w:rsidRPr="00CE4E53">
        <w:t>–</w:t>
      </w:r>
      <w:r w:rsidRPr="00CE4E53">
        <w:tab/>
        <w:t>s ohledem na výroční zprávu Soudního dvora Evropské unie orgánu příslušnému pro udělení absolutoria o provedených interních auditech v roce 2022,</w:t>
      </w:r>
    </w:p>
    <w:p w:rsidR="00397996" w:rsidRPr="00CE4E53" w:rsidRDefault="00397996" w:rsidP="00397996">
      <w:pPr>
        <w:pStyle w:val="NormalHanging12a"/>
      </w:pPr>
      <w:r w:rsidRPr="00CE4E53">
        <w:t>–</w:t>
      </w:r>
      <w:r w:rsidRPr="00CE4E53">
        <w:tab/>
        <w:t>s ohledem na výroční zprávu Účetního dvora o plnění rozpočtu na rozpočtový rok 2022 spolu s odpověďmi orgánů</w:t>
      </w:r>
      <w:r w:rsidRPr="00CE4E53">
        <w:rPr>
          <w:rStyle w:val="FootnoteReference"/>
        </w:rPr>
        <w:footnoteReference w:id="3"/>
      </w:r>
      <w:r w:rsidRPr="00CE4E53">
        <w:t>,</w:t>
      </w:r>
    </w:p>
    <w:p w:rsidR="00397996" w:rsidRPr="00CE4E53" w:rsidRDefault="00397996" w:rsidP="00397996">
      <w:pPr>
        <w:pStyle w:val="NormalHanging12a"/>
      </w:pPr>
      <w:r w:rsidRPr="00CE4E53">
        <w:t>–</w:t>
      </w:r>
      <w:r w:rsidRPr="00CE4E53">
        <w:tab/>
        <w:t>s ohledem na prohlášení o věrohodnosti</w:t>
      </w:r>
      <w:r w:rsidRPr="00CE4E53">
        <w:rPr>
          <w:rStyle w:val="FootnoteReference"/>
        </w:rPr>
        <w:footnoteReference w:id="4"/>
      </w:r>
      <w:r w:rsidRPr="00CE4E53">
        <w:t xml:space="preserve"> účetnictví a o legalitě a správnosti uskutečněných operací, které předložil Účetní dvůr za rozpočtový rok 2022 podle článku 287 Smlouvy o fungování Evropské unie,</w:t>
      </w:r>
    </w:p>
    <w:p w:rsidR="00397996" w:rsidRPr="00971BED" w:rsidRDefault="00397996" w:rsidP="00397996">
      <w:pPr>
        <w:pStyle w:val="NormalHanging12a"/>
      </w:pPr>
      <w:r w:rsidRPr="00CE4E53">
        <w:t>–</w:t>
      </w:r>
      <w:r w:rsidRPr="00CE4E53">
        <w:tab/>
        <w:t>s ohledem na čl. 314 odst. 10 a články 317, 318 a 319 Smlouvy o fungování Evropské unie,</w:t>
      </w:r>
    </w:p>
    <w:p w:rsidR="00397996" w:rsidRPr="00CE4E53" w:rsidRDefault="00397996" w:rsidP="00397996">
      <w:pPr>
        <w:pStyle w:val="NormalHanging12a"/>
      </w:pPr>
      <w:r w:rsidRPr="00CE4E53">
        <w:t>–</w:t>
      </w:r>
      <w:r w:rsidRPr="00CE4E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CE4E53">
        <w:rPr>
          <w:rStyle w:val="FootnoteReference"/>
        </w:rPr>
        <w:footnoteReference w:id="5"/>
      </w:r>
      <w:r w:rsidRPr="00CE4E53">
        <w:t xml:space="preserve">, a zejména </w:t>
      </w:r>
      <w:r w:rsidRPr="00CE4E53">
        <w:lastRenderedPageBreak/>
        <w:t>na články 59, 118, 260, 261 a 262 tohoto nařízení,</w:t>
      </w:r>
    </w:p>
    <w:p w:rsidR="00397996" w:rsidRPr="00CE4E53" w:rsidRDefault="00397996" w:rsidP="00397996">
      <w:pPr>
        <w:pStyle w:val="NormalHanging12a"/>
      </w:pPr>
      <w:r w:rsidRPr="00CE4E53">
        <w:t>–</w:t>
      </w:r>
      <w:r w:rsidRPr="00CE4E53">
        <w:tab/>
        <w:t>s ohledem na článek 100 a přílohu V jednacího řádu,</w:t>
      </w:r>
    </w:p>
    <w:p w:rsidR="00397996" w:rsidRPr="00CE4E53" w:rsidRDefault="00397996" w:rsidP="00397996">
      <w:pPr>
        <w:pStyle w:val="NormalHanging12a"/>
      </w:pPr>
      <w:r w:rsidRPr="00CE4E53">
        <w:t>–</w:t>
      </w:r>
      <w:r w:rsidRPr="00CE4E53">
        <w:tab/>
        <w:t>s ohledem na stanovisko Výboru pro právní záležitosti,</w:t>
      </w:r>
    </w:p>
    <w:p w:rsidR="00397996" w:rsidRPr="00CE4E53" w:rsidRDefault="00397996" w:rsidP="00397996">
      <w:pPr>
        <w:pStyle w:val="NormalHanging12a"/>
      </w:pPr>
      <w:r w:rsidRPr="00CE4E53">
        <w:t>–</w:t>
      </w:r>
      <w:r w:rsidRPr="00CE4E53">
        <w:tab/>
        <w:t>s ohledem na zprávu Výboru pro rozpočtovou kontrolu (A9</w:t>
      </w:r>
      <w:r w:rsidRPr="00CE4E53">
        <w:noBreakHyphen/>
        <w:t>0075/2024),</w:t>
      </w:r>
    </w:p>
    <w:p w:rsidR="00397996" w:rsidRPr="00CE4E53" w:rsidRDefault="00397996" w:rsidP="00397996">
      <w:pPr>
        <w:pStyle w:val="NormalHanging12a"/>
      </w:pPr>
      <w:r w:rsidRPr="00CE4E53">
        <w:t>1.</w:t>
      </w:r>
      <w:r w:rsidRPr="00CE4E53">
        <w:tab/>
        <w:t>uděluje absolutorium tajemníkovi Soudního dvora za plnění rozpočtu Soudního dvora Evropské unie na rozpočtový rok 2022</w:t>
      </w:r>
      <w:r w:rsidR="003C7C81">
        <w:t>;</w:t>
      </w:r>
    </w:p>
    <w:p w:rsidR="00397996" w:rsidRPr="00CE4E53" w:rsidRDefault="00397996" w:rsidP="00397996">
      <w:pPr>
        <w:pStyle w:val="NormalHanging12a"/>
      </w:pPr>
      <w:r w:rsidRPr="00CE4E53">
        <w:t>2.</w:t>
      </w:r>
      <w:r w:rsidRPr="00CE4E53">
        <w:tab/>
        <w:t>předkládá své připomínky v dále uvedeném usnesení;</w:t>
      </w:r>
    </w:p>
    <w:p w:rsidR="00397996" w:rsidRPr="00CE4E53" w:rsidRDefault="00397996" w:rsidP="00397996">
      <w:pPr>
        <w:pStyle w:val="NormalHanging12a"/>
      </w:pPr>
      <w:r w:rsidRPr="00CE4E53">
        <w:t>3.</w:t>
      </w:r>
      <w:r w:rsidRPr="00CE4E53">
        <w:tab/>
        <w:t xml:space="preserve">pověřuje svou předsedkyni, aby předala toto rozhodnutí a usnesení, které je jeho nedílnou součástí, Soudnímu dvoru Evropské unie, Radě, Komisi a Účetnímu dvoru a aby zajistila jejich zveřejnění v </w:t>
      </w:r>
      <w:r w:rsidRPr="00CE4E53">
        <w:rPr>
          <w:i/>
        </w:rPr>
        <w:t>Úředním věstníku Evropské unie</w:t>
      </w:r>
      <w:r w:rsidRPr="00CE4E53">
        <w:t xml:space="preserve"> (řada L).</w:t>
      </w:r>
    </w:p>
    <w:p w:rsidR="00397996" w:rsidRPr="00CE4E53" w:rsidRDefault="00397996" w:rsidP="00397996"/>
    <w:p w:rsidR="00397996" w:rsidRPr="00CE4E53" w:rsidRDefault="00397996" w:rsidP="00397996">
      <w:pPr>
        <w:pStyle w:val="PageHeading"/>
        <w:sectPr w:rsidR="00397996" w:rsidRPr="00CE4E53" w:rsidSect="00CE4E5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97996" w:rsidRPr="00CE4E53" w:rsidRDefault="00397996" w:rsidP="00C41AB1">
      <w:pPr>
        <w:pStyle w:val="ATHeading3"/>
      </w:pPr>
      <w:bookmarkStart w:id="9" w:name="_Toc161845669"/>
      <w:r w:rsidRPr="00CE4E53">
        <w:lastRenderedPageBreak/>
        <w:t xml:space="preserve">2. </w:t>
      </w:r>
      <w:r w:rsidR="00C41AB1" w:rsidRPr="00CE4E53">
        <w:t>Usnesení Evropského parlamentu</w:t>
      </w:r>
      <w:bookmarkEnd w:id="9"/>
      <w:r w:rsidR="00C41AB1">
        <w:t xml:space="preserve"> </w:t>
      </w:r>
      <w:r w:rsidR="00C41AB1" w:rsidRPr="00CE4E53">
        <w:t xml:space="preserve">ze dne 11. dubna 2024 </w:t>
      </w:r>
      <w:r w:rsidRPr="00CE4E53">
        <w:t>obsahující připomínky, které jsou nedílnou součástí rozhodnutí o udělení absolutoria za plnění souhrnného rozpočtu Evropské unie na rozpočtový rok 2022, oddíl IV – Soudní dvůr Evropské unie</w:t>
      </w:r>
      <w:r w:rsidR="00C41AB1">
        <w:t xml:space="preserve"> </w:t>
      </w:r>
      <w:r w:rsidRPr="00CE4E53">
        <w:t>(2023/2132(DEC))</w:t>
      </w:r>
    </w:p>
    <w:p w:rsidR="00397996" w:rsidRPr="00CE4E53" w:rsidRDefault="00397996" w:rsidP="00397996">
      <w:pPr>
        <w:pStyle w:val="EPComma"/>
      </w:pPr>
      <w:r w:rsidRPr="00CE4E53">
        <w:rPr>
          <w:i/>
        </w:rPr>
        <w:t>Evropský parlament</w:t>
      </w:r>
      <w:r w:rsidRPr="00CE4E53">
        <w:t>,</w:t>
      </w:r>
    </w:p>
    <w:p w:rsidR="00397996" w:rsidRPr="00661A93" w:rsidRDefault="00397996" w:rsidP="00661A93">
      <w:pPr>
        <w:pStyle w:val="NormalHanging12a"/>
        <w:rPr>
          <w:szCs w:val="24"/>
        </w:rPr>
      </w:pPr>
      <w:r w:rsidRPr="00CE4E53">
        <w:t>–</w:t>
      </w:r>
      <w:r w:rsidRPr="00CE4E53">
        <w:tab/>
        <w:t xml:space="preserve">s ohledem na své rozhodnutí o udělení absolutoria za plnění souhrnného rozpočtu Evropské </w:t>
      </w:r>
      <w:r w:rsidRPr="00661A93">
        <w:rPr>
          <w:szCs w:val="24"/>
        </w:rPr>
        <w:t>unie na rozpočtový rok 2022, oddíl IV – Soudní dvůr Evropské unie,</w:t>
      </w:r>
    </w:p>
    <w:p w:rsidR="00397996" w:rsidRPr="00661A93" w:rsidRDefault="00397996" w:rsidP="00661A93">
      <w:pPr>
        <w:pStyle w:val="NormalHanging12a"/>
        <w:rPr>
          <w:szCs w:val="24"/>
        </w:rPr>
      </w:pPr>
      <w:r w:rsidRPr="00661A93">
        <w:rPr>
          <w:szCs w:val="24"/>
        </w:rPr>
        <w:t>–</w:t>
      </w:r>
      <w:r w:rsidRPr="00661A93">
        <w:rPr>
          <w:szCs w:val="24"/>
        </w:rPr>
        <w:tab/>
        <w:t>s ohledem na článek 100 a přílohu V jednacího řádu,</w:t>
      </w:r>
    </w:p>
    <w:p w:rsidR="00397996" w:rsidRPr="00661A93" w:rsidRDefault="00397996" w:rsidP="00661A93">
      <w:pPr>
        <w:pStyle w:val="NormalHanging12a"/>
        <w:rPr>
          <w:szCs w:val="24"/>
        </w:rPr>
      </w:pPr>
      <w:r w:rsidRPr="00661A93">
        <w:rPr>
          <w:szCs w:val="24"/>
        </w:rPr>
        <w:t>–</w:t>
      </w:r>
      <w:r w:rsidRPr="00661A93">
        <w:rPr>
          <w:szCs w:val="24"/>
        </w:rPr>
        <w:tab/>
        <w:t>s ohledem na stanovisko Výboru pro právní záležitosti,</w:t>
      </w:r>
    </w:p>
    <w:p w:rsidR="00397996" w:rsidRPr="00661A93" w:rsidRDefault="00397996" w:rsidP="00661A93">
      <w:pPr>
        <w:pStyle w:val="NormalHanging12a"/>
        <w:rPr>
          <w:szCs w:val="24"/>
        </w:rPr>
      </w:pPr>
      <w:r w:rsidRPr="00661A93">
        <w:rPr>
          <w:szCs w:val="24"/>
        </w:rPr>
        <w:t>–</w:t>
      </w:r>
      <w:r w:rsidRPr="00661A93">
        <w:rPr>
          <w:szCs w:val="24"/>
        </w:rPr>
        <w:tab/>
        <w:t>s ohledem na zprávu Výboru pro rozpočtovou kontrolu (A9</w:t>
      </w:r>
      <w:r w:rsidRPr="00661A93">
        <w:rPr>
          <w:szCs w:val="24"/>
        </w:rPr>
        <w:noBreakHyphen/>
        <w:t>0075/2024),</w:t>
      </w:r>
    </w:p>
    <w:p w:rsidR="00397996" w:rsidRPr="00661A93" w:rsidRDefault="00397996" w:rsidP="00661A93">
      <w:pPr>
        <w:pStyle w:val="NormalHanging12a"/>
        <w:rPr>
          <w:szCs w:val="24"/>
        </w:rPr>
      </w:pPr>
      <w:r w:rsidRPr="00661A93">
        <w:rPr>
          <w:szCs w:val="24"/>
        </w:rPr>
        <w:t>A.</w:t>
      </w:r>
      <w:r w:rsidRPr="00661A93">
        <w:rPr>
          <w:szCs w:val="24"/>
        </w:rPr>
        <w:tab/>
        <w:t>vzhledem k tomu, že v rámci postupu udělování absolutoria hodlá orgán příslušný k udělení absolutoria klást zvláštní důraz na další posilování demokratické legitimity orgánů a institucí Unie zvyšováním transparentnosti a zodpovědnosti, uplatňováním konceptu sestavování rozpočtu podle výkonnosti a řádným řízením lidských zdrojů;</w:t>
      </w:r>
    </w:p>
    <w:p w:rsidR="00397996" w:rsidRPr="00661A93" w:rsidRDefault="00397996" w:rsidP="00661A93">
      <w:pPr>
        <w:pStyle w:val="NormalHanging12a"/>
        <w:rPr>
          <w:rStyle w:val="HideTWBExt"/>
          <w:rFonts w:ascii="Times New Roman" w:hAnsi="Times New Roman"/>
          <w:noProof w:val="0"/>
          <w:vanish w:val="0"/>
          <w:color w:val="auto"/>
          <w:sz w:val="24"/>
          <w:szCs w:val="24"/>
        </w:rPr>
      </w:pPr>
      <w:r w:rsidRPr="00661A93">
        <w:rPr>
          <w:szCs w:val="24"/>
        </w:rPr>
        <w:t>B.</w:t>
      </w:r>
      <w:r w:rsidRPr="00661A93">
        <w:rPr>
          <w:szCs w:val="24"/>
        </w:rPr>
        <w:tab/>
        <w:t>vzhledem k tomu, že Soudní dvůr Evropské unie (</w:t>
      </w:r>
      <w:r w:rsidR="00AA0128">
        <w:rPr>
          <w:szCs w:val="24"/>
        </w:rPr>
        <w:t>dále jen „</w:t>
      </w:r>
      <w:r w:rsidRPr="00661A93">
        <w:rPr>
          <w:szCs w:val="24"/>
        </w:rPr>
        <w:t>SDEU</w:t>
      </w:r>
      <w:r w:rsidR="0095396E">
        <w:rPr>
          <w:szCs w:val="24"/>
        </w:rPr>
        <w:t>“</w:t>
      </w:r>
      <w:r w:rsidRPr="00661A93">
        <w:rPr>
          <w:szCs w:val="24"/>
        </w:rPr>
        <w:t>) je soudním orgánem Evropské unie, jehož úkolem je zajišťovat soulad s právem Unie tím, že dohlíží na jednotný výklad a uplatňování Smluv a zajišťuje zákonnost opatření přijatých orgány, institucemi a jinými subjekty Unie;</w:t>
      </w:r>
    </w:p>
    <w:p w:rsidR="00397996" w:rsidRPr="00661A93" w:rsidRDefault="00397996" w:rsidP="00661A93">
      <w:pPr>
        <w:pStyle w:val="NormalHanging12a"/>
        <w:rPr>
          <w:szCs w:val="24"/>
        </w:rPr>
      </w:pPr>
      <w:r w:rsidRPr="00661A93">
        <w:rPr>
          <w:szCs w:val="24"/>
        </w:rPr>
        <w:t>C.</w:t>
      </w:r>
      <w:r w:rsidRPr="00661A93">
        <w:rPr>
          <w:szCs w:val="24"/>
        </w:rPr>
        <w:tab/>
        <w:t>vzhledem k tomu, že SDEU pomáhá zachovávat hodnoty Unie a prostřednictvím své judikatury usiluje o budování Evropy;</w:t>
      </w:r>
    </w:p>
    <w:p w:rsidR="00397996" w:rsidRPr="00661A93" w:rsidRDefault="00397996" w:rsidP="00661A93">
      <w:pPr>
        <w:pStyle w:val="NormalHanging12a"/>
        <w:rPr>
          <w:szCs w:val="24"/>
        </w:rPr>
      </w:pPr>
      <w:r w:rsidRPr="00661A93">
        <w:rPr>
          <w:szCs w:val="24"/>
        </w:rPr>
        <w:t>D.</w:t>
      </w:r>
      <w:r w:rsidRPr="00661A93">
        <w:rPr>
          <w:szCs w:val="24"/>
        </w:rPr>
        <w:tab/>
        <w:t>vzhledem k tomu, že SDEU se skládá ze dvou soudů: ze Soudního dvora a Tribunálu;</w:t>
      </w:r>
    </w:p>
    <w:p w:rsidR="00397996" w:rsidRPr="00661A93" w:rsidRDefault="00397996" w:rsidP="00661A93">
      <w:pPr>
        <w:pStyle w:val="NormalHanging12a"/>
        <w:rPr>
          <w:szCs w:val="24"/>
        </w:rPr>
      </w:pPr>
      <w:r w:rsidRPr="00661A93">
        <w:rPr>
          <w:szCs w:val="24"/>
        </w:rPr>
        <w:t>1.</w:t>
      </w:r>
      <w:r w:rsidRPr="00661A93">
        <w:rPr>
          <w:szCs w:val="24"/>
        </w:rPr>
        <w:tab/>
        <w:t xml:space="preserve">konstatuje, že rozpočet SDEU spadá do okruhu 7 </w:t>
      </w:r>
      <w:r w:rsidR="009663F3">
        <w:rPr>
          <w:szCs w:val="24"/>
        </w:rPr>
        <w:t>víceletého finančního rámce</w:t>
      </w:r>
      <w:r w:rsidRPr="00661A93">
        <w:rPr>
          <w:szCs w:val="24"/>
        </w:rPr>
        <w:t xml:space="preserve"> „Evropská veřejná správa“, který v roce 2022 činil 11,6 miliardy EUR (což představuje 5,9 % celkového rozpočtu Unie); konstatuje, že v roce 2022 představoval rozpočet SDEU ve výši přibližně 0,5 miliardy EUR 3,9 % celkových správních výdajů;</w:t>
      </w:r>
    </w:p>
    <w:p w:rsidR="00397996" w:rsidRPr="00661A93" w:rsidRDefault="00397996" w:rsidP="00661A93">
      <w:pPr>
        <w:pStyle w:val="NormalHanging12a"/>
        <w:rPr>
          <w:szCs w:val="24"/>
        </w:rPr>
      </w:pPr>
      <w:r w:rsidRPr="00661A93">
        <w:rPr>
          <w:szCs w:val="24"/>
        </w:rPr>
        <w:t>2.</w:t>
      </w:r>
      <w:r w:rsidRPr="00661A93">
        <w:rPr>
          <w:szCs w:val="24"/>
        </w:rPr>
        <w:tab/>
        <w:t>konstatuje, že Evropský účetní dvůr ve výroční zprávě za rozpočtový rok 2022 zkoumal vzorek 60 transakcí v oddílu Správa, což je stejný počet, jako v roce 2021; dále uvádí, že Účetní dvůr píše, že správní výdaje zahrnují výdaje na lidské zdroje, včetně výdajů na důchody, které v roce 2022 představovaly přibližně 70 % celkových správních výdajů, a výdaje na budovy, vybavení, energie, komunikační a informační technologie, a že z jeho dlouholeté práce vyplývá, že tyto výdaje celkově vykazují nízké riziko;</w:t>
      </w:r>
    </w:p>
    <w:p w:rsidR="00397996" w:rsidRPr="00661A93" w:rsidRDefault="00397996" w:rsidP="00661A93">
      <w:pPr>
        <w:pStyle w:val="NormalHanging12a"/>
        <w:rPr>
          <w:szCs w:val="24"/>
        </w:rPr>
      </w:pPr>
      <w:r w:rsidRPr="00661A93">
        <w:rPr>
          <w:szCs w:val="24"/>
        </w:rPr>
        <w:t>3.</w:t>
      </w:r>
      <w:r w:rsidRPr="00661A93">
        <w:rPr>
          <w:szCs w:val="24"/>
        </w:rPr>
        <w:tab/>
        <w:t xml:space="preserve">konstatuje, že Účetní dvůr v rámci svého auditu za rok 2022 prověřil systémy dohledu a kontroly SDEU, zejména provádění norem vnitřní kontroly, řízení rizik a fungování klíčových kontrol definovaných ve finančním nařízení, včetně kontrol </w:t>
      </w:r>
      <w:r w:rsidRPr="00971BED">
        <w:rPr>
          <w:i/>
          <w:szCs w:val="24"/>
        </w:rPr>
        <w:t xml:space="preserve">ex ante </w:t>
      </w:r>
      <w:r w:rsidRPr="006D58B4">
        <w:rPr>
          <w:szCs w:val="24"/>
        </w:rPr>
        <w:t xml:space="preserve">a </w:t>
      </w:r>
      <w:r w:rsidRPr="00971BED">
        <w:rPr>
          <w:i/>
          <w:szCs w:val="24"/>
        </w:rPr>
        <w:t>ex post</w:t>
      </w:r>
      <w:r w:rsidRPr="00661A93">
        <w:rPr>
          <w:szCs w:val="24"/>
        </w:rPr>
        <w:t xml:space="preserve"> u plateb;</w:t>
      </w:r>
    </w:p>
    <w:p w:rsidR="00397996" w:rsidRPr="00661A93" w:rsidRDefault="00397996" w:rsidP="00661A93">
      <w:pPr>
        <w:pStyle w:val="NormalHanging12a"/>
        <w:rPr>
          <w:szCs w:val="24"/>
        </w:rPr>
      </w:pPr>
      <w:r w:rsidRPr="00661A93">
        <w:rPr>
          <w:szCs w:val="24"/>
        </w:rPr>
        <w:t>4.</w:t>
      </w:r>
      <w:r w:rsidRPr="00661A93">
        <w:rPr>
          <w:szCs w:val="24"/>
        </w:rPr>
        <w:tab/>
        <w:t>konstatuje, že 14 (23 %) z 60 transakcí obsahovalo chyby, ale že Účetní dvůr na základě pěti chyb, které byly vyčísleny, odhaduje míru chyb pod prahem významnosti;</w:t>
      </w:r>
    </w:p>
    <w:p w:rsidR="00397996" w:rsidRPr="00661A93" w:rsidRDefault="00397996" w:rsidP="00661A93">
      <w:pPr>
        <w:pStyle w:val="NormalHanging12a"/>
        <w:rPr>
          <w:szCs w:val="24"/>
        </w:rPr>
      </w:pPr>
      <w:r w:rsidRPr="00661A93">
        <w:rPr>
          <w:szCs w:val="24"/>
        </w:rPr>
        <w:lastRenderedPageBreak/>
        <w:t>5.</w:t>
      </w:r>
      <w:r w:rsidRPr="00661A93">
        <w:rPr>
          <w:szCs w:val="24"/>
        </w:rPr>
        <w:tab/>
        <w:t>s uspokojením konstatuje, že Účetní dvůr ve výroční zprávě za rozpočtový rok 2022 uvádí, že nezjistil žádné specifické problémy týkající se SDEU;</w:t>
      </w:r>
    </w:p>
    <w:p w:rsidR="00397996" w:rsidRPr="00661A93" w:rsidRDefault="00397996" w:rsidP="00661A93">
      <w:pPr>
        <w:pStyle w:val="NormalHanging12a"/>
        <w:rPr>
          <w:b/>
          <w:szCs w:val="24"/>
        </w:rPr>
      </w:pPr>
      <w:r w:rsidRPr="00661A93">
        <w:rPr>
          <w:b/>
          <w:szCs w:val="24"/>
        </w:rPr>
        <w:t>Rozpočtové a finanční řízení</w:t>
      </w:r>
    </w:p>
    <w:p w:rsidR="00397996" w:rsidRPr="00661A93" w:rsidRDefault="00397996" w:rsidP="00661A93">
      <w:pPr>
        <w:pStyle w:val="NormalHanging12a"/>
        <w:rPr>
          <w:szCs w:val="24"/>
        </w:rPr>
      </w:pPr>
      <w:r w:rsidRPr="00661A93">
        <w:rPr>
          <w:szCs w:val="24"/>
        </w:rPr>
        <w:t>6.</w:t>
      </w:r>
      <w:r w:rsidRPr="00661A93">
        <w:rPr>
          <w:szCs w:val="24"/>
        </w:rPr>
        <w:tab/>
        <w:t>konstatuje, že celkový rozpočet přidělený SDEU na rok 2022 činil 467 900 000 EUR, což představuje nárůst oproti 444 049 000 EUR v roce 2021 a v roce 2020 a odpovídá to nárůstu o 5,4 % od roku 2021 do roku 2022, a že 79 % rozpočtu v roce 2022 bylo použito na jeho členy a zaměstnance, 14 % na budovy, 6 % na IT a 1 % na ostatní výdaje.</w:t>
      </w:r>
    </w:p>
    <w:p w:rsidR="00397996" w:rsidRPr="00661A93" w:rsidRDefault="00397996" w:rsidP="00661A93">
      <w:pPr>
        <w:pStyle w:val="NormalHanging12a"/>
        <w:rPr>
          <w:szCs w:val="24"/>
        </w:rPr>
      </w:pPr>
      <w:r w:rsidRPr="00661A93">
        <w:rPr>
          <w:szCs w:val="24"/>
        </w:rPr>
        <w:t>7.</w:t>
      </w:r>
      <w:r w:rsidRPr="00661A93">
        <w:rPr>
          <w:szCs w:val="24"/>
        </w:rPr>
        <w:tab/>
        <w:t>konstatuje, že v průběhu roku 2022 uskutečnil SDEU 19 rozpočtových převodů podle článku 29 finančního nařízení, které dosáhly celkové výše 12,7 milionu EUR, neboli 2,7 % prostředků na daný rozpočtový rok; dále konstatuje, že míra plnění rozpočtu v roce 2022 činila 98,43 %, což je v souladu s předchozími roky;</w:t>
      </w:r>
    </w:p>
    <w:p w:rsidR="00397996" w:rsidRPr="00661A93" w:rsidRDefault="00397996" w:rsidP="00661A93">
      <w:pPr>
        <w:pStyle w:val="NormalHanging12a"/>
        <w:rPr>
          <w:szCs w:val="24"/>
        </w:rPr>
      </w:pPr>
      <w:r w:rsidRPr="00661A93">
        <w:rPr>
          <w:szCs w:val="24"/>
        </w:rPr>
        <w:t>8.</w:t>
      </w:r>
      <w:r w:rsidRPr="00661A93">
        <w:rPr>
          <w:szCs w:val="24"/>
        </w:rPr>
        <w:tab/>
        <w:t>s uspokojením konstatuje, že pověřená schvalující osoba prohlásila, že přidělené prostředky byly použity k zamýšlenému účelu a v souladu se zásadou řádného finančního řízení a že zavedené kontrolní postupy poskytují nezbytné záruky legality a správnosti uskutečněných operací;</w:t>
      </w:r>
    </w:p>
    <w:p w:rsidR="00397996" w:rsidRPr="00661A93" w:rsidRDefault="00397996" w:rsidP="00661A93">
      <w:pPr>
        <w:pStyle w:val="NormalHanging12a"/>
        <w:rPr>
          <w:szCs w:val="24"/>
        </w:rPr>
      </w:pPr>
      <w:r w:rsidRPr="00661A93">
        <w:rPr>
          <w:szCs w:val="24"/>
        </w:rPr>
        <w:t>9.</w:t>
      </w:r>
      <w:r w:rsidRPr="00661A93">
        <w:rPr>
          <w:szCs w:val="24"/>
        </w:rPr>
        <w:tab/>
        <w:t>vítá, že SDEU pracuje na široké škále IT systémů, a to jak interně, tak prostřednictvím meziútvarových dohod, v různých oblastech, které mu umožní efektivněji využívat zdroje;</w:t>
      </w:r>
    </w:p>
    <w:p w:rsidR="00397996" w:rsidRPr="00661A93" w:rsidRDefault="00397996" w:rsidP="00661A93">
      <w:pPr>
        <w:pStyle w:val="NormalHanging12a"/>
        <w:rPr>
          <w:szCs w:val="24"/>
        </w:rPr>
      </w:pPr>
      <w:r w:rsidRPr="00661A93">
        <w:rPr>
          <w:szCs w:val="24"/>
        </w:rPr>
        <w:t>10.</w:t>
      </w:r>
      <w:r w:rsidRPr="00661A93">
        <w:rPr>
          <w:szCs w:val="24"/>
        </w:rPr>
        <w:tab/>
        <w:t>konstatuje, že ruská útočná válka proti Ukrajině vyvinula různými způsoby tlak na rozpočet SDEU, mimo jiné v důsledku rostoucí inflace a úprav platů, silně rostoucích nákladů na energie a nákladů na řadu zboží a služeb;</w:t>
      </w:r>
    </w:p>
    <w:p w:rsidR="00397996" w:rsidRPr="00661A93" w:rsidRDefault="00397996" w:rsidP="00661A93">
      <w:pPr>
        <w:pStyle w:val="NormalHanging12a"/>
        <w:rPr>
          <w:szCs w:val="24"/>
        </w:rPr>
      </w:pPr>
      <w:r w:rsidRPr="00661A93">
        <w:rPr>
          <w:szCs w:val="24"/>
        </w:rPr>
        <w:t>11.</w:t>
      </w:r>
      <w:r w:rsidRPr="00661A93">
        <w:rPr>
          <w:szCs w:val="24"/>
        </w:rPr>
        <w:tab/>
        <w:t>konstatuje, že obecný rozpočet na služební cesty SDEU se snížil ze 405 000 EUR v roce 2021 na 390 000 EUR v roce 2022, což odpovídá snížení o 3,7 %, které bylo způsobeno především změnami pracovních metod s větším počtem zasedání na dálku; dále konstatuje, že SDEU nemá zvláštní rozpočtovou položku na služební cesty a cesty svého předsedy; konečně konstatuje, že rozpočtová položka pro služební cesty všech členů SDEU se snížila z 280 000 EUR v roce 2021 na 270 000 EUR v roce 2022, což odpovídá snížení o 3,6 %, které bylo rovněž způsobeno především zvýšeným využíváním videokonferenčních nástrojů;</w:t>
      </w:r>
    </w:p>
    <w:p w:rsidR="00397996" w:rsidRPr="00661A93" w:rsidRDefault="00397996" w:rsidP="00661A93">
      <w:pPr>
        <w:pStyle w:val="NormalHanging12a"/>
        <w:rPr>
          <w:b/>
          <w:szCs w:val="24"/>
        </w:rPr>
      </w:pPr>
      <w:r w:rsidRPr="00661A93">
        <w:rPr>
          <w:b/>
          <w:szCs w:val="24"/>
        </w:rPr>
        <w:t>Vnitřní řízení, výkonnost a vnitřní kontrola</w:t>
      </w:r>
    </w:p>
    <w:p w:rsidR="00397996" w:rsidRPr="00661A93" w:rsidRDefault="00397996" w:rsidP="00661A93">
      <w:pPr>
        <w:pStyle w:val="NormalHanging12a"/>
        <w:rPr>
          <w:szCs w:val="24"/>
        </w:rPr>
      </w:pPr>
      <w:r w:rsidRPr="00661A93">
        <w:rPr>
          <w:szCs w:val="24"/>
        </w:rPr>
        <w:t>12.</w:t>
      </w:r>
      <w:r w:rsidRPr="00661A93">
        <w:rPr>
          <w:szCs w:val="24"/>
        </w:rPr>
        <w:tab/>
        <w:t>konstatuje, že v průběhu roku 2022 byla postupně ukončena mimořádná opatření související s pandemií COVID-19 a že se SDEU vrátil k normálnímu fungování; v této souvislosti vítá, že počet návštěvníků se zvýšil na 11 653 osob v roce 2022, což však stále nedosahuje úrovně před pandemií, která v roce 2019 dosáhla 17 136 návštěvníků, což však může být částečně způsobeno i novými možnostmi virtuální návštěvy SDEU;</w:t>
      </w:r>
    </w:p>
    <w:p w:rsidR="00397996" w:rsidRPr="00661A93" w:rsidRDefault="00397996" w:rsidP="00661A93">
      <w:pPr>
        <w:pStyle w:val="NormalHanging12a"/>
        <w:rPr>
          <w:szCs w:val="24"/>
        </w:rPr>
      </w:pPr>
      <w:r w:rsidRPr="00661A93">
        <w:rPr>
          <w:szCs w:val="24"/>
        </w:rPr>
        <w:t>13.</w:t>
      </w:r>
      <w:r w:rsidRPr="00661A93">
        <w:rPr>
          <w:szCs w:val="24"/>
        </w:rPr>
        <w:tab/>
        <w:t>s uspokojením konstatuje, že v roce 2022 uplynulo 70 let od založení SDEU, což je pro celou Unii velmi významné výročí; oceňuje, že SDEU využil příležitosti a zahájil iniciativy v rámci tématu „Justice blízká občanovi“, včetně nové iniciativy nabízející službu přenosu slyšení na internetových stránkách Curia;</w:t>
      </w:r>
    </w:p>
    <w:p w:rsidR="00397996" w:rsidRPr="00661A93" w:rsidRDefault="00397996" w:rsidP="00661A93">
      <w:pPr>
        <w:pStyle w:val="NormalHanging12a"/>
        <w:rPr>
          <w:szCs w:val="24"/>
        </w:rPr>
      </w:pPr>
      <w:r w:rsidRPr="00661A93">
        <w:rPr>
          <w:szCs w:val="24"/>
        </w:rPr>
        <w:t>14.</w:t>
      </w:r>
      <w:r w:rsidRPr="00661A93">
        <w:rPr>
          <w:szCs w:val="24"/>
        </w:rPr>
        <w:tab/>
        <w:t xml:space="preserve">konstatuje, že v roce 2022 tvořily u Soudního dvora 68 % nových věcí žádosti o </w:t>
      </w:r>
      <w:r w:rsidRPr="00661A93">
        <w:rPr>
          <w:szCs w:val="24"/>
        </w:rPr>
        <w:lastRenderedPageBreak/>
        <w:t>rozhodnutí o předběžné otázce, 24 % kasační opravné prostředky proti rozhodnutím Tribunálu a 4 % žaloby proti členským státům pro nesplnění povinnosti; dále konstatuje, že v roce 2022 se u Tribunálu 46 % nových věcí týkalo žalob na neplatnost aktů orgánů Unie, 30 % žalob týkajících se duševního vlastnictví a 7 % sporů mezi orgány Unie a jejich zaměstnanci;</w:t>
      </w:r>
    </w:p>
    <w:p w:rsidR="00397996" w:rsidRPr="00661A93" w:rsidRDefault="00397996" w:rsidP="00661A93">
      <w:pPr>
        <w:pStyle w:val="NormalHanging12a"/>
        <w:rPr>
          <w:szCs w:val="24"/>
        </w:rPr>
      </w:pPr>
      <w:r w:rsidRPr="00661A93">
        <w:rPr>
          <w:szCs w:val="24"/>
        </w:rPr>
        <w:t>15</w:t>
      </w:r>
      <w:r w:rsidR="006D58B4">
        <w:rPr>
          <w:szCs w:val="24"/>
        </w:rPr>
        <w:t>.</w:t>
      </w:r>
      <w:r w:rsidRPr="00661A93">
        <w:rPr>
          <w:szCs w:val="24"/>
        </w:rPr>
        <w:tab/>
        <w:t>konstatuje, že počet věcí předložených oběma soudům v roce 2022 je srovnatelný s předchozím rokem (1 710 věcí v roce 2022 oproti 1 720 v roce 2021), a zdůrazňuje, že Soudní dvůr a Tribunál byly v roce 2022 schopny společně dokončit 1 666 řízení (oproti 1 723 v roce 2021), což odpovídá průměru v posledních letech (1 692 řízení ročně mezi lety 2018 a 2021); konstatuje však, že došlo ke zvýšení celkového počtu nevyřízených věcí, a to z 2541 věcí v roce 2021 na 2585 věcí v roce 2022;</w:t>
      </w:r>
    </w:p>
    <w:p w:rsidR="00397996" w:rsidRPr="00661A93" w:rsidRDefault="00397996" w:rsidP="00661A93">
      <w:pPr>
        <w:pStyle w:val="NormalHanging12a"/>
        <w:rPr>
          <w:szCs w:val="24"/>
        </w:rPr>
      </w:pPr>
      <w:r w:rsidRPr="00661A93">
        <w:rPr>
          <w:szCs w:val="24"/>
        </w:rPr>
        <w:t>16.</w:t>
      </w:r>
      <w:r w:rsidRPr="00661A93">
        <w:rPr>
          <w:szCs w:val="24"/>
        </w:rPr>
        <w:tab/>
        <w:t>konstatuje, že průměrná délka řízení ve věcech předložených Soudnímu dvoru zůstala podobná jako v předchozím roce a v roce 2022 činila 16,4 měsíce oproti 16,6 měsíce v roce 2021; vítá, že průměrná délka řízení ve věcech předložených Tribunálu se oproti předchozímu roku snížila a v roce 2022 činila 16,2 měsíce oproti 17,3 měsíce v roce 2021;</w:t>
      </w:r>
    </w:p>
    <w:p w:rsidR="00397996" w:rsidRPr="00661A93" w:rsidRDefault="00397996" w:rsidP="00661A93">
      <w:pPr>
        <w:pStyle w:val="NormalHanging12a"/>
        <w:rPr>
          <w:szCs w:val="24"/>
        </w:rPr>
      </w:pPr>
      <w:r w:rsidRPr="00661A93">
        <w:rPr>
          <w:szCs w:val="24"/>
        </w:rPr>
        <w:t>17.</w:t>
      </w:r>
      <w:r w:rsidRPr="00661A93">
        <w:rPr>
          <w:szCs w:val="24"/>
        </w:rPr>
        <w:tab/>
        <w:t>vítá, že SDEU poskytl přehled o počtu a druhu interních auditů provedených v SDEU a souhrn doporučení a opatření přijatých na základě těchto doporučení v souladu s čl. 118 odst. 8 finančního nařízení; konstatuje, že interní auditor má roční pracovní program s víceletou složkou;</w:t>
      </w:r>
    </w:p>
    <w:p w:rsidR="00397996" w:rsidRPr="00661A93" w:rsidRDefault="00397996" w:rsidP="00661A93">
      <w:pPr>
        <w:pStyle w:val="NormalHanging12a"/>
        <w:rPr>
          <w:szCs w:val="24"/>
        </w:rPr>
      </w:pPr>
      <w:r w:rsidRPr="00661A93">
        <w:rPr>
          <w:szCs w:val="24"/>
        </w:rPr>
        <w:t>18.</w:t>
      </w:r>
      <w:r w:rsidRPr="00661A93">
        <w:rPr>
          <w:szCs w:val="24"/>
        </w:rPr>
        <w:tab/>
        <w:t>konstatuje, že nejdůležitější interní audity v roce 2022 se týkaly správy bankovních účtů, pokladny a provádění plateb, pojistných smluv a krytí rizik, šíření informací o udržitelnosti a toku řízení překladů;</w:t>
      </w:r>
    </w:p>
    <w:p w:rsidR="00397996" w:rsidRPr="00661A93" w:rsidRDefault="00397996" w:rsidP="00661A93">
      <w:pPr>
        <w:pStyle w:val="NormalHanging12a"/>
        <w:rPr>
          <w:szCs w:val="24"/>
        </w:rPr>
      </w:pPr>
      <w:r w:rsidRPr="00661A93">
        <w:rPr>
          <w:szCs w:val="24"/>
        </w:rPr>
        <w:t>19.</w:t>
      </w:r>
      <w:r w:rsidRPr="00661A93">
        <w:rPr>
          <w:szCs w:val="24"/>
        </w:rPr>
        <w:tab/>
        <w:t>konstatuje, že v odpovědích na dotazník Výboru pro rozpočtovou kontrolu Parlamentu, který byl součástí tohoto postupu udělování absolutoria, SDEU uvádí, že z interních auditů vyplynulo mnoho doporučení, která příslušné útvary uvítaly; žádá, aby byl Parlament informován, pokud příslušné útvary nereagují na doporučení interního auditora;</w:t>
      </w:r>
    </w:p>
    <w:p w:rsidR="00397996" w:rsidRPr="00661A93" w:rsidRDefault="00397996" w:rsidP="00661A93">
      <w:pPr>
        <w:pStyle w:val="NormalHanging12a"/>
        <w:rPr>
          <w:b/>
          <w:szCs w:val="24"/>
        </w:rPr>
      </w:pPr>
      <w:r w:rsidRPr="00661A93">
        <w:rPr>
          <w:b/>
          <w:szCs w:val="24"/>
        </w:rPr>
        <w:t>Lidské zdroje, rovnost a pracovní podmínky zaměstnanců</w:t>
      </w:r>
    </w:p>
    <w:p w:rsidR="00397996" w:rsidRPr="00661A93" w:rsidRDefault="00397996" w:rsidP="00661A93">
      <w:pPr>
        <w:pStyle w:val="NormalHanging12a"/>
        <w:rPr>
          <w:szCs w:val="24"/>
        </w:rPr>
      </w:pPr>
      <w:r w:rsidRPr="00661A93">
        <w:rPr>
          <w:szCs w:val="24"/>
        </w:rPr>
        <w:t>20.</w:t>
      </w:r>
      <w:r w:rsidRPr="00661A93">
        <w:rPr>
          <w:szCs w:val="24"/>
        </w:rPr>
        <w:tab/>
        <w:t>konstatuje, že Soudní dvůr se skládá z 27 soudců a 11 generálních advokátů a že v roce 2022 nenastoupil do funkce žádný nový soudce; dále konstatuje, že Tribunál se skládá z 54 soudců a že v průběhu roku 2022 nastoupilo do funkce osm nových soudců;</w:t>
      </w:r>
    </w:p>
    <w:p w:rsidR="00397996" w:rsidRPr="00661A93" w:rsidRDefault="00397996" w:rsidP="00661A93">
      <w:pPr>
        <w:pStyle w:val="NormalHanging12a"/>
        <w:rPr>
          <w:szCs w:val="24"/>
        </w:rPr>
      </w:pPr>
      <w:r w:rsidRPr="00661A93">
        <w:rPr>
          <w:szCs w:val="24"/>
        </w:rPr>
        <w:t>21.</w:t>
      </w:r>
      <w:r w:rsidRPr="00661A93">
        <w:rPr>
          <w:szCs w:val="24"/>
        </w:rPr>
        <w:tab/>
        <w:t>se znepokojením konstatuje, že Soudní dvůr a Tribunál mají i nadále velmi nevyvážené složení podle pohlaví a že z osmi nových soudců, kteří nastoupili v roce 2022 do funkce u Tribunálu, je pět mužů a tři ženy; znovu oceňuje dopis předsedy Tribunálu adresovaný předsedovi konference zástupců vlád členských států v roce 2021, v němž jsou členské státy vyzvány k tomu, aby při navrhování kandidátů na výměnu soudců zohlednily potřebu genderové vyváženosti; lituje, že dopis zůstal bez odpovědi;</w:t>
      </w:r>
    </w:p>
    <w:p w:rsidR="00397996" w:rsidRPr="00661A93" w:rsidRDefault="00397996" w:rsidP="00661A93">
      <w:pPr>
        <w:pStyle w:val="NormalHanging12a"/>
        <w:rPr>
          <w:szCs w:val="24"/>
        </w:rPr>
      </w:pPr>
      <w:r w:rsidRPr="00661A93">
        <w:rPr>
          <w:szCs w:val="24"/>
        </w:rPr>
        <w:t>22.</w:t>
      </w:r>
      <w:r w:rsidRPr="00661A93">
        <w:rPr>
          <w:szCs w:val="24"/>
        </w:rPr>
        <w:tab/>
        <w:t>oceňuje, že SDEU v rámci odpovědí na dotazník parlamentního Výboru pro rozpočtovou kontrolu poskytl velmi podrobné informace o rozdělení zaměstnanců na konci roku 2022;</w:t>
      </w:r>
    </w:p>
    <w:p w:rsidR="00397996" w:rsidRPr="00661A93" w:rsidRDefault="00397996" w:rsidP="00661A93">
      <w:pPr>
        <w:pStyle w:val="NormalHanging12a"/>
        <w:rPr>
          <w:szCs w:val="24"/>
        </w:rPr>
      </w:pPr>
      <w:r w:rsidRPr="00661A93">
        <w:rPr>
          <w:szCs w:val="24"/>
        </w:rPr>
        <w:t>23.</w:t>
      </w:r>
      <w:r w:rsidRPr="00661A93">
        <w:rPr>
          <w:szCs w:val="24"/>
        </w:rPr>
        <w:tab/>
        <w:t xml:space="preserve">konstatuje, že na konci roku 2022 měl SDEU 2 253 zaměstnanců, což představuje mírný </w:t>
      </w:r>
      <w:r w:rsidRPr="00661A93">
        <w:rPr>
          <w:szCs w:val="24"/>
        </w:rPr>
        <w:lastRenderedPageBreak/>
        <w:t>nárůst oproti 2 247 zaměstnancům na konci roku 2021 a oproti 2 239 zaměstnancům na konci roku 2020; uvádí, že celkové rozdělení podle pohlaví na konci roku 2022 bylo 893 mužů, což odpovídá 40 %, a 1 360 žen, což odpovídá 60 %; dále uvádí, že celkové rozdělení mezi jednotlivé kategorie zaměstnanců bylo 1 300 úředníků (58 %), 774 dočasných zaměstnanců (34 %) a 179 smluvních zaměstnanců (8 %), což představuje mírný pokles procentního podílu zaměstnanců, kteří jsou úředníky, ve srovnání s rokem 2021, což se odráží v mírném nárůstu procentního podílu dočasných zaměstnanců, v případě smluvních zaměstnanců však nedošlo k žádné změně;</w:t>
      </w:r>
    </w:p>
    <w:p w:rsidR="00397996" w:rsidRPr="00661A93" w:rsidRDefault="00397996" w:rsidP="00661A93">
      <w:pPr>
        <w:pStyle w:val="NormalHanging12a"/>
        <w:rPr>
          <w:szCs w:val="24"/>
        </w:rPr>
      </w:pPr>
      <w:r w:rsidRPr="00661A93">
        <w:rPr>
          <w:szCs w:val="24"/>
        </w:rPr>
        <w:t>24.</w:t>
      </w:r>
      <w:r w:rsidRPr="00661A93">
        <w:rPr>
          <w:szCs w:val="24"/>
        </w:rPr>
        <w:tab/>
        <w:t>konstatuje, že z genderového hlediska bylo vyšší vedení rozděleno na devět mužů a šest žen, což odpovídá 60 % mužů a 40 % žen; konstatuje, že u středního managementu bylo rozdělení podle pohlaví 36 mužů a 24 žen, což rovněž odpovídá 60 % mužů a 40 % žen;</w:t>
      </w:r>
    </w:p>
    <w:p w:rsidR="00397996" w:rsidRPr="00661A93" w:rsidRDefault="00397996" w:rsidP="00661A93">
      <w:pPr>
        <w:pStyle w:val="NormalHanging12a"/>
        <w:rPr>
          <w:szCs w:val="24"/>
        </w:rPr>
      </w:pPr>
      <w:r w:rsidRPr="00661A93">
        <w:rPr>
          <w:szCs w:val="24"/>
        </w:rPr>
        <w:t>25.</w:t>
      </w:r>
      <w:r w:rsidRPr="00661A93">
        <w:rPr>
          <w:szCs w:val="24"/>
        </w:rPr>
        <w:tab/>
        <w:t>vítá skutečnost, že mezi zaměstnanci SDEU jsou zastoupeny všechny státní příslušnosti Unie; s politováním však konstatuje, že státní příslušníci některých členských států jsou nadměrně zastoupeni; konstatuje však, že francouzští státní příslušníci tvoří 505 z 2 253 zaměstnanců, což odpovídá 22 %, a že jejich zastoupení je ještě vyšší mezi AST, kde tvoří 223 ze 719 zaměstnanců, což odpovídá 31 %; konstatuje, že na úrovni AD jsou nadměrně zastoupeni belgičtí a italští státní příslušníci, a to belgičtí 108 a italští 97 z 274 zaměstnanců; konstatuje také, že Kypr je nejvíce nedostatečně zastoupenou zemí s pouhými 2 státními příslušníky na pozicích dočasných zaměstnanců třídy AD a bez státních příslušníků na pozicích ve skupinách AST a AST-SC. konstatuje, že by SDEU měl usilovat o vyváženější zastoupení občanů Unie na všech pozicích a zajistit odpovídající geografické rozložení;</w:t>
      </w:r>
    </w:p>
    <w:p w:rsidR="00397996" w:rsidRPr="00661A93" w:rsidRDefault="00397996" w:rsidP="00661A93">
      <w:pPr>
        <w:pStyle w:val="NormalHanging12a"/>
        <w:rPr>
          <w:szCs w:val="24"/>
        </w:rPr>
      </w:pPr>
      <w:r w:rsidRPr="00661A93">
        <w:rPr>
          <w:szCs w:val="24"/>
        </w:rPr>
        <w:t>26.</w:t>
      </w:r>
      <w:r w:rsidRPr="00661A93">
        <w:rPr>
          <w:szCs w:val="24"/>
        </w:rPr>
        <w:tab/>
        <w:t>vybízí SDEU k podpoře vícejazyčného pracovního prostředí; připomíná, že ačkoli podle kapitoly 8 článku 36 jednacího řádu evropského Soudního dvora může být jazykem řízení jakýkoli jazyk Unie (angličtina, bulharština, čeština, dánština, estonština, finština, francouzština, irština, litevština, lotyština, maďarština, maltština, němčina, nizozemština, polština, portugalština, rumunština, řečtina, slovenština, slovinština, španělština nebo švédština), každodenní administrativní práce probíhá z 90 % ve francouzštině; vybízí k častějšímu každodennímu používání dalších dvou pracovních jazyků Evropské unie, to jest němčiny a angličtiny, v každodenní administrativní práci SDEU, aby se podpořila vícejazyčnost a aby bylo zaměstnání dostupnější pro státní příslušníky všech členských států, včetně těch, kde se francouzština ve školách nevyučuje; konstatuje, že by to rovněž přispělo k rovnoměrnějšímu rozložení národností mezi zaměstnanci SDEU, vyzývá všechny orgány, aby zajistily mnohojazyčnost;</w:t>
      </w:r>
    </w:p>
    <w:p w:rsidR="00397996" w:rsidRPr="00661A93" w:rsidRDefault="00397996" w:rsidP="00661A93">
      <w:pPr>
        <w:pStyle w:val="NormalHanging12a"/>
        <w:rPr>
          <w:szCs w:val="24"/>
        </w:rPr>
      </w:pPr>
      <w:r w:rsidRPr="00661A93">
        <w:rPr>
          <w:szCs w:val="24"/>
        </w:rPr>
        <w:t>27.</w:t>
      </w:r>
      <w:r w:rsidRPr="00661A93">
        <w:rPr>
          <w:szCs w:val="24"/>
        </w:rPr>
        <w:tab/>
        <w:t>vítá práci, kterou vykonala interinstitucionální skupina na vysoké úrovni pro zvýšení atraktivity Lucemburska pro zaměstnance; vybízí SDEU, aby pokračoval ve spolupráci s ostatními orgány se sídlem v Lucembursku na různých opatřeních, včetně myšlenky zavedení zvláštního příspěvku na bydlení kompenzujícího vysoké nájemné, které pociťují zejména zaměstnanci nižších platových tříd, a zajišťujícího, aby zaměstnanci SDEU měli možnost vhodných řešení podmínek svého bydlení; žádá, aby byl Parlament informován o pokroku všech těchto iniciativ;</w:t>
      </w:r>
    </w:p>
    <w:p w:rsidR="00397996" w:rsidRPr="00661A93" w:rsidRDefault="00397996" w:rsidP="00661A93">
      <w:pPr>
        <w:pStyle w:val="NormalHanging12a"/>
        <w:rPr>
          <w:szCs w:val="24"/>
        </w:rPr>
      </w:pPr>
      <w:r w:rsidRPr="00661A93">
        <w:rPr>
          <w:szCs w:val="24"/>
        </w:rPr>
        <w:t>28.</w:t>
      </w:r>
      <w:r w:rsidRPr="00661A93">
        <w:rPr>
          <w:szCs w:val="24"/>
        </w:rPr>
        <w:tab/>
        <w:t xml:space="preserve">s potěšením konstatuje, že SDEU dne 1. května 2022 zavedl nový systém práce na dálku, který poskytuje možnost pracovat z domova dva dny v týdnu; dále konstatuje, že tento systém umožňuje zaměstnancům pracovat až 10 dní v roce mimo místo výkonu práce a že průzkum mezi vedoucími pracovníky ukázal, že tito pracovníci jsou s touto možností, která se ukázala jako slučitelná s řádným fungováním útvarů, celkově </w:t>
      </w:r>
      <w:r w:rsidRPr="00661A93">
        <w:rPr>
          <w:szCs w:val="24"/>
        </w:rPr>
        <w:lastRenderedPageBreak/>
        <w:t>spokojeni;</w:t>
      </w:r>
    </w:p>
    <w:p w:rsidR="00397996" w:rsidRPr="00661A93" w:rsidRDefault="00397996" w:rsidP="00661A93">
      <w:pPr>
        <w:pStyle w:val="NormalHanging12a"/>
        <w:rPr>
          <w:szCs w:val="24"/>
        </w:rPr>
      </w:pPr>
      <w:r w:rsidRPr="00661A93">
        <w:rPr>
          <w:szCs w:val="24"/>
        </w:rPr>
        <w:t>29.</w:t>
      </w:r>
      <w:r w:rsidRPr="00661A93">
        <w:rPr>
          <w:szCs w:val="24"/>
        </w:rPr>
        <w:tab/>
        <w:t>se znepokojením konstatuje, že počet dnů pracovní neschopnosti v roce 2022 v rámci SDEU činil 23 702, což odpovídá nárůstu o 38 % oproti roku 2021, kdy počet dnů pracovní neschopnosti činil 17 138; zároveň upozorňuje, že v roce 2019 se jednalo o 25 629 dnů pracovní neschopnosti a že relativně nízký počet v roce 2021 může souviset s pandemií COVID-19;</w:t>
      </w:r>
    </w:p>
    <w:p w:rsidR="00397996" w:rsidRPr="00661A93" w:rsidRDefault="00397996" w:rsidP="00661A93">
      <w:pPr>
        <w:pStyle w:val="NormalHanging12a"/>
        <w:rPr>
          <w:szCs w:val="24"/>
        </w:rPr>
      </w:pPr>
      <w:r w:rsidRPr="00661A93">
        <w:rPr>
          <w:szCs w:val="24"/>
        </w:rPr>
        <w:t>30.</w:t>
      </w:r>
      <w:r w:rsidRPr="00661A93">
        <w:rPr>
          <w:szCs w:val="24"/>
        </w:rPr>
        <w:tab/>
        <w:t>se znepokojením konstatuje, že 46 zaměstnanců nahlásilo vyčerpání z pracovních důvodů, zatímco lékařské služby SDEU odhadují, že v roce 2022 bylo zaznamenáno 23 případů, kdy zaměstnanci vykazovali příznaky, které by mohly být spojeny s diagnózou vyhoření; konstatuje, že SDEU nabídl vedoucím pracovníkům školení s cílem zvýšit povědomí o různých rizicích spojených s vyhořením a o dobrých pracovních podmínkách zaměstnanců; vybízí SDEU, aby se tomuto problému nadále věnoval, aby dále zvážil, jak lze vyhoření předcházet, a přijal veškerá nezbytná opatření k zajištění dobrých podmínek svých zaměstnanců a snížil tak počet případů spojených s vyhořením; navrhuje, aby S</w:t>
      </w:r>
      <w:r w:rsidR="006D58B4" w:rsidRPr="00661A93">
        <w:rPr>
          <w:szCs w:val="24"/>
        </w:rPr>
        <w:t>DEU</w:t>
      </w:r>
      <w:r w:rsidRPr="00661A93">
        <w:rPr>
          <w:szCs w:val="24"/>
        </w:rPr>
        <w:t xml:space="preserve"> a další orgány zavedly schránku na připomínky, v níž mohou zaměstnanci ponechat připomínky, čímž se zajistí, že zaměstnanci nebudou terčem odvetných opatření; vyzývá k tomu, aby byla tato schránka na připomínky brána vážně a analyzována, aby se napomohlo identifikovat a zmírnit zdroje vyhoření;</w:t>
      </w:r>
    </w:p>
    <w:p w:rsidR="00397996" w:rsidRPr="00661A93" w:rsidRDefault="00397996" w:rsidP="00661A93">
      <w:pPr>
        <w:pStyle w:val="NormalHanging12a"/>
        <w:rPr>
          <w:szCs w:val="24"/>
        </w:rPr>
      </w:pPr>
      <w:r w:rsidRPr="00661A93">
        <w:rPr>
          <w:szCs w:val="24"/>
        </w:rPr>
        <w:t>31.</w:t>
      </w:r>
      <w:r w:rsidRPr="00661A93">
        <w:rPr>
          <w:szCs w:val="24"/>
        </w:rPr>
        <w:tab/>
        <w:t>povzbuzuje oddělení pro lidské zdroje, aby si více uvědomovaly důsledky a příznaky dlouhotrvajícího onemocnění COVID, jiných virových onemocnění a autoimunitních onemocnění; vyzývá k tomu, aby zdravotní pojištění poskytované SDEU a všemi orgány Unie finančně pokrývalo terapie potřebné k léčbě těchto onemocnění;</w:t>
      </w:r>
    </w:p>
    <w:p w:rsidR="00397996" w:rsidRPr="00661A93" w:rsidRDefault="00397996" w:rsidP="00661A93">
      <w:pPr>
        <w:pStyle w:val="NormalHanging12a"/>
        <w:rPr>
          <w:szCs w:val="24"/>
        </w:rPr>
      </w:pPr>
      <w:r w:rsidRPr="00661A93">
        <w:rPr>
          <w:szCs w:val="24"/>
        </w:rPr>
        <w:t>32.</w:t>
      </w:r>
      <w:r w:rsidRPr="00661A93">
        <w:rPr>
          <w:szCs w:val="24"/>
        </w:rPr>
        <w:tab/>
        <w:t>konstatuje, že v roce 2023 bylo zahájeno a v současné době probíhá jedno správní řízení týkající se případu, ve kterém by se mohlo jednat o sexuální obtěžování, a to v souvislosti se skutečnostmi, k nimž došlo v roce 2022;</w:t>
      </w:r>
    </w:p>
    <w:p w:rsidR="00397996" w:rsidRPr="00661A93" w:rsidRDefault="00397996" w:rsidP="00661A93">
      <w:pPr>
        <w:pStyle w:val="NormalHanging12a"/>
        <w:rPr>
          <w:szCs w:val="24"/>
        </w:rPr>
      </w:pPr>
      <w:r w:rsidRPr="00661A93">
        <w:rPr>
          <w:szCs w:val="24"/>
        </w:rPr>
        <w:t>33.</w:t>
      </w:r>
      <w:r w:rsidRPr="00661A93">
        <w:rPr>
          <w:szCs w:val="24"/>
        </w:rPr>
        <w:tab/>
        <w:t>s uznáním konstatuje, že SDEU nabízí vzdělávací kurzy na podporu rozmanitosti ve svých útvarech; dále uvádí, že na SDEU pracuje 27 zaměstnanců se zdravotním postižením, z nichž 14 je považováno za zaměstnance s těžkým zdravotním postižením; oceňuje, že v průběhu roku 2022 došlo k významným opatřením v návaznosti na interní audit z roku 2021, aby byla zaručena práva osob se zdravotním postižením;</w:t>
      </w:r>
    </w:p>
    <w:p w:rsidR="00397996" w:rsidRPr="00661A93" w:rsidRDefault="00397996" w:rsidP="00661A93">
      <w:pPr>
        <w:pStyle w:val="NormalHanging12a"/>
        <w:rPr>
          <w:szCs w:val="24"/>
        </w:rPr>
      </w:pPr>
      <w:r w:rsidRPr="00661A93">
        <w:rPr>
          <w:szCs w:val="24"/>
        </w:rPr>
        <w:t>34.</w:t>
      </w:r>
      <w:r w:rsidRPr="00661A93">
        <w:rPr>
          <w:szCs w:val="24"/>
        </w:rPr>
        <w:tab/>
        <w:t>konstatuje, že v roce 2022 přijal SDEU 267 stážistů; s povděkem konstatuje, že od podzimu 2022 se SDEU v návaznosti na doporučení Parlamentu rozhodl odměňovat všechny stážisty s výjimkou těch, kteří dostávají grant z jiných zdrojů; vybízí SDEU, aby přezkoumal, zda jsou stážisté ze všech členských států zastoupeni proporcionálně;</w:t>
      </w:r>
    </w:p>
    <w:p w:rsidR="00397996" w:rsidRPr="00661A93" w:rsidRDefault="00397996" w:rsidP="00661A93">
      <w:pPr>
        <w:pStyle w:val="NormalHanging12a"/>
        <w:rPr>
          <w:szCs w:val="24"/>
        </w:rPr>
      </w:pPr>
      <w:r w:rsidRPr="00661A93">
        <w:rPr>
          <w:szCs w:val="24"/>
        </w:rPr>
        <w:t>35.</w:t>
      </w:r>
      <w:r w:rsidRPr="00661A93">
        <w:rPr>
          <w:szCs w:val="24"/>
        </w:rPr>
        <w:tab/>
        <w:t>vyjadřuje politování nad tím, že SDEU v roce 2022 přijal neplacené stážisty, ať už během přechodného období po přijetí nového rozhodnutí o stážích v listopadu 2021, nebo z důvodu alternativních zdrojů financování; upozorňuje na kontrast mezi SDEU, který nemá placenou politiku stáží, a ostatními evropskými orgány, které takovou politiku prosazují; naléhavě SDEU žádá, aby zajistil transparentnost externích finančních zdrojů neplacených stážistů a upřesnil důvody pro zachování této politiky;</w:t>
      </w:r>
    </w:p>
    <w:p w:rsidR="00397996" w:rsidRPr="00661A93" w:rsidRDefault="00397996" w:rsidP="00661A93">
      <w:pPr>
        <w:pStyle w:val="NormalHanging12a"/>
        <w:rPr>
          <w:b/>
          <w:szCs w:val="24"/>
        </w:rPr>
      </w:pPr>
      <w:r w:rsidRPr="00661A93">
        <w:rPr>
          <w:b/>
          <w:szCs w:val="24"/>
        </w:rPr>
        <w:t>Etický rámec a transparentnost</w:t>
      </w:r>
    </w:p>
    <w:p w:rsidR="00397996" w:rsidRPr="00661A93" w:rsidRDefault="00397996" w:rsidP="00661A93">
      <w:pPr>
        <w:pStyle w:val="NormalHanging12a"/>
        <w:rPr>
          <w:szCs w:val="24"/>
        </w:rPr>
      </w:pPr>
      <w:r w:rsidRPr="00661A93">
        <w:rPr>
          <w:szCs w:val="24"/>
        </w:rPr>
        <w:lastRenderedPageBreak/>
        <w:t>36.</w:t>
      </w:r>
      <w:r w:rsidRPr="00661A93">
        <w:rPr>
          <w:szCs w:val="24"/>
        </w:rPr>
        <w:tab/>
        <w:t>nadále oceňuje reformy provedené v roce 2021, které se týkají členů Soudního dvora a Tribunálu, pokud jde o jejich kodex chování a prohlášení o zájmech, což spolu s novými požadavky na životopisy členů představuje zlepšení transparentnosti SDEU; je nicméně toho názoru, že platnost a užitečnost prohlášení o zájmech by se zlepšila prostřednictvím určitého druhu ověřování a kontroly kvality;</w:t>
      </w:r>
    </w:p>
    <w:p w:rsidR="00397996" w:rsidRPr="00661A93" w:rsidRDefault="00397996" w:rsidP="00661A93">
      <w:pPr>
        <w:pStyle w:val="NormalHanging12a"/>
        <w:rPr>
          <w:szCs w:val="24"/>
        </w:rPr>
      </w:pPr>
      <w:r w:rsidRPr="00661A93">
        <w:rPr>
          <w:szCs w:val="24"/>
        </w:rPr>
        <w:t>37.</w:t>
      </w:r>
      <w:r w:rsidRPr="00661A93">
        <w:rPr>
          <w:szCs w:val="24"/>
        </w:rPr>
        <w:tab/>
        <w:t>vítá, že SDEU od roku 2018 zveřejňuje seznam externích činností, které vykonávají členové Soudního dvora i Tribunálu; konstatuje, že seznam není pro širokou veřejnost snadno srozumitelný, a doporučuje, aby byl informativnější, pokud by obsahoval informace o povaze externí činnosti; zdůrazňuje, že členové se mají plně věnovat plnění svých povinností na SDEU a že externí činnost mohou vykonávat pouze tehdy, pokud souvisí s výkonem jejich povinností a pokud byla předem schválena, přičemž povolení se uděluje jen v případě, že jsou dotčené činnosti slučitelné s ustanoveními kodexu chování a zejména s povinností být k dispozici pro práci soudu;</w:t>
      </w:r>
    </w:p>
    <w:p w:rsidR="00397996" w:rsidRPr="00661A93" w:rsidRDefault="00397996" w:rsidP="00661A93">
      <w:pPr>
        <w:pStyle w:val="NormalHanging12a"/>
        <w:rPr>
          <w:szCs w:val="24"/>
        </w:rPr>
      </w:pPr>
      <w:r w:rsidRPr="00661A93">
        <w:rPr>
          <w:szCs w:val="24"/>
        </w:rPr>
        <w:t>38.</w:t>
      </w:r>
      <w:r w:rsidRPr="00661A93">
        <w:rPr>
          <w:szCs w:val="24"/>
        </w:rPr>
        <w:tab/>
        <w:t xml:space="preserve">bere na vědomí rozhodnutí z roku 2021 týkající se cestování členů, služebních cest a používání řidičů a automobilů, z něhož vyplývá, že členové budou muset hradit veškeré provozní náklady na používání vozidla, na které se nevztahuje příkaz ke služební cestě nad 10 000 km; domnívá se, že k využívání vozového parku mimo přísné plnění povinností členů </w:t>
      </w:r>
      <w:r w:rsidR="006D58B4" w:rsidRPr="00661A93">
        <w:rPr>
          <w:szCs w:val="24"/>
        </w:rPr>
        <w:t>SDEU</w:t>
      </w:r>
      <w:r w:rsidRPr="00661A93">
        <w:rPr>
          <w:szCs w:val="24"/>
        </w:rPr>
        <w:t xml:space="preserve"> by za žádných okolností nemělo docházet; žádá všechny orgány Unie, aby se dohodly na jednotném systému, který by byl uplatňován horizontálně, což by snížilo zmatek a zvýšilo transparentnost a efektivitu využívání veřejných prostředků;</w:t>
      </w:r>
    </w:p>
    <w:p w:rsidR="00397996" w:rsidRPr="00661A93" w:rsidRDefault="00397996" w:rsidP="00661A93">
      <w:pPr>
        <w:pStyle w:val="NormalHanging12a"/>
        <w:rPr>
          <w:szCs w:val="24"/>
        </w:rPr>
      </w:pPr>
      <w:r w:rsidRPr="00661A93">
        <w:rPr>
          <w:szCs w:val="24"/>
        </w:rPr>
        <w:t>39.</w:t>
      </w:r>
      <w:r w:rsidRPr="00661A93">
        <w:rPr>
          <w:szCs w:val="24"/>
        </w:rPr>
        <w:tab/>
        <w:t xml:space="preserve">vítá skutečnost, že SDEU školí všechny nové zaměstnance o všech etických aspektech, jakož i o právech a povinnostech úředníků a zaměstnanců, jak jsou stanoveny ve služebním řádu, a to i v oblasti </w:t>
      </w:r>
      <w:proofErr w:type="spellStart"/>
      <w:r w:rsidRPr="00661A93">
        <w:rPr>
          <w:szCs w:val="24"/>
        </w:rPr>
        <w:t>whistleblowingu</w:t>
      </w:r>
      <w:proofErr w:type="spellEnd"/>
      <w:r w:rsidRPr="00661A93">
        <w:rPr>
          <w:szCs w:val="24"/>
        </w:rPr>
        <w:t>, zákazu obtěžování, předcházení střetu zájmů a dalších etických otázkách; rovněž vítá uspořádání šesti školení s názvem „Pravidla správného chování“, kterých se zúčastnilo 70 zaměstnanců, a 11 školení s názvem „Vnitřní kontrola“, kterých se zúčastnilo 80 zaměstnanců; vybízí SDEU, aby pro všechny zaměstnance, ať už staré nebo nové, zavedl povinný kurz „Pravidla správného chování“, který by podpořil bezpečné a produktivní pracovní prostředí a etické řešení případů;</w:t>
      </w:r>
    </w:p>
    <w:p w:rsidR="00397996" w:rsidRPr="00661A93" w:rsidRDefault="00397996" w:rsidP="00661A93">
      <w:pPr>
        <w:pStyle w:val="NormalHanging12a"/>
        <w:rPr>
          <w:szCs w:val="24"/>
        </w:rPr>
      </w:pPr>
      <w:r w:rsidRPr="00661A93">
        <w:rPr>
          <w:szCs w:val="24"/>
        </w:rPr>
        <w:t>40.</w:t>
      </w:r>
      <w:r w:rsidRPr="00661A93">
        <w:rPr>
          <w:szCs w:val="24"/>
        </w:rPr>
        <w:tab/>
        <w:t xml:space="preserve">s uspokojením konstatuje, že Evropský úřad pro boj proti podvodům (OLAF) nezahájil v roce 2022 žádné nové vyšetřování týkající se SDEU, ač jedno vyšetřování, které se týká chování zaměstnanců a může představovat vážné nedodržení jejich povinností, stále probíhá, a že ve čtyřech případech, kterými se zabýval evropský veřejný ochránce práv a které se týkaly SDEU, nebyl zjištěn žádný nesprávný úřední postup, což znamená, že evropský veřejný ochránce práv nevydal v roce 2022 žádné doporučení týkající se SDEU; konstatuje, že v roce 2022 se v SDEU nevyskytly žádné případy </w:t>
      </w:r>
      <w:proofErr w:type="spellStart"/>
      <w:r w:rsidRPr="00661A93">
        <w:rPr>
          <w:szCs w:val="24"/>
        </w:rPr>
        <w:t>whistleblowingu</w:t>
      </w:r>
      <w:proofErr w:type="spellEnd"/>
      <w:r w:rsidRPr="00661A93">
        <w:rPr>
          <w:szCs w:val="24"/>
        </w:rPr>
        <w:t>;</w:t>
      </w:r>
    </w:p>
    <w:p w:rsidR="00397996" w:rsidRPr="00661A93" w:rsidRDefault="00397996" w:rsidP="00661A93">
      <w:pPr>
        <w:pStyle w:val="NormalHanging12a"/>
        <w:rPr>
          <w:szCs w:val="24"/>
        </w:rPr>
      </w:pPr>
      <w:r w:rsidRPr="00661A93">
        <w:rPr>
          <w:szCs w:val="24"/>
        </w:rPr>
        <w:t>41.</w:t>
      </w:r>
      <w:r w:rsidRPr="00661A93">
        <w:rPr>
          <w:szCs w:val="24"/>
        </w:rPr>
        <w:tab/>
        <w:t>velice lituje, že nový kodex chování pro zaměstnance, který měl být původně dokončen do konce roku 2021, nebyl dokončen ani do konce roku 2022; konstatuje, že nový kodex chování měl být přijat do konce roku 2023, ale postup přijímání stále probíhá; vyzývá SDEU, aby neprodleně dokončil nový kodex chování a přijal v souladu s požadavky s předchozími řízeními o udělení absolutoria, a žádá, aby byl Parlament o jeho přijetí a obsahu co nejdříve informován;</w:t>
      </w:r>
    </w:p>
    <w:p w:rsidR="00397996" w:rsidRPr="00661A93" w:rsidRDefault="00397996" w:rsidP="00661A93">
      <w:pPr>
        <w:pStyle w:val="NormalHanging12a"/>
        <w:rPr>
          <w:szCs w:val="24"/>
        </w:rPr>
      </w:pPr>
      <w:r w:rsidRPr="00661A93">
        <w:rPr>
          <w:szCs w:val="24"/>
        </w:rPr>
        <w:t>42.</w:t>
      </w:r>
      <w:r w:rsidRPr="00661A93">
        <w:rPr>
          <w:szCs w:val="24"/>
        </w:rPr>
        <w:tab/>
        <w:t xml:space="preserve">vítá, že v roce 2022 nebyl zjištěn žádný střet zájmů; konstatuje, že bylo přezkoumáno </w:t>
      </w:r>
      <w:r w:rsidRPr="00661A93">
        <w:rPr>
          <w:szCs w:val="24"/>
        </w:rPr>
        <w:lastRenderedPageBreak/>
        <w:t>112 žádostí podle článku 16 služebního řádu týkajících se profesní činnosti po odchodu ze služby a že všechny žádosti byly schváleny; dále konstatuje, že bylo nahlášeno devět případů externí činnosti během dovolené z osobních důvodů a že všechny byly schváleny; domnívá se, že tuto oblast by mohl interní auditor nebo navrhovaný subjekt EU pro etiku případně prověřit;</w:t>
      </w:r>
    </w:p>
    <w:p w:rsidR="00397996" w:rsidRPr="00661A93" w:rsidRDefault="00397996" w:rsidP="00661A93">
      <w:pPr>
        <w:pStyle w:val="NormalHanging12a"/>
        <w:rPr>
          <w:b/>
          <w:szCs w:val="24"/>
        </w:rPr>
      </w:pPr>
      <w:r w:rsidRPr="00661A93">
        <w:rPr>
          <w:b/>
          <w:szCs w:val="24"/>
        </w:rPr>
        <w:t>Digitalizace, kybernetická bezpečnost a ochrana údajů</w:t>
      </w:r>
    </w:p>
    <w:p w:rsidR="00397996" w:rsidRPr="00661A93" w:rsidRDefault="00397996" w:rsidP="00661A93">
      <w:pPr>
        <w:pStyle w:val="NormalHanging12a"/>
        <w:rPr>
          <w:szCs w:val="24"/>
        </w:rPr>
      </w:pPr>
      <w:r w:rsidRPr="00661A93">
        <w:rPr>
          <w:szCs w:val="24"/>
        </w:rPr>
        <w:t>43.</w:t>
      </w:r>
      <w:r w:rsidRPr="00661A93">
        <w:rPr>
          <w:szCs w:val="24"/>
        </w:rPr>
        <w:tab/>
        <w:t>vítá, že SDEU urychlil zavedení integrovaného systému správy případů (SIGA), který SDEU umožní pracovat ve zcela digitálním, bezpečném a integrovaném systému práce, a vítá, že SDEU pokročil v zavádění programu HAN/Ares týkajícího se všech administrativních služeb SDEU; žádá SDEU, aby v rámci každoročního postupu udělování absolutoria informoval Parlament o tomto provádění;</w:t>
      </w:r>
    </w:p>
    <w:p w:rsidR="00397996" w:rsidRPr="00661A93" w:rsidRDefault="00397996" w:rsidP="00661A93">
      <w:pPr>
        <w:pStyle w:val="NormalHanging12a"/>
        <w:rPr>
          <w:szCs w:val="24"/>
        </w:rPr>
      </w:pPr>
      <w:r w:rsidRPr="00661A93">
        <w:rPr>
          <w:szCs w:val="24"/>
        </w:rPr>
        <w:t>44.</w:t>
      </w:r>
      <w:r w:rsidRPr="00661A93">
        <w:rPr>
          <w:szCs w:val="24"/>
        </w:rPr>
        <w:tab/>
        <w:t xml:space="preserve">oceňuje, že se SDEU rozhodl dále nepoužívat </w:t>
      </w:r>
      <w:proofErr w:type="spellStart"/>
      <w:r w:rsidRPr="00661A93">
        <w:rPr>
          <w:szCs w:val="24"/>
        </w:rPr>
        <w:t>cloudové</w:t>
      </w:r>
      <w:proofErr w:type="spellEnd"/>
      <w:r w:rsidRPr="00661A93">
        <w:rPr>
          <w:szCs w:val="24"/>
        </w:rPr>
        <w:t xml:space="preserve"> platformy pro zpracovávané citlivé justiční údaje v zájmu ochrany údajů a vlastnictví systému a s cílem hostovat všechna svá data na místě a nemít kritickou obchodní závislost na žádných externích systémech; dále vítá politiku SDEU, která se pro účely nakládání s neveřejnými informacemi snaží vyhnout používání jakýchkoli nástrojů nebo infrastruktury umístěných v </w:t>
      </w:r>
      <w:proofErr w:type="spellStart"/>
      <w:r w:rsidRPr="00661A93">
        <w:rPr>
          <w:szCs w:val="24"/>
        </w:rPr>
        <w:t>cloudu</w:t>
      </w:r>
      <w:proofErr w:type="spellEnd"/>
      <w:r w:rsidRPr="00661A93">
        <w:rPr>
          <w:szCs w:val="24"/>
        </w:rPr>
        <w:t xml:space="preserve"> s cílem ochránit osobní údaje a zachovat si nad svými systémy a údaji úplnou kontrolu;</w:t>
      </w:r>
    </w:p>
    <w:p w:rsidR="00397996" w:rsidRPr="00661A93" w:rsidRDefault="00397996" w:rsidP="00661A93">
      <w:pPr>
        <w:pStyle w:val="NormalHanging12a"/>
        <w:rPr>
          <w:szCs w:val="24"/>
        </w:rPr>
      </w:pPr>
      <w:r w:rsidRPr="00661A93">
        <w:rPr>
          <w:szCs w:val="24"/>
        </w:rPr>
        <w:t>45.</w:t>
      </w:r>
      <w:r w:rsidRPr="00661A93">
        <w:rPr>
          <w:szCs w:val="24"/>
        </w:rPr>
        <w:tab/>
        <w:t>s uspokojením bere na vědomí rostoucí trend míry využívání aplikace e-Curia, kdy bylo 94 % podání u Tribunálu podáno prostřednictvím aplikace e-Curia v roce 2022 ve srovnání s 93 % v roce 2021, a že míra využívání aplikace e-Curia u Soudního dvora činila přibližně 87 % všech podání v roce 2022 oproti 85 % v roce 2021;</w:t>
      </w:r>
    </w:p>
    <w:p w:rsidR="00397996" w:rsidRPr="00661A93" w:rsidRDefault="00397996" w:rsidP="00661A93">
      <w:pPr>
        <w:pStyle w:val="NormalHanging12a"/>
        <w:rPr>
          <w:szCs w:val="24"/>
        </w:rPr>
      </w:pPr>
      <w:r w:rsidRPr="00661A93">
        <w:rPr>
          <w:szCs w:val="24"/>
        </w:rPr>
        <w:t>46.</w:t>
      </w:r>
      <w:r w:rsidRPr="00661A93">
        <w:rPr>
          <w:szCs w:val="24"/>
        </w:rPr>
        <w:tab/>
        <w:t xml:space="preserve">konstatuje, že v roce 2022 evropský inspektor ochrany údajů neinformoval o žádných dalších šetřeních; se zájmem očekává rozhodnutí týkající se vyšetřování z počátku roku 2021 ohledně využívání webových služeb třetích stran a povinnosti zpřístupnit podstatu dohody o společném správci; také se zájmem očekává rozhodnutí o vyšetřování týkajícím se využívání </w:t>
      </w:r>
      <w:proofErr w:type="spellStart"/>
      <w:r w:rsidRPr="00661A93">
        <w:rPr>
          <w:szCs w:val="24"/>
        </w:rPr>
        <w:t>cloudových</w:t>
      </w:r>
      <w:proofErr w:type="spellEnd"/>
      <w:r w:rsidRPr="00661A93">
        <w:rPr>
          <w:szCs w:val="24"/>
        </w:rPr>
        <w:t xml:space="preserve"> služeb poskytovaných společnostmi Amazon Web </w:t>
      </w:r>
      <w:proofErr w:type="spellStart"/>
      <w:r w:rsidRPr="00661A93">
        <w:rPr>
          <w:szCs w:val="24"/>
        </w:rPr>
        <w:t>Services</w:t>
      </w:r>
      <w:proofErr w:type="spellEnd"/>
      <w:r w:rsidRPr="00661A93">
        <w:rPr>
          <w:szCs w:val="24"/>
        </w:rPr>
        <w:t xml:space="preserve"> a Microsoft na základě smluv </w:t>
      </w:r>
      <w:proofErr w:type="spellStart"/>
      <w:r w:rsidRPr="00661A93">
        <w:rPr>
          <w:szCs w:val="24"/>
        </w:rPr>
        <w:t>Cloud</w:t>
      </w:r>
      <w:proofErr w:type="spellEnd"/>
      <w:r w:rsidRPr="00661A93">
        <w:rPr>
          <w:szCs w:val="24"/>
        </w:rPr>
        <w:t xml:space="preserve"> II ze strany orgánů, institucí a jiných subjektů Unie;</w:t>
      </w:r>
    </w:p>
    <w:p w:rsidR="00397996" w:rsidRPr="00661A93" w:rsidRDefault="00397996" w:rsidP="00661A93">
      <w:pPr>
        <w:pStyle w:val="NormalHanging12a"/>
        <w:rPr>
          <w:szCs w:val="24"/>
        </w:rPr>
      </w:pPr>
      <w:r w:rsidRPr="00661A93">
        <w:rPr>
          <w:szCs w:val="24"/>
        </w:rPr>
        <w:t>47.</w:t>
      </w:r>
      <w:r w:rsidRPr="00661A93">
        <w:rPr>
          <w:szCs w:val="24"/>
        </w:rPr>
        <w:tab/>
        <w:t>vítá, že SDEU zvažuje, jakým způsobem a v jakém rozsahu by měl při své práci využívat digitální technologie, například pro identifikaci podobností mezi případy, pro překlad, převod řeči na text a pro automatizované shrnutí dlouhých dokumentů; zdůrazňuje, že zejména v případě právní instituce, jako je SDEU, bude vždy nutné k automatizovaným procesům přistupovat s ohledem na etické aspekty a doplnit je lidským dohledem a kontrolou; zdůrazňuje, že je důležité moci používat křížové odkazy na případy podle klíčových pojmů a klíčových ukazatelů, aby bylo možné nalézt v obsahu případů překryvy nebo vzorce; rovněž SDEU vybízí, aby prozkoumal možnosti lepšího předávání informací soudcům a jejich týmům;</w:t>
      </w:r>
    </w:p>
    <w:p w:rsidR="00397996" w:rsidRPr="00661A93" w:rsidRDefault="00397996" w:rsidP="00661A93">
      <w:pPr>
        <w:pStyle w:val="NormalHanging12a"/>
        <w:rPr>
          <w:szCs w:val="24"/>
        </w:rPr>
      </w:pPr>
      <w:r w:rsidRPr="00661A93">
        <w:rPr>
          <w:szCs w:val="24"/>
        </w:rPr>
        <w:t>48.</w:t>
      </w:r>
      <w:r w:rsidRPr="00661A93">
        <w:rPr>
          <w:szCs w:val="24"/>
        </w:rPr>
        <w:tab/>
        <w:t xml:space="preserve">vítá, že SDEU používá operační systémy s otevřeným zdrojovým kódem zhruba u třetiny své serverové základny a že jeho první volbou je spoléhat se na interní hostované systémy založené na technologii s otevřeným zdrojovým kódem, neboť to SDEU umožňuje udržet si technickou kontrolu nad svými systémy, kontrolovat ukládání dat a datové toky, a zajistit tak lepší ochranu údajů a soukromí; vybízí SDEU, aby se připojil k iniciativě týkající se otevřeného zdrojového kódu, kterou spustil </w:t>
      </w:r>
      <w:r w:rsidR="009211D2" w:rsidRPr="00661A93">
        <w:rPr>
          <w:szCs w:val="24"/>
        </w:rPr>
        <w:t xml:space="preserve">evropský inspektor </w:t>
      </w:r>
      <w:r w:rsidR="009211D2">
        <w:rPr>
          <w:szCs w:val="24"/>
        </w:rPr>
        <w:lastRenderedPageBreak/>
        <w:t>ochrany údajů</w:t>
      </w:r>
      <w:r w:rsidRPr="00661A93">
        <w:rPr>
          <w:szCs w:val="24"/>
        </w:rPr>
        <w:t xml:space="preserve"> prostřednictvím implementace řešení s otevřeným zdrojovým kódem </w:t>
      </w:r>
      <w:proofErr w:type="spellStart"/>
      <w:r w:rsidRPr="00661A93">
        <w:rPr>
          <w:szCs w:val="24"/>
        </w:rPr>
        <w:t>Nextcloud</w:t>
      </w:r>
      <w:proofErr w:type="spellEnd"/>
      <w:r w:rsidRPr="00661A93">
        <w:rPr>
          <w:szCs w:val="24"/>
        </w:rPr>
        <w:t>;</w:t>
      </w:r>
    </w:p>
    <w:p w:rsidR="00397996" w:rsidRPr="00661A93" w:rsidRDefault="00397996" w:rsidP="00661A93">
      <w:pPr>
        <w:pStyle w:val="NormalHanging12a"/>
        <w:rPr>
          <w:szCs w:val="24"/>
        </w:rPr>
      </w:pPr>
      <w:r w:rsidRPr="00661A93">
        <w:rPr>
          <w:szCs w:val="24"/>
        </w:rPr>
        <w:t>49.</w:t>
      </w:r>
      <w:r w:rsidRPr="00661A93">
        <w:rPr>
          <w:szCs w:val="24"/>
        </w:rPr>
        <w:tab/>
        <w:t xml:space="preserve">vyzývá </w:t>
      </w:r>
      <w:r w:rsidR="00714F20" w:rsidRPr="00661A93">
        <w:rPr>
          <w:szCs w:val="24"/>
        </w:rPr>
        <w:t>SDEU</w:t>
      </w:r>
      <w:r w:rsidRPr="00661A93">
        <w:rPr>
          <w:szCs w:val="24"/>
        </w:rPr>
        <w:t>, aby na svých internetových stránkách zpřístupnil všechny spisy týkající se případu po zveřejnění rozsudku a zároveň zajistil, že v zájmu ochrany osobních údajů nebudou zveřejňovány soukromé nebo citlivé informace;</w:t>
      </w:r>
    </w:p>
    <w:p w:rsidR="00397996" w:rsidRPr="00661A93" w:rsidRDefault="00397996" w:rsidP="00661A93">
      <w:pPr>
        <w:pStyle w:val="NormalHanging12a"/>
        <w:rPr>
          <w:szCs w:val="24"/>
        </w:rPr>
      </w:pPr>
      <w:r w:rsidRPr="00661A93">
        <w:rPr>
          <w:szCs w:val="24"/>
        </w:rPr>
        <w:t>50.</w:t>
      </w:r>
      <w:r w:rsidRPr="00661A93">
        <w:rPr>
          <w:szCs w:val="24"/>
        </w:rPr>
        <w:tab/>
        <w:t>vítá, že se SDEU zapojil do začleňování nástrojů umělé inteligence do své práce a že v červenci 2023 byla přijata komplexní strategie týkající se umělé inteligence; zdůrazňuje, že je nesmírně důležité, aby umělá inteligence byla používána způsobem, který plně zachovává nezávislost, kvalitu a nerušenost právních procesů, plně zohledňuje etické aspekty a je plně pod lidským dohledem a umožňovala lidský zásah, aby se zabránilo negativním důsledkům nebo rizikům, nebo aby byl systém zastaven, pokud nebude fungovat tak, jak bylo zamýšleno; vítá, že SDEU vytvořil radu pro umělou inteligenci, která má na starosti etické aspekty a stanovení jasných hranic pro používání umělé inteligence; připomíná, že by SDEU měl zajistit plnou kontrolu uživatelů v souladu s „Evropskou etickou chartou o používání umělé inteligence v systémech soudnictví a jejich prostředí“; očekává, že pokyny pro zaměstnance týkající se používání umělé inteligence budou přijaty do konce podzimu 2023, jak bylo uvedeno, a žádá, aby byl Parlament o obsahu těchto pokynů průběžně informován;</w:t>
      </w:r>
    </w:p>
    <w:p w:rsidR="00397996" w:rsidRPr="00661A93" w:rsidRDefault="00397996" w:rsidP="00661A93">
      <w:pPr>
        <w:pStyle w:val="NormalHanging12a"/>
        <w:rPr>
          <w:b/>
          <w:i/>
          <w:szCs w:val="24"/>
        </w:rPr>
      </w:pPr>
      <w:r w:rsidRPr="00661A93">
        <w:rPr>
          <w:szCs w:val="24"/>
        </w:rPr>
        <w:t>51.</w:t>
      </w:r>
      <w:r w:rsidRPr="00661A93">
        <w:rPr>
          <w:szCs w:val="24"/>
        </w:rPr>
        <w:tab/>
        <w:t>se znepokojením konstatuje, že podle zprávy SDEU v roce 2022 nadále rostl počet kybernetických útoků; s úlevou konstatuje, že navzdory jejich rozmanitosti a objemu byly všechny útoky zvládnuty díky zavedeným ochranným systémům nebo díky specializovanému týmu pro reakci na bezpečnostní incidenty v SDEU, jak vyplývá z odpovědí SDEU na otázky Výboru pro rozpočtovou kontrolu Parlamentu z října 2023; zároveň vítá, že se SDEU aktivně účastní příslušných interinstitucionálních struktur Unie s cílem posílit celkovou kybernetickou bezpečnost orgánů Unie; důrazně vyzývá vedení SDEU, aby bylo posilování kybernetické bezpečnosti i nadále prioritou, a naléhavě žádá vedení, aby aktivně zkoumalo, které aspekty IT infrastruktury činí SDEU zranitelným vůči útokům, a aby je co nejdříve napravilo, a aby zajistilo pravidelné audity a testy své kybernetické obrany;</w:t>
      </w:r>
    </w:p>
    <w:p w:rsidR="00397996" w:rsidRPr="00661A93" w:rsidRDefault="00397996" w:rsidP="00661A93">
      <w:pPr>
        <w:pStyle w:val="NormalHanging12a"/>
        <w:rPr>
          <w:szCs w:val="24"/>
        </w:rPr>
      </w:pPr>
      <w:r w:rsidRPr="00661A93">
        <w:rPr>
          <w:szCs w:val="24"/>
        </w:rPr>
        <w:t>52.</w:t>
      </w:r>
      <w:r w:rsidRPr="00661A93">
        <w:rPr>
          <w:szCs w:val="24"/>
        </w:rPr>
        <w:tab/>
        <w:t>konstatuje, že SDEU analyzoval možnosti otevřených dat v letech 2022 a 2023 a že hodlá sdílet všechny zveřejněné informace dostupné na svých internetových stránkách jako otevřená data; upozorňuje však, že SDEU před zpřístupněním zveřejněných informací jako otevřených dat provedl kontrolu a zohlednil při ní bezpečnost, důvěrnost, právo na soukromí a práva duševního vlastnictví;</w:t>
      </w:r>
    </w:p>
    <w:p w:rsidR="00397996" w:rsidRPr="00661A93" w:rsidRDefault="00397996" w:rsidP="00661A93">
      <w:pPr>
        <w:spacing w:after="240"/>
        <w:ind w:left="567" w:hanging="567"/>
        <w:rPr>
          <w:b/>
          <w:bCs/>
          <w:iCs/>
          <w:szCs w:val="24"/>
        </w:rPr>
      </w:pPr>
      <w:r w:rsidRPr="00661A93">
        <w:rPr>
          <w:b/>
          <w:szCs w:val="24"/>
        </w:rPr>
        <w:t>Budovy</w:t>
      </w:r>
    </w:p>
    <w:p w:rsidR="00397996" w:rsidRPr="00661A93" w:rsidRDefault="00397996" w:rsidP="00661A93">
      <w:pPr>
        <w:pStyle w:val="NormalHanging12a"/>
        <w:rPr>
          <w:szCs w:val="24"/>
        </w:rPr>
      </w:pPr>
      <w:r w:rsidRPr="00661A93">
        <w:rPr>
          <w:szCs w:val="24"/>
        </w:rPr>
        <w:t>53.</w:t>
      </w:r>
      <w:r w:rsidRPr="00661A93">
        <w:rPr>
          <w:szCs w:val="24"/>
        </w:rPr>
        <w:tab/>
        <w:t>se zájmem konstatuje, že SDEU zřídil pracovní skupinu se zastoupením různých součástí SDEU a jeho výboru zaměstnanců, která se zamýšlí nad optimalizací obsazenosti prostor SDEU, a že její závěry byly předloženy v roce 2023; žádá, aby byl Parlament informován o provádění těchto závěrů a o důsledcích pro organizaci pracovního prostoru;</w:t>
      </w:r>
    </w:p>
    <w:p w:rsidR="00397996" w:rsidRPr="00661A93" w:rsidRDefault="00397996" w:rsidP="00661A93">
      <w:pPr>
        <w:pStyle w:val="NormalHanging12a"/>
        <w:rPr>
          <w:szCs w:val="24"/>
        </w:rPr>
      </w:pPr>
      <w:r w:rsidRPr="00661A93">
        <w:rPr>
          <w:szCs w:val="24"/>
        </w:rPr>
        <w:t>54.</w:t>
      </w:r>
      <w:r w:rsidRPr="00661A93">
        <w:rPr>
          <w:szCs w:val="24"/>
        </w:rPr>
        <w:tab/>
        <w:t xml:space="preserve">se zájmem konstatuje, že byl proveden interní audit týkající se přístupnosti budov pro osoby se zdravotním postižením a že SDEU v návaznosti na nové lucemburské právní předpisy provádí příslušná opatření; vítá, že mezi ně patří i opatření k zpřístupnění soudních síní osobám s omezenou schopností pohybu a orientace, například díky dlažbě </w:t>
      </w:r>
      <w:r w:rsidRPr="00661A93">
        <w:rPr>
          <w:szCs w:val="24"/>
        </w:rPr>
        <w:lastRenderedPageBreak/>
        <w:t>a zábradlí s plastickou povrchovou úpravou; žádá, aby byl Parlament informován o dalších iniciativách v této oblasti;</w:t>
      </w:r>
    </w:p>
    <w:p w:rsidR="00397996" w:rsidRPr="00661A93" w:rsidRDefault="00397996" w:rsidP="00661A93">
      <w:pPr>
        <w:spacing w:after="240"/>
        <w:ind w:left="567" w:hanging="567"/>
        <w:rPr>
          <w:b/>
          <w:szCs w:val="24"/>
        </w:rPr>
      </w:pPr>
      <w:r w:rsidRPr="00661A93">
        <w:rPr>
          <w:b/>
          <w:szCs w:val="24"/>
        </w:rPr>
        <w:t>Životní prostředí a udržitelnost</w:t>
      </w:r>
    </w:p>
    <w:p w:rsidR="00397996" w:rsidRPr="00661A93" w:rsidRDefault="00397996" w:rsidP="00661A93">
      <w:pPr>
        <w:pStyle w:val="NormalHanging12a"/>
        <w:rPr>
          <w:szCs w:val="24"/>
        </w:rPr>
      </w:pPr>
      <w:r w:rsidRPr="00661A93">
        <w:rPr>
          <w:szCs w:val="24"/>
        </w:rPr>
        <w:t>55.</w:t>
      </w:r>
      <w:r w:rsidRPr="00661A93">
        <w:rPr>
          <w:szCs w:val="24"/>
        </w:rPr>
        <w:tab/>
        <w:t>velmi oceňuje, že SDEU vypracovává samostatnou výroční zprávu týkající se ekologické stopy tohoto orgánu, která by mohla sloužit jako vzor pro ostatní orgány;</w:t>
      </w:r>
    </w:p>
    <w:p w:rsidR="00397996" w:rsidRPr="00661A93" w:rsidRDefault="00397996" w:rsidP="00661A93">
      <w:pPr>
        <w:pStyle w:val="NormalHanging12a"/>
        <w:rPr>
          <w:szCs w:val="24"/>
        </w:rPr>
      </w:pPr>
      <w:r w:rsidRPr="00661A93">
        <w:rPr>
          <w:szCs w:val="24"/>
        </w:rPr>
        <w:t>56.</w:t>
      </w:r>
      <w:r w:rsidRPr="00661A93">
        <w:rPr>
          <w:szCs w:val="24"/>
        </w:rPr>
        <w:tab/>
        <w:t>blahopřeje SDEU k dosaženým výsledkům, pokud jde o výrazné snížení jeho celkové spotřeby v roce 2022 ve srovnání s výchozím rokem 2015; za obzvláště působivé považuje, že se podařilo snížit spotřebu tepla o 23,6 %, papíru o 42,6 %, odpadu z jídelen o 49,9 % a emisí skleníkových plynů o 31,7 %;</w:t>
      </w:r>
    </w:p>
    <w:p w:rsidR="00397996" w:rsidRPr="00661A93" w:rsidRDefault="00397996" w:rsidP="00661A93">
      <w:pPr>
        <w:pStyle w:val="NormalHanging12a"/>
        <w:rPr>
          <w:szCs w:val="24"/>
        </w:rPr>
      </w:pPr>
      <w:r w:rsidRPr="00661A93">
        <w:rPr>
          <w:szCs w:val="24"/>
        </w:rPr>
        <w:t>57.</w:t>
      </w:r>
      <w:r w:rsidRPr="00661A93">
        <w:rPr>
          <w:szCs w:val="24"/>
        </w:rPr>
        <w:tab/>
        <w:t>konstatuje, že SDEU má nainstalovány solární panely o ploše 3 447, 8 m2, které v roce 2022 vyrobily 452 959 kWh; vybízí SDEU, aby pokračoval v práci na zjišťování možností týkajících se snižování obecné spotřeby, recyklace a výroby energie z obnovitelných zdrojů;</w:t>
      </w:r>
    </w:p>
    <w:p w:rsidR="00397996" w:rsidRPr="00661A93" w:rsidRDefault="00397996" w:rsidP="00661A93">
      <w:pPr>
        <w:pStyle w:val="NormalHanging12a"/>
        <w:rPr>
          <w:szCs w:val="24"/>
        </w:rPr>
      </w:pPr>
      <w:r w:rsidRPr="00661A93">
        <w:rPr>
          <w:szCs w:val="24"/>
        </w:rPr>
        <w:t>58.</w:t>
      </w:r>
      <w:r w:rsidRPr="00661A93">
        <w:rPr>
          <w:szCs w:val="24"/>
        </w:rPr>
        <w:tab/>
        <w:t>vítá, že SDEU přijal několik iniciativ na podporu a zvýšení udržitelné mobility, včetně dotací na veřejnou dopravu, dotací na samoobslužná jízdní kola, lepších parkovacích zařízení pro kola a lepších zařízení pro hybridní a elektrické automobily;</w:t>
      </w:r>
    </w:p>
    <w:p w:rsidR="00397996" w:rsidRPr="00661A93" w:rsidRDefault="00397996" w:rsidP="00661A93">
      <w:pPr>
        <w:spacing w:after="240"/>
        <w:ind w:left="567" w:hanging="567"/>
        <w:rPr>
          <w:b/>
          <w:szCs w:val="24"/>
        </w:rPr>
      </w:pPr>
      <w:r w:rsidRPr="00661A93">
        <w:rPr>
          <w:b/>
          <w:szCs w:val="24"/>
        </w:rPr>
        <w:t>Interinstitucionální spolupráce</w:t>
      </w:r>
    </w:p>
    <w:p w:rsidR="00397996" w:rsidRPr="00661A93" w:rsidRDefault="00397996" w:rsidP="00661A93">
      <w:pPr>
        <w:pStyle w:val="NormalHanging12a"/>
        <w:rPr>
          <w:szCs w:val="24"/>
        </w:rPr>
      </w:pPr>
      <w:r w:rsidRPr="00661A93">
        <w:rPr>
          <w:szCs w:val="24"/>
        </w:rPr>
        <w:t>59.</w:t>
      </w:r>
      <w:r w:rsidRPr="00661A93">
        <w:rPr>
          <w:szCs w:val="24"/>
        </w:rPr>
        <w:tab/>
        <w:t>vítá, že SDEU má s ostatními orgány Unie uzavřenu širokou škálu dohod o poskytování služeb, což pomáhá snižovat náklady zúčastněných orgánů a zajišťuje, že se v orgánech používají podobné postupy, techniky a pracovní toky; oceňuje zejména dohody o poskytování služeb s Úřadem Komise pro správu a vyplácení individuálních nároků, dohodu o poskytování služeb s Generálním ředitelstvím Komise pro digitální služby jako poskytovatelem služeb, který hostující informační systémy S</w:t>
      </w:r>
      <w:r w:rsidR="006D58B4" w:rsidRPr="00661A93">
        <w:rPr>
          <w:szCs w:val="24"/>
        </w:rPr>
        <w:t>DEU</w:t>
      </w:r>
      <w:r w:rsidRPr="00661A93">
        <w:rPr>
          <w:szCs w:val="24"/>
        </w:rPr>
        <w:t xml:space="preserve">, včetně </w:t>
      </w:r>
      <w:proofErr w:type="spellStart"/>
      <w:r w:rsidRPr="00661A93">
        <w:rPr>
          <w:szCs w:val="24"/>
        </w:rPr>
        <w:t>eCuria</w:t>
      </w:r>
      <w:proofErr w:type="spellEnd"/>
      <w:r w:rsidRPr="00661A93">
        <w:rPr>
          <w:szCs w:val="24"/>
        </w:rPr>
        <w:t>, portálu CVRIA a dalších; rovněž oceňuje pokračující spolupráci v rámci Interinstitucionálního výboru pro překlady a tlumočení; vítá na závěr, že po jednáních konaných v roce 2022 byla s Úřadem pro publikace Evropské unie v roce 2023 podepsána nová dohoda o poskytování služeb, která poprvé pokrývá všechny aspekty spolupráce;</w:t>
      </w:r>
    </w:p>
    <w:p w:rsidR="00397996" w:rsidRPr="00661A93" w:rsidRDefault="00397996" w:rsidP="00661A93">
      <w:pPr>
        <w:pStyle w:val="NormalHanging12a"/>
        <w:rPr>
          <w:szCs w:val="24"/>
        </w:rPr>
      </w:pPr>
      <w:r w:rsidRPr="00661A93">
        <w:rPr>
          <w:szCs w:val="24"/>
        </w:rPr>
        <w:t>60.</w:t>
      </w:r>
      <w:r w:rsidRPr="00661A93">
        <w:rPr>
          <w:szCs w:val="24"/>
        </w:rPr>
        <w:tab/>
        <w:t>s uznáním konstatuje, že SDEU spolu se všemi ostatními orgány, institucemi a jinými subjekty Unie uzavřel společnou veřejnou zakázku na dodávku úrazového pojištění podle článku 73 služebního řádu;</w:t>
      </w:r>
    </w:p>
    <w:p w:rsidR="00397996" w:rsidRPr="00661A93" w:rsidRDefault="00397996" w:rsidP="00661A93">
      <w:pPr>
        <w:pStyle w:val="NormalHanging12a"/>
        <w:rPr>
          <w:szCs w:val="24"/>
        </w:rPr>
      </w:pPr>
      <w:r w:rsidRPr="00661A93">
        <w:rPr>
          <w:szCs w:val="24"/>
        </w:rPr>
        <w:t>61.</w:t>
      </w:r>
      <w:r w:rsidRPr="00661A93">
        <w:rPr>
          <w:szCs w:val="24"/>
        </w:rPr>
        <w:tab/>
        <w:t>vítá skutečnost, že se dále rozvíjí spolupráce s Úřadem evropského veřejného žalobce (EPPO) a že bylo podepsáno memorandum o porozumění s cílem navázat prohloubenou spolupráci v oblasti bibliografických a dokumentačních služeb ve prospěch obou orgánů; dále vítá, že bylo navrženo zvláštní školení pro žalobce úřadu EPPO, aby se mohli seznámit s činností SDEU;</w:t>
      </w:r>
    </w:p>
    <w:p w:rsidR="00397996" w:rsidRPr="00661A93" w:rsidRDefault="00397996" w:rsidP="00661A93">
      <w:pPr>
        <w:pStyle w:val="NormalHanging12a"/>
        <w:rPr>
          <w:szCs w:val="24"/>
        </w:rPr>
      </w:pPr>
      <w:r w:rsidRPr="00661A93">
        <w:rPr>
          <w:szCs w:val="24"/>
        </w:rPr>
        <w:t>62.</w:t>
      </w:r>
      <w:r w:rsidRPr="00661A93">
        <w:rPr>
          <w:szCs w:val="24"/>
        </w:rPr>
        <w:tab/>
        <w:t xml:space="preserve">oceňuje, že SDEU plně spolupracuje s úřadem OLAF, Účetním dvorem, </w:t>
      </w:r>
      <w:r w:rsidR="009211D2" w:rsidRPr="00661A93">
        <w:rPr>
          <w:szCs w:val="24"/>
        </w:rPr>
        <w:t>evropský</w:t>
      </w:r>
      <w:r w:rsidR="009211D2">
        <w:rPr>
          <w:szCs w:val="24"/>
        </w:rPr>
        <w:t>m</w:t>
      </w:r>
      <w:r w:rsidR="009211D2" w:rsidRPr="00661A93">
        <w:rPr>
          <w:szCs w:val="24"/>
        </w:rPr>
        <w:t xml:space="preserve"> inspektor</w:t>
      </w:r>
      <w:r w:rsidR="009211D2">
        <w:rPr>
          <w:szCs w:val="24"/>
        </w:rPr>
        <w:t>em</w:t>
      </w:r>
      <w:r w:rsidR="009211D2" w:rsidRPr="00661A93">
        <w:rPr>
          <w:szCs w:val="24"/>
        </w:rPr>
        <w:t xml:space="preserve"> ochrany údajů </w:t>
      </w:r>
      <w:r w:rsidRPr="00661A93">
        <w:rPr>
          <w:szCs w:val="24"/>
        </w:rPr>
        <w:t xml:space="preserve"> a evropským veřejným ochráncem práv, mimo jiné tím, že zajišťuje aktualizaci svých interních rozhodnutí o vyšetřováních úřadu OLAF, aby byl zajištěn soulad s nejnovějšími požadavky;</w:t>
      </w:r>
    </w:p>
    <w:p w:rsidR="00397996" w:rsidRPr="00661A93" w:rsidRDefault="00397996" w:rsidP="00661A93">
      <w:pPr>
        <w:pStyle w:val="NormalHanging12a"/>
        <w:rPr>
          <w:szCs w:val="24"/>
        </w:rPr>
      </w:pPr>
      <w:r w:rsidRPr="00661A93">
        <w:rPr>
          <w:szCs w:val="24"/>
        </w:rPr>
        <w:t>63.</w:t>
      </w:r>
      <w:r w:rsidRPr="00661A93">
        <w:rPr>
          <w:szCs w:val="24"/>
        </w:rPr>
        <w:tab/>
        <w:t xml:space="preserve">vybízí SDEU, aby sdílel počet případů týkajících se duševního vlastnictví a konkrétní </w:t>
      </w:r>
      <w:r w:rsidRPr="00661A93">
        <w:rPr>
          <w:szCs w:val="24"/>
        </w:rPr>
        <w:lastRenderedPageBreak/>
        <w:t>sporné body s Komisí a Úřadem Evropské unie pro duševní vlastnictví s cílem prozkoumat důvody, proč se 30 % dotčených žalob u Tribunálu v roce 2022 týkalo duševního vlastnictví, a to v zájmu pomoci při zjišťování možných nedostatků v právních předpisech Unie; domnívá se, že rozpočet Unie na řešení těchto případů by se mohl ušetřit, pokud by bylo možné určit konkrétní sporný bod a vyřešit jej novým právním předpisem Unie;</w:t>
      </w:r>
    </w:p>
    <w:p w:rsidR="00397996" w:rsidRPr="00661A93" w:rsidRDefault="00397996" w:rsidP="00661A93">
      <w:pPr>
        <w:pStyle w:val="NormalHanging12a"/>
        <w:rPr>
          <w:szCs w:val="24"/>
        </w:rPr>
      </w:pPr>
      <w:r w:rsidRPr="00661A93">
        <w:rPr>
          <w:szCs w:val="24"/>
        </w:rPr>
        <w:t>64.</w:t>
      </w:r>
      <w:r w:rsidRPr="00661A93">
        <w:rPr>
          <w:szCs w:val="24"/>
        </w:rPr>
        <w:tab/>
        <w:t>bere na vědomí pokračování činností soudní sítě Evropské unie, která přispívá k posílení a usnadnění spolupráce mezi S</w:t>
      </w:r>
      <w:r w:rsidR="006D58B4" w:rsidRPr="00661A93">
        <w:rPr>
          <w:szCs w:val="24"/>
        </w:rPr>
        <w:t>DEU</w:t>
      </w:r>
      <w:r w:rsidRPr="00661A93">
        <w:rPr>
          <w:szCs w:val="24"/>
        </w:rPr>
        <w:t xml:space="preserve"> a vnitrostátními soudy, zejména v oblasti soudního monitorování, právního výzkumu, vícejazyčné terminologie a nových technologií, jakož i k podpoře sdružování nejúčinnějších postupů při výkonu spravedlnosti;</w:t>
      </w:r>
    </w:p>
    <w:p w:rsidR="00397996" w:rsidRPr="00661A93" w:rsidRDefault="00397996" w:rsidP="00661A93">
      <w:pPr>
        <w:spacing w:after="240"/>
        <w:ind w:left="567" w:hanging="567"/>
        <w:rPr>
          <w:b/>
          <w:szCs w:val="24"/>
        </w:rPr>
      </w:pPr>
      <w:r w:rsidRPr="00661A93">
        <w:rPr>
          <w:b/>
          <w:szCs w:val="24"/>
        </w:rPr>
        <w:t>Komunikační činnost</w:t>
      </w:r>
    </w:p>
    <w:p w:rsidR="00397996" w:rsidRPr="00661A93" w:rsidRDefault="00397996" w:rsidP="00661A93">
      <w:pPr>
        <w:pStyle w:val="NormalHanging12a"/>
        <w:rPr>
          <w:szCs w:val="24"/>
        </w:rPr>
      </w:pPr>
      <w:r w:rsidRPr="00661A93">
        <w:rPr>
          <w:szCs w:val="24"/>
        </w:rPr>
        <w:t>65.</w:t>
      </w:r>
      <w:r w:rsidRPr="00661A93">
        <w:rPr>
          <w:szCs w:val="24"/>
        </w:rPr>
        <w:tab/>
        <w:t>konstatuje, že v roce 2022 činil rozpočet na komunikaci zahrnující přípravu obsahu a tisk interních a externích publikací 527 500 EUR, což odpovídá nárůstu o 3,3 % oproti roku 2021;</w:t>
      </w:r>
    </w:p>
    <w:p w:rsidR="00397996" w:rsidRPr="00661A93" w:rsidRDefault="00397996" w:rsidP="00661A93">
      <w:pPr>
        <w:pStyle w:val="NormalHanging12a"/>
        <w:rPr>
          <w:szCs w:val="24"/>
        </w:rPr>
      </w:pPr>
      <w:r w:rsidRPr="00661A93">
        <w:rPr>
          <w:szCs w:val="24"/>
        </w:rPr>
        <w:t>66.</w:t>
      </w:r>
      <w:r w:rsidRPr="00661A93">
        <w:rPr>
          <w:szCs w:val="24"/>
        </w:rPr>
        <w:tab/>
        <w:t>vítá, že SDEU využil výročí 70 let své existence jako příležitost k posílení své transparentnosti a komunikace s občany Unie a k uspořádání dvou dnů otevřených dveří, v jejichž průběhu měli občané možnost klást otázky přímo na místě; vybízí SDEU, aby zvážil možnost navázat na tyto iniciativy i v nadcházejících letech;</w:t>
      </w:r>
    </w:p>
    <w:p w:rsidR="00397996" w:rsidRPr="00661A93" w:rsidRDefault="00397996" w:rsidP="00661A93">
      <w:pPr>
        <w:pStyle w:val="NormalHanging12a"/>
        <w:rPr>
          <w:szCs w:val="24"/>
        </w:rPr>
      </w:pPr>
      <w:r w:rsidRPr="00661A93">
        <w:rPr>
          <w:szCs w:val="24"/>
        </w:rPr>
        <w:t>67.</w:t>
      </w:r>
      <w:r w:rsidRPr="00661A93">
        <w:rPr>
          <w:szCs w:val="24"/>
        </w:rPr>
        <w:tab/>
        <w:t xml:space="preserve">s uznáním konstatuje, že v roce 2022 zahájil SDEU službu </w:t>
      </w:r>
      <w:proofErr w:type="spellStart"/>
      <w:r w:rsidRPr="00661A93">
        <w:rPr>
          <w:szCs w:val="24"/>
        </w:rPr>
        <w:t>streamování</w:t>
      </w:r>
      <w:proofErr w:type="spellEnd"/>
      <w:r w:rsidRPr="00661A93">
        <w:rPr>
          <w:szCs w:val="24"/>
        </w:rPr>
        <w:t xml:space="preserve"> projednávání věcí přidělených velkému senátu, což veřejnosti poskytuje možnost lépe porozumět tomu, jak SDEU pracuje; vyzývá SDEU, aby tuto iniciativu rozšířil a zajistil tak větší transparentnost;</w:t>
      </w:r>
    </w:p>
    <w:p w:rsidR="00397996" w:rsidRPr="00661A93" w:rsidRDefault="00397996" w:rsidP="00661A93">
      <w:pPr>
        <w:pStyle w:val="NormalHanging12a"/>
        <w:rPr>
          <w:szCs w:val="24"/>
        </w:rPr>
      </w:pPr>
      <w:r w:rsidRPr="00661A93">
        <w:rPr>
          <w:szCs w:val="24"/>
        </w:rPr>
        <w:t>68.</w:t>
      </w:r>
      <w:r w:rsidRPr="00661A93">
        <w:rPr>
          <w:szCs w:val="24"/>
        </w:rPr>
        <w:tab/>
        <w:t xml:space="preserve">oceňuje, že se SDEU aktivně zapojil do projektu evropského inspektora ochrany údajů „EU </w:t>
      </w:r>
      <w:proofErr w:type="spellStart"/>
      <w:r w:rsidRPr="00661A93">
        <w:rPr>
          <w:szCs w:val="24"/>
        </w:rPr>
        <w:t>Voice</w:t>
      </w:r>
      <w:proofErr w:type="spellEnd"/>
      <w:r w:rsidRPr="00661A93">
        <w:rPr>
          <w:szCs w:val="24"/>
        </w:rPr>
        <w:t>“, jenž má za cíl navázat kontakt s veřejností a propagovat používání decentralizovaných a bezplatných sociálních sítí s otevřeným zdrojovým kódem jako alternativu k proprietárním sociálním sítím;</w:t>
      </w:r>
    </w:p>
    <w:p w:rsidR="00397996" w:rsidRPr="00661A93" w:rsidRDefault="00397996" w:rsidP="00661A93">
      <w:pPr>
        <w:pStyle w:val="NormalHanging12a"/>
        <w:rPr>
          <w:szCs w:val="24"/>
        </w:rPr>
      </w:pPr>
      <w:r w:rsidRPr="00661A93">
        <w:rPr>
          <w:szCs w:val="24"/>
        </w:rPr>
        <w:t>69.</w:t>
      </w:r>
      <w:r w:rsidRPr="00661A93">
        <w:rPr>
          <w:szCs w:val="24"/>
        </w:rPr>
        <w:tab/>
        <w:t xml:space="preserve">domnívá se, že vzhledem k tomu, že se od Soudního dvora stále více vyžaduje, aby rozhodoval o záležitostech ústavní povahy a záležitostech souvisejících s lidskými právy a Listinou základních práv Evropské unie, je třeba zvýšit transparentnost a otevřenost soudního řízení Unie; vítá v této souvislosti vytvoření </w:t>
      </w:r>
      <w:proofErr w:type="spellStart"/>
      <w:r w:rsidRPr="00661A93">
        <w:rPr>
          <w:szCs w:val="24"/>
        </w:rPr>
        <w:t>streamovacího</w:t>
      </w:r>
      <w:proofErr w:type="spellEnd"/>
      <w:r w:rsidRPr="00661A93">
        <w:rPr>
          <w:szCs w:val="24"/>
        </w:rPr>
        <w:t xml:space="preserve"> systému pro slyšení Soudního dvora, který slouží k posílení občanského rozměru S</w:t>
      </w:r>
      <w:r w:rsidR="006D58B4" w:rsidRPr="00661A93">
        <w:rPr>
          <w:szCs w:val="24"/>
        </w:rPr>
        <w:t>DEU</w:t>
      </w:r>
      <w:r w:rsidRPr="00661A93">
        <w:rPr>
          <w:szCs w:val="24"/>
        </w:rPr>
        <w:t xml:space="preserve"> tím, že umožňuje lepší dostupnost pro širokou veřejnost; zdůrazňuje v této souvislosti, že nový systém </w:t>
      </w:r>
      <w:proofErr w:type="spellStart"/>
      <w:r w:rsidRPr="00661A93">
        <w:rPr>
          <w:szCs w:val="24"/>
        </w:rPr>
        <w:t>streamování</w:t>
      </w:r>
      <w:proofErr w:type="spellEnd"/>
      <w:r w:rsidRPr="00661A93">
        <w:rPr>
          <w:szCs w:val="24"/>
        </w:rPr>
        <w:t xml:space="preserve"> musí být postupně doplněn dalšími externími komunikačními prostředky, které by umožnily větší viditelnost práce tohoto orgánu;</w:t>
      </w:r>
    </w:p>
    <w:p w:rsidR="00397996" w:rsidRPr="00661A93" w:rsidRDefault="00397996" w:rsidP="00661A93">
      <w:pPr>
        <w:pStyle w:val="NormalHanging12a"/>
        <w:rPr>
          <w:szCs w:val="24"/>
        </w:rPr>
      </w:pPr>
      <w:r w:rsidRPr="00661A93">
        <w:rPr>
          <w:szCs w:val="24"/>
        </w:rPr>
        <w:t>70.</w:t>
      </w:r>
      <w:r w:rsidRPr="00661A93">
        <w:rPr>
          <w:szCs w:val="24"/>
        </w:rPr>
        <w:tab/>
        <w:t>vítá, že po ukončení pilotní fáze v roce 2021 byla v roce 2022 zahájena iniciativa nabízející návštěvy SDEU na dálku, která mladým lidem ve věku od 15 do 18 let umožňuje porozumět SDEU a dopadu judikatury na jejich každodenní život a zvyšuje jejich porozumění právům, která mají jako občané Unie, a demokratickým hodnotám Unie; vybízí S</w:t>
      </w:r>
      <w:r w:rsidR="006D58B4" w:rsidRPr="00661A93">
        <w:rPr>
          <w:szCs w:val="24"/>
        </w:rPr>
        <w:t>DEU</w:t>
      </w:r>
      <w:r w:rsidRPr="00661A93">
        <w:rPr>
          <w:szCs w:val="24"/>
        </w:rPr>
        <w:t>, aby rozšířil návštěvy na dálku zaměřené na mládež i na osoby ve věku 15 až 29 let; dále vybízí</w:t>
      </w:r>
      <w:r w:rsidR="00752CCC">
        <w:rPr>
          <w:szCs w:val="24"/>
        </w:rPr>
        <w:t xml:space="preserve"> </w:t>
      </w:r>
      <w:r w:rsidR="00752CCC" w:rsidRPr="00661A93">
        <w:rPr>
          <w:szCs w:val="24"/>
        </w:rPr>
        <w:t>SDEU</w:t>
      </w:r>
      <w:r w:rsidRPr="00661A93">
        <w:rPr>
          <w:szCs w:val="24"/>
        </w:rPr>
        <w:t xml:space="preserve">, aby nabízel návštěvy na dálku také občanům všech věkových kategorií, zdůrazňuje, že návštěvy na dálku by měly být </w:t>
      </w:r>
      <w:r w:rsidRPr="00661A93">
        <w:rPr>
          <w:szCs w:val="24"/>
        </w:rPr>
        <w:lastRenderedPageBreak/>
        <w:t>co nejvíce dostupné všem Evropanům;</w:t>
      </w:r>
    </w:p>
    <w:p w:rsidR="00E365E1" w:rsidRPr="00661A93" w:rsidRDefault="00397996" w:rsidP="00661A93">
      <w:pPr>
        <w:spacing w:after="240"/>
        <w:ind w:left="567" w:hanging="567"/>
        <w:rPr>
          <w:szCs w:val="24"/>
        </w:rPr>
      </w:pPr>
      <w:r w:rsidRPr="00661A93">
        <w:rPr>
          <w:szCs w:val="24"/>
        </w:rPr>
        <w:t>71.</w:t>
      </w:r>
      <w:r w:rsidRPr="00661A93">
        <w:rPr>
          <w:szCs w:val="24"/>
        </w:rPr>
        <w:tab/>
        <w:t xml:space="preserve">konstatuje, že se SDEU spolu s několika dalšími orgány Unie aktivně podílí na projektu, který zahájil evropský inspektor ochrany údajů, a to pravidelnými publikacemi na decentralizovaných sociálních sítích </w:t>
      </w:r>
      <w:proofErr w:type="spellStart"/>
      <w:r w:rsidRPr="00661A93">
        <w:rPr>
          <w:szCs w:val="24"/>
        </w:rPr>
        <w:t>Mastodon</w:t>
      </w:r>
      <w:proofErr w:type="spellEnd"/>
      <w:r w:rsidRPr="00661A93">
        <w:rPr>
          <w:szCs w:val="24"/>
        </w:rPr>
        <w:t xml:space="preserve">, které využívají software s otevřeným zdrojovým kódem; konstatuje, že SDEU využívá rovněž platformy X (dříve </w:t>
      </w:r>
      <w:proofErr w:type="spellStart"/>
      <w:r w:rsidRPr="00661A93">
        <w:rPr>
          <w:szCs w:val="24"/>
        </w:rPr>
        <w:t>Twitter</w:t>
      </w:r>
      <w:proofErr w:type="spellEnd"/>
      <w:r w:rsidRPr="00661A93">
        <w:rPr>
          <w:szCs w:val="24"/>
        </w:rPr>
        <w:t xml:space="preserve">) a </w:t>
      </w:r>
      <w:proofErr w:type="spellStart"/>
      <w:r w:rsidRPr="00661A93">
        <w:rPr>
          <w:szCs w:val="24"/>
        </w:rPr>
        <w:t>LinkedIn</w:t>
      </w:r>
      <w:proofErr w:type="spellEnd"/>
      <w:r w:rsidRPr="00661A93">
        <w:rPr>
          <w:szCs w:val="24"/>
        </w:rPr>
        <w:t xml:space="preserve"> a že pokračoval ve své dřívější praxi zveřejňování jak na platformě X (dříve </w:t>
      </w:r>
      <w:proofErr w:type="spellStart"/>
      <w:r w:rsidRPr="00661A93">
        <w:rPr>
          <w:szCs w:val="24"/>
        </w:rPr>
        <w:t>Twitter</w:t>
      </w:r>
      <w:proofErr w:type="spellEnd"/>
      <w:r w:rsidRPr="00661A93">
        <w:rPr>
          <w:szCs w:val="24"/>
        </w:rPr>
        <w:t xml:space="preserve">), tak na platformě </w:t>
      </w:r>
      <w:proofErr w:type="spellStart"/>
      <w:r w:rsidRPr="00661A93">
        <w:rPr>
          <w:szCs w:val="24"/>
        </w:rPr>
        <w:t>Mastodon</w:t>
      </w:r>
      <w:proofErr w:type="spellEnd"/>
      <w:r w:rsidRPr="00661A93">
        <w:rPr>
          <w:szCs w:val="24"/>
        </w:rPr>
        <w:t xml:space="preserve">, jakmile bylo nalezeno technické řešení umožňující automatizované paralelní zveřejňování; vybízí SDEU, aby pravidelně zveřejňoval příspěvky tam, kde je přítomen na platformě sociálních médií, aby se zabránilo stagnaci účtů na sociálních sítích, neboť to může vyvolat dojem nečinnosti v každodenní práci </w:t>
      </w:r>
      <w:r w:rsidR="00714F20">
        <w:rPr>
          <w:szCs w:val="24"/>
        </w:rPr>
        <w:t>SDEU</w:t>
      </w:r>
      <w:r w:rsidRPr="00661A93">
        <w:rPr>
          <w:szCs w:val="24"/>
        </w:rPr>
        <w:t>.</w:t>
      </w:r>
      <w:bookmarkStart w:id="10" w:name="TextBodyEnd"/>
      <w:bookmarkEnd w:id="10"/>
    </w:p>
    <w:sectPr w:rsidR="00E365E1" w:rsidRPr="00661A93" w:rsidSect="00CE4E5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2D7" w:rsidRPr="00CE4E53" w:rsidRDefault="001742D7">
      <w:r w:rsidRPr="00CE4E53">
        <w:separator/>
      </w:r>
    </w:p>
  </w:endnote>
  <w:endnote w:type="continuationSeparator" w:id="0">
    <w:p w:rsidR="001742D7" w:rsidRPr="00CE4E53" w:rsidRDefault="001742D7">
      <w:r w:rsidRPr="00CE4E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996" w:rsidRPr="00CE4E53" w:rsidRDefault="00397996" w:rsidP="009219A7">
    <w:pPr>
      <w:pStyle w:val="EPFooter"/>
    </w:pPr>
    <w:r w:rsidRPr="00CE4E53">
      <w:t>PE</w:t>
    </w:r>
    <w:r w:rsidRPr="00CE4E53">
      <w:rPr>
        <w:rStyle w:val="HideTWBExt"/>
      </w:rPr>
      <w:t>&lt;</w:t>
    </w:r>
    <w:proofErr w:type="spellStart"/>
    <w:r w:rsidRPr="00CE4E53">
      <w:rPr>
        <w:rStyle w:val="HideTWBExt"/>
      </w:rPr>
      <w:t>NoPE</w:t>
    </w:r>
    <w:proofErr w:type="spellEnd"/>
    <w:r w:rsidRPr="00CE4E53">
      <w:rPr>
        <w:rStyle w:val="HideTWBExt"/>
      </w:rPr>
      <w:t>&gt;</w:t>
    </w:r>
    <w:r w:rsidRPr="00CE4E53">
      <w:t>753.480</w:t>
    </w:r>
    <w:r w:rsidRPr="00CE4E53">
      <w:rPr>
        <w:rStyle w:val="HideTWBExt"/>
      </w:rPr>
      <w:t>&lt;/</w:t>
    </w:r>
    <w:proofErr w:type="spellStart"/>
    <w:r w:rsidRPr="00CE4E53">
      <w:rPr>
        <w:rStyle w:val="HideTWBExt"/>
      </w:rPr>
      <w:t>NoPE</w:t>
    </w:r>
    <w:proofErr w:type="spellEnd"/>
    <w:r w:rsidRPr="00CE4E53">
      <w:rPr>
        <w:rStyle w:val="HideTWBExt"/>
      </w:rPr>
      <w:t>&gt;&lt;Version&gt;</w:t>
    </w:r>
    <w:r w:rsidRPr="00CE4E53">
      <w:t>v02-00</w:t>
    </w:r>
    <w:r w:rsidRPr="00CE4E53">
      <w:rPr>
        <w:rStyle w:val="HideTWBExt"/>
      </w:rPr>
      <w:t>&lt;/</w:t>
    </w:r>
    <w:proofErr w:type="spellStart"/>
    <w:r w:rsidRPr="00CE4E53">
      <w:rPr>
        <w:rStyle w:val="HideTWBExt"/>
      </w:rPr>
      <w:t>Version</w:t>
    </w:r>
    <w:proofErr w:type="spellEnd"/>
    <w:r w:rsidRPr="00CE4E53">
      <w:rPr>
        <w:rStyle w:val="HideTWBExt"/>
      </w:rPr>
      <w:t>&gt;</w:t>
    </w:r>
    <w:r w:rsidRPr="00CE4E53">
      <w:tab/>
    </w:r>
    <w:r w:rsidRPr="00CE4E53">
      <w:fldChar w:fldCharType="begin"/>
    </w:r>
    <w:r w:rsidRPr="00CE4E53">
      <w:instrText xml:space="preserve"> PAGE  \* MERGEFORMAT </w:instrText>
    </w:r>
    <w:r w:rsidRPr="00CE4E53">
      <w:fldChar w:fldCharType="separate"/>
    </w:r>
    <w:r w:rsidR="00CE4E53" w:rsidRPr="00CE4E53">
      <w:rPr>
        <w:noProof/>
      </w:rPr>
      <w:t>2</w:t>
    </w:r>
    <w:r w:rsidRPr="00CE4E53">
      <w:fldChar w:fldCharType="end"/>
    </w:r>
    <w:r w:rsidRPr="00CE4E53">
      <w:t>/</w:t>
    </w:r>
    <w:fldSimple w:instr=" NUMPAGES  \* MERGEFORMAT ">
      <w:r w:rsidR="00CE4E53" w:rsidRPr="00CE4E53">
        <w:rPr>
          <w:noProof/>
        </w:rPr>
        <w:t>4</w:t>
      </w:r>
    </w:fldSimple>
    <w:r w:rsidRPr="00CE4E53">
      <w:tab/>
    </w:r>
    <w:r w:rsidRPr="00CE4E53">
      <w:rPr>
        <w:rStyle w:val="HideTWBExt"/>
      </w:rPr>
      <w:t>&lt;PathFdR&gt;</w:t>
    </w:r>
    <w:r w:rsidRPr="00CE4E53">
      <w:t>RR\1298529CS.docx</w:t>
    </w:r>
    <w:r w:rsidRPr="00CE4E53">
      <w:rPr>
        <w:rStyle w:val="HideTWBExt"/>
      </w:rPr>
      <w:t>&lt;/</w:t>
    </w:r>
    <w:proofErr w:type="spellStart"/>
    <w:r w:rsidRPr="00CE4E53">
      <w:rPr>
        <w:rStyle w:val="HideTWBExt"/>
      </w:rPr>
      <w:t>PathFdR</w:t>
    </w:r>
    <w:proofErr w:type="spellEnd"/>
    <w:r w:rsidRPr="00CE4E53">
      <w:rPr>
        <w:rStyle w:val="HideTWBExt"/>
      </w:rPr>
      <w:t>&gt;</w:t>
    </w:r>
  </w:p>
  <w:p w:rsidR="00397996" w:rsidRPr="00CE4E53" w:rsidRDefault="00397996" w:rsidP="009219A7">
    <w:pPr>
      <w:pStyle w:val="EPFooter2"/>
    </w:pPr>
    <w:r w:rsidRPr="00CE4E53">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996" w:rsidRPr="00CE4E53" w:rsidRDefault="00397996" w:rsidP="009219A7">
    <w:pPr>
      <w:pStyle w:val="EPFooter"/>
    </w:pPr>
    <w:r w:rsidRPr="00CE4E53">
      <w:rPr>
        <w:rStyle w:val="HideTWBExt"/>
      </w:rPr>
      <w:t>&lt;PathFdR&gt;</w:t>
    </w:r>
    <w:r w:rsidRPr="00CE4E53">
      <w:t>RR\1298529CS.docx</w:t>
    </w:r>
    <w:r w:rsidRPr="00CE4E53">
      <w:rPr>
        <w:rStyle w:val="HideTWBExt"/>
      </w:rPr>
      <w:t>&lt;/</w:t>
    </w:r>
    <w:proofErr w:type="spellStart"/>
    <w:r w:rsidRPr="00CE4E53">
      <w:rPr>
        <w:rStyle w:val="HideTWBExt"/>
      </w:rPr>
      <w:t>PathFdR</w:t>
    </w:r>
    <w:proofErr w:type="spellEnd"/>
    <w:r w:rsidRPr="00CE4E53">
      <w:rPr>
        <w:rStyle w:val="HideTWBExt"/>
      </w:rPr>
      <w:t>&gt;</w:t>
    </w:r>
    <w:r w:rsidRPr="00CE4E53">
      <w:tab/>
    </w:r>
    <w:r w:rsidRPr="00CE4E53">
      <w:tab/>
      <w:t>PE</w:t>
    </w:r>
    <w:r w:rsidRPr="00CE4E53">
      <w:rPr>
        <w:rStyle w:val="HideTWBExt"/>
      </w:rPr>
      <w:t>&lt;</w:t>
    </w:r>
    <w:proofErr w:type="spellStart"/>
    <w:r w:rsidRPr="00CE4E53">
      <w:rPr>
        <w:rStyle w:val="HideTWBExt"/>
      </w:rPr>
      <w:t>NoPE</w:t>
    </w:r>
    <w:proofErr w:type="spellEnd"/>
    <w:r w:rsidRPr="00CE4E53">
      <w:rPr>
        <w:rStyle w:val="HideTWBExt"/>
      </w:rPr>
      <w:t>&gt;</w:t>
    </w:r>
    <w:r w:rsidRPr="00CE4E53">
      <w:t>753.480</w:t>
    </w:r>
    <w:r w:rsidRPr="00CE4E53">
      <w:rPr>
        <w:rStyle w:val="HideTWBExt"/>
      </w:rPr>
      <w:t>&lt;/</w:t>
    </w:r>
    <w:proofErr w:type="spellStart"/>
    <w:r w:rsidRPr="00CE4E53">
      <w:rPr>
        <w:rStyle w:val="HideTWBExt"/>
      </w:rPr>
      <w:t>NoPE</w:t>
    </w:r>
    <w:proofErr w:type="spellEnd"/>
    <w:r w:rsidRPr="00CE4E53">
      <w:rPr>
        <w:rStyle w:val="HideTWBExt"/>
      </w:rPr>
      <w:t>&gt;&lt;Version&gt;</w:t>
    </w:r>
    <w:r w:rsidRPr="00CE4E53">
      <w:t>v02-00</w:t>
    </w:r>
    <w:r w:rsidRPr="00CE4E53">
      <w:rPr>
        <w:rStyle w:val="HideTWBExt"/>
      </w:rPr>
      <w:t>&lt;/</w:t>
    </w:r>
    <w:proofErr w:type="spellStart"/>
    <w:r w:rsidRPr="00CE4E53">
      <w:rPr>
        <w:rStyle w:val="HideTWBExt"/>
      </w:rPr>
      <w:t>Version</w:t>
    </w:r>
    <w:proofErr w:type="spellEnd"/>
    <w:r w:rsidRPr="00CE4E53">
      <w:rPr>
        <w:rStyle w:val="HideTWBExt"/>
      </w:rPr>
      <w:t>&gt;</w:t>
    </w:r>
  </w:p>
  <w:p w:rsidR="00397996" w:rsidRPr="00CE4E53" w:rsidRDefault="00397996" w:rsidP="009219A7">
    <w:pPr>
      <w:pStyle w:val="EPFooter2"/>
    </w:pPr>
    <w:r w:rsidRPr="00CE4E53">
      <w:t>CS</w:t>
    </w:r>
    <w:r w:rsidRPr="00CE4E53">
      <w:tab/>
    </w:r>
    <w:r w:rsidRPr="00CE4E53">
      <w:rPr>
        <w:b w:val="0"/>
        <w:i/>
        <w:color w:val="C0C0C0"/>
        <w:sz w:val="22"/>
      </w:rPr>
      <w:t>Jednotná v rozmanitosti</w:t>
    </w:r>
    <w:r w:rsidRPr="00CE4E53">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4E5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4E5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4E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2D7" w:rsidRPr="00CE4E53" w:rsidRDefault="001742D7">
      <w:r w:rsidRPr="00CE4E53">
        <w:separator/>
      </w:r>
    </w:p>
  </w:footnote>
  <w:footnote w:type="continuationSeparator" w:id="0">
    <w:p w:rsidR="001742D7" w:rsidRPr="00CE4E53" w:rsidRDefault="001742D7">
      <w:r w:rsidRPr="00CE4E53">
        <w:continuationSeparator/>
      </w:r>
    </w:p>
  </w:footnote>
  <w:footnote w:id="1">
    <w:p w:rsidR="00397996" w:rsidRPr="00CE4E53" w:rsidRDefault="00397996" w:rsidP="00CE4E53">
      <w:pPr>
        <w:pStyle w:val="FootnoteText"/>
        <w:ind w:left="567" w:hanging="567"/>
        <w:rPr>
          <w:sz w:val="24"/>
          <w:lang w:val="cs-CZ"/>
        </w:rPr>
      </w:pPr>
      <w:r w:rsidRPr="00CE4E53">
        <w:rPr>
          <w:rStyle w:val="FootnoteReference"/>
          <w:sz w:val="24"/>
          <w:lang w:val="cs-CZ"/>
        </w:rPr>
        <w:footnoteRef/>
      </w:r>
      <w:r w:rsidR="00CE4E53" w:rsidRPr="00CE4E53">
        <w:rPr>
          <w:sz w:val="24"/>
          <w:lang w:val="cs-CZ"/>
        </w:rPr>
        <w:t xml:space="preserve"> </w:t>
      </w:r>
      <w:r w:rsidR="00CE4E53" w:rsidRPr="00CE4E53">
        <w:rPr>
          <w:sz w:val="24"/>
          <w:lang w:val="cs-CZ"/>
        </w:rPr>
        <w:tab/>
      </w:r>
      <w:proofErr w:type="spellStart"/>
      <w:r w:rsidRPr="00CE4E53">
        <w:rPr>
          <w:sz w:val="24"/>
          <w:lang w:val="cs-CZ"/>
        </w:rPr>
        <w:t>Úř</w:t>
      </w:r>
      <w:proofErr w:type="spellEnd"/>
      <w:r w:rsidRPr="00CE4E53">
        <w:rPr>
          <w:sz w:val="24"/>
          <w:lang w:val="cs-CZ"/>
        </w:rPr>
        <w:t xml:space="preserve">. </w:t>
      </w:r>
      <w:proofErr w:type="spellStart"/>
      <w:r w:rsidRPr="00CE4E53">
        <w:rPr>
          <w:sz w:val="24"/>
          <w:lang w:val="cs-CZ"/>
        </w:rPr>
        <w:t>věst</w:t>
      </w:r>
      <w:proofErr w:type="spellEnd"/>
      <w:r w:rsidRPr="00CE4E53">
        <w:rPr>
          <w:sz w:val="24"/>
          <w:lang w:val="cs-CZ"/>
        </w:rPr>
        <w:t>. L 45, 24.2.2022.</w:t>
      </w:r>
    </w:p>
  </w:footnote>
  <w:footnote w:id="2">
    <w:p w:rsidR="00397996" w:rsidRPr="00CE4E53" w:rsidRDefault="00397996" w:rsidP="00CE4E53">
      <w:pPr>
        <w:pStyle w:val="FootnoteText"/>
        <w:ind w:left="567" w:hanging="567"/>
        <w:rPr>
          <w:sz w:val="24"/>
          <w:lang w:val="cs-CZ"/>
        </w:rPr>
      </w:pPr>
      <w:r w:rsidRPr="00CE4E53">
        <w:rPr>
          <w:rStyle w:val="FootnoteReference"/>
          <w:sz w:val="24"/>
          <w:lang w:val="cs-CZ"/>
        </w:rPr>
        <w:footnoteRef/>
      </w:r>
      <w:r w:rsidR="00CE4E53" w:rsidRPr="00CE4E53">
        <w:rPr>
          <w:sz w:val="24"/>
          <w:lang w:val="cs-CZ"/>
        </w:rPr>
        <w:t xml:space="preserve"> </w:t>
      </w:r>
      <w:r w:rsidR="00CE4E53" w:rsidRPr="00CE4E53">
        <w:rPr>
          <w:sz w:val="24"/>
          <w:lang w:val="cs-CZ"/>
        </w:rPr>
        <w:tab/>
      </w:r>
      <w:proofErr w:type="spellStart"/>
      <w:r w:rsidRPr="00CE4E53">
        <w:rPr>
          <w:sz w:val="24"/>
          <w:lang w:val="cs-CZ"/>
        </w:rPr>
        <w:t>Úř</w:t>
      </w:r>
      <w:proofErr w:type="spellEnd"/>
      <w:r w:rsidRPr="00CE4E53">
        <w:rPr>
          <w:sz w:val="24"/>
          <w:lang w:val="cs-CZ"/>
        </w:rPr>
        <w:t xml:space="preserve">. </w:t>
      </w:r>
      <w:proofErr w:type="spellStart"/>
      <w:r w:rsidRPr="00CE4E53">
        <w:rPr>
          <w:sz w:val="24"/>
          <w:lang w:val="cs-CZ"/>
        </w:rPr>
        <w:t>věst</w:t>
      </w:r>
      <w:proofErr w:type="spellEnd"/>
      <w:r w:rsidRPr="00CE4E53">
        <w:rPr>
          <w:sz w:val="24"/>
          <w:lang w:val="cs-CZ"/>
        </w:rPr>
        <w:t>. C, C/2023/2, 12.10.2023.</w:t>
      </w:r>
    </w:p>
  </w:footnote>
  <w:footnote w:id="3">
    <w:p w:rsidR="00397996" w:rsidRPr="00CE4E53" w:rsidRDefault="00397996" w:rsidP="00CE4E53">
      <w:pPr>
        <w:pStyle w:val="FootnoteText"/>
        <w:ind w:left="567" w:hanging="567"/>
        <w:rPr>
          <w:sz w:val="24"/>
          <w:lang w:val="cs-CZ"/>
        </w:rPr>
      </w:pPr>
      <w:r w:rsidRPr="00CE4E53">
        <w:rPr>
          <w:rStyle w:val="FootnoteReference"/>
          <w:sz w:val="24"/>
          <w:lang w:val="cs-CZ"/>
        </w:rPr>
        <w:footnoteRef/>
      </w:r>
      <w:r w:rsidR="00CE4E53" w:rsidRPr="00CE4E53">
        <w:rPr>
          <w:sz w:val="24"/>
          <w:lang w:val="cs-CZ"/>
        </w:rPr>
        <w:t xml:space="preserve"> </w:t>
      </w:r>
      <w:r w:rsidR="00CE4E53" w:rsidRPr="00CE4E53">
        <w:rPr>
          <w:sz w:val="24"/>
          <w:lang w:val="cs-CZ"/>
        </w:rPr>
        <w:tab/>
      </w:r>
      <w:proofErr w:type="spellStart"/>
      <w:r w:rsidRPr="00CE4E53">
        <w:rPr>
          <w:sz w:val="24"/>
          <w:lang w:val="cs-CZ"/>
        </w:rPr>
        <w:t>Úř</w:t>
      </w:r>
      <w:proofErr w:type="spellEnd"/>
      <w:r w:rsidRPr="00CE4E53">
        <w:rPr>
          <w:sz w:val="24"/>
          <w:lang w:val="cs-CZ"/>
        </w:rPr>
        <w:t xml:space="preserve">. </w:t>
      </w:r>
      <w:proofErr w:type="spellStart"/>
      <w:r w:rsidRPr="00CE4E53">
        <w:rPr>
          <w:sz w:val="24"/>
          <w:lang w:val="cs-CZ"/>
        </w:rPr>
        <w:t>věst</w:t>
      </w:r>
      <w:proofErr w:type="spellEnd"/>
      <w:r w:rsidRPr="00CE4E53">
        <w:rPr>
          <w:sz w:val="24"/>
          <w:lang w:val="cs-CZ"/>
        </w:rPr>
        <w:t>. C, C/2023/103, 4.10.2023.</w:t>
      </w:r>
    </w:p>
  </w:footnote>
  <w:footnote w:id="4">
    <w:p w:rsidR="00397996" w:rsidRPr="00CE4E53" w:rsidRDefault="00397996" w:rsidP="00CE4E53">
      <w:pPr>
        <w:pStyle w:val="FootnoteText"/>
        <w:ind w:left="567" w:hanging="567"/>
        <w:rPr>
          <w:sz w:val="24"/>
          <w:lang w:val="cs-CZ"/>
        </w:rPr>
      </w:pPr>
      <w:r w:rsidRPr="00CE4E53">
        <w:rPr>
          <w:rStyle w:val="FootnoteReference"/>
          <w:sz w:val="24"/>
          <w:lang w:val="cs-CZ"/>
        </w:rPr>
        <w:footnoteRef/>
      </w:r>
      <w:r w:rsidR="00CE4E53" w:rsidRPr="00CE4E53">
        <w:rPr>
          <w:sz w:val="24"/>
          <w:lang w:val="cs-CZ"/>
        </w:rPr>
        <w:t xml:space="preserve"> </w:t>
      </w:r>
      <w:r w:rsidR="00CE4E53" w:rsidRPr="00CE4E53">
        <w:rPr>
          <w:sz w:val="24"/>
          <w:lang w:val="cs-CZ"/>
        </w:rPr>
        <w:tab/>
      </w:r>
      <w:proofErr w:type="spellStart"/>
      <w:r w:rsidRPr="00CE4E53">
        <w:rPr>
          <w:sz w:val="24"/>
          <w:lang w:val="cs-CZ"/>
        </w:rPr>
        <w:t>Úř</w:t>
      </w:r>
      <w:proofErr w:type="spellEnd"/>
      <w:r w:rsidRPr="00CE4E53">
        <w:rPr>
          <w:sz w:val="24"/>
          <w:lang w:val="cs-CZ"/>
        </w:rPr>
        <w:t xml:space="preserve">. </w:t>
      </w:r>
      <w:proofErr w:type="spellStart"/>
      <w:r w:rsidRPr="00CE4E53">
        <w:rPr>
          <w:sz w:val="24"/>
          <w:lang w:val="cs-CZ"/>
        </w:rPr>
        <w:t>věst</w:t>
      </w:r>
      <w:proofErr w:type="spellEnd"/>
      <w:r w:rsidRPr="00CE4E53">
        <w:rPr>
          <w:sz w:val="24"/>
          <w:lang w:val="cs-CZ"/>
        </w:rPr>
        <w:t>. C, C/2023/112, 12.10.2023.</w:t>
      </w:r>
    </w:p>
  </w:footnote>
  <w:footnote w:id="5">
    <w:p w:rsidR="00397996" w:rsidRPr="00CE4E53" w:rsidRDefault="00397996" w:rsidP="00CE4E53">
      <w:pPr>
        <w:pStyle w:val="FootnoteText"/>
        <w:ind w:left="567" w:hanging="567"/>
        <w:rPr>
          <w:sz w:val="24"/>
          <w:szCs w:val="24"/>
          <w:lang w:val="cs-CZ"/>
        </w:rPr>
      </w:pPr>
      <w:r w:rsidRPr="00CE4E53">
        <w:rPr>
          <w:rStyle w:val="FootnoteReference"/>
          <w:sz w:val="24"/>
          <w:lang w:val="cs-CZ"/>
        </w:rPr>
        <w:footnoteRef/>
      </w:r>
      <w:r w:rsidR="00CE4E53" w:rsidRPr="00CE4E53">
        <w:rPr>
          <w:sz w:val="24"/>
          <w:lang w:val="cs-CZ"/>
        </w:rPr>
        <w:t xml:space="preserve"> </w:t>
      </w:r>
      <w:r w:rsidR="00CE4E53" w:rsidRPr="00CE4E53">
        <w:rPr>
          <w:sz w:val="24"/>
          <w:lang w:val="cs-CZ"/>
        </w:rPr>
        <w:tab/>
      </w:r>
      <w:proofErr w:type="spellStart"/>
      <w:r w:rsidRPr="00CE4E53">
        <w:rPr>
          <w:sz w:val="24"/>
          <w:lang w:val="cs-CZ"/>
        </w:rPr>
        <w:t>Úř</w:t>
      </w:r>
      <w:proofErr w:type="spellEnd"/>
      <w:r w:rsidRPr="00CE4E53">
        <w:rPr>
          <w:sz w:val="24"/>
          <w:lang w:val="cs-CZ"/>
        </w:rPr>
        <w:t xml:space="preserve">. </w:t>
      </w:r>
      <w:proofErr w:type="spellStart"/>
      <w:r w:rsidRPr="00CE4E53">
        <w:rPr>
          <w:sz w:val="24"/>
          <w:lang w:val="cs-CZ"/>
        </w:rPr>
        <w:t>věst</w:t>
      </w:r>
      <w:proofErr w:type="spellEnd"/>
      <w:r w:rsidRPr="00CE4E53">
        <w:rPr>
          <w:sz w:val="24"/>
          <w:lang w:val="cs-CZ"/>
        </w:rPr>
        <w:t>. L 193, 30.7.2018,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4E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4E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4E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CS"/>
    <w:docVar w:name="dvnumam" w:val="0"/>
    <w:docVar w:name="dvpe" w:val="753.480"/>
    <w:docVar w:name="dvrapporteur" w:val="Zpravodaj: "/>
    <w:docVar w:name="dvtitre" w:val="1. Rozhodnutí Evropského parlamentu ze dne 11. dubna 2024 o udělení absolutoria za plnění souhrnného rozpočtu Evropské unie na rozpočtový rok 2022, oddíl IV – Soudní dvůr Evropské unie(2023/2132(DEC))"/>
  </w:docVars>
  <w:rsids>
    <w:rsidRoot w:val="001742D7"/>
    <w:rsid w:val="00002272"/>
    <w:rsid w:val="00064002"/>
    <w:rsid w:val="000677B9"/>
    <w:rsid w:val="000831BA"/>
    <w:rsid w:val="000A42CC"/>
    <w:rsid w:val="000E7DD9"/>
    <w:rsid w:val="0010095E"/>
    <w:rsid w:val="00125B37"/>
    <w:rsid w:val="001742D7"/>
    <w:rsid w:val="00187494"/>
    <w:rsid w:val="00194DF7"/>
    <w:rsid w:val="001F32AE"/>
    <w:rsid w:val="002767FF"/>
    <w:rsid w:val="002B18FE"/>
    <w:rsid w:val="002B5493"/>
    <w:rsid w:val="00343214"/>
    <w:rsid w:val="00361C00"/>
    <w:rsid w:val="00395FA1"/>
    <w:rsid w:val="00397996"/>
    <w:rsid w:val="003C7C81"/>
    <w:rsid w:val="003E15D4"/>
    <w:rsid w:val="00411CCE"/>
    <w:rsid w:val="0041666E"/>
    <w:rsid w:val="00420D8D"/>
    <w:rsid w:val="00421060"/>
    <w:rsid w:val="00471C19"/>
    <w:rsid w:val="004867E3"/>
    <w:rsid w:val="00494A28"/>
    <w:rsid w:val="004C0004"/>
    <w:rsid w:val="004C5D52"/>
    <w:rsid w:val="0050519A"/>
    <w:rsid w:val="005072A1"/>
    <w:rsid w:val="00514517"/>
    <w:rsid w:val="005354F6"/>
    <w:rsid w:val="00545827"/>
    <w:rsid w:val="00560270"/>
    <w:rsid w:val="005C2568"/>
    <w:rsid w:val="006037C0"/>
    <w:rsid w:val="00661A93"/>
    <w:rsid w:val="006631B6"/>
    <w:rsid w:val="00680577"/>
    <w:rsid w:val="006D58B4"/>
    <w:rsid w:val="006F74FA"/>
    <w:rsid w:val="00714F20"/>
    <w:rsid w:val="00731ADD"/>
    <w:rsid w:val="00734777"/>
    <w:rsid w:val="00747932"/>
    <w:rsid w:val="00751A4A"/>
    <w:rsid w:val="00752CCC"/>
    <w:rsid w:val="00756632"/>
    <w:rsid w:val="00762C74"/>
    <w:rsid w:val="00786EC0"/>
    <w:rsid w:val="007D1690"/>
    <w:rsid w:val="007E22AD"/>
    <w:rsid w:val="00817416"/>
    <w:rsid w:val="00842779"/>
    <w:rsid w:val="00865F67"/>
    <w:rsid w:val="00881A7B"/>
    <w:rsid w:val="008840E5"/>
    <w:rsid w:val="00887B3E"/>
    <w:rsid w:val="008C2AC6"/>
    <w:rsid w:val="009211D2"/>
    <w:rsid w:val="00930C23"/>
    <w:rsid w:val="0093193B"/>
    <w:rsid w:val="009509D8"/>
    <w:rsid w:val="00950B64"/>
    <w:rsid w:val="0095396E"/>
    <w:rsid w:val="009663F3"/>
    <w:rsid w:val="00971BED"/>
    <w:rsid w:val="00981893"/>
    <w:rsid w:val="00A1687D"/>
    <w:rsid w:val="00A43E52"/>
    <w:rsid w:val="00A4678D"/>
    <w:rsid w:val="00A778C7"/>
    <w:rsid w:val="00AA0128"/>
    <w:rsid w:val="00AB441E"/>
    <w:rsid w:val="00AB6293"/>
    <w:rsid w:val="00AE0928"/>
    <w:rsid w:val="00AF3B82"/>
    <w:rsid w:val="00B12E95"/>
    <w:rsid w:val="00B22876"/>
    <w:rsid w:val="00B558F0"/>
    <w:rsid w:val="00BA11BB"/>
    <w:rsid w:val="00BD48FE"/>
    <w:rsid w:val="00BD7BD8"/>
    <w:rsid w:val="00BE6ADC"/>
    <w:rsid w:val="00C05BFE"/>
    <w:rsid w:val="00C23CD4"/>
    <w:rsid w:val="00C41AB1"/>
    <w:rsid w:val="00C61C0C"/>
    <w:rsid w:val="00C941CB"/>
    <w:rsid w:val="00CC2357"/>
    <w:rsid w:val="00CC7C6E"/>
    <w:rsid w:val="00CE4E5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321A65"/>
  <w15:chartTrackingRefBased/>
  <w15:docId w15:val="{06FD3C18-662A-4AAB-9A7C-5108805CB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9799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97996"/>
    <w:pPr>
      <w:spacing w:before="480" w:after="240"/>
    </w:pPr>
  </w:style>
  <w:style w:type="paragraph" w:customStyle="1" w:styleId="PageHeading">
    <w:name w:val="PageHeading"/>
    <w:basedOn w:val="Normal"/>
    <w:rsid w:val="00397996"/>
    <w:pPr>
      <w:keepNext/>
      <w:spacing w:after="480"/>
      <w:jc w:val="center"/>
    </w:pPr>
    <w:rPr>
      <w:rFonts w:ascii="Arial" w:hAnsi="Arial" w:cs="Arial"/>
      <w:b/>
    </w:rPr>
  </w:style>
  <w:style w:type="paragraph" w:customStyle="1" w:styleId="NormalBold">
    <w:name w:val="NormalBold"/>
    <w:basedOn w:val="Normal"/>
    <w:rsid w:val="00397996"/>
    <w:rPr>
      <w:b/>
    </w:rPr>
  </w:style>
  <w:style w:type="paragraph" w:customStyle="1" w:styleId="NormalHanging12a">
    <w:name w:val="NormalHanging12a"/>
    <w:basedOn w:val="Normal"/>
    <w:link w:val="NormalHanging12aChar"/>
    <w:qFormat/>
    <w:rsid w:val="00397996"/>
    <w:pPr>
      <w:spacing w:after="240"/>
      <w:ind w:left="567" w:hanging="567"/>
    </w:pPr>
  </w:style>
  <w:style w:type="paragraph" w:styleId="Header">
    <w:name w:val="header"/>
    <w:basedOn w:val="Normal"/>
    <w:link w:val="HeaderChar"/>
    <w:rsid w:val="00397996"/>
    <w:pPr>
      <w:tabs>
        <w:tab w:val="center" w:pos="4513"/>
        <w:tab w:val="right" w:pos="9026"/>
      </w:tabs>
    </w:pPr>
  </w:style>
  <w:style w:type="character" w:customStyle="1" w:styleId="HeaderChar">
    <w:name w:val="Header Char"/>
    <w:basedOn w:val="DefaultParagraphFont"/>
    <w:link w:val="Header"/>
    <w:rsid w:val="00397996"/>
    <w:rPr>
      <w:sz w:val="24"/>
      <w:lang w:val="cs-CZ"/>
    </w:rPr>
  </w:style>
  <w:style w:type="paragraph" w:customStyle="1" w:styleId="EPFooter">
    <w:name w:val="EPFooter"/>
    <w:basedOn w:val="Normal"/>
    <w:rsid w:val="0039799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97996"/>
    <w:rPr>
      <w:sz w:val="24"/>
      <w:lang w:val="cs-CZ"/>
    </w:rPr>
  </w:style>
  <w:style w:type="paragraph" w:styleId="Footer">
    <w:name w:val="footer"/>
    <w:basedOn w:val="Normal"/>
    <w:link w:val="FooterChar"/>
    <w:rsid w:val="00BA11BB"/>
    <w:pPr>
      <w:tabs>
        <w:tab w:val="center" w:pos="4513"/>
        <w:tab w:val="right" w:pos="9026"/>
      </w:tabs>
    </w:pPr>
  </w:style>
  <w:style w:type="character" w:customStyle="1" w:styleId="FooterChar">
    <w:name w:val="Footer Char"/>
    <w:basedOn w:val="DefaultParagraphFont"/>
    <w:link w:val="Footer"/>
    <w:rsid w:val="00BA11BB"/>
    <w:rPr>
      <w:sz w:val="24"/>
      <w:lang w:val="cs-CZ"/>
    </w:rPr>
  </w:style>
  <w:style w:type="paragraph" w:styleId="BalloonText">
    <w:name w:val="Balloon Text"/>
    <w:basedOn w:val="Normal"/>
    <w:link w:val="BalloonTextChar"/>
    <w:rsid w:val="00C41AB1"/>
    <w:rPr>
      <w:rFonts w:ascii="Segoe UI" w:hAnsi="Segoe UI" w:cs="Segoe UI"/>
      <w:sz w:val="18"/>
      <w:szCs w:val="18"/>
    </w:rPr>
  </w:style>
  <w:style w:type="character" w:customStyle="1" w:styleId="BalloonTextChar">
    <w:name w:val="Balloon Text Char"/>
    <w:basedOn w:val="DefaultParagraphFont"/>
    <w:link w:val="BalloonText"/>
    <w:rsid w:val="00C41AB1"/>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47754-3EBA-4FAC-A6E0-BD92FB321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5216</Words>
  <Characters>29736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2024-04-11T10:46:00Z</dcterms:created>
  <dcterms:modified xsi:type="dcterms:W3CDTF">2024-04-11T10:46:00Z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A9-0075/2024</vt:lpwstr>
  </property>
  <property fmtid="{D5CDD505-2E9C-101B-9397-08002B2CF9AE}" pid="4" name="&lt;Type&gt;">
    <vt:lpwstr>RR</vt:lpwstr>
  </property>
</Properties>
</file>