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3C0" w:rsidTr="0010095E">
        <w:trPr>
          <w:trHeight w:hRule="exact" w:val="1418"/>
        </w:trPr>
        <w:tc>
          <w:tcPr>
            <w:tcW w:w="6804" w:type="dxa"/>
            <w:shd w:val="clear" w:color="auto" w:fill="auto"/>
            <w:vAlign w:val="center"/>
          </w:tcPr>
          <w:p w:rsidR="00751A4A" w:rsidRPr="00C003C0" w:rsidRDefault="00011DBF" w:rsidP="0010095E">
            <w:pPr>
              <w:pStyle w:val="EPName"/>
            </w:pPr>
            <w:r w:rsidRPr="00C003C0">
              <w:t>Europa-Parlamentet</w:t>
            </w:r>
          </w:p>
          <w:p w:rsidR="00751A4A" w:rsidRPr="00C003C0" w:rsidRDefault="00817416" w:rsidP="00756632">
            <w:pPr>
              <w:pStyle w:val="EPTerm"/>
              <w:rPr>
                <w:rStyle w:val="HideTWBExt"/>
                <w:noProof w:val="0"/>
                <w:vanish w:val="0"/>
                <w:color w:val="auto"/>
              </w:rPr>
            </w:pPr>
            <w:r w:rsidRPr="00C003C0">
              <w:t>2019-2024</w:t>
            </w:r>
          </w:p>
        </w:tc>
        <w:tc>
          <w:tcPr>
            <w:tcW w:w="2268" w:type="dxa"/>
            <w:shd w:val="clear" w:color="auto" w:fill="auto"/>
          </w:tcPr>
          <w:p w:rsidR="00751A4A" w:rsidRPr="00C003C0" w:rsidRDefault="00187494" w:rsidP="0010095E">
            <w:pPr>
              <w:pStyle w:val="EPLogo"/>
            </w:pPr>
            <w:r w:rsidRPr="00C003C0">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03C0" w:rsidRDefault="00D058B8" w:rsidP="004C5D52">
      <w:pPr>
        <w:pStyle w:val="LineTop"/>
      </w:pPr>
    </w:p>
    <w:p w:rsidR="00680577" w:rsidRPr="00C003C0" w:rsidRDefault="00011DBF" w:rsidP="00680577">
      <w:pPr>
        <w:pStyle w:val="EPBodyTA1"/>
      </w:pPr>
      <w:r w:rsidRPr="00C003C0">
        <w:t>VEDTAGNE TEKSTER</w:t>
      </w:r>
    </w:p>
    <w:p w:rsidR="00D058B8" w:rsidRPr="00C003C0" w:rsidRDefault="00D058B8" w:rsidP="00D058B8">
      <w:pPr>
        <w:pStyle w:val="LineBottom"/>
      </w:pPr>
    </w:p>
    <w:p w:rsidR="00011DBF" w:rsidRPr="00C003C0" w:rsidRDefault="00011DBF" w:rsidP="00011DBF">
      <w:pPr>
        <w:pStyle w:val="ATHeading1"/>
      </w:pPr>
      <w:bookmarkStart w:id="0" w:name="TANumber"/>
      <w:r w:rsidRPr="00C003C0">
        <w:t>P9_TA(2024)0</w:t>
      </w:r>
      <w:r w:rsidR="00F44DF9">
        <w:t>23</w:t>
      </w:r>
      <w:r w:rsidRPr="00C003C0">
        <w:t>0</w:t>
      </w:r>
      <w:bookmarkEnd w:id="0"/>
    </w:p>
    <w:p w:rsidR="00011DBF" w:rsidRPr="00C003C0" w:rsidRDefault="00BE766B" w:rsidP="00011DBF">
      <w:pPr>
        <w:pStyle w:val="ATHeading2"/>
      </w:pPr>
      <w:r w:rsidRPr="00BE766B">
        <w:t>Decharge 2022: EU's almindelige budget – Den Europæiske Unions Domstol</w:t>
      </w:r>
    </w:p>
    <w:p w:rsidR="00011DBF" w:rsidRPr="00C003C0" w:rsidRDefault="00011DBF" w:rsidP="00011DBF">
      <w:pPr>
        <w:rPr>
          <w:i/>
          <w:vanish/>
        </w:rPr>
      </w:pPr>
      <w:r w:rsidRPr="00C003C0">
        <w:rPr>
          <w:i/>
        </w:rPr>
        <w:fldChar w:fldCharType="begin"/>
      </w:r>
      <w:r w:rsidRPr="00C003C0">
        <w:rPr>
          <w:i/>
        </w:rPr>
        <w:instrText xml:space="preserve"> TC"(</w:instrText>
      </w:r>
      <w:bookmarkStart w:id="1" w:name="DocNumber"/>
      <w:r w:rsidRPr="00C003C0">
        <w:rPr>
          <w:i/>
        </w:rPr>
        <w:instrText>A9-0075/2024</w:instrText>
      </w:r>
      <w:bookmarkEnd w:id="1"/>
      <w:r w:rsidRPr="00C003C0">
        <w:rPr>
          <w:i/>
        </w:rPr>
        <w:instrText xml:space="preserve"> - Ordfører: Luke Ming Flanagan)"\l3 \n&gt; \* MERGEFORMAT </w:instrText>
      </w:r>
      <w:r w:rsidRPr="00C003C0">
        <w:rPr>
          <w:i/>
        </w:rPr>
        <w:fldChar w:fldCharType="end"/>
      </w:r>
    </w:p>
    <w:p w:rsidR="00011DBF" w:rsidRPr="00C003C0" w:rsidRDefault="00011DBF" w:rsidP="00011DBF">
      <w:pPr>
        <w:rPr>
          <w:vanish/>
        </w:rPr>
      </w:pPr>
      <w:bookmarkStart w:id="2" w:name="Commission"/>
      <w:r w:rsidRPr="00C003C0">
        <w:rPr>
          <w:vanish/>
        </w:rPr>
        <w:t>Budgetkontroludvalget</w:t>
      </w:r>
      <w:bookmarkEnd w:id="2"/>
    </w:p>
    <w:p w:rsidR="00011DBF" w:rsidRPr="00C003C0" w:rsidRDefault="00011DBF" w:rsidP="00011DBF">
      <w:pPr>
        <w:rPr>
          <w:vanish/>
        </w:rPr>
      </w:pPr>
      <w:bookmarkStart w:id="3" w:name="PE"/>
      <w:r w:rsidRPr="00C003C0">
        <w:rPr>
          <w:vanish/>
        </w:rPr>
        <w:t>PE753.480</w:t>
      </w:r>
      <w:bookmarkEnd w:id="3"/>
    </w:p>
    <w:p w:rsidR="00011DBF" w:rsidRPr="00C003C0" w:rsidRDefault="009F3341" w:rsidP="00011DBF">
      <w:pPr>
        <w:pStyle w:val="ATHeading3"/>
      </w:pPr>
      <w:bookmarkStart w:id="4" w:name="Sujet"/>
      <w:r>
        <w:t xml:space="preserve">1. </w:t>
      </w:r>
      <w:r w:rsidRPr="009574E6">
        <w:t xml:space="preserve">Europa-Parlamentets </w:t>
      </w:r>
      <w:r>
        <w:t xml:space="preserve">afgørelse af 11. april 2024 </w:t>
      </w:r>
      <w:r w:rsidRPr="009574E6">
        <w:t>om decharge</w:t>
      </w:r>
      <w:r w:rsidR="00011DBF" w:rsidRPr="00C003C0">
        <w:t xml:space="preserve"> for gennemførelsen af Den Europæiske Unions almindelige budget for regnskabsåret 2022, Sektion IV – Den Europæiske Unions Domstol</w:t>
      </w:r>
      <w:bookmarkEnd w:id="4"/>
      <w:r w:rsidR="00011DBF" w:rsidRPr="00C003C0">
        <w:t xml:space="preserve"> </w:t>
      </w:r>
      <w:bookmarkStart w:id="5" w:name="References"/>
      <w:r w:rsidR="00011DBF" w:rsidRPr="00C003C0">
        <w:t>(2023/2132(DEC))</w:t>
      </w:r>
      <w:bookmarkEnd w:id="5"/>
    </w:p>
    <w:p w:rsidR="0099061B" w:rsidRPr="00C003C0" w:rsidRDefault="0099061B" w:rsidP="0099061B">
      <w:pPr>
        <w:pStyle w:val="EPComma"/>
      </w:pPr>
      <w:bookmarkStart w:id="6" w:name="TextBodyBegin"/>
      <w:bookmarkEnd w:id="6"/>
      <w:r w:rsidRPr="00C003C0">
        <w:rPr>
          <w:i/>
        </w:rPr>
        <w:t>Europa-Parlamentet,</w:t>
      </w:r>
    </w:p>
    <w:p w:rsidR="0099061B" w:rsidRPr="00C003C0" w:rsidRDefault="0099061B" w:rsidP="0099061B">
      <w:pPr>
        <w:pStyle w:val="NormalHanging12a"/>
      </w:pPr>
      <w:r w:rsidRPr="00C003C0">
        <w:t>–</w:t>
      </w:r>
      <w:r w:rsidRPr="00C003C0">
        <w:tab/>
        <w:t>der henviser til Den Europæiske Unions almindelige budget for regnskabsåret 2022</w:t>
      </w:r>
      <w:r w:rsidRPr="00C003C0">
        <w:rPr>
          <w:rStyle w:val="FootnoteReference"/>
        </w:rPr>
        <w:footnoteReference w:id="1"/>
      </w:r>
      <w:r w:rsidRPr="00C003C0">
        <w:t>,</w:t>
      </w:r>
    </w:p>
    <w:p w:rsidR="0099061B" w:rsidRPr="00C003C0" w:rsidRDefault="0099061B" w:rsidP="0099061B">
      <w:pPr>
        <w:pStyle w:val="NormalHanging12a"/>
      </w:pPr>
      <w:r w:rsidRPr="00C003C0">
        <w:t>–</w:t>
      </w:r>
      <w:r w:rsidRPr="00C003C0">
        <w:tab/>
        <w:t>der henviser til Den Europæiske Unions konsoliderede årsregnskab for regnskabsåret 2022 (COM(2023)0391 – C9-025</w:t>
      </w:r>
      <w:r w:rsidR="002373AD">
        <w:t>1</w:t>
      </w:r>
      <w:r w:rsidRPr="00C003C0">
        <w:t>/2023)</w:t>
      </w:r>
      <w:r w:rsidRPr="00C003C0">
        <w:rPr>
          <w:rStyle w:val="FootnoteReference"/>
        </w:rPr>
        <w:footnoteReference w:id="2"/>
      </w:r>
      <w:r w:rsidRPr="00C003C0">
        <w:t>,</w:t>
      </w:r>
    </w:p>
    <w:p w:rsidR="0099061B" w:rsidRPr="00C003C0" w:rsidRDefault="0099061B" w:rsidP="0099061B">
      <w:pPr>
        <w:pStyle w:val="NormalHanging12a"/>
      </w:pPr>
      <w:r w:rsidRPr="00C003C0">
        <w:t>–</w:t>
      </w:r>
      <w:r w:rsidRPr="00C003C0">
        <w:tab/>
        <w:t>der henviser til Den Europæiske Unions Domstols årsberetning til dechargemyndigheden om de interne revisioner, der er foretaget i 2022,</w:t>
      </w:r>
    </w:p>
    <w:p w:rsidR="0099061B" w:rsidRPr="00C003C0" w:rsidRDefault="0099061B" w:rsidP="0099061B">
      <w:pPr>
        <w:pStyle w:val="NormalHanging12a"/>
      </w:pPr>
      <w:r w:rsidRPr="00C003C0">
        <w:t>–</w:t>
      </w:r>
      <w:r w:rsidRPr="00C003C0">
        <w:tab/>
        <w:t>der henviser til Revisionsrettens årsberetning om budgetgennemførelsen i regnskabsåret 2022, med institutionernes svar</w:t>
      </w:r>
      <w:r w:rsidRPr="00C003C0">
        <w:rPr>
          <w:rStyle w:val="FootnoteReference"/>
        </w:rPr>
        <w:footnoteReference w:id="3"/>
      </w:r>
      <w:r w:rsidRPr="00C003C0">
        <w:t>,</w:t>
      </w:r>
    </w:p>
    <w:p w:rsidR="0099061B" w:rsidRPr="00C003C0" w:rsidRDefault="0099061B" w:rsidP="0099061B">
      <w:pPr>
        <w:pStyle w:val="NormalHanging12a"/>
      </w:pPr>
      <w:r w:rsidRPr="00C003C0">
        <w:t>–</w:t>
      </w:r>
      <w:r w:rsidRPr="00C003C0">
        <w:tab/>
        <w:t>der henviser til Revisionsrettens erklæring</w:t>
      </w:r>
      <w:r w:rsidRPr="00C003C0">
        <w:rPr>
          <w:rStyle w:val="FootnoteReference"/>
        </w:rPr>
        <w:footnoteReference w:id="4"/>
      </w:r>
      <w:r w:rsidRPr="00C003C0">
        <w:t xml:space="preserve"> for regnskabsåret 2022 om regnskabernes rigtighed og de underliggende transaktioners lovlighed og formelle rigtighed, jf. artikel 287 i traktaten om Den Europæiske Unions funktionsmåde,</w:t>
      </w:r>
    </w:p>
    <w:p w:rsidR="0099061B" w:rsidRPr="00C003C0" w:rsidRDefault="0099061B" w:rsidP="0099061B">
      <w:pPr>
        <w:pStyle w:val="NormalHanging12a"/>
      </w:pPr>
      <w:r w:rsidRPr="00C003C0">
        <w:t>–</w:t>
      </w:r>
      <w:r w:rsidRPr="00C003C0">
        <w:tab/>
        <w:t>der henviser til artikel 314, stk. 10, og artikel 317, 318 og 319 i traktaten om Den Europæiske Unions funktionsmåde,</w:t>
      </w:r>
    </w:p>
    <w:p w:rsidR="0099061B" w:rsidRPr="00C003C0" w:rsidRDefault="0099061B" w:rsidP="0099061B">
      <w:pPr>
        <w:pStyle w:val="NormalHanging12a"/>
      </w:pPr>
      <w:r w:rsidRPr="00C003C0">
        <w:t>–</w:t>
      </w:r>
      <w:r w:rsidRPr="00C003C0">
        <w:tab/>
        <w:t xml:space="preserve">der henviser til Europa-Parlamentets og Rådets forordning (EU, </w:t>
      </w:r>
      <w:proofErr w:type="spellStart"/>
      <w:r w:rsidRPr="00C003C0">
        <w:t>Euratom</w:t>
      </w:r>
      <w:proofErr w:type="spellEnd"/>
      <w:r w:rsidRPr="00C003C0">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C003C0">
        <w:lastRenderedPageBreak/>
        <w:t>Euratom</w:t>
      </w:r>
      <w:proofErr w:type="spellEnd"/>
      <w:r w:rsidRPr="00C003C0">
        <w:t>) nr. 966/2012</w:t>
      </w:r>
      <w:r w:rsidRPr="00C003C0">
        <w:rPr>
          <w:rStyle w:val="FootnoteReference"/>
        </w:rPr>
        <w:footnoteReference w:id="5"/>
      </w:r>
      <w:r w:rsidRPr="00C003C0">
        <w:t>, særlig artikel 59, 118, 260, 261 og 262,</w:t>
      </w:r>
    </w:p>
    <w:p w:rsidR="0099061B" w:rsidRPr="00C003C0" w:rsidRDefault="0099061B" w:rsidP="0099061B">
      <w:pPr>
        <w:pStyle w:val="NormalHanging12a"/>
      </w:pPr>
      <w:r w:rsidRPr="00C003C0">
        <w:t>–</w:t>
      </w:r>
      <w:r w:rsidRPr="00C003C0">
        <w:tab/>
        <w:t>der henviser til forretningsordenens artikel 100 og bilag V,</w:t>
      </w:r>
    </w:p>
    <w:p w:rsidR="0099061B" w:rsidRPr="00C003C0" w:rsidRDefault="0099061B" w:rsidP="0099061B">
      <w:pPr>
        <w:pStyle w:val="NormalHanging12a"/>
      </w:pPr>
      <w:r w:rsidRPr="00C003C0">
        <w:t>–</w:t>
      </w:r>
      <w:r w:rsidRPr="00C003C0">
        <w:tab/>
        <w:t>der henviser til udtalelse fra Retsudvalget,</w:t>
      </w:r>
    </w:p>
    <w:p w:rsidR="0099061B" w:rsidRPr="00C003C0" w:rsidRDefault="0099061B" w:rsidP="0099061B">
      <w:pPr>
        <w:pStyle w:val="NormalHanging12a"/>
      </w:pPr>
      <w:r w:rsidRPr="00C003C0">
        <w:t>–</w:t>
      </w:r>
      <w:r w:rsidRPr="00C003C0">
        <w:tab/>
        <w:t>der henviser til betænkning fra Budgetkontroludvalget (A9-0075/2024),</w:t>
      </w:r>
    </w:p>
    <w:p w:rsidR="0099061B" w:rsidRPr="00C003C0" w:rsidRDefault="0099061B" w:rsidP="0099061B">
      <w:pPr>
        <w:pStyle w:val="NormalHanging12a"/>
      </w:pPr>
      <w:r w:rsidRPr="00C003C0">
        <w:t>1.</w:t>
      </w:r>
      <w:r w:rsidRPr="00C003C0">
        <w:tab/>
        <w:t>meddeler Domstolens justitssekretær decharge for gennemførelsen af Den Europæiske Unions Domstols budget for regnskabsåret 2022;</w:t>
      </w:r>
    </w:p>
    <w:p w:rsidR="0099061B" w:rsidRPr="00C003C0" w:rsidRDefault="0099061B" w:rsidP="0099061B">
      <w:pPr>
        <w:pStyle w:val="NormalHanging12a"/>
      </w:pPr>
      <w:r w:rsidRPr="00C003C0">
        <w:t>2.</w:t>
      </w:r>
      <w:r w:rsidRPr="00C003C0">
        <w:tab/>
        <w:t>fremsætter sine bemærkninger i nedenstående beslutning;</w:t>
      </w:r>
    </w:p>
    <w:p w:rsidR="0099061B" w:rsidRPr="00C003C0" w:rsidRDefault="0099061B" w:rsidP="0099061B">
      <w:pPr>
        <w:pStyle w:val="NormalHanging12a"/>
      </w:pPr>
      <w:r w:rsidRPr="00C003C0">
        <w:t>3.</w:t>
      </w:r>
      <w:r w:rsidRPr="00C003C0">
        <w:tab/>
        <w:t xml:space="preserve">pålægger sin formand at sende denne afgørelse og beslutningen, der er en integrerende del heraf, til Den Europæiske Unions Domstol, Rådet, Kommissionen og Revisionsretten og drage omsorg for, at de offentliggøres i </w:t>
      </w:r>
      <w:r w:rsidRPr="00C003C0">
        <w:rPr>
          <w:i/>
          <w:iCs/>
        </w:rPr>
        <w:t>Den Europæiske Unions Tidende</w:t>
      </w:r>
      <w:r w:rsidRPr="00C003C0">
        <w:t xml:space="preserve"> (L-udgaven).</w:t>
      </w:r>
    </w:p>
    <w:p w:rsidR="0099061B" w:rsidRPr="00C003C0" w:rsidRDefault="0099061B" w:rsidP="0099061B">
      <w:pPr>
        <w:pStyle w:val="NormalHanging12a"/>
      </w:pPr>
    </w:p>
    <w:p w:rsidR="0099061B" w:rsidRPr="00C003C0" w:rsidRDefault="0099061B" w:rsidP="0099061B">
      <w:pPr>
        <w:pStyle w:val="PageHeading"/>
        <w:sectPr w:rsidR="0099061B" w:rsidRPr="00C003C0" w:rsidSect="00C003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F3341" w:rsidRPr="009574E6" w:rsidRDefault="009F3341" w:rsidP="009F3341">
      <w:pPr>
        <w:pStyle w:val="ATHeading3"/>
      </w:pPr>
      <w:r>
        <w:lastRenderedPageBreak/>
        <w:t xml:space="preserve">2. </w:t>
      </w:r>
      <w:r w:rsidRPr="009574E6">
        <w:t xml:space="preserve">Europa-Parlamentets beslutning </w:t>
      </w:r>
      <w:r w:rsidRPr="009366E9">
        <w:t xml:space="preserve">af </w:t>
      </w:r>
      <w:r>
        <w:t>11. april 2024</w:t>
      </w:r>
      <w:r w:rsidRPr="009574E6">
        <w:t xml:space="preserve"> </w:t>
      </w:r>
      <w:r w:rsidRPr="00C003C0">
        <w:t>med bemærkningerne, der er en integrerende del af afgørelsen om decharge for gennemførelsen af Den Europæiske Unions almindelige budget for regnskabsåret 2022, Sektion IV – Den Europæiske Unions Domstol</w:t>
      </w:r>
      <w:r>
        <w:t xml:space="preserve"> </w:t>
      </w:r>
      <w:r w:rsidRPr="00C003C0">
        <w:t>(2023/2132(DEC))</w:t>
      </w:r>
    </w:p>
    <w:p w:rsidR="0099061B" w:rsidRPr="00C003C0" w:rsidRDefault="0099061B" w:rsidP="0099061B">
      <w:pPr>
        <w:pStyle w:val="EPComma"/>
      </w:pPr>
      <w:r w:rsidRPr="00C003C0">
        <w:rPr>
          <w:i/>
        </w:rPr>
        <w:t>Europa-Parlamentet,</w:t>
      </w:r>
    </w:p>
    <w:p w:rsidR="0099061B" w:rsidRPr="00C003C0" w:rsidRDefault="0099061B" w:rsidP="0099061B">
      <w:pPr>
        <w:pStyle w:val="NormalHanging12a"/>
        <w:rPr>
          <w:szCs w:val="24"/>
        </w:rPr>
      </w:pPr>
      <w:r w:rsidRPr="00C003C0">
        <w:t>–</w:t>
      </w:r>
      <w:r w:rsidRPr="00C003C0">
        <w:tab/>
        <w:t>der henviser til sin afgørelse om decharge for gennemførelsen af Den Europæiske Unions almindelige budget for regnskabsåret 2022, Sektion IV – Den Europæiske Unions Domstol,</w:t>
      </w:r>
    </w:p>
    <w:p w:rsidR="0099061B" w:rsidRPr="00C003C0" w:rsidRDefault="0099061B" w:rsidP="0099061B">
      <w:pPr>
        <w:pStyle w:val="NormalHanging12a"/>
        <w:rPr>
          <w:szCs w:val="24"/>
        </w:rPr>
      </w:pPr>
      <w:r w:rsidRPr="00C003C0">
        <w:t>–</w:t>
      </w:r>
      <w:r w:rsidRPr="00C003C0">
        <w:tab/>
        <w:t>der henviser til forretningsordenens artikel 100 og bilag V,</w:t>
      </w:r>
    </w:p>
    <w:p w:rsidR="0099061B" w:rsidRPr="00C003C0" w:rsidRDefault="0099061B" w:rsidP="0099061B">
      <w:pPr>
        <w:pStyle w:val="NormalHanging12a"/>
        <w:rPr>
          <w:szCs w:val="24"/>
        </w:rPr>
      </w:pPr>
      <w:r w:rsidRPr="00C003C0">
        <w:t>–</w:t>
      </w:r>
      <w:r w:rsidRPr="00C003C0">
        <w:tab/>
        <w:t>der henviser til udtalelse fra Retsudvalget,</w:t>
      </w:r>
    </w:p>
    <w:p w:rsidR="0099061B" w:rsidRPr="00C003C0" w:rsidRDefault="0099061B" w:rsidP="0099061B">
      <w:pPr>
        <w:pStyle w:val="NormalHanging12a"/>
        <w:rPr>
          <w:szCs w:val="24"/>
        </w:rPr>
      </w:pPr>
      <w:r w:rsidRPr="00C003C0">
        <w:t>–</w:t>
      </w:r>
      <w:r w:rsidRPr="00C003C0">
        <w:tab/>
        <w:t>der henviser til betænkning fra Budgetkontroludvalget (A9-0075/2024),</w:t>
      </w:r>
    </w:p>
    <w:p w:rsidR="0099061B" w:rsidRPr="00C003C0" w:rsidRDefault="0099061B" w:rsidP="0099061B">
      <w:pPr>
        <w:pStyle w:val="NormalHanging12a"/>
        <w:rPr>
          <w:szCs w:val="24"/>
        </w:rPr>
      </w:pPr>
      <w:r w:rsidRPr="00C003C0">
        <w:t>A.</w:t>
      </w:r>
      <w:r w:rsidRPr="00C003C0">
        <w:tab/>
        <w:t>der henviser til, at dechargemyndigheden inden for rammerne af dechargeproceduren gerne vil understrege, at det er særlig vigtigt at styrke EU-institutionernes demokratiske legitimitet yderligere ved at forbedre gennemsigtigheden og ansvarligheden, gennemføre begrebet performancebaseret budgettering og sørge for god forvaltning af de menneskelige ressourcer;</w:t>
      </w:r>
    </w:p>
    <w:p w:rsidR="0099061B" w:rsidRPr="00C003C0" w:rsidRDefault="0099061B" w:rsidP="0099061B">
      <w:pPr>
        <w:pStyle w:val="NormalHanging12a"/>
        <w:rPr>
          <w:rStyle w:val="HideTWBExt"/>
          <w:rFonts w:ascii="Times New Roman" w:hAnsi="Times New Roman"/>
          <w:noProof w:val="0"/>
          <w:vanish w:val="0"/>
          <w:color w:val="auto"/>
          <w:sz w:val="24"/>
          <w:szCs w:val="24"/>
        </w:rPr>
      </w:pPr>
      <w:r w:rsidRPr="00C003C0">
        <w:t>B.</w:t>
      </w:r>
      <w:r w:rsidRPr="00C003C0">
        <w:tab/>
        <w:t>der henviser til, at Den Europæiske Unions Domstol (EU-Domstolen) er Unionens retslige institution, der har til opgave at sikre overholdelse af EU-retten ved at føre tilsyn med den ensartede fortolkning og anvendelse af traktaterne og sikre lovligheden af de foranstaltninger, der vedtages af Unionens institutioner, organer, kontorer og agenturer;</w:t>
      </w:r>
    </w:p>
    <w:p w:rsidR="0099061B" w:rsidRPr="00C003C0" w:rsidRDefault="0099061B" w:rsidP="0099061B">
      <w:pPr>
        <w:pStyle w:val="NormalHanging12a"/>
        <w:rPr>
          <w:szCs w:val="24"/>
        </w:rPr>
      </w:pPr>
      <w:r w:rsidRPr="00C003C0">
        <w:t>C.</w:t>
      </w:r>
      <w:r w:rsidRPr="00C003C0">
        <w:tab/>
        <w:t>der henviser til, at EU-Domstolen bidrager til at bevare Unionens værdier og gennem sin retspraksis arbejder for opbygningen af Europa;</w:t>
      </w:r>
    </w:p>
    <w:p w:rsidR="0099061B" w:rsidRPr="00C003C0" w:rsidRDefault="0099061B" w:rsidP="0099061B">
      <w:pPr>
        <w:pStyle w:val="NormalHanging12a"/>
        <w:rPr>
          <w:szCs w:val="24"/>
        </w:rPr>
      </w:pPr>
      <w:r w:rsidRPr="00C003C0">
        <w:t>D.</w:t>
      </w:r>
      <w:r w:rsidRPr="00C003C0">
        <w:tab/>
        <w:t>der henviser til, at EU-Domstolen består af to retsinstanser: Domstolen og Retten;</w:t>
      </w:r>
    </w:p>
    <w:p w:rsidR="0099061B" w:rsidRPr="00C003C0" w:rsidRDefault="0099061B" w:rsidP="0099061B">
      <w:pPr>
        <w:pStyle w:val="NormalHanging12a"/>
        <w:rPr>
          <w:szCs w:val="24"/>
        </w:rPr>
      </w:pPr>
      <w:r w:rsidRPr="00C003C0">
        <w:t>1.</w:t>
      </w:r>
      <w:r w:rsidRPr="00C003C0">
        <w:tab/>
        <w:t>bemærker, at EU-Domstolens budget falder ind under FFR-udgiftsområde 7, "Europæisk offentlig forvaltning", som i 2022 beløb sig til 11,6 mia. EUR (svarende til 5,9 % af Unionens samlede budget); bemærker, at EU-Domstolens budget på ca. 0,5 mia. EUR i 2022 udgjorde 3,9 % af de samlede administrationsudgifter;</w:t>
      </w:r>
    </w:p>
    <w:p w:rsidR="0099061B" w:rsidRPr="00C003C0" w:rsidRDefault="0099061B" w:rsidP="0099061B">
      <w:pPr>
        <w:pStyle w:val="NormalHanging12a"/>
        <w:rPr>
          <w:szCs w:val="24"/>
        </w:rPr>
      </w:pPr>
      <w:r w:rsidRPr="00C003C0">
        <w:t>2.</w:t>
      </w:r>
      <w:r w:rsidRPr="00C003C0">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udgifter til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rsidR="0099061B" w:rsidRPr="00C003C0" w:rsidRDefault="0099061B" w:rsidP="0099061B">
      <w:pPr>
        <w:pStyle w:val="NormalHanging12a"/>
        <w:rPr>
          <w:szCs w:val="24"/>
        </w:rPr>
      </w:pPr>
      <w:r w:rsidRPr="00C003C0">
        <w:t>3.</w:t>
      </w:r>
      <w:r w:rsidRPr="00C003C0">
        <w:tab/>
        <w:t>noterer sig, at Revisionsretten som led i sin revision for 2022 undersøgte EU-Domstolens overvågnings- og kontrolsystemer, navnlig gennemførelsen af interne kontrolstandarder, risikostyring og centrale kontrollers funktion som defineret i finansforordningen, herunder forudgående og efterfølgende kontrol af betalinger;</w:t>
      </w:r>
    </w:p>
    <w:p w:rsidR="0099061B" w:rsidRPr="00C003C0" w:rsidRDefault="0099061B" w:rsidP="0099061B">
      <w:pPr>
        <w:pStyle w:val="NormalHanging12a"/>
        <w:rPr>
          <w:szCs w:val="24"/>
        </w:rPr>
      </w:pPr>
      <w:r w:rsidRPr="00C003C0">
        <w:lastRenderedPageBreak/>
        <w:t>4.</w:t>
      </w:r>
      <w:r w:rsidRPr="00C003C0">
        <w:tab/>
        <w:t>bemærker, at 14 (23 %) af de 60 transaktioner var behæftet med fejl, men at Revisionsretten på grundlag af de fem fejl, der blev kvantificeret, anslår, at fejlforekomsten er under væsentlighedstærsklen;</w:t>
      </w:r>
    </w:p>
    <w:p w:rsidR="0099061B" w:rsidRPr="00C003C0" w:rsidRDefault="0099061B" w:rsidP="0099061B">
      <w:pPr>
        <w:pStyle w:val="NormalHanging12a"/>
        <w:rPr>
          <w:szCs w:val="24"/>
        </w:rPr>
      </w:pPr>
      <w:r w:rsidRPr="00C003C0">
        <w:t>5.</w:t>
      </w:r>
      <w:r w:rsidRPr="00C003C0">
        <w:tab/>
        <w:t>bemærker med tilfredshed, at Revisionsretten i sin årsberetning for regnskabsåret 2022 anfører, at den ikke havde konstateret nogen specifikke forhold vedrørende EU-Domstolen;</w:t>
      </w:r>
    </w:p>
    <w:p w:rsidR="0099061B" w:rsidRPr="002373AD" w:rsidRDefault="0099061B" w:rsidP="0099061B">
      <w:pPr>
        <w:pStyle w:val="NormalHanging12a"/>
        <w:rPr>
          <w:b/>
          <w:i/>
          <w:szCs w:val="24"/>
        </w:rPr>
      </w:pPr>
      <w:r w:rsidRPr="002373AD">
        <w:rPr>
          <w:b/>
          <w:i/>
        </w:rPr>
        <w:t>Budgetmæssig og økonomisk forvaltning</w:t>
      </w:r>
    </w:p>
    <w:p w:rsidR="0099061B" w:rsidRPr="00C003C0" w:rsidRDefault="0099061B" w:rsidP="0099061B">
      <w:pPr>
        <w:pStyle w:val="NormalHanging12a"/>
        <w:rPr>
          <w:szCs w:val="24"/>
        </w:rPr>
      </w:pPr>
      <w:r w:rsidRPr="00C003C0">
        <w:t>6.</w:t>
      </w:r>
      <w:r w:rsidRPr="00C003C0">
        <w:tab/>
        <w:t>bemærker, at EU-Domstolens samlede budget for 2022 beløb sig til 467 900 000 EUR, hvilket er en stigning fra 444 049 000 EUR i 2021 og 2020, svarende til en stigning på 5,4 % fra 2021 til 2022, og at 79 % af budgettet i 2022 blev anvendt til medlemmer og personale, 14 % til bygninger, 6 % til IT og 1 % til andre udgifter;</w:t>
      </w:r>
    </w:p>
    <w:p w:rsidR="0099061B" w:rsidRPr="00C003C0" w:rsidRDefault="0099061B" w:rsidP="0099061B">
      <w:pPr>
        <w:pStyle w:val="NormalHanging12a"/>
        <w:rPr>
          <w:szCs w:val="24"/>
        </w:rPr>
      </w:pPr>
      <w:r w:rsidRPr="00C003C0">
        <w:t>7.</w:t>
      </w:r>
      <w:r w:rsidRPr="00C003C0">
        <w:tab/>
        <w:t>bemærker, at EU-Domstolen i løbet af 2022 foretog 19 budgetoverførsler i henhold til finansforordningens artikel 29, svarende til i alt 12,7 mio. EUR eller 2,7 % af regnskabsårets bevillinger; bemærker endvidere, at budgetgennemførelsesgraden for 2022 var på 98,43 %, hvilket er på linje med de foregående år;</w:t>
      </w:r>
    </w:p>
    <w:p w:rsidR="0099061B" w:rsidRPr="00C003C0" w:rsidRDefault="0099061B" w:rsidP="0099061B">
      <w:pPr>
        <w:pStyle w:val="NormalHanging12a"/>
        <w:rPr>
          <w:szCs w:val="24"/>
        </w:rPr>
      </w:pPr>
      <w:r w:rsidRPr="00C003C0">
        <w:t>8.</w:t>
      </w:r>
      <w:r w:rsidRPr="00C003C0">
        <w:tab/>
        <w:t>bemærker med tilfredshed, at den ved delegation bemyndigede anvisningsberettigede erklærede, at de bevilgede midler var blevet anvendt til det tilsigtede formål og i overensstemmelse med principperne om forsvarlig økonomisk forvaltning, og at de indførte kontrolprocedurer gav de nødvendige garantier for de underliggende transaktioners lovlighed og formelle rigtighed;</w:t>
      </w:r>
    </w:p>
    <w:p w:rsidR="0099061B" w:rsidRPr="00C003C0" w:rsidRDefault="0099061B" w:rsidP="0099061B">
      <w:pPr>
        <w:pStyle w:val="NormalHanging12a"/>
        <w:rPr>
          <w:szCs w:val="24"/>
        </w:rPr>
      </w:pPr>
      <w:r w:rsidRPr="00C003C0">
        <w:t>9.</w:t>
      </w:r>
      <w:r w:rsidRPr="00C003C0">
        <w:tab/>
        <w:t>glæder sig over, at EU-Domstolen arbejder på en bred vifte af IT-systemer, både internt og via serviceleveranceaftaler, på tværs af forskellige områder, som vil gøre den mere ressourceeffektiv;</w:t>
      </w:r>
    </w:p>
    <w:p w:rsidR="0099061B" w:rsidRPr="00C003C0" w:rsidRDefault="0099061B" w:rsidP="0099061B">
      <w:pPr>
        <w:pStyle w:val="NormalHanging12a"/>
        <w:rPr>
          <w:szCs w:val="24"/>
        </w:rPr>
      </w:pPr>
      <w:r w:rsidRPr="00C003C0">
        <w:t>10.</w:t>
      </w:r>
      <w:r w:rsidRPr="00C003C0">
        <w:tab/>
        <w:t>bemærker, at Ruslands angrebskrig mod Ukraine på forskellige måder skabte budgetpres på EU-Domstolen, herunder gennem stigende inflation og løntilpasninger, og i høj grad øgede energiomkostningerne og omkostningerne for en række varer og tjenesteydelser;</w:t>
      </w:r>
    </w:p>
    <w:p w:rsidR="0099061B" w:rsidRPr="00C003C0" w:rsidRDefault="0099061B" w:rsidP="0099061B">
      <w:pPr>
        <w:pStyle w:val="NormalHanging12a"/>
        <w:rPr>
          <w:szCs w:val="24"/>
        </w:rPr>
      </w:pPr>
      <w:r w:rsidRPr="00C003C0">
        <w:t>11.</w:t>
      </w:r>
      <w:r w:rsidRPr="00C003C0">
        <w:tab/>
        <w:t>bemærker, at EU-Domstolens almindelige budget til tjenesterejser faldt fra 405 000 EUR i 2021 til 390 000 EUR i 2022 svarende til en reduktion på 3,7 %, hvilket primært skyldtes ændringer i arbejdsmetoderne med et større antal fjernmøder; bemærker endvidere, at EU-Domstolen ikke har en særlig budgetpost for formandens tjenesterejser og andre rejser; bemærker endelig, at budgetposten for tjenesterejser for alle medlemmer af EU-Domstolen faldt fra 280 000 EUR i 2021 til 270 000 EUR i 2022, svarende til en reduktion på 3,6 %, hvilket også primært skyldtes den øgede brug af videokonferenceværktøjer;</w:t>
      </w:r>
    </w:p>
    <w:p w:rsidR="0099061B" w:rsidRPr="002373AD" w:rsidRDefault="0099061B" w:rsidP="0099061B">
      <w:pPr>
        <w:pStyle w:val="NormalHanging12a"/>
        <w:rPr>
          <w:b/>
          <w:i/>
          <w:szCs w:val="24"/>
        </w:rPr>
      </w:pPr>
      <w:r w:rsidRPr="002373AD">
        <w:rPr>
          <w:b/>
          <w:i/>
        </w:rPr>
        <w:t>Intern forvaltning, performance og intern kontrol</w:t>
      </w:r>
    </w:p>
    <w:p w:rsidR="0099061B" w:rsidRPr="00C003C0" w:rsidRDefault="0099061B" w:rsidP="0099061B">
      <w:pPr>
        <w:pStyle w:val="NormalHanging12a"/>
        <w:rPr>
          <w:szCs w:val="24"/>
        </w:rPr>
      </w:pPr>
      <w:r w:rsidRPr="00C003C0">
        <w:t>12.</w:t>
      </w:r>
      <w:r w:rsidRPr="00C003C0">
        <w:tab/>
        <w:t>bemærker, at de ekstraordinære foranstaltninger i forbindelse med covid-19-pandemien blev udfaset i 2022, og at EU-Domstolen begyndte at fungere normalt; glæder sig i denne forbindelse over, at antallet af besøgende steg til 11 653 personer i 2022, hvilket imidlertid stadig ikke svarede til niveauet før pandemien, da der var 17 136 besøgende (i 2019), men at dette til dels også kan skyldes nye muligheder for at besøge EU-Domstolen virtuelt;</w:t>
      </w:r>
    </w:p>
    <w:p w:rsidR="0099061B" w:rsidRPr="00C003C0" w:rsidRDefault="0099061B" w:rsidP="0099061B">
      <w:pPr>
        <w:pStyle w:val="NormalHanging12a"/>
        <w:rPr>
          <w:szCs w:val="24"/>
        </w:rPr>
      </w:pPr>
      <w:r w:rsidRPr="00C003C0">
        <w:lastRenderedPageBreak/>
        <w:t>13.</w:t>
      </w:r>
      <w:r w:rsidRPr="00C003C0">
        <w:tab/>
        <w:t xml:space="preserve">bemærker med tilfredshed, at EU-Domstolens i 2022 fejrede sit 70-års jubilæum, som udgør et meget vigtigt jubilæum for hele Unionen; glæder sig over, at EU-Domstolen benyttede lejligheden til at iværksætte initiativer under temaet "Et retsvæsen tæt på borgeren", herunder det nye initiativ med at tilbyde en </w:t>
      </w:r>
      <w:proofErr w:type="spellStart"/>
      <w:r w:rsidRPr="00C003C0">
        <w:t>streamingtjeneste</w:t>
      </w:r>
      <w:proofErr w:type="spellEnd"/>
      <w:r w:rsidRPr="00C003C0">
        <w:t xml:space="preserve"> til retsmøder på Curias websted;</w:t>
      </w:r>
    </w:p>
    <w:p w:rsidR="0099061B" w:rsidRPr="00C003C0" w:rsidRDefault="0099061B" w:rsidP="0099061B">
      <w:pPr>
        <w:pStyle w:val="NormalHanging12a"/>
        <w:rPr>
          <w:szCs w:val="24"/>
        </w:rPr>
      </w:pPr>
      <w:r w:rsidRPr="00C003C0">
        <w:t>14.</w:t>
      </w:r>
      <w:r w:rsidRPr="00C003C0">
        <w:tab/>
        <w:t xml:space="preserve">bemærker, at 68 % af de nye sager for Domstolen i 2022 var præjudicielle afgørelser, 24 % var appelsager mod afgørelser fra Retten, og 4 % var traktatbrudssøgsmål mod medlemsstater; bemærker endvidere, at 46 % af de nye sager for Retten i 2022 vedrørte søgsmål om </w:t>
      </w:r>
      <w:proofErr w:type="spellStart"/>
      <w:r w:rsidRPr="00C003C0">
        <w:t>annullation</w:t>
      </w:r>
      <w:proofErr w:type="spellEnd"/>
      <w:r w:rsidRPr="00C003C0">
        <w:t xml:space="preserve"> af EU-institutionernes retsakter, 30 % vedrørte sager om intellektuel ejendomsret, og 7 % vedrørte tvister mellem Unionens institutioner og deres ansatte;</w:t>
      </w:r>
    </w:p>
    <w:p w:rsidR="0099061B" w:rsidRPr="00C003C0" w:rsidRDefault="0099061B" w:rsidP="0099061B">
      <w:pPr>
        <w:pStyle w:val="NormalHanging12a"/>
        <w:rPr>
          <w:szCs w:val="24"/>
        </w:rPr>
      </w:pPr>
      <w:r w:rsidRPr="00C003C0">
        <w:t>15</w:t>
      </w:r>
      <w:r w:rsidR="00525376">
        <w:t>.</w:t>
      </w:r>
      <w:bookmarkStart w:id="7" w:name="_GoBack"/>
      <w:bookmarkEnd w:id="7"/>
      <w:r w:rsidRPr="00C003C0">
        <w:tab/>
        <w:t>bemærker, at antallet af sager, der blev indbragt for de to retsinstanser i 2022, er sammenligneligt med antallet af sager i det foregående år (1 710 sager i 2022 sammenlignet med 1 720 i 2021), og understreger, at Domstolen og Retten tilsammen fik afsluttet 1 666 sager i 2022 (1 723 i 2021), hvilket svarer til gennemsnittet i de senere år (1 692 sager om året fra 2018 til 2021); bemærker imidlertid, at det samlede antal verserende sager er stigende med 2 585 verserende sager i 2022 sammenlignet med 2 541 i 2021;</w:t>
      </w:r>
    </w:p>
    <w:p w:rsidR="0099061B" w:rsidRPr="00C003C0" w:rsidRDefault="0099061B" w:rsidP="0099061B">
      <w:pPr>
        <w:pStyle w:val="NormalHanging12a"/>
        <w:rPr>
          <w:szCs w:val="24"/>
        </w:rPr>
      </w:pPr>
      <w:r w:rsidRPr="00C003C0">
        <w:t>16.</w:t>
      </w:r>
      <w:r w:rsidRPr="00C003C0">
        <w:tab/>
        <w:t>bemærker, at den gennemsnitlige varighed af sager, der blev indbragt for Domstolen, forblev den samme som året før og beløb sig til 16,4 måneder i 2022 sammenlignet med 16,6 måneder i 2021; glæder sig over, at den gennemsnitlige varighed af sager, der blev indbragt for Retten, faldt i sammenligning med det foregående år og beløb sig til 16,2 måneder i 2022 sammenlignet med 17,3 måneder i 2021;</w:t>
      </w:r>
    </w:p>
    <w:p w:rsidR="0099061B" w:rsidRPr="00C003C0" w:rsidRDefault="0099061B" w:rsidP="0099061B">
      <w:pPr>
        <w:pStyle w:val="NormalHanging12a"/>
        <w:rPr>
          <w:szCs w:val="24"/>
        </w:rPr>
      </w:pPr>
      <w:r w:rsidRPr="00C003C0">
        <w:t>17.</w:t>
      </w:r>
      <w:r w:rsidRPr="00C003C0">
        <w:tab/>
        <w:t>glæder sig over, at EU-Domstolen har fremlagt en sammenfatning af antallet og typen af interne revisioner, der er foretaget i EU-Domstolen, og en sammenfatning af anbefalingerne og de foranstaltninger, der er truffet i forbindelse med disse anbefalinger, i overensstemmelse med finansforordningens artikel 118, stk. 8; bemærker, at den interne revisor har et årligt arbejdsprogram med en flerårig komponent;</w:t>
      </w:r>
    </w:p>
    <w:p w:rsidR="0099061B" w:rsidRPr="00C003C0" w:rsidRDefault="0099061B" w:rsidP="0099061B">
      <w:pPr>
        <w:pStyle w:val="NormalHanging12a"/>
        <w:rPr>
          <w:szCs w:val="24"/>
        </w:rPr>
      </w:pPr>
      <w:r w:rsidRPr="00C003C0">
        <w:t>18.</w:t>
      </w:r>
      <w:r w:rsidRPr="00C003C0">
        <w:tab/>
        <w:t>bemærker, at de vigtigste interne revisioner i 2022 vedrørte forvaltning af bankkonti, likviditetsstyring og gennemførelse af betalinger, forsikringskontrakter og risikodækning, formidling af bæredygtighedsoplysninger og oversættelsesstyring;</w:t>
      </w:r>
    </w:p>
    <w:p w:rsidR="0099061B" w:rsidRPr="00C003C0" w:rsidRDefault="0099061B" w:rsidP="0099061B">
      <w:pPr>
        <w:pStyle w:val="NormalHanging12a"/>
        <w:rPr>
          <w:szCs w:val="24"/>
        </w:rPr>
      </w:pPr>
      <w:r w:rsidRPr="00C003C0">
        <w:t>19.</w:t>
      </w:r>
      <w:r w:rsidRPr="00C003C0">
        <w:tab/>
        <w:t>bemærker, at EU-Domstolen i svarene på spørgeskemaet fra Parlamentets Budgetkontroludvalg, der indgik i den nuværende dechargeprocedure, nævner, at de interne revisioner gav anledning til mange henstillinger, som de relevante tjenestegrene har hilst velkommen; anmoder om, at Parlamentet underrettes, hvis henstillingerne fra den interne revisor ikke følges op af de relevante tjenestegrene;</w:t>
      </w:r>
    </w:p>
    <w:p w:rsidR="0099061B" w:rsidRPr="002373AD" w:rsidRDefault="0099061B" w:rsidP="0099061B">
      <w:pPr>
        <w:pStyle w:val="NormalHanging12a"/>
        <w:rPr>
          <w:b/>
          <w:i/>
          <w:szCs w:val="24"/>
        </w:rPr>
      </w:pPr>
      <w:r w:rsidRPr="002373AD">
        <w:rPr>
          <w:b/>
          <w:i/>
        </w:rPr>
        <w:t>Menneskelige ressourcer, ligestilling og personalets trivsel</w:t>
      </w:r>
    </w:p>
    <w:p w:rsidR="0099061B" w:rsidRPr="00C003C0" w:rsidRDefault="0099061B" w:rsidP="0099061B">
      <w:pPr>
        <w:pStyle w:val="NormalHanging12a"/>
        <w:rPr>
          <w:szCs w:val="24"/>
        </w:rPr>
      </w:pPr>
      <w:r w:rsidRPr="00C003C0">
        <w:t>20.</w:t>
      </w:r>
      <w:r w:rsidRPr="00C003C0">
        <w:tab/>
        <w:t>bemærker, at Domstolen består af 27 dommere og 11 generaladvokater, og at ingen ny dommer tiltrådte i 2022; bemærker endvidere, at Retten består af 54 dommere, og at otte nye dommere tiltrådte i 2022;</w:t>
      </w:r>
    </w:p>
    <w:p w:rsidR="0099061B" w:rsidRPr="00C003C0" w:rsidRDefault="0099061B" w:rsidP="0099061B">
      <w:pPr>
        <w:pStyle w:val="NormalHanging12a"/>
        <w:rPr>
          <w:szCs w:val="24"/>
        </w:rPr>
      </w:pPr>
      <w:r w:rsidRPr="00C003C0">
        <w:t>21.</w:t>
      </w:r>
      <w:r w:rsidRPr="00C003C0">
        <w:tab/>
        <w:t xml:space="preserve">bemærker med bekymring, at Domstolen og Retten fortsat har en meget ulige kønssammensætning, og at fem af de otte nye dommere, der tiltrådte ved Retten i 2022, </w:t>
      </w:r>
      <w:r w:rsidRPr="00C003C0">
        <w:lastRenderedPageBreak/>
        <w:t>var mænd, og tre var kvinder; gentager sin påskønnelse af skrivelsen fra Rettens præsident til formanden for konferencen mellem repræsentanterne for medlemsstaterne i 2021, hvori medlemsstaterne opfordres til at tage hensyn til behovet for kønsbalance, når de indstiller kandidater til udskiftning af dommere; beklager, at skrivelsen ikke er blevet besvaret;</w:t>
      </w:r>
    </w:p>
    <w:p w:rsidR="0099061B" w:rsidRPr="00C003C0" w:rsidRDefault="0099061B" w:rsidP="0099061B">
      <w:pPr>
        <w:pStyle w:val="NormalHanging12a"/>
        <w:rPr>
          <w:szCs w:val="24"/>
        </w:rPr>
      </w:pPr>
      <w:r w:rsidRPr="00C003C0">
        <w:t>22.</w:t>
      </w:r>
      <w:r w:rsidRPr="00C003C0">
        <w:tab/>
        <w:t>glæder sig over, at EU-Domstolen som led i sine svar på spørgeskemaet fra Parlamentets Budgetkontroludvalg fremlagde meget detaljerede oplysninger om fordelingen af personale ved udgangen af 2022;</w:t>
      </w:r>
    </w:p>
    <w:p w:rsidR="0099061B" w:rsidRPr="00C003C0" w:rsidRDefault="0099061B" w:rsidP="0099061B">
      <w:pPr>
        <w:pStyle w:val="NormalHanging12a"/>
        <w:rPr>
          <w:szCs w:val="24"/>
        </w:rPr>
      </w:pPr>
      <w:r w:rsidRPr="00C003C0">
        <w:t>23.</w:t>
      </w:r>
      <w:r w:rsidRPr="00C003C0">
        <w:tab/>
        <w:t>bemærker, at EU-Domstolen ved udgangen af 2022 havde 2253 ansatte, hvilket er en lille stigning fra 2 247 ansatte ved udgangen af 2021 og 2 239 ved udgangen af 2020; bemærker, at den samlede kønsfordeling ved udgangen af 2022 var 893 mænd, svarende til 40 %, og 1 360 kvinder, svarende til 60 %; bemærker endvidere, at den samlede fordeling mellem personalekategorierne var 1 300 tjenestemænd (58 %), 774 midlertidigt ansatte (34 %) og 179 kontraktansatte (8 %), hvilket udgør et lille fald i procentdelen af ansatte, der er tjenestemænd, sammenlignet med 2021, afspejlet af en lille stigning i den procentdel, der er midlertidigt ansatte, og ingen ændring med hensyn til kontraktansatte;</w:t>
      </w:r>
    </w:p>
    <w:p w:rsidR="0099061B" w:rsidRPr="00C003C0" w:rsidRDefault="0099061B" w:rsidP="0099061B">
      <w:pPr>
        <w:pStyle w:val="NormalHanging12a"/>
        <w:rPr>
          <w:szCs w:val="24"/>
        </w:rPr>
      </w:pPr>
      <w:r w:rsidRPr="00C003C0">
        <w:t>24.</w:t>
      </w:r>
      <w:r w:rsidRPr="00C003C0">
        <w:tab/>
        <w:t>bemærker, at kønsfordelingen for den øverste ledelse var ni mænd og seks kvinder, svarende til 60 % mænd og 40 % kvinder; bemærker, at kønsfordelingen for mellemledere var 36 mænd og 24 kvinder, hvilket også svarer til 60 % mænd og 40 % kvinder;</w:t>
      </w:r>
    </w:p>
    <w:p w:rsidR="0099061B" w:rsidRPr="00C003C0" w:rsidRDefault="0099061B" w:rsidP="0099061B">
      <w:pPr>
        <w:pStyle w:val="NormalHanging12a"/>
        <w:rPr>
          <w:szCs w:val="24"/>
        </w:rPr>
      </w:pPr>
      <w:r w:rsidRPr="00C003C0">
        <w:t>25.</w:t>
      </w:r>
      <w:r w:rsidRPr="00C003C0">
        <w:tab/>
        <w:t xml:space="preserve">glæder sig over, at alle EU-nationaliteter er repræsenteret blandt EU-Domstolens personale; bemærker imidlertid med beklagelse, at statsborgere fra visse medlemsstater er overrepræsenteret; bemærker i denne forbindelse, at franske statsborgere udgør 505 ud af de 2 253 ansatte, hvilket svarer til 22 %, og at overrepræsentationen tilmed er højere blandt </w:t>
      </w:r>
      <w:proofErr w:type="spellStart"/>
      <w:r w:rsidRPr="00C003C0">
        <w:t>AST'er</w:t>
      </w:r>
      <w:proofErr w:type="spellEnd"/>
      <w:r w:rsidRPr="00C003C0">
        <w:t>, hvor de udgør 223 ud af 719 ansatte, svarende til 31 %; bemærker, at belgiske statsborgere og italienere er overrepræsenteret på administratorniveau (AD-niveau) med henholdsvis 108 og 97 ansatte ud af 1 274; bemærker også, at Cypern er det mest underrepræsenterede land med kun to statsborgere i AD-stillinger som tjenestemænd og midlertidigt ansatte og ikke har nogen statsborgere i AST- og assistent-/sekretærstillinger (AST-SC-stillinger); bemærker, at EU-Domstolen bør stræbe efter en mere afbalanceret repræsentation af EU-borgere på tværs af alle stillinger og sigte mod at sikre en passende geografisk fordeling;</w:t>
      </w:r>
    </w:p>
    <w:p w:rsidR="0099061B" w:rsidRPr="00C003C0" w:rsidRDefault="0099061B" w:rsidP="0099061B">
      <w:pPr>
        <w:pStyle w:val="NormalHanging12a"/>
        <w:rPr>
          <w:szCs w:val="24"/>
        </w:rPr>
      </w:pPr>
      <w:r w:rsidRPr="00C003C0">
        <w:t>26.</w:t>
      </w:r>
      <w:r w:rsidRPr="00C003C0">
        <w:tab/>
        <w:t xml:space="preserve">opfordrer EU-Domstolen til at støtte et flersproget arbejdsmiljø; bemærker, at selv om processproget i henhold til Domstolens procesreglement, kapitel 8, artikel 36, kan være et hvilket som helst EU-sprog (bulgarsk, dansk, engelsk, estisk, finsk, fransk, græsk, irsk, lettisk, litauisk, maltesisk, nederlandsk, polsk, portugisisk, rumænsk, slovakisk, slovensk, spansk, svensk, tjekkisk, tysk eller ungarsk), udføres det daglige administrative arbejde ikke desto mindre 90 % på fransk; tilskynder til, at de to andre arbejdssprog i Den Europæiske Union, nemlig tysk og engelsk, dagligt anvendes hyppigere i EU-Domstolens daglige administrative arbejde for at fremme </w:t>
      </w:r>
      <w:proofErr w:type="spellStart"/>
      <w:r w:rsidRPr="00C003C0">
        <w:t>flersprogethed</w:t>
      </w:r>
      <w:proofErr w:type="spellEnd"/>
      <w:r w:rsidRPr="00C003C0">
        <w:t xml:space="preserve"> og for at gøre beskæftigelse mere tilgængelig for statsborgere fra alle medlemsstater, herunder dem, hvor fransk ikke tilbydes i skolerne; bemærker, at dette også vil bidrage til en mere ligelig fordeling af nationaliteter blandt Domstolens personale, og opfordrer alle institutioner til at garantere </w:t>
      </w:r>
      <w:proofErr w:type="spellStart"/>
      <w:r w:rsidRPr="00C003C0">
        <w:t>flersprogethed</w:t>
      </w:r>
      <w:proofErr w:type="spellEnd"/>
      <w:r w:rsidRPr="00C003C0">
        <w:t>;</w:t>
      </w:r>
    </w:p>
    <w:p w:rsidR="0099061B" w:rsidRPr="00C003C0" w:rsidRDefault="0099061B" w:rsidP="0099061B">
      <w:pPr>
        <w:pStyle w:val="NormalHanging12a"/>
        <w:rPr>
          <w:szCs w:val="24"/>
        </w:rPr>
      </w:pPr>
      <w:r w:rsidRPr="00C003C0">
        <w:t>27.</w:t>
      </w:r>
      <w:r w:rsidRPr="00C003C0">
        <w:tab/>
        <w:t xml:space="preserve">glæder sig over det arbejde, der er udført i den </w:t>
      </w:r>
      <w:proofErr w:type="spellStart"/>
      <w:r w:rsidRPr="00C003C0">
        <w:t>interinstitutionelle</w:t>
      </w:r>
      <w:proofErr w:type="spellEnd"/>
      <w:r w:rsidRPr="00C003C0">
        <w:t xml:space="preserve"> gruppe på højt plan </w:t>
      </w:r>
      <w:r w:rsidRPr="00C003C0">
        <w:lastRenderedPageBreak/>
        <w:t>om at gøre Luxembourg mere attraktiv for personalet; opfordrer EU-Domstolen til fortsat at samarbejde med de andre institutioner med hjemsted i Luxembourg om forskellige foranstaltninger, herunder idéen om at indføre et særligt boligtilskud for at kompensere for den høje husleje, der især rammer ansatte i lavere lønklasser, og til at sikre, at Domstolens personale omfattes af passende ordninger til at forbedre deres levevilkår; anmoder om, at Parlamentet holdes ajour om fremskridtene med alle sådanne initiativer;</w:t>
      </w:r>
    </w:p>
    <w:p w:rsidR="0099061B" w:rsidRPr="00C003C0" w:rsidRDefault="0099061B" w:rsidP="0099061B">
      <w:pPr>
        <w:pStyle w:val="NormalHanging12a"/>
        <w:rPr>
          <w:szCs w:val="24"/>
        </w:rPr>
      </w:pPr>
      <w:r w:rsidRPr="00C003C0">
        <w:t>28.</w:t>
      </w:r>
      <w:r w:rsidRPr="00C003C0">
        <w:tab/>
        <w:t xml:space="preserve">bemærker med tilfredshed, at EU-Domstolen den 1. maj 2022 indførte en ny </w:t>
      </w:r>
      <w:proofErr w:type="spellStart"/>
      <w:r w:rsidRPr="00C003C0">
        <w:t>telearbejdsordning</w:t>
      </w:r>
      <w:proofErr w:type="spellEnd"/>
      <w:r w:rsidRPr="00C003C0">
        <w:t>, der giver mulighed for at arbejde hjemmefra to dage om ugen; bemærker endvidere, at ordningen giver medarbejderne mulighed for at arbejde i op til 10 dage om året fra et sted uden for tjenestestedet, og at en undersøgelse blandt lederne viste, at der er almindelig tilfredshed med denne mulighed, der har vist sig at være forenelig med, at tjenesterne fungerer korrekt;</w:t>
      </w:r>
    </w:p>
    <w:p w:rsidR="0099061B" w:rsidRPr="00C003C0" w:rsidRDefault="0099061B" w:rsidP="0099061B">
      <w:pPr>
        <w:pStyle w:val="NormalHanging12a"/>
        <w:rPr>
          <w:szCs w:val="24"/>
        </w:rPr>
      </w:pPr>
      <w:r w:rsidRPr="00C003C0">
        <w:t>29.</w:t>
      </w:r>
      <w:r w:rsidRPr="00C003C0">
        <w:tab/>
        <w:t>bemærker med bekymring, at antallet af sygedage i 2022 i EU-Domstolen var 23 702, hvilket svarer til en stigning på 38 % i forhold til 2021, hvor antallet af sygedage var 17 138; bemærker samtidig, at der i 2019 var 25 629 sygedage, og at det relativt lave antal i 2021 kan være relateret til covid-19-pandemien;</w:t>
      </w:r>
    </w:p>
    <w:p w:rsidR="0099061B" w:rsidRPr="00C003C0" w:rsidRDefault="0099061B" w:rsidP="0099061B">
      <w:pPr>
        <w:pStyle w:val="NormalHanging12a"/>
        <w:rPr>
          <w:szCs w:val="24"/>
        </w:rPr>
      </w:pPr>
      <w:r w:rsidRPr="00C003C0">
        <w:t>30.</w:t>
      </w:r>
      <w:r w:rsidRPr="00C003C0">
        <w:tab/>
        <w:t xml:space="preserve">bemærker med bekymring, at 46 medarbejdere rapporterede om udmattelse af arbejdsrelaterede årsager, mens EU-Domstolens lægetjeneste anslår, at der i 2022 var 23 tilfælde, hvor medarbejderne udviste symptomer, der kunne forbindes med diagnosen </w:t>
      </w:r>
      <w:proofErr w:type="spellStart"/>
      <w:r w:rsidRPr="00C003C0">
        <w:t>udbrændthed</w:t>
      </w:r>
      <w:proofErr w:type="spellEnd"/>
      <w:r w:rsidRPr="00C003C0">
        <w:t xml:space="preserve">; bemærker, at EU-Domstolen har tilbudt uddannelseskurser for ledere for at øge bevidstheden om de forskellige risici i forbindelse med </w:t>
      </w:r>
      <w:proofErr w:type="spellStart"/>
      <w:r w:rsidRPr="00C003C0">
        <w:t>udbrændthed</w:t>
      </w:r>
      <w:proofErr w:type="spellEnd"/>
      <w:r w:rsidRPr="00C003C0">
        <w:t xml:space="preserve"> og om personalets trivsel; opfordrer EU-Domstolen til fortsat at fokusere på dette problem, til yderligere at overveje, hvordan </w:t>
      </w:r>
      <w:proofErr w:type="spellStart"/>
      <w:r w:rsidRPr="00C003C0">
        <w:t>udbrændthed</w:t>
      </w:r>
      <w:proofErr w:type="spellEnd"/>
      <w:r w:rsidRPr="00C003C0">
        <w:t xml:space="preserve"> kan forebygges, og til at træffe alle nødvendige foranstaltninger til at sikre personalets trivsel med henblik på at nedbringe antallet af tilfælde, der kan tilskrives </w:t>
      </w:r>
      <w:proofErr w:type="spellStart"/>
      <w:r w:rsidRPr="00C003C0">
        <w:t>udbrændthed</w:t>
      </w:r>
      <w:proofErr w:type="spellEnd"/>
      <w:r w:rsidRPr="00C003C0">
        <w:t xml:space="preserve">; foreslår, at EU-Domstolen og andre institutioner opretter en kommentarboks, hvor personalet kan give kommentarer for at sikre, at personalet ikke udsættes for repressalier; opfordrer indtrængende til, at indholdet af en sådan kommentarboks tages alvorligt og analyseres for at bidrage til at identificere og forbedre kilderne til </w:t>
      </w:r>
      <w:proofErr w:type="spellStart"/>
      <w:r w:rsidRPr="00C003C0">
        <w:t>udbrændthed</w:t>
      </w:r>
      <w:proofErr w:type="spellEnd"/>
      <w:r w:rsidRPr="00C003C0">
        <w:t>;</w:t>
      </w:r>
    </w:p>
    <w:p w:rsidR="0099061B" w:rsidRPr="00C003C0" w:rsidRDefault="0099061B" w:rsidP="0099061B">
      <w:pPr>
        <w:pStyle w:val="NormalHanging12a"/>
        <w:rPr>
          <w:szCs w:val="24"/>
        </w:rPr>
      </w:pPr>
      <w:r w:rsidRPr="00C003C0">
        <w:t>31.</w:t>
      </w:r>
      <w:r w:rsidRPr="00C003C0">
        <w:tab/>
        <w:t xml:space="preserve">opfordrer afdelingen for menneskelige ressourcer til at være mere opmærksomme på konsekvenserne af og symptomerne ved langvarig </w:t>
      </w:r>
      <w:proofErr w:type="spellStart"/>
      <w:r w:rsidRPr="00C003C0">
        <w:t>covid</w:t>
      </w:r>
      <w:proofErr w:type="spellEnd"/>
      <w:r w:rsidRPr="00C003C0">
        <w:t>, andre virussymptomer og autoimmune sygdomme; opfordrer indtrængende til, at den sygeforsikring, der stilles til rådighed af EU-Domstolen og alle andre EU-institutioner, finansielt dækker de behandlinger, der er nødvendige for at behandle disse sygdomme;</w:t>
      </w:r>
    </w:p>
    <w:p w:rsidR="0099061B" w:rsidRPr="00C003C0" w:rsidRDefault="0099061B" w:rsidP="0099061B">
      <w:pPr>
        <w:pStyle w:val="NormalHanging12a"/>
        <w:rPr>
          <w:szCs w:val="24"/>
        </w:rPr>
      </w:pPr>
      <w:r w:rsidRPr="00C003C0">
        <w:t>32.</w:t>
      </w:r>
      <w:r w:rsidRPr="00C003C0">
        <w:tab/>
        <w:t>bemærker, at en administrativ undersøgelse vedrørende en sag, der kan udgøre seksuel chikane, blev indledt i 2023 vedrørende forhold, der fandt sted i 2022, og stadig verserer;</w:t>
      </w:r>
    </w:p>
    <w:p w:rsidR="0099061B" w:rsidRPr="00C003C0" w:rsidRDefault="0099061B" w:rsidP="0099061B">
      <w:pPr>
        <w:pStyle w:val="NormalHanging12a"/>
        <w:rPr>
          <w:szCs w:val="24"/>
        </w:rPr>
      </w:pPr>
      <w:r w:rsidRPr="00C003C0">
        <w:t>33.</w:t>
      </w:r>
      <w:r w:rsidRPr="00C003C0">
        <w:tab/>
        <w:t>bemærker med tilfredshed, at EU-Domstolen tilbyder uddannelseskurser for at fremme og tilskynde til mangfoldighed i sine tjenester; bemærker endvidere, at EU-Domstolen har 27 ansatte med et handicap, hvoraf 14 anses for at have et alvorligt handicap; glæder sig over, at der i 2022 har været en betydelig opfølgning på en intern revision fra 2021 for at sikre rettighederne for personer med handicap;</w:t>
      </w:r>
    </w:p>
    <w:p w:rsidR="0099061B" w:rsidRPr="00C003C0" w:rsidRDefault="0099061B" w:rsidP="0099061B">
      <w:pPr>
        <w:pStyle w:val="NormalHanging12a"/>
        <w:rPr>
          <w:szCs w:val="24"/>
        </w:rPr>
      </w:pPr>
      <w:r w:rsidRPr="00C003C0">
        <w:t>34.</w:t>
      </w:r>
      <w:r w:rsidRPr="00C003C0">
        <w:tab/>
        <w:t xml:space="preserve">bemærker, at EU-Domstolen tog imod 267 praktikanter i 2022; bemærker med tilfredshed, at EU-Domstolen i efteråret 2022 efter Parlamentets henstilling besluttede at </w:t>
      </w:r>
      <w:r w:rsidRPr="00C003C0">
        <w:lastRenderedPageBreak/>
        <w:t>aflønne alle praktikanter med undtagelse af dem, der modtager et tilskud fra andre kilder; opfordrer EU-Domstolen til at undersøge, om praktikanter er forholdsmæssigt repræsenteret fra alle medlemsstater;</w:t>
      </w:r>
    </w:p>
    <w:p w:rsidR="0099061B" w:rsidRPr="00C003C0" w:rsidRDefault="0099061B" w:rsidP="0099061B">
      <w:pPr>
        <w:pStyle w:val="NormalHanging12a"/>
        <w:rPr>
          <w:szCs w:val="24"/>
        </w:rPr>
      </w:pPr>
      <w:r w:rsidRPr="00C003C0">
        <w:t>35.</w:t>
      </w:r>
      <w:r w:rsidRPr="00C003C0">
        <w:tab/>
        <w:t>beklager, at EU-Domstolen i 2022 accepterede ulønnede praktikanter, uanset om det var i overgangsperioden efter vedtagelsen af den nye afgørelse om praktikophold i november 2021 eller som følge af alternative finansieringskilder; fremhæver kontrasten mellem EU-Domstolen, som mangler en politik for lønnede praktikophold, og andre EU-institutioner, der opretholder sådanne politikker; opfordrer indtrængende EU-Domstolen til at skabe gennemsigtighed med hensyn til ulønnede praktikanters eksterne finansielle kilder og uddybe rationalet bag opretholdelsen af denne politik;</w:t>
      </w:r>
    </w:p>
    <w:p w:rsidR="0099061B" w:rsidRPr="002373AD" w:rsidRDefault="0099061B" w:rsidP="0099061B">
      <w:pPr>
        <w:pStyle w:val="NormalHanging12a"/>
        <w:rPr>
          <w:b/>
          <w:i/>
          <w:szCs w:val="24"/>
        </w:rPr>
      </w:pPr>
      <w:r w:rsidRPr="002373AD">
        <w:rPr>
          <w:b/>
          <w:i/>
        </w:rPr>
        <w:t>Etiske rammer og gennemsigtighed</w:t>
      </w:r>
    </w:p>
    <w:p w:rsidR="0099061B" w:rsidRPr="00C003C0" w:rsidRDefault="0099061B" w:rsidP="0099061B">
      <w:pPr>
        <w:pStyle w:val="NormalHanging12a"/>
        <w:rPr>
          <w:szCs w:val="24"/>
        </w:rPr>
      </w:pPr>
      <w:r w:rsidRPr="00C003C0">
        <w:t>36.</w:t>
      </w:r>
      <w:r w:rsidRPr="00C003C0">
        <w:tab/>
        <w:t>påskønner fortsat de reformer, der blev gennemført i 2021 vedrørende medlemmerne af Domstolen og Retten vedrørende deres adfærdskodeks og interesseerklæringer, hvilket sammen med de nye krav til medlemmernes CV'er udgør en forbedring af EU-Domstolens gennemsigtighed; er ikke desto mindre af den opfattelse, at interesseerklæringernes gyldighed og anvendelighed kunne forbedres gennem en eller anden form for verifikation og kvalitetskontrol;</w:t>
      </w:r>
    </w:p>
    <w:p w:rsidR="0099061B" w:rsidRPr="00C003C0" w:rsidRDefault="0099061B" w:rsidP="0099061B">
      <w:pPr>
        <w:pStyle w:val="NormalHanging12a"/>
        <w:rPr>
          <w:szCs w:val="24"/>
        </w:rPr>
      </w:pPr>
      <w:r w:rsidRPr="00C003C0">
        <w:t>37.</w:t>
      </w:r>
      <w:r w:rsidRPr="00C003C0">
        <w:tab/>
        <w:t>glæder sig over, at EU-Domstolen siden 2018 har offentliggjort en liste over de eksterne aktiviteter, der udføres af medlemmerne af både Domstolen og Retten; bemærker, at listen er vanskelig at læse for den brede offentlighed, og henstiller til, at den gøres mere informativ ved at medtage oplysninger om arten af den eksterne aktivitet; understreger, at medlemmerne forventes at hellige sig udførelsen af deres opgaver ved EU-Domstolen fuldt ud, og at de kun må udøve eksterne aktiviteter, der vedrører udøvelsen af deres pligter og er underlagt en forudgående tilladelse, som kun gives, når sådanne aktiviteter er forenelige med kravene i adfærdskodeksen og navnlig med forpligtelsen til at stå til rådighed for domstolsvirksomhed;</w:t>
      </w:r>
    </w:p>
    <w:p w:rsidR="0099061B" w:rsidRPr="00C003C0" w:rsidRDefault="0099061B" w:rsidP="0099061B">
      <w:pPr>
        <w:pStyle w:val="NormalHanging12a"/>
        <w:rPr>
          <w:szCs w:val="24"/>
        </w:rPr>
      </w:pPr>
      <w:r w:rsidRPr="00C003C0">
        <w:t>38.</w:t>
      </w:r>
      <w:r w:rsidRPr="00C003C0">
        <w:tab/>
        <w:t>noterer sig afgørelsen fra 2021 om medlemmernes rejser, tjenesterejser og brug af chauffører og biler, som indebærer, at medlemmerne skal dække alle driftsudgifter for anvendelsen af et køretøj, der ikke er omfattet af en tjenesterejseordre over 10 000 km; er af den opfattelse, at bilparken under ingen omstændigheder må bruges til andet end udførelsen af EU-Domstolens medlemmers opgaver i strengeste forstand; opfordrer alle EU-institutionerne til at nå til enighed om en fælles ordning, der skal anvendes horisontalt, hvilket vil mindske forvirringen og øge gennemsigtigheden og effektiviteten i anvendelsen af offentlige midler;</w:t>
      </w:r>
    </w:p>
    <w:p w:rsidR="0099061B" w:rsidRPr="00C003C0" w:rsidRDefault="0099061B" w:rsidP="0099061B">
      <w:pPr>
        <w:pStyle w:val="NormalHanging12a"/>
        <w:rPr>
          <w:szCs w:val="24"/>
        </w:rPr>
      </w:pPr>
      <w:r w:rsidRPr="00C003C0">
        <w:t>39.</w:t>
      </w:r>
      <w:r w:rsidRPr="00C003C0">
        <w:tab/>
        <w:t xml:space="preserve">glæder sig over, at EU-Domstolen uddanner alle nytilkomne i alle etiske aspekter samt i tjenestemænds og ansattes rettigheder og forpligtelser som fastsat i personalevedtægten, herunder </w:t>
      </w:r>
      <w:proofErr w:type="spellStart"/>
      <w:r w:rsidRPr="00C003C0">
        <w:t>whistleblowing</w:t>
      </w:r>
      <w:proofErr w:type="spellEnd"/>
      <w:r w:rsidRPr="00C003C0">
        <w:t>, forbud mod chikane, forebyggelse af interessekonflikter og andre etiske spørgsmål; glæder sig også over afholdelsen af seks uddannelseskurser med titlen "</w:t>
      </w:r>
      <w:proofErr w:type="spellStart"/>
      <w:r w:rsidRPr="00C003C0">
        <w:t>Rules</w:t>
      </w:r>
      <w:proofErr w:type="spellEnd"/>
      <w:r w:rsidRPr="00C003C0">
        <w:t xml:space="preserve"> of </w:t>
      </w:r>
      <w:proofErr w:type="spellStart"/>
      <w:r w:rsidRPr="00C003C0">
        <w:t>good</w:t>
      </w:r>
      <w:proofErr w:type="spellEnd"/>
      <w:r w:rsidRPr="00C003C0">
        <w:t xml:space="preserve"> </w:t>
      </w:r>
      <w:proofErr w:type="spellStart"/>
      <w:r w:rsidRPr="00C003C0">
        <w:t>conduct</w:t>
      </w:r>
      <w:proofErr w:type="spellEnd"/>
      <w:r w:rsidRPr="00C003C0">
        <w:t xml:space="preserve">" (regler for god opførsel) med deltagelse af 70 medarbejdere og 11 uddannelseskurser med titlen "Internal </w:t>
      </w:r>
      <w:proofErr w:type="spellStart"/>
      <w:r w:rsidRPr="00C003C0">
        <w:t>control</w:t>
      </w:r>
      <w:proofErr w:type="spellEnd"/>
      <w:r w:rsidRPr="00C003C0">
        <w:t>" (Intern kontrol) med deltagelse af 80 medarbejdere; opfordrer EU-Domstolen til at gøre et uddannelseskursus i "Regler for god opførsel" til et krav til alle medarbejdere, uanset om de er gamle eller nye, for at tilskynde til et sikkert og produktivt arbejdsområde og etisk behandling af sager;</w:t>
      </w:r>
    </w:p>
    <w:p w:rsidR="0099061B" w:rsidRPr="00C003C0" w:rsidRDefault="0099061B" w:rsidP="0099061B">
      <w:pPr>
        <w:pStyle w:val="NormalHanging12a"/>
        <w:rPr>
          <w:szCs w:val="24"/>
        </w:rPr>
      </w:pPr>
      <w:r w:rsidRPr="00C003C0">
        <w:t>40.</w:t>
      </w:r>
      <w:r w:rsidRPr="00C003C0">
        <w:tab/>
        <w:t xml:space="preserve">bemærker med tilfredshed, at Det Europæiske Kontor for Bekæmpelse af Svig (OLAF) </w:t>
      </w:r>
      <w:r w:rsidRPr="00C003C0">
        <w:lastRenderedPageBreak/>
        <w:t xml:space="preserve">ikke indledte nye undersøgelser i 2022, der involverede EU-Domstolen, men at en undersøgelse, som vedrører personalets adfærd, som kan udgøre en alvorlig tilsidesættelse af deres forpligtelser, stadig er i gang, og at der i fire sager, der blev behandlet af Den Europæiske Ombudsmand vedrørende EU-Domstolen, ikke blev konstateret fejl eller forsømmelser, hvilket betyder, at Den Europæiske Ombudsmand ikke fremsatte nogen henstillinger vedrørende EU-Domstolen i 2022; bemærker, at der ikke var nogen </w:t>
      </w:r>
      <w:proofErr w:type="spellStart"/>
      <w:r w:rsidRPr="00C003C0">
        <w:t>whistleblowersager</w:t>
      </w:r>
      <w:proofErr w:type="spellEnd"/>
      <w:r w:rsidRPr="00C003C0">
        <w:t xml:space="preserve"> i EU-Domstolen i 2022;</w:t>
      </w:r>
    </w:p>
    <w:p w:rsidR="0099061B" w:rsidRPr="00C003C0" w:rsidRDefault="0099061B" w:rsidP="0099061B">
      <w:pPr>
        <w:pStyle w:val="NormalHanging12a"/>
        <w:rPr>
          <w:szCs w:val="24"/>
        </w:rPr>
      </w:pPr>
      <w:r w:rsidRPr="00C003C0">
        <w:t>41.</w:t>
      </w:r>
      <w:r w:rsidRPr="00C003C0">
        <w:tab/>
        <w:t>beklager dybt, at den nye adfærdskodeks for ansatte, som oprindeligt forventedes at være færdiggjort inden udgangen af 2021, stadig ikke var færdiggjort ved udgangen af 2022; bemærker, at den nye adfærdskodeks forventedes at være vedtaget ved udgangen af 2023, men stadig er i gang med at blive vedtaget; opfordrer Domstolen til hurtigst muligt at afslutte og vedtage en ny adfærdskodeks i overensstemmelse med anmodninger fra tidligere dechargeprocedurer og anmoder om, at Parlamentet underrettes om dens vedtagelse og indhold så hurtigt som muligt;</w:t>
      </w:r>
    </w:p>
    <w:p w:rsidR="0099061B" w:rsidRPr="00C003C0" w:rsidRDefault="0099061B" w:rsidP="0099061B">
      <w:pPr>
        <w:pStyle w:val="NormalHanging12a"/>
        <w:rPr>
          <w:szCs w:val="24"/>
        </w:rPr>
      </w:pPr>
      <w:r w:rsidRPr="00C003C0">
        <w:t>42.</w:t>
      </w:r>
      <w:r w:rsidRPr="00C003C0">
        <w:tab/>
        <w:t>glæder sig over, at der ikke blev fundet nogen tilfælde af interessekonflikter i 2022; bemærker, at 112 anmodninger i henhold til artikel 16 i personalevedtægten vedrørende erhvervsvirksomhed efter udtræden af tjenesten blev undersøgt, og at alle blev godkendt; bemærker endvidere, at der blev anmeldt ni tilfælde af ekstern aktivitet under orlov af personlige årsager, og at alle blev godkendt; mener, at dette område potentielt kan undersøges af den interne revisor eller det foreslåede etiske organ i EU;</w:t>
      </w:r>
    </w:p>
    <w:p w:rsidR="0099061B" w:rsidRPr="002373AD" w:rsidRDefault="0099061B" w:rsidP="0099061B">
      <w:pPr>
        <w:pStyle w:val="NormalHanging12a"/>
        <w:rPr>
          <w:b/>
          <w:i/>
          <w:szCs w:val="24"/>
        </w:rPr>
      </w:pPr>
      <w:r w:rsidRPr="002373AD">
        <w:rPr>
          <w:b/>
          <w:i/>
        </w:rPr>
        <w:t xml:space="preserve">Digitalisering, </w:t>
      </w:r>
      <w:proofErr w:type="spellStart"/>
      <w:r w:rsidRPr="002373AD">
        <w:rPr>
          <w:b/>
          <w:i/>
        </w:rPr>
        <w:t>cybersikkerhed</w:t>
      </w:r>
      <w:proofErr w:type="spellEnd"/>
      <w:r w:rsidRPr="002373AD">
        <w:rPr>
          <w:b/>
          <w:i/>
        </w:rPr>
        <w:t xml:space="preserve"> og databeskyttelse</w:t>
      </w:r>
    </w:p>
    <w:p w:rsidR="0099061B" w:rsidRPr="00C003C0" w:rsidRDefault="0099061B" w:rsidP="0099061B">
      <w:pPr>
        <w:pStyle w:val="NormalHanging12a"/>
        <w:rPr>
          <w:szCs w:val="24"/>
        </w:rPr>
      </w:pPr>
      <w:r w:rsidRPr="00C003C0">
        <w:t>43.</w:t>
      </w:r>
      <w:r w:rsidRPr="00C003C0">
        <w:tab/>
        <w:t xml:space="preserve">glæder sig over, at EU-Domstolen fremskyndede gennemførelsen af et integreret </w:t>
      </w:r>
      <w:proofErr w:type="spellStart"/>
      <w:r w:rsidRPr="00C003C0">
        <w:t>sagsstyringssystem</w:t>
      </w:r>
      <w:proofErr w:type="spellEnd"/>
      <w:r w:rsidRPr="00C003C0">
        <w:t xml:space="preserve"> (SIGA), som vil gøre det muligt for den at anvende en fuldt ud digital, sikker og integreret arbejdsgang, og glæder sig over, at EU-Domstolen gjorde fremskridt med gennemførelsen af HAN/Ares-programmet vedrørende alle EU-Domstolens administrative tjenester; anmoder EU-Domstolen om at holde Parlamentet orienteret om en sådan gennemførelse som led i den årlige dechargeprocedure;</w:t>
      </w:r>
    </w:p>
    <w:p w:rsidR="0099061B" w:rsidRPr="00C003C0" w:rsidRDefault="0099061B" w:rsidP="0099061B">
      <w:pPr>
        <w:pStyle w:val="NormalHanging12a"/>
        <w:rPr>
          <w:szCs w:val="24"/>
        </w:rPr>
      </w:pPr>
      <w:r w:rsidRPr="00C003C0">
        <w:t>44.</w:t>
      </w:r>
      <w:r w:rsidRPr="00C003C0">
        <w:tab/>
        <w:t xml:space="preserve">glæder sig over, at EU-Domstolen besluttede ikke længere at anvende </w:t>
      </w:r>
      <w:proofErr w:type="spellStart"/>
      <w:r w:rsidRPr="00C003C0">
        <w:t>cloudplatforme</w:t>
      </w:r>
      <w:proofErr w:type="spellEnd"/>
      <w:r w:rsidRPr="00C003C0">
        <w:t xml:space="preserve"> til følsomme retslige data, der behandles, for at beskytte data- og systemejerskabet med henblik på at hoste alle dens data på stedet og undgå, at driften bliver kritisk afhængig af nogen eksterne systemer; glæder sig endvidere over EU-Domstolens politik om at undgå anvendelse af ethvert værktøj eller enhver infrastruktur, der hostes i skyen, til håndtering af ikkeoffentlige oplysninger med henblik på at beskytte personoplysninger og bevare en fuldstændig kontrol med sine systemer og data;</w:t>
      </w:r>
    </w:p>
    <w:p w:rsidR="0099061B" w:rsidRPr="00C003C0" w:rsidRDefault="0099061B" w:rsidP="0099061B">
      <w:pPr>
        <w:pStyle w:val="NormalHanging12a"/>
        <w:rPr>
          <w:szCs w:val="24"/>
        </w:rPr>
      </w:pPr>
      <w:r w:rsidRPr="00C003C0">
        <w:t>45.</w:t>
      </w:r>
      <w:r w:rsidRPr="00C003C0">
        <w:tab/>
        <w:t>bemærker med tilfredshed den stigende tendens i udnyttelsesgraden for e-Curia med 94 % af indleveringerne til Retten foretaget via e-Curia i 2022, sammenlignet med 93 % i 2021, og at udnyttelsesgraden for e-Curia i Domstolen var på ca. 87 % af alle indleveringer foretaget på denne måde i 2022, sammenlignet med 85 % i 2021;</w:t>
      </w:r>
    </w:p>
    <w:p w:rsidR="0099061B" w:rsidRPr="00C003C0" w:rsidRDefault="0099061B" w:rsidP="0099061B">
      <w:pPr>
        <w:pStyle w:val="NormalHanging12a"/>
        <w:rPr>
          <w:szCs w:val="24"/>
        </w:rPr>
      </w:pPr>
      <w:r w:rsidRPr="00C003C0">
        <w:t>46.</w:t>
      </w:r>
      <w:r w:rsidRPr="00C003C0">
        <w:tab/>
        <w:t xml:space="preserve">bemærker, at der ikke blev fremsendt yderligere forespørgsler fra Den Europæiske Tilsynsførende for Databeskyttelse (EDPS) i 2022; afventer med interesse beslutningen om undersøgelsen fra begyndelsen af 2021 vedrørende brugen af tredjeparts </w:t>
      </w:r>
      <w:proofErr w:type="spellStart"/>
      <w:r w:rsidRPr="00C003C0">
        <w:t>webtjenester</w:t>
      </w:r>
      <w:proofErr w:type="spellEnd"/>
      <w:r w:rsidRPr="00C003C0">
        <w:t xml:space="preserve"> og forpligtelsen til at stille de centrale punkter af en aftale om en fælles dataansvarlig til rådighed; afventer også med interesse afgørelsen om undersøgelsen vedrørende EU-institutionernes, -organernes og -agenturernes brug af </w:t>
      </w:r>
      <w:proofErr w:type="spellStart"/>
      <w:r w:rsidRPr="00C003C0">
        <w:t>cloudtjenester</w:t>
      </w:r>
      <w:proofErr w:type="spellEnd"/>
      <w:r w:rsidRPr="00C003C0">
        <w:t xml:space="preserve"> leveret af Amazon Web Services og Microsoft i henhold til </w:t>
      </w:r>
      <w:proofErr w:type="spellStart"/>
      <w:r w:rsidRPr="00C003C0">
        <w:t>Cloud</w:t>
      </w:r>
      <w:proofErr w:type="spellEnd"/>
      <w:r w:rsidRPr="00C003C0">
        <w:t xml:space="preserve"> II-kontrakter;</w:t>
      </w:r>
    </w:p>
    <w:p w:rsidR="0099061B" w:rsidRPr="00C003C0" w:rsidRDefault="0099061B" w:rsidP="0099061B">
      <w:pPr>
        <w:pStyle w:val="NormalHanging12a"/>
        <w:rPr>
          <w:szCs w:val="24"/>
        </w:rPr>
      </w:pPr>
      <w:r w:rsidRPr="00C003C0">
        <w:lastRenderedPageBreak/>
        <w:t>47.</w:t>
      </w:r>
      <w:r w:rsidRPr="00C003C0">
        <w:tab/>
        <w:t xml:space="preserve">glæder sig over, at EU-Domstolen overvejer, hvordan og i hvilket omfang digitale teknologier bør anvendes i dens arbejde, f.eks. til at identificere ligheder mellem sager, til oversættelse, til konvertering af tale til tekst og til automatiserede resuméer af lange dokumenter; understreger, at automatiserede processer, navnlig for en juridisk institution som EU-Domstolen, altid vil skulle tilgås med hensyn til etiske processer og suppleres med menneskeligt tilsyn og menneskelig kontrol; fremhæver betydningen af at være i stand til at krydshenvise sager ved hjælp af nøgletermer og nøgleindikatorer med henblik på at finde overlapninger eller mønstre i </w:t>
      </w:r>
      <w:proofErr w:type="spellStart"/>
      <w:r w:rsidRPr="00C003C0">
        <w:t>sagsindhold</w:t>
      </w:r>
      <w:proofErr w:type="spellEnd"/>
      <w:r w:rsidRPr="00C003C0">
        <w:t>; opfordrer også EU-Domstolen til at undersøge mulighederne for bedre at videregive oplysninger til dommere og deres teams;</w:t>
      </w:r>
    </w:p>
    <w:p w:rsidR="0099061B" w:rsidRPr="00C003C0" w:rsidRDefault="0099061B" w:rsidP="0099061B">
      <w:pPr>
        <w:pStyle w:val="NormalHanging12a"/>
        <w:rPr>
          <w:szCs w:val="24"/>
        </w:rPr>
      </w:pPr>
      <w:r w:rsidRPr="00C003C0">
        <w:t>48.</w:t>
      </w:r>
      <w:r w:rsidRPr="00C003C0">
        <w:tab/>
        <w:t xml:space="preserve">glæder sig over, at EU-Domstolen anvender open source-operativsystemer i ca. en tredjedel af sin serverbase, og at dens første valg er at basere sig på interne hostede systemer, der bygger på open source-teknologi, da det gør det muligt for EU-Domstolen at opretholde teknisk kontrol med sine systemer og kontrollere datalagring og datastrømme og dermed sikre en bedre databeskyttelse og privatlivets fred; tilskynder EU-Domstolen til at tilslutte sig det open source-initiativ, som EDPS har iværksat via sin gennemførelse af </w:t>
      </w:r>
      <w:proofErr w:type="spellStart"/>
      <w:r w:rsidRPr="00C003C0">
        <w:t>Nextcloud</w:t>
      </w:r>
      <w:proofErr w:type="spellEnd"/>
      <w:r w:rsidRPr="00C003C0">
        <w:t xml:space="preserve"> open source-løsninger;</w:t>
      </w:r>
    </w:p>
    <w:p w:rsidR="0099061B" w:rsidRPr="00C003C0" w:rsidRDefault="0099061B" w:rsidP="0099061B">
      <w:pPr>
        <w:pStyle w:val="NormalHanging12a"/>
        <w:rPr>
          <w:szCs w:val="24"/>
        </w:rPr>
      </w:pPr>
      <w:r w:rsidRPr="00C003C0">
        <w:t>49.</w:t>
      </w:r>
      <w:r w:rsidRPr="00C003C0">
        <w:tab/>
        <w:t>opfordrer EU-Domstolen til at gøre alle sagsakter vedrørende en sag tilgængelige på sit websted, efter at afgørelsen er offentliggjort, samtidig med at det sikres, at private eller følsomme oplysninger ikke videregives med henblik på at beskytte personoplysninger;</w:t>
      </w:r>
    </w:p>
    <w:p w:rsidR="0099061B" w:rsidRPr="00C003C0" w:rsidRDefault="0099061B" w:rsidP="0099061B">
      <w:pPr>
        <w:pStyle w:val="NormalHanging12a"/>
        <w:rPr>
          <w:szCs w:val="24"/>
        </w:rPr>
      </w:pPr>
      <w:r w:rsidRPr="00C003C0">
        <w:t>50.</w:t>
      </w:r>
      <w:r w:rsidRPr="00C003C0">
        <w:tab/>
        <w:t>glæder sig over EU-Domstolens engagement i at integrere værktøjer inden for kunstig intelligens (AI) i dens arbejde, og at der blev vedtaget en omfattende strategi vedrørende kunstig intelligens i juli 2023; understreger, at det er af afgørende betydning, at AI anvendes på en måde, der fuldt ud bevarer de retlige processers uafhængighed, kvalitet og konsistens, tager fuldt hensyn til etiske spørgsmål og anvendes under menneskeligt tilsyn og giver mulighed for menneskelig indgriben for at undgå negative konsekvenser eller risici eller standse systemet, hvis det ikke fungerer efter hensigten; glæder sig over, at EU-Domstolen har oprettet et AI-udvalg med ansvar for at behandle etiske aspekter og fastsætte klare grænser for anvendelsen af AI; minder om, at EU-Domstolen bør sikre fuld brugerkontrol i overensstemmelse med det europæiske etiske charter om anvendelse af kunstig intelligens (AI) i retssystemer og deres miljø; forventer, at personaleretningslinjerne for anvendelsen af AI blev vedtaget inden udgangen af efteråret 2023, som angivet, og anmoder om, at Parlamentet holdes underrettet om indholdet af disse retningslinjer;</w:t>
      </w:r>
    </w:p>
    <w:p w:rsidR="0099061B" w:rsidRPr="00C003C0" w:rsidRDefault="0099061B" w:rsidP="0099061B">
      <w:pPr>
        <w:pStyle w:val="NormalHanging12a"/>
        <w:rPr>
          <w:b/>
          <w:i/>
          <w:szCs w:val="24"/>
        </w:rPr>
      </w:pPr>
      <w:r w:rsidRPr="00C003C0">
        <w:t>51.</w:t>
      </w:r>
      <w:r w:rsidRPr="00C003C0">
        <w:tab/>
        <w:t xml:space="preserve">bemærker med bekymring, at EU-Domstolen oplyser, at antallet af </w:t>
      </w:r>
      <w:proofErr w:type="spellStart"/>
      <w:r w:rsidRPr="00C003C0">
        <w:t>cyberangreb</w:t>
      </w:r>
      <w:proofErr w:type="spellEnd"/>
      <w:r w:rsidRPr="00C003C0">
        <w:t xml:space="preserve"> fortsatte med at stige i 2022; er lettet over, at alle angreb på trods af deres forskelligartethed og omfang ifølge EU-Domstolens svar på spørgsmål fra Parlamentets Budgetkontroludvalg i oktober 2023 blev håndteret af de eksisterende beskyttelsessystemer eller af den særlige beredskabsenhed i EU-Domstolen; glæder sig samtidig over, at EU-Domstolen aktivt deltager i de relevante </w:t>
      </w:r>
      <w:proofErr w:type="spellStart"/>
      <w:r w:rsidRPr="00C003C0">
        <w:t>interinstitutionelle</w:t>
      </w:r>
      <w:proofErr w:type="spellEnd"/>
      <w:r w:rsidRPr="00C003C0">
        <w:t xml:space="preserve"> EU-strukturer med henblik på at styrke EU-institutionernes overordnede </w:t>
      </w:r>
      <w:proofErr w:type="spellStart"/>
      <w:r w:rsidRPr="00C003C0">
        <w:t>cybersikkerhed</w:t>
      </w:r>
      <w:proofErr w:type="spellEnd"/>
      <w:r w:rsidRPr="00C003C0">
        <w:t xml:space="preserve">; opfordrer indtrængende EU-Domstolens ledelse til fortsat at prioritere styrkelsen af </w:t>
      </w:r>
      <w:proofErr w:type="spellStart"/>
      <w:r w:rsidRPr="00C003C0">
        <w:t>cybersikkerhed</w:t>
      </w:r>
      <w:proofErr w:type="spellEnd"/>
      <w:r w:rsidRPr="00C003C0">
        <w:t xml:space="preserve">, opfordrer indtrængende ledelsen til proaktivt at undersøge, hvilke aspekter af IT-infrastrukturen der gør EU-Domstolen sårbar over for angreb, og til at korrigere dette så hurtigt som muligt og til at sikre regelmæssige revisioner og test af dens </w:t>
      </w:r>
      <w:proofErr w:type="spellStart"/>
      <w:r w:rsidRPr="00C003C0">
        <w:t>cyberforsvar</w:t>
      </w:r>
      <w:proofErr w:type="spellEnd"/>
      <w:r w:rsidRPr="00C003C0">
        <w:t>;</w:t>
      </w:r>
    </w:p>
    <w:p w:rsidR="0099061B" w:rsidRPr="00C003C0" w:rsidRDefault="0099061B" w:rsidP="0099061B">
      <w:pPr>
        <w:pStyle w:val="NormalHanging12a"/>
        <w:rPr>
          <w:szCs w:val="24"/>
        </w:rPr>
      </w:pPr>
      <w:r w:rsidRPr="00C003C0">
        <w:t>52.</w:t>
      </w:r>
      <w:r w:rsidRPr="00C003C0">
        <w:tab/>
        <w:t xml:space="preserve">bemærker, at EU-Domstolen analyserede mulighederne for åbne data i 2022 og 2023, </w:t>
      </w:r>
      <w:r w:rsidRPr="00C003C0">
        <w:lastRenderedPageBreak/>
        <w:t>og at EU-Domstolen har til hensigt at dele alle de offentliggjorte oplysninger, der er tilgængelige på dens websted, som åbne data; advarer imidlertid EU-Domstolen om at få foretaget screeninger, inden den stiller offentliggjorte oplysninger til rådighed som åbne data, under hensyntagen til sikkerhed, fortrolighed, privatlivets fred og intellektuelle ejendomsrettigheder;</w:t>
      </w:r>
    </w:p>
    <w:p w:rsidR="0099061B" w:rsidRPr="002373AD" w:rsidRDefault="0099061B" w:rsidP="0099061B">
      <w:pPr>
        <w:spacing w:after="240"/>
        <w:rPr>
          <w:b/>
          <w:bCs/>
          <w:i/>
          <w:iCs/>
          <w:szCs w:val="24"/>
        </w:rPr>
      </w:pPr>
      <w:r w:rsidRPr="002373AD">
        <w:rPr>
          <w:b/>
          <w:i/>
        </w:rPr>
        <w:t>Bygninger</w:t>
      </w:r>
    </w:p>
    <w:p w:rsidR="0099061B" w:rsidRPr="00C003C0" w:rsidRDefault="0099061B" w:rsidP="0099061B">
      <w:pPr>
        <w:pStyle w:val="NormalHanging12a"/>
        <w:rPr>
          <w:szCs w:val="24"/>
        </w:rPr>
      </w:pPr>
      <w:r w:rsidRPr="00C003C0">
        <w:t>53.</w:t>
      </w:r>
      <w:r w:rsidRPr="00C003C0">
        <w:tab/>
        <w:t>bemærker med interesse, at EU-Domstolen har nedsat en arbejdsgruppe med repræsentation fra forskellige dele af EU-Domstolen og dens personaleudvalg, der skal reflektere over optimeringen af brugen af EU-Domstolens lokaler, og at dens konklusioner blev fremlagt i 2023; anmoder om, at Parlamentet holdes underrettet om gennemførelsen af disse konklusioner og om konsekvenserne for tilrettelæggelsen af arbejdslokalerne;</w:t>
      </w:r>
    </w:p>
    <w:p w:rsidR="0099061B" w:rsidRPr="00C003C0" w:rsidRDefault="0099061B" w:rsidP="0099061B">
      <w:pPr>
        <w:pStyle w:val="NormalHanging12a"/>
        <w:rPr>
          <w:szCs w:val="24"/>
        </w:rPr>
      </w:pPr>
      <w:r w:rsidRPr="00C003C0">
        <w:t>54.</w:t>
      </w:r>
      <w:r w:rsidRPr="00C003C0">
        <w:tab/>
        <w:t>bemærker med interesse, at der er foretaget en intern revision af bygningernes tilgængelighed for personer med handicap, og at EU-Domstolen er i færd med at gennemføre passende foranstaltninger, idet de følger ny luxembourgsk lovgivning; glæder sig over, at disse foranstaltninger omfatter at gøre retssalen tilgængelig for bevægelseshæmmede, såsom taktile belægninger og gelændere; anmoder om, at Parlamentet holdes underrettet om yderligere initiativer på dette område;</w:t>
      </w:r>
    </w:p>
    <w:p w:rsidR="0099061B" w:rsidRPr="002373AD" w:rsidRDefault="0099061B" w:rsidP="0099061B">
      <w:pPr>
        <w:spacing w:after="240"/>
        <w:rPr>
          <w:b/>
          <w:i/>
          <w:szCs w:val="24"/>
        </w:rPr>
      </w:pPr>
      <w:r w:rsidRPr="002373AD">
        <w:rPr>
          <w:b/>
          <w:i/>
        </w:rPr>
        <w:t>Miljø og bæredygtighed</w:t>
      </w:r>
    </w:p>
    <w:p w:rsidR="0099061B" w:rsidRPr="00C003C0" w:rsidRDefault="0099061B" w:rsidP="0099061B">
      <w:pPr>
        <w:pStyle w:val="NormalHanging12a"/>
        <w:rPr>
          <w:szCs w:val="24"/>
        </w:rPr>
      </w:pPr>
      <w:r w:rsidRPr="00C003C0">
        <w:t>55.</w:t>
      </w:r>
      <w:r w:rsidRPr="00C003C0">
        <w:tab/>
        <w:t>glæder sig meget over, at EU-Domstolen udarbejder en særskilt årsberetning om institutionens miljøaftryk, der kan tjene som model for andre institutioner;</w:t>
      </w:r>
    </w:p>
    <w:p w:rsidR="0099061B" w:rsidRPr="00C003C0" w:rsidRDefault="0099061B" w:rsidP="0099061B">
      <w:pPr>
        <w:pStyle w:val="NormalHanging12a"/>
        <w:rPr>
          <w:szCs w:val="24"/>
        </w:rPr>
      </w:pPr>
      <w:r w:rsidRPr="00C003C0">
        <w:t xml:space="preserve">56. </w:t>
      </w:r>
      <w:r w:rsidRPr="00C003C0">
        <w:tab/>
        <w:t>lykønsker EU-Domstolen med de resultater, der er opnået med hensyn til at reducere dens generelle forbrug betydeligt i 2022 i forhold til basisåret 2015; finder det særlig imponerende, at opvarmningen blev reduceret med 23,6 %, papir med 42,6 %, kantineaffald med 49,9 % og drivhusgasemissionerne med 31,7 %;</w:t>
      </w:r>
    </w:p>
    <w:p w:rsidR="0099061B" w:rsidRPr="00C003C0" w:rsidRDefault="0099061B" w:rsidP="0099061B">
      <w:pPr>
        <w:pStyle w:val="NormalHanging12a"/>
        <w:rPr>
          <w:szCs w:val="24"/>
        </w:rPr>
      </w:pPr>
      <w:r w:rsidRPr="00C003C0">
        <w:t>57.</w:t>
      </w:r>
      <w:r w:rsidRPr="00C003C0">
        <w:tab/>
        <w:t>bemærker, at EU-Domstolen har installeret solpaneler, der dækker 3 447,8 m</w:t>
      </w:r>
      <w:r w:rsidRPr="00C003C0">
        <w:rPr>
          <w:vertAlign w:val="superscript"/>
        </w:rPr>
        <w:t>2</w:t>
      </w:r>
      <w:r w:rsidRPr="00C003C0">
        <w:t>, og som producerede 452 959 kWh i 2022; opfordrer EU-Domstolen til fortsat at arbejde på at identificere muligheder for reduktion af det generelle forbrug, genanvendelse og produktion af vedvarende energi;</w:t>
      </w:r>
    </w:p>
    <w:p w:rsidR="0099061B" w:rsidRPr="00C003C0" w:rsidRDefault="0099061B" w:rsidP="0099061B">
      <w:pPr>
        <w:pStyle w:val="NormalHanging12a"/>
        <w:rPr>
          <w:szCs w:val="24"/>
        </w:rPr>
      </w:pPr>
      <w:r w:rsidRPr="00C003C0">
        <w:t>58.</w:t>
      </w:r>
      <w:r w:rsidRPr="00C003C0">
        <w:tab/>
        <w:t>glæder sig over, at EU-Domstolen har taget flere initiativer til at støtte og øge bæredygtig mobilitet, herunder tilskud til offentlig transport, tilskud til selvbetjeningscykler, forbedrede cykelparkeringsfaciliteter og forbedrede faciliteter til hybrid- og elbiler;</w:t>
      </w:r>
    </w:p>
    <w:p w:rsidR="0099061B" w:rsidRPr="002373AD" w:rsidRDefault="0099061B" w:rsidP="0099061B">
      <w:pPr>
        <w:spacing w:after="240"/>
        <w:rPr>
          <w:b/>
          <w:i/>
          <w:szCs w:val="24"/>
        </w:rPr>
      </w:pPr>
      <w:proofErr w:type="spellStart"/>
      <w:r w:rsidRPr="002373AD">
        <w:rPr>
          <w:b/>
          <w:i/>
        </w:rPr>
        <w:t>Interinstitutionelt</w:t>
      </w:r>
      <w:proofErr w:type="spellEnd"/>
      <w:r w:rsidRPr="002373AD">
        <w:rPr>
          <w:b/>
          <w:i/>
        </w:rPr>
        <w:t xml:space="preserve"> samarbejde</w:t>
      </w:r>
    </w:p>
    <w:p w:rsidR="0099061B" w:rsidRPr="00C003C0" w:rsidRDefault="0099061B" w:rsidP="0099061B">
      <w:pPr>
        <w:pStyle w:val="NormalHanging12a"/>
        <w:rPr>
          <w:szCs w:val="24"/>
        </w:rPr>
      </w:pPr>
      <w:r w:rsidRPr="00C003C0">
        <w:t>59.</w:t>
      </w:r>
      <w:r w:rsidRPr="00C003C0">
        <w:tab/>
        <w:t xml:space="preserve">glæder sig over, at EU-Domstolen har en bred vifte af serviceleveranceaftaler med andre EU-institutioner, hvilket bidrager til at reducere omkostningerne for de involverede institutioner og sikrer, at der anvendes ensartede procedurer, teknikker og arbejdsgange på tværs af institutionerne; påskønner navnlig serviceleveranceaftalerne med Kommissionens Kontor for Forvaltning og Fastsættelse af Individuelle Rettigheder og serviceleveranceaftalen med Kommissionens Generaldirektorat for Digitale Tjenester som en tjenesteudbyder, der hoster EU-Domstolens informationssystemer, herunder e-Curia, Curia-portalen og andre; anerkender også det fortsatte samarbejde inden for Det </w:t>
      </w:r>
      <w:proofErr w:type="spellStart"/>
      <w:r w:rsidRPr="00C003C0">
        <w:t>Interinstitutionelle</w:t>
      </w:r>
      <w:proofErr w:type="spellEnd"/>
      <w:r w:rsidRPr="00C003C0">
        <w:t xml:space="preserve"> Udvalg for Oversættelse og Tolkning; glæder sig </w:t>
      </w:r>
      <w:r w:rsidRPr="00C003C0">
        <w:lastRenderedPageBreak/>
        <w:t>endelig over, at der blev undertegnet en ny serviceleveranceaftale med Den Europæiske Unions Publikationskontor i 2023 efter forhandlinger i 2022, som for første gang dækker alle aspekter af samarbejdet;</w:t>
      </w:r>
    </w:p>
    <w:p w:rsidR="0099061B" w:rsidRPr="00C003C0" w:rsidRDefault="0099061B" w:rsidP="0099061B">
      <w:pPr>
        <w:pStyle w:val="NormalHanging12a"/>
        <w:rPr>
          <w:szCs w:val="24"/>
        </w:rPr>
      </w:pPr>
      <w:r w:rsidRPr="00C003C0">
        <w:t>60.</w:t>
      </w:r>
      <w:r w:rsidRPr="00C003C0">
        <w:tab/>
        <w:t>bemærker med tilfredshed, at EU-Domstolen sammen med alle andre EU-institutioner, -organer, -kontorer og -agenturer har iværksat et fælles udbud om levering af ulykkesforsikring som omhandlet i artikel 73 i personalevedtægten;</w:t>
      </w:r>
    </w:p>
    <w:p w:rsidR="0099061B" w:rsidRPr="00C003C0" w:rsidRDefault="0099061B" w:rsidP="0099061B">
      <w:pPr>
        <w:pStyle w:val="NormalHanging12a"/>
        <w:rPr>
          <w:szCs w:val="24"/>
        </w:rPr>
      </w:pPr>
      <w:r w:rsidRPr="00C003C0">
        <w:t>61.</w:t>
      </w:r>
      <w:r w:rsidRPr="00C003C0">
        <w:tab/>
        <w:t xml:space="preserve">glæder sig over, at samarbejdet med Den Europæiske Anklagemyndighed (EPPO) er blevet videreudviklet, og at der er undertegnet et aftalememorandum med henblik på at skabe et indgående samarbejde om bibliografiske tjenester og dokumentationstjenester til gavn for begge institutioner; glæder sig endvidere over, at der er blevet foreslået specifik uddannelse til </w:t>
      </w:r>
      <w:proofErr w:type="spellStart"/>
      <w:r w:rsidRPr="00C003C0">
        <w:t>EPPO's</w:t>
      </w:r>
      <w:proofErr w:type="spellEnd"/>
      <w:r w:rsidRPr="00C003C0">
        <w:t xml:space="preserve"> anklagere for at sætte dem i stand til at gøre sig bekendt med EU-Domstolens aktiviteter;</w:t>
      </w:r>
    </w:p>
    <w:p w:rsidR="0099061B" w:rsidRPr="00C003C0" w:rsidRDefault="0099061B" w:rsidP="0099061B">
      <w:pPr>
        <w:pStyle w:val="NormalHanging12a"/>
        <w:rPr>
          <w:szCs w:val="24"/>
        </w:rPr>
      </w:pPr>
      <w:r w:rsidRPr="00C003C0">
        <w:t>62.</w:t>
      </w:r>
      <w:r w:rsidRPr="00C003C0">
        <w:tab/>
        <w:t xml:space="preserve">glæder sig over, at EU-Domstolen samarbejder fuldt ud med OLAF, Revisionsretten, EDPS og Den Europæiske Ombudsmand, herunder ved at sikre, at dens interne afgørelser om </w:t>
      </w:r>
      <w:proofErr w:type="spellStart"/>
      <w:r w:rsidRPr="00C003C0">
        <w:t>OLAF's</w:t>
      </w:r>
      <w:proofErr w:type="spellEnd"/>
      <w:r w:rsidRPr="00C003C0">
        <w:t xml:space="preserve"> undersøgelser ajourføres for at sikre overholdelse af de seneste krav;</w:t>
      </w:r>
    </w:p>
    <w:p w:rsidR="0099061B" w:rsidRPr="00C003C0" w:rsidRDefault="0099061B" w:rsidP="0099061B">
      <w:pPr>
        <w:pStyle w:val="NormalHanging12a"/>
        <w:rPr>
          <w:szCs w:val="24"/>
        </w:rPr>
      </w:pPr>
      <w:r w:rsidRPr="00C003C0">
        <w:t>63.</w:t>
      </w:r>
      <w:r w:rsidRPr="00C003C0">
        <w:tab/>
        <w:t>opfordrer EU-Domstolen til at dele antallet af sager om intellektuel ejendomsret og de specifikke stridsspørgsmål med Kommissionen og Den Europæiske Unions Kontor for Intellektuel Ejendomsret for at undersøge årsagerne til, at 30 % af de pågældende sager ved Retten i 2022 vedrørte intellektuel ejendomsret, med det formål at bidrage til at identificere eventuelle huller i Unionens lovgivningsmæssige retsakter; mener, at Unionens budget kan spares for behandlingen disse sager, hvis et specifikt stridsspørgsmål kan identificeres og løses ved hjælp af en ny EU-retsakt;</w:t>
      </w:r>
    </w:p>
    <w:p w:rsidR="0099061B" w:rsidRPr="00C003C0" w:rsidRDefault="0099061B" w:rsidP="0099061B">
      <w:pPr>
        <w:pStyle w:val="NormalHanging12a"/>
        <w:rPr>
          <w:szCs w:val="24"/>
        </w:rPr>
      </w:pPr>
      <w:r w:rsidRPr="00C003C0">
        <w:t>64.</w:t>
      </w:r>
      <w:r w:rsidRPr="00C003C0">
        <w:tab/>
        <w:t>anerkender de aktiviteter, der udføres af Det Europæiske Domstolsnetværk, som bidrager til at fremme og lette samarbejdet mellem EU-Domstolen og de nationale domstole, navnlig inden for domstolskontrol, juridisk forskning, flersproget terminologi og nye teknologier, samt til at slå til lyd for, at de mest effektive praksisser i retsplejen samles;</w:t>
      </w:r>
    </w:p>
    <w:p w:rsidR="0099061B" w:rsidRPr="002373AD" w:rsidRDefault="0099061B" w:rsidP="0099061B">
      <w:pPr>
        <w:spacing w:after="240"/>
        <w:rPr>
          <w:b/>
          <w:i/>
          <w:szCs w:val="24"/>
        </w:rPr>
      </w:pPr>
      <w:r w:rsidRPr="002373AD">
        <w:rPr>
          <w:b/>
          <w:i/>
        </w:rPr>
        <w:t>Kommunikation</w:t>
      </w:r>
    </w:p>
    <w:p w:rsidR="0099061B" w:rsidRPr="00C003C0" w:rsidRDefault="0099061B" w:rsidP="0099061B">
      <w:pPr>
        <w:pStyle w:val="NormalHanging12a"/>
        <w:rPr>
          <w:szCs w:val="24"/>
        </w:rPr>
      </w:pPr>
      <w:r w:rsidRPr="00C003C0">
        <w:t>65.</w:t>
      </w:r>
      <w:r w:rsidRPr="00C003C0">
        <w:tab/>
        <w:t>bemærker, at budgettet til kommunikation i 2022, der dækker udarbejdelse af indhold og trykning af interne og eksterne publikationer, var på 527 500 EUR, hvilket svarer til en stigning på 3,3 % i forhold til 2021;</w:t>
      </w:r>
    </w:p>
    <w:p w:rsidR="0099061B" w:rsidRPr="00C003C0" w:rsidRDefault="0099061B" w:rsidP="0099061B">
      <w:pPr>
        <w:pStyle w:val="NormalHanging12a"/>
        <w:rPr>
          <w:szCs w:val="24"/>
        </w:rPr>
      </w:pPr>
      <w:r w:rsidRPr="00C003C0">
        <w:t>66.</w:t>
      </w:r>
      <w:r w:rsidRPr="00C003C0">
        <w:tab/>
        <w:t>glæder sig over, at EU-Domstolen har brugt sit 70-års jubilæum som en mulighed for at styrke sin gennemsigtighed og kommunikation med EU-borgerne og afholde to åbent hus-dage med mulighed for, at borgerne kan stille spørgsmål på stedet; opfordrer EU-Domstolen til at overveje at følge op på disse initiativer også i de kommende år;</w:t>
      </w:r>
    </w:p>
    <w:p w:rsidR="0099061B" w:rsidRPr="00C003C0" w:rsidRDefault="0099061B" w:rsidP="0099061B">
      <w:pPr>
        <w:pStyle w:val="NormalHanging12a"/>
        <w:rPr>
          <w:szCs w:val="24"/>
        </w:rPr>
      </w:pPr>
      <w:r w:rsidRPr="00C003C0">
        <w:t>67.</w:t>
      </w:r>
      <w:r w:rsidRPr="00C003C0">
        <w:tab/>
        <w:t xml:space="preserve">bemærker med tilfredshed, at EU-Domstolen i 2022 startede med at anvende en </w:t>
      </w:r>
      <w:proofErr w:type="spellStart"/>
      <w:r w:rsidRPr="00C003C0">
        <w:t>streamingtjeneste</w:t>
      </w:r>
      <w:proofErr w:type="spellEnd"/>
      <w:r w:rsidRPr="00C003C0">
        <w:t xml:space="preserve"> for de retsmøder, der blev tildelt den store afdeling, og gav offentligheden mulighed for at få en bedre forståelse af, hvordan EU-Domstolen fungerer; opfordrer EU-Domstolen til at udvide dette initiativ for at sikre mere gennemsigtighed;</w:t>
      </w:r>
    </w:p>
    <w:p w:rsidR="0099061B" w:rsidRPr="00C003C0" w:rsidRDefault="0099061B" w:rsidP="0099061B">
      <w:pPr>
        <w:pStyle w:val="NormalHanging12a"/>
        <w:rPr>
          <w:szCs w:val="24"/>
        </w:rPr>
      </w:pPr>
      <w:r w:rsidRPr="00C003C0">
        <w:t>68.</w:t>
      </w:r>
      <w:r w:rsidRPr="00C003C0">
        <w:tab/>
        <w:t xml:space="preserve">glæder sig over, at EU-Domstolen deltager aktivt i EU Voice-projektet, som EDPS har iværksat for at interagere med offentligheden, og som har til hensigt at fremme brugen </w:t>
      </w:r>
      <w:r w:rsidRPr="00C003C0">
        <w:lastRenderedPageBreak/>
        <w:t>af decentraliserede, gratis og open source sociale netværk som et alternativ til netværk beskyttet af intellektuel ejendomsret;</w:t>
      </w:r>
    </w:p>
    <w:p w:rsidR="0099061B" w:rsidRPr="00C003C0" w:rsidRDefault="0099061B" w:rsidP="0099061B">
      <w:pPr>
        <w:pStyle w:val="NormalHanging12a"/>
        <w:rPr>
          <w:szCs w:val="24"/>
        </w:rPr>
      </w:pPr>
      <w:r w:rsidRPr="00C003C0">
        <w:t>69.</w:t>
      </w:r>
      <w:r w:rsidRPr="00C003C0">
        <w:tab/>
        <w:t xml:space="preserve">er af den opfattelse, at gennemsigtigheden og åbenheden i Unionens retslige procedure bør styrkes, eftersom Domstolen i stigende grad skal tage stilling til spørgsmål af forfatningsmæssig karakter og til spørgsmål relateret til menneskerettigheder og til Den Europæiske Unions charter om grundlæggende rettigheder; glæder sig i den forbindelse over oprettelsen af et system til </w:t>
      </w:r>
      <w:proofErr w:type="spellStart"/>
      <w:r w:rsidRPr="00C003C0">
        <w:t>streaming</w:t>
      </w:r>
      <w:proofErr w:type="spellEnd"/>
      <w:r w:rsidRPr="00C003C0">
        <w:t xml:space="preserve"> af Domstolens retsmøder, hvilket tjener til at styrke den dimension af EU-Domstolen, som er rettet mod borgerne, via øget tilgængelighed for den brede offentlighed; understreger i den forbindelse, at det er nødvendigt gradvist at supplere det nye </w:t>
      </w:r>
      <w:proofErr w:type="spellStart"/>
      <w:r w:rsidRPr="00C003C0">
        <w:t>streamingsystem</w:t>
      </w:r>
      <w:proofErr w:type="spellEnd"/>
      <w:r w:rsidRPr="00C003C0">
        <w:t xml:space="preserve"> med yderligere eksterne kommunikationsmidler, som vil gøre det muligt at øge synligheden af institutionens arbejde;</w:t>
      </w:r>
    </w:p>
    <w:p w:rsidR="0099061B" w:rsidRPr="00C003C0" w:rsidRDefault="0099061B" w:rsidP="0099061B">
      <w:pPr>
        <w:pStyle w:val="NormalHanging12a"/>
        <w:rPr>
          <w:szCs w:val="24"/>
        </w:rPr>
      </w:pPr>
      <w:r w:rsidRPr="00C003C0">
        <w:t>70.</w:t>
      </w:r>
      <w:r w:rsidRPr="00C003C0">
        <w:tab/>
        <w:t>glæder sig over, at et initiativ, der tilbyder fjernbesøg til EU-Domstolen, blev iværksat i 2022, efter at pilotfasen blev afsluttet i 2021, hvilket giver unge mellem 15 og 18 år en forståelse af EU-Domstolen og indvirkningen af retspraksis på deres dagligdag og øger deres forståelse af deres rettigheder som unionsborgere og Unionens demokratiske værdier; opfordrer EU-Domstolen til at udvide disse fjernbesøg rettet mod unge til personer mellem 15 og 29 år; opfordrer endvidere EU-Domstolen til også at tilbyde fjernbesøg til borgere i alle aldre, og understreger, at fjernbesøg bør være så tilgængelige som muligt for alle europæere;</w:t>
      </w:r>
    </w:p>
    <w:p w:rsidR="0099061B" w:rsidRPr="00C003C0" w:rsidRDefault="0099061B" w:rsidP="0099061B">
      <w:pPr>
        <w:pStyle w:val="NormalHanging12a"/>
        <w:rPr>
          <w:szCs w:val="24"/>
        </w:rPr>
      </w:pPr>
      <w:r w:rsidRPr="00C003C0">
        <w:t>71.</w:t>
      </w:r>
      <w:r w:rsidRPr="00C003C0">
        <w:tab/>
        <w:t xml:space="preserve">bemærker, at EU-Domstolen sammen med flere andre EU-institutioner deltager aktivt i et projekt iværksat af EDPS med regelmæssige publikationer på det decentraliserede sociale medie </w:t>
      </w:r>
      <w:proofErr w:type="spellStart"/>
      <w:r w:rsidRPr="00C003C0">
        <w:t>Mastodon</w:t>
      </w:r>
      <w:proofErr w:type="spellEnd"/>
      <w:r w:rsidRPr="00C003C0">
        <w:t xml:space="preserve"> ved hjælp af gratis open source-software; bemærker, at EU-Domstolen også anvender platformene X (tidligere Twitter) og LinkedIn, og at EU-Domstolen fortsatte sin tidligere praksis med offentliggørelse på både X (tidligere Twitter) og </w:t>
      </w:r>
      <w:proofErr w:type="spellStart"/>
      <w:r w:rsidRPr="00C003C0">
        <w:t>Mastodon</w:t>
      </w:r>
      <w:proofErr w:type="spellEnd"/>
      <w:r w:rsidRPr="00C003C0">
        <w:t>-platformene, så snart der var fundet en teknisk løsning, der muliggør en automatiseret parallel offentliggørelse; opfordrer EU-Domstolen til regelmæssigt at offentliggøre, hvor den er til stede på en social medieplatform, for at undgå stagnerende konti på de sociale medier, da dette risikerer at give indtryk af inaktivitet i EU-Domstolens daglige arbejde.</w:t>
      </w:r>
    </w:p>
    <w:sectPr w:rsidR="0099061B" w:rsidRPr="00C003C0" w:rsidSect="002373A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BF" w:rsidRPr="00C003C0" w:rsidRDefault="00011DBF">
      <w:r w:rsidRPr="00C003C0">
        <w:separator/>
      </w:r>
    </w:p>
  </w:endnote>
  <w:endnote w:type="continuationSeparator" w:id="0">
    <w:p w:rsidR="00011DBF" w:rsidRPr="00C003C0" w:rsidRDefault="00011DBF">
      <w:r w:rsidRPr="00C003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rsidP="00214973">
    <w:pPr>
      <w:pStyle w:val="EPFooter"/>
    </w:pPr>
    <w:r w:rsidRPr="00C003C0">
      <w:t>PE</w:t>
    </w:r>
    <w:r w:rsidRPr="00C003C0">
      <w:rPr>
        <w:rStyle w:val="HideTWBExt"/>
      </w:rPr>
      <w:t>&lt;</w:t>
    </w:r>
    <w:proofErr w:type="spellStart"/>
    <w:r w:rsidRPr="00C003C0">
      <w:rPr>
        <w:rStyle w:val="HideTWBExt"/>
      </w:rPr>
      <w:t>NoPE</w:t>
    </w:r>
    <w:proofErr w:type="spellEnd"/>
    <w:r w:rsidRPr="00C003C0">
      <w:rPr>
        <w:rStyle w:val="HideTWBExt"/>
      </w:rPr>
      <w:t>&gt;</w:t>
    </w:r>
    <w:r w:rsidRPr="00C003C0">
      <w:t>753.480</w:t>
    </w:r>
    <w:r w:rsidRPr="00C003C0">
      <w:rPr>
        <w:rStyle w:val="HideTWBExt"/>
      </w:rPr>
      <w:t>&lt;/</w:t>
    </w:r>
    <w:proofErr w:type="spellStart"/>
    <w:r w:rsidRPr="00C003C0">
      <w:rPr>
        <w:rStyle w:val="HideTWBExt"/>
      </w:rPr>
      <w:t>NoPE</w:t>
    </w:r>
    <w:proofErr w:type="spellEnd"/>
    <w:r w:rsidRPr="00C003C0">
      <w:rPr>
        <w:rStyle w:val="HideTWBExt"/>
      </w:rPr>
      <w:t>&gt;&lt;Version&gt;</w:t>
    </w:r>
    <w:r w:rsidRPr="00C003C0">
      <w:t>v02-00</w:t>
    </w:r>
    <w:r w:rsidRPr="00C003C0">
      <w:rPr>
        <w:rStyle w:val="HideTWBExt"/>
      </w:rPr>
      <w:t>&lt;/Version&gt;</w:t>
    </w:r>
    <w:r w:rsidRPr="00C003C0">
      <w:tab/>
    </w:r>
    <w:r w:rsidRPr="00C003C0">
      <w:fldChar w:fldCharType="begin"/>
    </w:r>
    <w:r w:rsidRPr="00C003C0">
      <w:instrText xml:space="preserve"> PAGE  \* MERGEFORMAT </w:instrText>
    </w:r>
    <w:r w:rsidRPr="00C003C0">
      <w:fldChar w:fldCharType="separate"/>
    </w:r>
    <w:r w:rsidR="00C003C0" w:rsidRPr="00C003C0">
      <w:rPr>
        <w:noProof/>
      </w:rPr>
      <w:t>2</w:t>
    </w:r>
    <w:r w:rsidRPr="00C003C0">
      <w:fldChar w:fldCharType="end"/>
    </w:r>
    <w:r w:rsidRPr="00C003C0">
      <w:t>/</w:t>
    </w:r>
    <w:r w:rsidR="00525376">
      <w:fldChar w:fldCharType="begin"/>
    </w:r>
    <w:r w:rsidR="00525376">
      <w:instrText xml:space="preserve"> NUMPAGES  \* MERGEFORMAT </w:instrText>
    </w:r>
    <w:r w:rsidR="00525376">
      <w:fldChar w:fldCharType="separate"/>
    </w:r>
    <w:r w:rsidR="00C003C0" w:rsidRPr="00C003C0">
      <w:rPr>
        <w:noProof/>
      </w:rPr>
      <w:t>4</w:t>
    </w:r>
    <w:r w:rsidR="00525376">
      <w:rPr>
        <w:noProof/>
      </w:rPr>
      <w:fldChar w:fldCharType="end"/>
    </w:r>
    <w:r w:rsidRPr="00C003C0">
      <w:tab/>
    </w:r>
    <w:r w:rsidRPr="00C003C0">
      <w:rPr>
        <w:rStyle w:val="HideTWBExt"/>
      </w:rPr>
      <w:t>&lt;PathFdR&gt;</w:t>
    </w:r>
    <w:r w:rsidRPr="00C003C0">
      <w:t>RR\1298529DA.docx</w:t>
    </w:r>
    <w:r w:rsidRPr="00C003C0">
      <w:rPr>
        <w:rStyle w:val="HideTWBExt"/>
      </w:rPr>
      <w:t>&lt;/</w:t>
    </w:r>
    <w:proofErr w:type="spellStart"/>
    <w:r w:rsidRPr="00C003C0">
      <w:rPr>
        <w:rStyle w:val="HideTWBExt"/>
      </w:rPr>
      <w:t>PathFdR</w:t>
    </w:r>
    <w:proofErr w:type="spellEnd"/>
    <w:r w:rsidRPr="00C003C0">
      <w:rPr>
        <w:rStyle w:val="HideTWBExt"/>
      </w:rPr>
      <w:t>&gt;</w:t>
    </w:r>
  </w:p>
  <w:p w:rsidR="0099061B" w:rsidRPr="00C003C0" w:rsidRDefault="0099061B" w:rsidP="00214973">
    <w:pPr>
      <w:pStyle w:val="EPFooter2"/>
    </w:pPr>
    <w:r w:rsidRPr="00C003C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rsidP="0021497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rsidP="00214973">
    <w:pPr>
      <w:pStyle w:val="EPFooter"/>
    </w:pPr>
    <w:r w:rsidRPr="00C003C0">
      <w:rPr>
        <w:rStyle w:val="HideTWBExt"/>
      </w:rPr>
      <w:t>&lt;PathFdR&gt;</w:t>
    </w:r>
    <w:r w:rsidRPr="00C003C0">
      <w:t>RR\1298529DA.docx</w:t>
    </w:r>
    <w:r w:rsidRPr="00C003C0">
      <w:rPr>
        <w:rStyle w:val="HideTWBExt"/>
      </w:rPr>
      <w:t>&lt;/</w:t>
    </w:r>
    <w:proofErr w:type="spellStart"/>
    <w:r w:rsidRPr="00C003C0">
      <w:rPr>
        <w:rStyle w:val="HideTWBExt"/>
      </w:rPr>
      <w:t>PathFdR</w:t>
    </w:r>
    <w:proofErr w:type="spellEnd"/>
    <w:r w:rsidRPr="00C003C0">
      <w:rPr>
        <w:rStyle w:val="HideTWBExt"/>
      </w:rPr>
      <w:t>&gt;</w:t>
    </w:r>
    <w:r w:rsidRPr="00C003C0">
      <w:tab/>
    </w:r>
    <w:r w:rsidRPr="00C003C0">
      <w:tab/>
      <w:t>PE</w:t>
    </w:r>
    <w:r w:rsidRPr="00C003C0">
      <w:rPr>
        <w:rStyle w:val="HideTWBExt"/>
      </w:rPr>
      <w:t>&lt;</w:t>
    </w:r>
    <w:proofErr w:type="spellStart"/>
    <w:r w:rsidRPr="00C003C0">
      <w:rPr>
        <w:rStyle w:val="HideTWBExt"/>
      </w:rPr>
      <w:t>NoPE</w:t>
    </w:r>
    <w:proofErr w:type="spellEnd"/>
    <w:r w:rsidRPr="00C003C0">
      <w:rPr>
        <w:rStyle w:val="HideTWBExt"/>
      </w:rPr>
      <w:t>&gt;</w:t>
    </w:r>
    <w:r w:rsidRPr="00C003C0">
      <w:t>753.480</w:t>
    </w:r>
    <w:r w:rsidRPr="00C003C0">
      <w:rPr>
        <w:rStyle w:val="HideTWBExt"/>
      </w:rPr>
      <w:t>&lt;/</w:t>
    </w:r>
    <w:proofErr w:type="spellStart"/>
    <w:r w:rsidRPr="00C003C0">
      <w:rPr>
        <w:rStyle w:val="HideTWBExt"/>
      </w:rPr>
      <w:t>NoPE</w:t>
    </w:r>
    <w:proofErr w:type="spellEnd"/>
    <w:r w:rsidRPr="00C003C0">
      <w:rPr>
        <w:rStyle w:val="HideTWBExt"/>
      </w:rPr>
      <w:t>&gt;&lt;Version&gt;</w:t>
    </w:r>
    <w:r w:rsidRPr="00C003C0">
      <w:t>v02-00</w:t>
    </w:r>
    <w:r w:rsidRPr="00C003C0">
      <w:rPr>
        <w:rStyle w:val="HideTWBExt"/>
      </w:rPr>
      <w:t>&lt;/Version&gt;</w:t>
    </w:r>
  </w:p>
  <w:p w:rsidR="0099061B" w:rsidRPr="00C003C0" w:rsidRDefault="0099061B" w:rsidP="00214973">
    <w:pPr>
      <w:pStyle w:val="EPFooter2"/>
    </w:pPr>
    <w:r w:rsidRPr="00C003C0">
      <w:t>DA</w:t>
    </w:r>
    <w:r w:rsidRPr="00C003C0">
      <w:tab/>
    </w:r>
    <w:r w:rsidRPr="00C003C0">
      <w:rPr>
        <w:b w:val="0"/>
        <w:i/>
        <w:color w:val="C0C0C0"/>
        <w:sz w:val="22"/>
      </w:rPr>
      <w:t>Forenet i mangfoldighed</w:t>
    </w:r>
    <w:r w:rsidRPr="00C003C0">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BF" w:rsidRPr="00C003C0" w:rsidRDefault="00011DBF">
      <w:r w:rsidRPr="00C003C0">
        <w:separator/>
      </w:r>
    </w:p>
  </w:footnote>
  <w:footnote w:type="continuationSeparator" w:id="0">
    <w:p w:rsidR="00011DBF" w:rsidRPr="00C003C0" w:rsidRDefault="00011DBF">
      <w:r w:rsidRPr="00C003C0">
        <w:continuationSeparator/>
      </w:r>
    </w:p>
  </w:footnote>
  <w:footnote w:id="1">
    <w:p w:rsidR="0099061B" w:rsidRPr="00C003C0" w:rsidRDefault="0099061B" w:rsidP="00C003C0">
      <w:pPr>
        <w:pStyle w:val="FootnoteText"/>
        <w:ind w:left="567" w:hanging="567"/>
        <w:rPr>
          <w:sz w:val="24"/>
          <w:lang w:val="da-DK"/>
        </w:rPr>
      </w:pPr>
      <w:r w:rsidRPr="00C003C0">
        <w:rPr>
          <w:rStyle w:val="FootnoteReference"/>
          <w:sz w:val="24"/>
          <w:lang w:val="da-DK"/>
        </w:rPr>
        <w:footnoteRef/>
      </w:r>
      <w:r w:rsidR="00C003C0" w:rsidRPr="00C003C0">
        <w:rPr>
          <w:sz w:val="24"/>
          <w:lang w:val="da-DK"/>
        </w:rPr>
        <w:t xml:space="preserve"> </w:t>
      </w:r>
      <w:r w:rsidR="00C003C0" w:rsidRPr="00C003C0">
        <w:rPr>
          <w:sz w:val="24"/>
          <w:lang w:val="da-DK"/>
        </w:rPr>
        <w:tab/>
      </w:r>
      <w:r w:rsidRPr="00C003C0">
        <w:rPr>
          <w:sz w:val="24"/>
          <w:lang w:val="da-DK"/>
        </w:rPr>
        <w:t>EUT L 45 af 24.2.2022.</w:t>
      </w:r>
    </w:p>
  </w:footnote>
  <w:footnote w:id="2">
    <w:p w:rsidR="0099061B" w:rsidRPr="00C003C0" w:rsidRDefault="0099061B" w:rsidP="00C003C0">
      <w:pPr>
        <w:pStyle w:val="FootnoteText"/>
        <w:ind w:left="567" w:hanging="567"/>
        <w:rPr>
          <w:sz w:val="24"/>
          <w:lang w:val="da-DK"/>
        </w:rPr>
      </w:pPr>
      <w:r w:rsidRPr="00C003C0">
        <w:rPr>
          <w:rStyle w:val="FootnoteReference"/>
          <w:sz w:val="24"/>
          <w:lang w:val="da-DK"/>
        </w:rPr>
        <w:footnoteRef/>
      </w:r>
      <w:r w:rsidR="00C003C0" w:rsidRPr="00C003C0">
        <w:rPr>
          <w:sz w:val="24"/>
          <w:lang w:val="da-DK"/>
        </w:rPr>
        <w:t xml:space="preserve"> </w:t>
      </w:r>
      <w:r w:rsidR="00C003C0" w:rsidRPr="00C003C0">
        <w:rPr>
          <w:sz w:val="24"/>
          <w:lang w:val="da-DK"/>
        </w:rPr>
        <w:tab/>
      </w:r>
      <w:r w:rsidRPr="00C003C0">
        <w:rPr>
          <w:sz w:val="24"/>
          <w:lang w:val="da-DK"/>
        </w:rPr>
        <w:t>EUT C, C/2023/2, 12.10.2023.</w:t>
      </w:r>
    </w:p>
  </w:footnote>
  <w:footnote w:id="3">
    <w:p w:rsidR="0099061B" w:rsidRPr="006F5504" w:rsidRDefault="0099061B" w:rsidP="00C003C0">
      <w:pPr>
        <w:pStyle w:val="FootnoteText"/>
        <w:ind w:left="567" w:hanging="567"/>
        <w:rPr>
          <w:sz w:val="24"/>
        </w:rPr>
      </w:pPr>
      <w:r w:rsidRPr="00C003C0">
        <w:rPr>
          <w:rStyle w:val="FootnoteReference"/>
          <w:sz w:val="24"/>
          <w:lang w:val="da-DK"/>
        </w:rPr>
        <w:footnoteRef/>
      </w:r>
      <w:r w:rsidR="00C003C0" w:rsidRPr="006F5504">
        <w:rPr>
          <w:sz w:val="24"/>
        </w:rPr>
        <w:t xml:space="preserve"> </w:t>
      </w:r>
      <w:r w:rsidR="00C003C0" w:rsidRPr="006F5504">
        <w:rPr>
          <w:sz w:val="24"/>
        </w:rPr>
        <w:tab/>
      </w:r>
      <w:r w:rsidRPr="006F5504">
        <w:rPr>
          <w:sz w:val="24"/>
        </w:rPr>
        <w:t>EUT C, C/2023/103, 4.10.2023.</w:t>
      </w:r>
    </w:p>
  </w:footnote>
  <w:footnote w:id="4">
    <w:p w:rsidR="0099061B" w:rsidRPr="006F5504" w:rsidRDefault="0099061B" w:rsidP="00C003C0">
      <w:pPr>
        <w:pStyle w:val="FootnoteText"/>
        <w:ind w:left="567" w:hanging="567"/>
        <w:rPr>
          <w:sz w:val="24"/>
        </w:rPr>
      </w:pPr>
      <w:r w:rsidRPr="00C003C0">
        <w:rPr>
          <w:rStyle w:val="FootnoteReference"/>
          <w:sz w:val="24"/>
          <w:lang w:val="da-DK"/>
        </w:rPr>
        <w:footnoteRef/>
      </w:r>
      <w:r w:rsidR="00C003C0" w:rsidRPr="006F5504">
        <w:rPr>
          <w:sz w:val="24"/>
        </w:rPr>
        <w:t xml:space="preserve"> </w:t>
      </w:r>
      <w:r w:rsidR="00C003C0" w:rsidRPr="006F5504">
        <w:rPr>
          <w:sz w:val="24"/>
        </w:rPr>
        <w:tab/>
      </w:r>
      <w:r w:rsidRPr="006F5504">
        <w:rPr>
          <w:sz w:val="24"/>
        </w:rPr>
        <w:t>EUT C, C/2023/112, 12.10 2023.</w:t>
      </w:r>
    </w:p>
  </w:footnote>
  <w:footnote w:id="5">
    <w:p w:rsidR="0099061B" w:rsidRPr="00C003C0" w:rsidRDefault="0099061B" w:rsidP="00C003C0">
      <w:pPr>
        <w:pStyle w:val="FootnoteText"/>
        <w:ind w:left="567" w:hanging="567"/>
        <w:rPr>
          <w:sz w:val="24"/>
          <w:szCs w:val="24"/>
          <w:lang w:val="da-DK"/>
        </w:rPr>
      </w:pPr>
      <w:r w:rsidRPr="00C003C0">
        <w:rPr>
          <w:rStyle w:val="FootnoteReference"/>
          <w:sz w:val="24"/>
          <w:lang w:val="da-DK"/>
        </w:rPr>
        <w:footnoteRef/>
      </w:r>
      <w:r w:rsidR="00C003C0" w:rsidRPr="00C003C0">
        <w:rPr>
          <w:sz w:val="24"/>
          <w:lang w:val="da-DK"/>
        </w:rPr>
        <w:t xml:space="preserve"> </w:t>
      </w:r>
      <w:r w:rsidR="00C003C0" w:rsidRPr="00C003C0">
        <w:rPr>
          <w:sz w:val="24"/>
          <w:lang w:val="da-DK"/>
        </w:rPr>
        <w:tab/>
      </w:r>
      <w:r w:rsidRPr="00C003C0">
        <w:rPr>
          <w:sz w:val="24"/>
          <w:lang w:val="da-DK"/>
        </w:rPr>
        <w:t>EUT L 193 af 30.7.2018,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61B" w:rsidRPr="00C003C0" w:rsidRDefault="009906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03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DA"/>
    <w:docVar w:name="dvnumam" w:val="0"/>
    <w:docVar w:name="dvpe" w:val="753.480"/>
    <w:docVar w:name="dvrapporteur" w:val="Ordfører: "/>
    <w:docVar w:name="dvtitre" w:val="Europa-Parlamentets afgørelse af xx.xx 2024 om decharge for gennemførelsen af Den Europæiske Unions almindelige budget for regnskabsåret 2022, Sektion IV – Den Europæiske Unions Domstol(2023/2132(DEC))"/>
  </w:docVars>
  <w:rsids>
    <w:rsidRoot w:val="00011DBF"/>
    <w:rsid w:val="00002272"/>
    <w:rsid w:val="00011DBF"/>
    <w:rsid w:val="00064002"/>
    <w:rsid w:val="000677B9"/>
    <w:rsid w:val="000831BA"/>
    <w:rsid w:val="000A42CC"/>
    <w:rsid w:val="000E7DD9"/>
    <w:rsid w:val="0010095E"/>
    <w:rsid w:val="00125B37"/>
    <w:rsid w:val="00187494"/>
    <w:rsid w:val="001F32AE"/>
    <w:rsid w:val="002373AD"/>
    <w:rsid w:val="002767FF"/>
    <w:rsid w:val="002B18FE"/>
    <w:rsid w:val="002B5493"/>
    <w:rsid w:val="00343214"/>
    <w:rsid w:val="00361C00"/>
    <w:rsid w:val="00395FA1"/>
    <w:rsid w:val="003D20AD"/>
    <w:rsid w:val="003E15D4"/>
    <w:rsid w:val="00411CCE"/>
    <w:rsid w:val="0041666E"/>
    <w:rsid w:val="00421060"/>
    <w:rsid w:val="00471C19"/>
    <w:rsid w:val="004867E3"/>
    <w:rsid w:val="00494A28"/>
    <w:rsid w:val="004C0004"/>
    <w:rsid w:val="004C5D52"/>
    <w:rsid w:val="0050519A"/>
    <w:rsid w:val="005072A1"/>
    <w:rsid w:val="00514517"/>
    <w:rsid w:val="00525376"/>
    <w:rsid w:val="00545827"/>
    <w:rsid w:val="00560270"/>
    <w:rsid w:val="005C2568"/>
    <w:rsid w:val="006037C0"/>
    <w:rsid w:val="006631B6"/>
    <w:rsid w:val="00680577"/>
    <w:rsid w:val="006F55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61B"/>
    <w:rsid w:val="009F334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66B"/>
    <w:rsid w:val="00C003C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DF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11692"/>
  <w15:chartTrackingRefBased/>
  <w15:docId w15:val="{63FACC40-97C2-46D1-80E3-E0935863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06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061B"/>
    <w:pPr>
      <w:spacing w:before="480" w:after="240"/>
    </w:pPr>
  </w:style>
  <w:style w:type="paragraph" w:customStyle="1" w:styleId="PageHeading">
    <w:name w:val="PageHeading"/>
    <w:basedOn w:val="Normal"/>
    <w:rsid w:val="0099061B"/>
    <w:pPr>
      <w:keepNext/>
      <w:spacing w:after="480"/>
      <w:jc w:val="center"/>
    </w:pPr>
    <w:rPr>
      <w:rFonts w:ascii="Arial" w:hAnsi="Arial" w:cs="Arial"/>
      <w:b/>
    </w:rPr>
  </w:style>
  <w:style w:type="paragraph" w:customStyle="1" w:styleId="NormalBold">
    <w:name w:val="NormalBold"/>
    <w:basedOn w:val="Normal"/>
    <w:rsid w:val="0099061B"/>
    <w:rPr>
      <w:b/>
    </w:rPr>
  </w:style>
  <w:style w:type="paragraph" w:customStyle="1" w:styleId="NormalHanging12a">
    <w:name w:val="NormalHanging12a"/>
    <w:basedOn w:val="Normal"/>
    <w:link w:val="NormalHanging12aChar"/>
    <w:qFormat/>
    <w:rsid w:val="0099061B"/>
    <w:pPr>
      <w:spacing w:after="240"/>
      <w:ind w:left="567" w:hanging="567"/>
    </w:pPr>
  </w:style>
  <w:style w:type="paragraph" w:styleId="Header">
    <w:name w:val="header"/>
    <w:basedOn w:val="Normal"/>
    <w:link w:val="HeaderChar"/>
    <w:rsid w:val="0099061B"/>
    <w:pPr>
      <w:tabs>
        <w:tab w:val="center" w:pos="4513"/>
        <w:tab w:val="right" w:pos="9026"/>
      </w:tabs>
    </w:pPr>
  </w:style>
  <w:style w:type="character" w:customStyle="1" w:styleId="HeaderChar">
    <w:name w:val="Header Char"/>
    <w:basedOn w:val="DefaultParagraphFont"/>
    <w:link w:val="Header"/>
    <w:rsid w:val="0099061B"/>
    <w:rPr>
      <w:sz w:val="24"/>
      <w:lang w:val="da-DK"/>
    </w:rPr>
  </w:style>
  <w:style w:type="paragraph" w:customStyle="1" w:styleId="EPFooter">
    <w:name w:val="EPFooter"/>
    <w:basedOn w:val="Normal"/>
    <w:rsid w:val="0099061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9061B"/>
    <w:rPr>
      <w:sz w:val="24"/>
      <w:lang w:val="da-DK"/>
    </w:rPr>
  </w:style>
  <w:style w:type="paragraph" w:customStyle="1" w:styleId="Normal24a">
    <w:name w:val="Normal24a"/>
    <w:basedOn w:val="Normal"/>
    <w:rsid w:val="0099061B"/>
    <w:pPr>
      <w:spacing w:after="480"/>
    </w:pPr>
  </w:style>
  <w:style w:type="paragraph" w:customStyle="1" w:styleId="NormalBoldCenter">
    <w:name w:val="NormalBoldCenter"/>
    <w:basedOn w:val="Normal"/>
    <w:rsid w:val="0099061B"/>
    <w:pPr>
      <w:jc w:val="center"/>
    </w:pPr>
    <w:rPr>
      <w:b/>
    </w:rPr>
  </w:style>
  <w:style w:type="paragraph" w:customStyle="1" w:styleId="Normal12a">
    <w:name w:val="Normal12a"/>
    <w:basedOn w:val="Normal"/>
    <w:rsid w:val="0099061B"/>
    <w:pPr>
      <w:spacing w:after="240"/>
    </w:pPr>
  </w:style>
  <w:style w:type="paragraph" w:customStyle="1" w:styleId="PageHeadingNotTOC">
    <w:name w:val="PageHeadingNotTOC"/>
    <w:basedOn w:val="Normal"/>
    <w:rsid w:val="0099061B"/>
    <w:pPr>
      <w:keepNext/>
      <w:spacing w:after="480"/>
      <w:jc w:val="center"/>
    </w:pPr>
    <w:rPr>
      <w:rFonts w:ascii="Arial" w:hAnsi="Arial" w:cs="Arial"/>
      <w:b/>
    </w:rPr>
  </w:style>
  <w:style w:type="paragraph" w:styleId="ListParagraph">
    <w:name w:val="List Paragraph"/>
    <w:basedOn w:val="Normal"/>
    <w:uiPriority w:val="34"/>
    <w:qFormat/>
    <w:rsid w:val="0099061B"/>
    <w:pPr>
      <w:ind w:left="720"/>
      <w:contextualSpacing/>
    </w:pPr>
  </w:style>
  <w:style w:type="paragraph" w:styleId="BalloonText">
    <w:name w:val="Balloon Text"/>
    <w:basedOn w:val="Normal"/>
    <w:link w:val="BalloonTextChar"/>
    <w:rsid w:val="00BE766B"/>
    <w:rPr>
      <w:rFonts w:ascii="Segoe UI" w:hAnsi="Segoe UI" w:cs="Segoe UI"/>
      <w:sz w:val="18"/>
      <w:szCs w:val="18"/>
    </w:rPr>
  </w:style>
  <w:style w:type="character" w:customStyle="1" w:styleId="BalloonTextChar">
    <w:name w:val="Balloon Text Char"/>
    <w:basedOn w:val="DefaultParagraphFont"/>
    <w:link w:val="BalloonText"/>
    <w:rsid w:val="00BE766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FAF1-3675-4CD2-B964-37046C85F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5442</Words>
  <Characters>32673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2024-05-15T07:05:00Z</dcterms:created>
  <dcterms:modified xsi:type="dcterms:W3CDTF">2024-05-15T07:05:00Z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P9_TA(2024)0230_</vt:lpwstr>
  </property>
  <property fmtid="{D5CDD505-2E9C-101B-9397-08002B2CF9AE}" pid="4" name="&lt;Type&gt;">
    <vt:lpwstr>RR</vt:lpwstr>
  </property>
</Properties>
</file>