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455A" w:rsidTr="0010095E">
        <w:trPr>
          <w:trHeight w:hRule="exact" w:val="1418"/>
        </w:trPr>
        <w:tc>
          <w:tcPr>
            <w:tcW w:w="6804" w:type="dxa"/>
            <w:shd w:val="clear" w:color="auto" w:fill="auto"/>
            <w:vAlign w:val="center"/>
          </w:tcPr>
          <w:p w:rsidR="00751A4A" w:rsidRPr="002A455A" w:rsidRDefault="00AE70DD" w:rsidP="0010095E">
            <w:pPr>
              <w:pStyle w:val="EPName"/>
            </w:pPr>
            <w:r w:rsidRPr="002A455A">
              <w:t>Ευρωπαϊκό Κοινοβούλιο</w:t>
            </w:r>
          </w:p>
          <w:p w:rsidR="00751A4A" w:rsidRPr="002A455A" w:rsidRDefault="00817416" w:rsidP="00756632">
            <w:pPr>
              <w:pStyle w:val="EPTerm"/>
              <w:rPr>
                <w:rStyle w:val="HideTWBExt"/>
                <w:noProof w:val="0"/>
                <w:vanish w:val="0"/>
                <w:color w:val="auto"/>
              </w:rPr>
            </w:pPr>
            <w:r w:rsidRPr="002A455A">
              <w:t>2019-2024</w:t>
            </w:r>
          </w:p>
        </w:tc>
        <w:tc>
          <w:tcPr>
            <w:tcW w:w="2268" w:type="dxa"/>
            <w:shd w:val="clear" w:color="auto" w:fill="auto"/>
          </w:tcPr>
          <w:p w:rsidR="00751A4A" w:rsidRPr="002A455A" w:rsidRDefault="00187494" w:rsidP="0010095E">
            <w:pPr>
              <w:pStyle w:val="EPLogo"/>
            </w:pPr>
            <w:r w:rsidRPr="002A455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455A" w:rsidRDefault="00D058B8" w:rsidP="004C5D52">
      <w:pPr>
        <w:pStyle w:val="LineTop"/>
      </w:pPr>
    </w:p>
    <w:p w:rsidR="00680577" w:rsidRPr="002A455A" w:rsidRDefault="00AE70DD" w:rsidP="00680577">
      <w:pPr>
        <w:pStyle w:val="EPBodyTA1"/>
      </w:pPr>
      <w:r w:rsidRPr="002A455A">
        <w:t>ΚΕΙΜΕΝΑ ΠΟΥ ΕΓΚΡΙΘΗΚΑΝ</w:t>
      </w:r>
    </w:p>
    <w:p w:rsidR="00D058B8" w:rsidRPr="002A455A" w:rsidRDefault="00D058B8" w:rsidP="00D058B8">
      <w:pPr>
        <w:pStyle w:val="LineBottom"/>
      </w:pPr>
    </w:p>
    <w:p w:rsidR="00AE70DD" w:rsidRPr="002A455A" w:rsidRDefault="00AE70DD" w:rsidP="00AE70DD">
      <w:pPr>
        <w:pStyle w:val="ATHeading1"/>
      </w:pPr>
      <w:bookmarkStart w:id="0" w:name="TANumber"/>
      <w:r w:rsidRPr="002A455A">
        <w:t>P9_TA(2024)</w:t>
      </w:r>
      <w:bookmarkEnd w:id="0"/>
      <w:r w:rsidR="00096AF4" w:rsidRPr="002A455A">
        <w:t>0230</w:t>
      </w:r>
    </w:p>
    <w:p w:rsidR="00AE70DD" w:rsidRPr="002A455A" w:rsidRDefault="00AE70DD" w:rsidP="00AE70DD">
      <w:pPr>
        <w:pStyle w:val="ATHeading2"/>
      </w:pPr>
      <w:bookmarkStart w:id="1" w:name="title"/>
      <w:r w:rsidRPr="002A455A">
        <w:t xml:space="preserve">Απαλλαγή 2022: </w:t>
      </w:r>
      <w:r w:rsidR="002674AE" w:rsidRPr="00D0775E">
        <w:t xml:space="preserve">Γενικός προϋπολογισμός της ΕΕ – </w:t>
      </w:r>
      <w:r w:rsidRPr="002A455A">
        <w:t>Δικαστήριο της Ευρωπαϊκής Ένωσης</w:t>
      </w:r>
      <w:bookmarkEnd w:id="1"/>
    </w:p>
    <w:p w:rsidR="00AE70DD" w:rsidRPr="002A455A" w:rsidRDefault="00AE70DD" w:rsidP="00AE70DD">
      <w:pPr>
        <w:rPr>
          <w:i/>
          <w:vanish/>
        </w:rPr>
      </w:pPr>
      <w:r w:rsidRPr="002A455A">
        <w:rPr>
          <w:i/>
        </w:rPr>
        <w:fldChar w:fldCharType="begin"/>
      </w:r>
      <w:r w:rsidRPr="002A455A">
        <w:rPr>
          <w:i/>
        </w:rPr>
        <w:instrText xml:space="preserve"> TC"(</w:instrText>
      </w:r>
      <w:bookmarkStart w:id="2" w:name="DocNumber"/>
      <w:r w:rsidRPr="002A455A">
        <w:rPr>
          <w:i/>
        </w:rPr>
        <w:instrText>A9-0075/2024</w:instrText>
      </w:r>
      <w:bookmarkEnd w:id="2"/>
      <w:r w:rsidRPr="002A455A">
        <w:rPr>
          <w:i/>
        </w:rPr>
        <w:instrText xml:space="preserve"> - Εισηγητής: Luke Ming Flanagan)"\l3 \n&gt; \* MERGEFORMAT </w:instrText>
      </w:r>
      <w:r w:rsidRPr="002A455A">
        <w:rPr>
          <w:i/>
        </w:rPr>
        <w:fldChar w:fldCharType="end"/>
      </w:r>
    </w:p>
    <w:p w:rsidR="00AE70DD" w:rsidRPr="002A455A" w:rsidRDefault="00AE70DD" w:rsidP="00AE70DD">
      <w:pPr>
        <w:rPr>
          <w:vanish/>
        </w:rPr>
      </w:pPr>
      <w:bookmarkStart w:id="3" w:name="Commission"/>
      <w:r w:rsidRPr="002A455A">
        <w:rPr>
          <w:vanish/>
        </w:rPr>
        <w:t>Επιτροπή Ελέγχου του Προϋπολογισμού</w:t>
      </w:r>
      <w:bookmarkEnd w:id="3"/>
    </w:p>
    <w:p w:rsidR="00AE70DD" w:rsidRPr="002A455A" w:rsidRDefault="00AE70DD" w:rsidP="00AE70DD">
      <w:pPr>
        <w:rPr>
          <w:vanish/>
        </w:rPr>
      </w:pPr>
      <w:bookmarkStart w:id="4" w:name="PE"/>
      <w:r w:rsidRPr="002A455A">
        <w:rPr>
          <w:vanish/>
        </w:rPr>
        <w:t>PE753.480</w:t>
      </w:r>
      <w:bookmarkEnd w:id="4"/>
    </w:p>
    <w:p w:rsidR="00AE70DD" w:rsidRPr="002A455A" w:rsidRDefault="00A8160D" w:rsidP="00AE70DD">
      <w:pPr>
        <w:pStyle w:val="ATHeading3"/>
      </w:pPr>
      <w:bookmarkStart w:id="5" w:name="Sujet"/>
      <w:r w:rsidRPr="002A455A">
        <w:t>1. Α</w:t>
      </w:r>
      <w:r w:rsidR="00AE70DD" w:rsidRPr="002A455A">
        <w:t xml:space="preserve">πόφαση του Ευρωπαϊκού Κοινοβουλίου </w:t>
      </w:r>
      <w:r w:rsidRPr="002A455A">
        <w:t xml:space="preserve">της </w:t>
      </w:r>
      <w:r w:rsidR="00FB5DD0" w:rsidRPr="002A455A">
        <w:t>11</w:t>
      </w:r>
      <w:r w:rsidRPr="002A455A">
        <w:t xml:space="preserve">ης Απριλίου 2024 </w:t>
      </w:r>
      <w:r w:rsidR="00AE70DD" w:rsidRPr="002A455A">
        <w:t>σχετικά με την απαλλαγή όσον αφορά την εκτέλεση του γενικού προϋπολογισμού της Ευρωπαϊκής Ένωσης για το οικονομικό έτος 2022, τμήμα IV – Δικαστήριο της Ευρωπαϊκής Ένωσης</w:t>
      </w:r>
      <w:bookmarkEnd w:id="5"/>
      <w:r w:rsidR="00AE70DD" w:rsidRPr="002A455A">
        <w:t xml:space="preserve"> </w:t>
      </w:r>
      <w:bookmarkStart w:id="6" w:name="References"/>
      <w:r w:rsidR="00AE70DD" w:rsidRPr="002A455A">
        <w:t>(2023/2132(DEC))</w:t>
      </w:r>
      <w:bookmarkEnd w:id="6"/>
    </w:p>
    <w:p w:rsidR="005647DF" w:rsidRPr="002A455A" w:rsidRDefault="005647DF" w:rsidP="005647DF">
      <w:pPr>
        <w:pStyle w:val="EPComma"/>
      </w:pPr>
      <w:bookmarkStart w:id="7" w:name="TextBodyBegin"/>
      <w:bookmarkEnd w:id="7"/>
      <w:r w:rsidRPr="002A455A">
        <w:rPr>
          <w:i/>
        </w:rPr>
        <w:t>Το Ευρωπαϊκό Κοινοβούλιο</w:t>
      </w:r>
      <w:r w:rsidRPr="002A455A">
        <w:t>,</w:t>
      </w:r>
    </w:p>
    <w:p w:rsidR="005647DF" w:rsidRPr="002A455A" w:rsidRDefault="005647DF" w:rsidP="005647DF">
      <w:pPr>
        <w:pStyle w:val="NormalHanging12a"/>
      </w:pPr>
      <w:r w:rsidRPr="002A455A">
        <w:t>–</w:t>
      </w:r>
      <w:r w:rsidRPr="002A455A">
        <w:tab/>
        <w:t>έχοντας υπόψη τον γενικό προϋπολογισμό της Ευρωπαϊκής Ένωσης για το οικονομικό έτος 2022</w:t>
      </w:r>
      <w:r w:rsidRPr="002A455A">
        <w:rPr>
          <w:rStyle w:val="FootnoteReference"/>
        </w:rPr>
        <w:footnoteReference w:id="1"/>
      </w:r>
      <w:r w:rsidRPr="002A455A">
        <w:t>,</w:t>
      </w:r>
    </w:p>
    <w:p w:rsidR="005647DF" w:rsidRPr="002A455A" w:rsidRDefault="005647DF" w:rsidP="005647DF">
      <w:pPr>
        <w:pStyle w:val="NormalHanging12a"/>
      </w:pPr>
      <w:r w:rsidRPr="002A455A">
        <w:t>–</w:t>
      </w:r>
      <w:r w:rsidRPr="002A455A">
        <w:tab/>
        <w:t>έχοντας υπόψη τους ενοποιημένους ετήσιους λογαριασμούς της Ευρωπαϊκής Ένωσης για το οικονομικό έτος 2022 (COM(2023)0391 – C9</w:t>
      </w:r>
      <w:r w:rsidRPr="002A455A">
        <w:noBreakHyphen/>
        <w:t>0251/2023)</w:t>
      </w:r>
      <w:r w:rsidRPr="002A455A">
        <w:rPr>
          <w:rStyle w:val="FootnoteReference"/>
        </w:rPr>
        <w:footnoteReference w:id="2"/>
      </w:r>
      <w:r w:rsidRPr="002A455A">
        <w:t>,</w:t>
      </w:r>
    </w:p>
    <w:p w:rsidR="005647DF" w:rsidRPr="002A455A" w:rsidRDefault="005647DF" w:rsidP="005647DF">
      <w:pPr>
        <w:pStyle w:val="NormalHanging12a"/>
      </w:pPr>
      <w:r w:rsidRPr="002A455A">
        <w:t>–</w:t>
      </w:r>
      <w:r w:rsidRPr="002A455A">
        <w:tab/>
        <w:t>έχοντας υπόψη την ετήσια έκθεση του Δικαστηρίου της Ευρωπαϊκής Ένωσης προς την αρμόδια για την απαλλαγή αρχή σχετικά με τους εσωτερικούς ελέγχους που πραγματοποιήθηκαν το 2022,</w:t>
      </w:r>
    </w:p>
    <w:p w:rsidR="005647DF" w:rsidRPr="002A455A" w:rsidRDefault="005647DF" w:rsidP="005647DF">
      <w:pPr>
        <w:pStyle w:val="NormalHanging12a"/>
      </w:pPr>
      <w:r w:rsidRPr="002A455A">
        <w:t>–</w:t>
      </w:r>
      <w:r w:rsidRPr="002A455A">
        <w:tab/>
        <w:t>έχοντας υπόψη την ετήσια έκθεση του Ελεγκτικού Συνεδρίου σχετικά με την εκτέλεση του προϋπολογισμού για το οικονομικό έτος 2022, που συνοδεύεται από τις απαντήσεις των οργάνων</w:t>
      </w:r>
      <w:r w:rsidRPr="002A455A">
        <w:rPr>
          <w:rStyle w:val="FootnoteReference"/>
        </w:rPr>
        <w:footnoteReference w:id="3"/>
      </w:r>
      <w:r w:rsidRPr="002A455A">
        <w:t>,</w:t>
      </w:r>
    </w:p>
    <w:p w:rsidR="005647DF" w:rsidRPr="002A455A" w:rsidRDefault="005647DF" w:rsidP="005647DF">
      <w:pPr>
        <w:pStyle w:val="NormalHanging12a"/>
      </w:pPr>
      <w:r w:rsidRPr="002A455A">
        <w:t>–</w:t>
      </w:r>
      <w:r w:rsidRPr="002A455A">
        <w:tab/>
        <w:t>έχοντας υπόψη τη δήλωση αξιοπιστίας</w:t>
      </w:r>
      <w:r w:rsidRPr="002A455A">
        <w:rPr>
          <w:rStyle w:val="FootnoteReference"/>
        </w:rPr>
        <w:footnoteReference w:id="4"/>
      </w:r>
      <w:r w:rsidRPr="002A455A">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5647DF" w:rsidRPr="002A455A" w:rsidRDefault="005647DF" w:rsidP="005647DF">
      <w:pPr>
        <w:pStyle w:val="NormalHanging12a"/>
      </w:pPr>
      <w:r w:rsidRPr="002A455A">
        <w:t>–</w:t>
      </w:r>
      <w:r w:rsidRPr="002A455A">
        <w:tab/>
        <w:t>έχοντας υπόψη το άρθρο 314 παράγραφος 10 και τα άρθρα 317, 318 και 319 της Συνθήκης για τη λειτουργία της Ευρωπαϊκής Ένωσης,</w:t>
      </w:r>
    </w:p>
    <w:p w:rsidR="005647DF" w:rsidRPr="002A455A" w:rsidRDefault="005647DF" w:rsidP="005647DF">
      <w:pPr>
        <w:pStyle w:val="NormalHanging12a"/>
      </w:pPr>
      <w:r w:rsidRPr="002A455A">
        <w:t>–</w:t>
      </w:r>
      <w:r w:rsidRPr="002A455A">
        <w:tab/>
        <w:t xml:space="preserve">έχοντας υπόψη τον κανονισμό (ΕΕ, Ευρατόμ) 2018/1046 του Ευρωπαϊκού </w:t>
      </w:r>
      <w:r w:rsidRPr="002A455A">
        <w:lastRenderedPageBreak/>
        <w:t>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2A455A">
        <w:rPr>
          <w:rStyle w:val="FootnoteReference"/>
        </w:rPr>
        <w:footnoteReference w:id="5"/>
      </w:r>
      <w:r w:rsidRPr="002A455A">
        <w:t>, και ιδίως τα άρθρα 59, 118, 260, 261 και 262,</w:t>
      </w:r>
    </w:p>
    <w:p w:rsidR="005647DF" w:rsidRPr="002A455A" w:rsidRDefault="005647DF" w:rsidP="005647DF">
      <w:pPr>
        <w:pStyle w:val="NormalHanging12a"/>
      </w:pPr>
      <w:r w:rsidRPr="002A455A">
        <w:t>–</w:t>
      </w:r>
      <w:r w:rsidRPr="002A455A">
        <w:tab/>
        <w:t>έχοντας υπόψη το άρθρο 100 και το παράρτημα V του Κανονισμού του,</w:t>
      </w:r>
    </w:p>
    <w:p w:rsidR="005647DF" w:rsidRPr="002A455A" w:rsidRDefault="005647DF" w:rsidP="005647DF">
      <w:pPr>
        <w:pStyle w:val="NormalHanging12a"/>
      </w:pPr>
      <w:r w:rsidRPr="002A455A">
        <w:t>–</w:t>
      </w:r>
      <w:r w:rsidRPr="002A455A">
        <w:tab/>
        <w:t>έχοντας υπόψη τη γνωμοδότηση της Επιτροπής Νομικών Θεμάτων,</w:t>
      </w:r>
    </w:p>
    <w:p w:rsidR="005647DF" w:rsidRPr="002A455A" w:rsidRDefault="005647DF" w:rsidP="005647DF">
      <w:pPr>
        <w:pStyle w:val="NormalHanging12a"/>
      </w:pPr>
      <w:r w:rsidRPr="002A455A">
        <w:t>–</w:t>
      </w:r>
      <w:r w:rsidRPr="002A455A">
        <w:tab/>
        <w:t>έχοντας υπόψη την έκθεση της Επιτροπής Ελέγχου του Προϋπολογισμού (A9‑0075/2024),</w:t>
      </w:r>
    </w:p>
    <w:p w:rsidR="005647DF" w:rsidRPr="002A455A" w:rsidRDefault="005647DF" w:rsidP="005647DF">
      <w:pPr>
        <w:pStyle w:val="NormalHanging12a"/>
      </w:pPr>
      <w:r w:rsidRPr="002A455A">
        <w:t>1.</w:t>
      </w:r>
      <w:r w:rsidRPr="002A455A">
        <w:tab/>
        <w:t>χορηγεί απαλλαγή στον Γραμματέα του Δικαστηρίου όσον αφορά την εκτέλεση του προϋπολογισμού του Δικαστηρίου της Ευρωπαϊκής Ένωσης για το οικονομικό έτος 2022·</w:t>
      </w:r>
    </w:p>
    <w:p w:rsidR="005647DF" w:rsidRPr="002A455A" w:rsidRDefault="005647DF" w:rsidP="005647DF">
      <w:pPr>
        <w:pStyle w:val="NormalHanging12a"/>
      </w:pPr>
      <w:r w:rsidRPr="002A455A">
        <w:t>2.</w:t>
      </w:r>
      <w:r w:rsidRPr="002A455A">
        <w:tab/>
        <w:t>εκθέτει τις παρατηρήσεις του στο ψήφισμα που ακολουθεί·</w:t>
      </w:r>
    </w:p>
    <w:p w:rsidR="005647DF" w:rsidRPr="002A455A" w:rsidRDefault="005647DF" w:rsidP="005647DF">
      <w:pPr>
        <w:pStyle w:val="NormalHanging12a"/>
      </w:pPr>
      <w:r w:rsidRPr="002A455A">
        <w:t>3.</w:t>
      </w:r>
      <w:r w:rsidRPr="002A455A">
        <w:tab/>
        <w:t xml:space="preserve">αναθέτει στην Πρόεδρό του να διαβιβάσει την παρούσα απόφαση και το ψήφισμα που αποτελεί αναπόσπαστο μέρος της, στο Δικαστήριο της Ευρωπαϊκής Ένωσης, στο Συμβούλιο, στην Επιτροπή και στο Ελεγκτικό Συνέδριο, και να μεριμνήσει για τη δημοσίευσή τους στην </w:t>
      </w:r>
      <w:r w:rsidRPr="002A455A">
        <w:rPr>
          <w:i/>
        </w:rPr>
        <w:t>Επίσημη Εφημερίδα της Ευρωπαϊκής Ένωσης</w:t>
      </w:r>
      <w:r w:rsidRPr="002A455A">
        <w:t xml:space="preserve"> (σειρά L).</w:t>
      </w:r>
    </w:p>
    <w:p w:rsidR="005647DF" w:rsidRPr="002A455A" w:rsidRDefault="005647DF" w:rsidP="005647DF"/>
    <w:p w:rsidR="005647DF" w:rsidRPr="002A455A" w:rsidRDefault="005647DF" w:rsidP="005647DF">
      <w:pPr>
        <w:pStyle w:val="PageHeading"/>
        <w:sectPr w:rsidR="005647DF" w:rsidRPr="002A455A" w:rsidSect="00C14AE6">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647DF" w:rsidRPr="002A455A" w:rsidRDefault="005647DF" w:rsidP="005925A3">
      <w:pPr>
        <w:pStyle w:val="ATHeading3"/>
      </w:pPr>
      <w:bookmarkStart w:id="8" w:name="_Toc161827846"/>
      <w:r w:rsidRPr="002A455A">
        <w:lastRenderedPageBreak/>
        <w:t xml:space="preserve">2. </w:t>
      </w:r>
      <w:r w:rsidR="005925A3" w:rsidRPr="002A455A">
        <w:t xml:space="preserve">Ψήφισμα του Ευρωπαϊκού Κοινοβουλίου της </w:t>
      </w:r>
      <w:r w:rsidR="00FB5DD0" w:rsidRPr="002A455A">
        <w:rPr>
          <w:b w:val="0"/>
        </w:rPr>
        <w:t>11</w:t>
      </w:r>
      <w:r w:rsidR="005925A3" w:rsidRPr="002A455A">
        <w:t xml:space="preserve">ης Απριλίου 2024 </w:t>
      </w:r>
      <w:bookmarkEnd w:id="8"/>
      <w:r w:rsidRPr="002A455A">
        <w:t>με τις παρατηρήσεις που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2022, τμήμα IV – Δικαστήριο της Ευρωπαϊκής Ένωσης</w:t>
      </w:r>
      <w:r w:rsidR="005925A3" w:rsidRPr="002A455A">
        <w:t xml:space="preserve"> </w:t>
      </w:r>
      <w:r w:rsidR="007B7792">
        <w:t>(2023/2132</w:t>
      </w:r>
      <w:r w:rsidRPr="002A455A">
        <w:t>(DEC))</w:t>
      </w:r>
    </w:p>
    <w:p w:rsidR="005647DF" w:rsidRPr="002A455A" w:rsidRDefault="005647DF" w:rsidP="005647DF">
      <w:pPr>
        <w:pStyle w:val="EPComma"/>
      </w:pPr>
      <w:r w:rsidRPr="002A455A">
        <w:rPr>
          <w:i/>
        </w:rPr>
        <w:t>Το Ευρωπαϊκό Κοινοβούλιο</w:t>
      </w:r>
      <w:r w:rsidRPr="002A455A">
        <w:t>,</w:t>
      </w:r>
    </w:p>
    <w:p w:rsidR="005647DF" w:rsidRPr="002A455A" w:rsidRDefault="005647DF" w:rsidP="005925A3">
      <w:pPr>
        <w:pStyle w:val="NormalHanging12a"/>
        <w:widowControl/>
        <w:rPr>
          <w:szCs w:val="24"/>
        </w:rPr>
      </w:pPr>
      <w:r w:rsidRPr="002A455A">
        <w:t>–</w:t>
      </w:r>
      <w:r w:rsidRPr="002A455A">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2022, τμήμα IV – Δικαστήριο της Ευρωπαϊκής Ένωσης,</w:t>
      </w:r>
    </w:p>
    <w:p w:rsidR="005647DF" w:rsidRPr="002A455A" w:rsidRDefault="005647DF" w:rsidP="005925A3">
      <w:pPr>
        <w:pStyle w:val="NormalHanging12a"/>
        <w:widowControl/>
        <w:rPr>
          <w:szCs w:val="24"/>
        </w:rPr>
      </w:pPr>
      <w:r w:rsidRPr="002A455A">
        <w:t>–</w:t>
      </w:r>
      <w:r w:rsidRPr="002A455A">
        <w:tab/>
        <w:t>έχοντας υπόψη το άρθρο 100 και το παράρτημα V του Κανονισμού του,</w:t>
      </w:r>
    </w:p>
    <w:p w:rsidR="005647DF" w:rsidRPr="002A455A" w:rsidRDefault="005647DF" w:rsidP="005925A3">
      <w:pPr>
        <w:pStyle w:val="NormalHanging12a"/>
        <w:widowControl/>
        <w:rPr>
          <w:szCs w:val="24"/>
        </w:rPr>
      </w:pPr>
      <w:r w:rsidRPr="002A455A">
        <w:t>–</w:t>
      </w:r>
      <w:r w:rsidRPr="002A455A">
        <w:tab/>
        <w:t>έχοντας υπόψη τη γνωμοδότηση της Επιτροπής Νομικών Θεμάτων,</w:t>
      </w:r>
    </w:p>
    <w:p w:rsidR="005647DF" w:rsidRPr="002A455A" w:rsidRDefault="005647DF" w:rsidP="005925A3">
      <w:pPr>
        <w:pStyle w:val="NormalHanging12a"/>
        <w:widowControl/>
        <w:rPr>
          <w:szCs w:val="24"/>
        </w:rPr>
      </w:pPr>
      <w:r w:rsidRPr="002A455A">
        <w:t>–</w:t>
      </w:r>
      <w:r w:rsidRPr="002A455A">
        <w:tab/>
        <w:t>έχοντας υπόψη την έκθεση της Επιτροπής Ελέγχου του Προϋπολογισμού (A9‑0075/2024),</w:t>
      </w:r>
    </w:p>
    <w:p w:rsidR="005647DF" w:rsidRPr="002A455A" w:rsidRDefault="005647DF" w:rsidP="005925A3">
      <w:pPr>
        <w:pStyle w:val="NormalHanging12a"/>
        <w:widowControl/>
        <w:rPr>
          <w:szCs w:val="24"/>
        </w:rPr>
      </w:pPr>
      <w:r w:rsidRPr="002A455A">
        <w:t>Α.</w:t>
      </w:r>
      <w:r w:rsidRPr="002A455A">
        <w:tab/>
        <w:t>λαμβάνοντας υπόψη ότι, στο πλαίσιο της διαδικασίας απαλλαγής, η αρμόδια για την απαλλαγή αρχή επιθυμεί να τονίσει την ιδιαίτερη σημασία που έχουν η περαιτέρω ενίσχυση της δημοκρατικής νομιμοποίησης των θεσμικών οργάνων της Ένωσης μέσω της βελτίωσης της διαφάνειας και της λογοδοσίας, όπως επίσης και η εφαρμογή της προσέγγισης της κατάρτισης του προϋπολογισμού βάσει επιδόσεων και της χρηστής διαχείρισης των ανθρώπινων πόρων·</w:t>
      </w:r>
    </w:p>
    <w:p w:rsidR="005647DF" w:rsidRPr="002A455A" w:rsidRDefault="005647DF" w:rsidP="005925A3">
      <w:pPr>
        <w:pStyle w:val="NormalHanging12a"/>
        <w:widowControl/>
        <w:rPr>
          <w:rStyle w:val="HideTWBExt"/>
          <w:rFonts w:ascii="Times New Roman" w:hAnsi="Times New Roman"/>
          <w:noProof w:val="0"/>
          <w:vanish w:val="0"/>
          <w:color w:val="auto"/>
          <w:sz w:val="24"/>
          <w:szCs w:val="24"/>
        </w:rPr>
      </w:pPr>
      <w:r w:rsidRPr="002A455A">
        <w:t>Β.</w:t>
      </w:r>
      <w:r w:rsidRPr="002A455A">
        <w:tab/>
        <w:t>λαμβάνοντας υπόψη ότι το Δικαστήριο της Ευρωπαϊκής Ένωσης (ΔΕΕ) είναι το δικαιοδοτικό όργανο της Ευρωπαϊκής Ένωσης, το οποίο έχει το καθήκον να διασφαλίζει τη συμμόρφωση με το δίκαιο της Ένωσης, επιβλέποντας την ομοιόμορφη ερμηνεία και εφαρμογή των Συνθηκών και διασφαλίζοντας τη νομιμότητα των μέτρων που λαμβάνουν τα θεσμικά και λοιπά όργανα και οι οργανισμοί της Ένωσης·</w:t>
      </w:r>
    </w:p>
    <w:p w:rsidR="005647DF" w:rsidRPr="002A455A" w:rsidRDefault="005647DF" w:rsidP="005925A3">
      <w:pPr>
        <w:pStyle w:val="NormalHanging12a"/>
        <w:widowControl/>
        <w:rPr>
          <w:szCs w:val="24"/>
        </w:rPr>
      </w:pPr>
      <w:r w:rsidRPr="002A455A">
        <w:t>Γ.</w:t>
      </w:r>
      <w:r w:rsidRPr="002A455A">
        <w:tab/>
        <w:t>λαμβάνοντας υπόψη ότι το ΔΕΕ συμβάλλει στη διατήρηση των αξιών της Ένωσης και, μέσω της νομολογίας του, εργάζεται για την οικοδόμηση της Ευρώπης·</w:t>
      </w:r>
    </w:p>
    <w:p w:rsidR="005647DF" w:rsidRPr="002A455A" w:rsidRDefault="005647DF" w:rsidP="005925A3">
      <w:pPr>
        <w:pStyle w:val="NormalHanging12a"/>
        <w:widowControl/>
        <w:rPr>
          <w:szCs w:val="24"/>
        </w:rPr>
      </w:pPr>
      <w:r w:rsidRPr="002A455A">
        <w:t>Δ.</w:t>
      </w:r>
      <w:r w:rsidRPr="002A455A">
        <w:tab/>
        <w:t>λαμβάνοντας υπόψη ότι το ΔΕΕ αποτελείται από δύο δικαστήρια: το Δικαστήριο και το Γενικό Δικαστήριο·</w:t>
      </w:r>
    </w:p>
    <w:p w:rsidR="005647DF" w:rsidRPr="002A455A" w:rsidRDefault="002A455A" w:rsidP="002A455A">
      <w:pPr>
        <w:pStyle w:val="NormalHanging12a"/>
        <w:widowControl/>
        <w:ind w:left="570" w:hanging="570"/>
        <w:rPr>
          <w:szCs w:val="24"/>
        </w:rPr>
      </w:pPr>
      <w:r w:rsidRPr="002A455A">
        <w:rPr>
          <w:szCs w:val="24"/>
        </w:rPr>
        <w:t>1.</w:t>
      </w:r>
      <w:r w:rsidRPr="002A455A">
        <w:rPr>
          <w:szCs w:val="24"/>
        </w:rPr>
        <w:tab/>
      </w:r>
      <w:r w:rsidR="005647DF" w:rsidRPr="002A455A">
        <w:t>σημειώνει ότι ο προϋπολογισμός του ΔΕΕ εντάσσεται στον τομέα 7 του ΠΔΠ («Ευρωπαϊκή δημόσια διοίκηση»), ο οποίος ανήλθε σε 11,6 δισεκατομμύρια EUR το 2022 (ποσό που αντιστοιχεί στο 5,9 % του συνολικού προϋπολογισμού της Ένωσης)· σημειώνει ότι το 2022 ο προϋπολογισμός του ΔΕΕ, ύψους περίπου 0,5 δισεκατομμυρίων EUR, αντιπροσώπευε το 3,9 % των συνολικών διοικητικών δαπανών·</w:t>
      </w:r>
    </w:p>
    <w:p w:rsidR="005647DF" w:rsidRPr="002A455A" w:rsidRDefault="002A455A" w:rsidP="002A455A">
      <w:pPr>
        <w:pStyle w:val="NormalHanging12a"/>
        <w:widowControl/>
        <w:ind w:left="570" w:hanging="570"/>
        <w:rPr>
          <w:szCs w:val="24"/>
        </w:rPr>
      </w:pPr>
      <w:r w:rsidRPr="002A455A">
        <w:rPr>
          <w:szCs w:val="24"/>
        </w:rPr>
        <w:t>2.</w:t>
      </w:r>
      <w:r w:rsidRPr="002A455A">
        <w:rPr>
          <w:szCs w:val="24"/>
        </w:rPr>
        <w:tab/>
      </w:r>
      <w:r w:rsidR="005647DF" w:rsidRPr="002A455A">
        <w:t>σημειώνει ότι το Ελεγκτικό Συνέδριο, στην ετήσια έκθεσή του για το οικονομικό έτος 2022, εξέτασε δείγμα 60 πράξεων στο πλαίσιο του τομέα της διοίκησης, αριθμός ίδιος με εκείνον του 2021· σημειώνει περαιτέρω ότι το Ελεγκτικό Συνέδριο αναφέρει ότι οι διοικητικές δαπάνες περιλαμβάνουν τις δαπάνες για ανθρώπινους πόρους, συμπεριλαμβανομένων των δαπανών για συντάξεις, οι οποίες το 2022 αντιπροσώπευαν περίπου το 70 % των συνολικών διοικητικών δαπανών, καθώς και δαπάνες για κτίρια, εξοπλισμό, ενέργεια, επικοινωνίες και τεχνολογία των πληροφοριών, και ότι το έργο του επί σειρά ετών δείχνει ότι, συνολικά, οι δαπάνες αυτές είναι χαμηλού κινδύνου·</w:t>
      </w:r>
    </w:p>
    <w:p w:rsidR="005647DF" w:rsidRPr="002A455A" w:rsidRDefault="002A455A" w:rsidP="002A455A">
      <w:pPr>
        <w:pStyle w:val="NormalHanging12a"/>
        <w:widowControl/>
        <w:ind w:left="570" w:hanging="570"/>
        <w:rPr>
          <w:szCs w:val="24"/>
        </w:rPr>
      </w:pPr>
      <w:r w:rsidRPr="002A455A">
        <w:rPr>
          <w:szCs w:val="24"/>
        </w:rPr>
        <w:lastRenderedPageBreak/>
        <w:t>3.</w:t>
      </w:r>
      <w:r w:rsidRPr="002A455A">
        <w:rPr>
          <w:szCs w:val="24"/>
        </w:rPr>
        <w:tab/>
      </w:r>
      <w:r w:rsidR="005647DF" w:rsidRPr="002A455A">
        <w:t>σημειώνει ότι, στο πλαίσιο του ελέγχου του για το 2022, το Ελεγκτικό Συνέδριο εξέτασε τα συστήματα εποπτείας και ελέγχου του ΔΕΕ, ιδίως δε την εφαρμογή των προτύπων για τις εσωτερικές δικλίδες, τη διαχείριση των κινδύνων και τη λειτουργία των βασικών δικλίδων που καθορίζονται στον δημοσιονομικό κανονισμό, περιλαμβανομένων των προληπτικών και των κατασταλτικών δικλίδων που αφορούν τις πληρωμές.</w:t>
      </w:r>
    </w:p>
    <w:p w:rsidR="005647DF" w:rsidRPr="002A455A" w:rsidRDefault="002A455A" w:rsidP="002A455A">
      <w:pPr>
        <w:pStyle w:val="NormalHanging12a"/>
        <w:widowControl/>
        <w:ind w:left="570" w:hanging="570"/>
        <w:rPr>
          <w:szCs w:val="24"/>
        </w:rPr>
      </w:pPr>
      <w:r w:rsidRPr="002A455A">
        <w:rPr>
          <w:szCs w:val="24"/>
        </w:rPr>
        <w:t>4.</w:t>
      </w:r>
      <w:r w:rsidRPr="002A455A">
        <w:rPr>
          <w:szCs w:val="24"/>
        </w:rPr>
        <w:tab/>
      </w:r>
      <w:r w:rsidR="005647DF" w:rsidRPr="002A455A">
        <w:t xml:space="preserve">σημειώνει ότι 14 (23 %) από τις 60 πράξεις περιείχαν σφάλματα, αλλά ότι το Ελεγκτικό Συνέδριο, βάσει των πέντε σφαλμάτων που </w:t>
      </w:r>
      <w:proofErr w:type="spellStart"/>
      <w:r w:rsidR="005647DF" w:rsidRPr="002A455A">
        <w:t>ποσοτικοποιήθηκαν</w:t>
      </w:r>
      <w:proofErr w:type="spellEnd"/>
      <w:r w:rsidR="005647DF" w:rsidRPr="002A455A">
        <w:t>, εκτιμά ότι το επίπεδο σφάλματος είναι χαμηλότερο από το όριο σημαντικότητας·</w:t>
      </w:r>
    </w:p>
    <w:p w:rsidR="005647DF" w:rsidRPr="002A455A" w:rsidRDefault="002A455A" w:rsidP="002A455A">
      <w:pPr>
        <w:pStyle w:val="NormalHanging12a"/>
        <w:widowControl/>
        <w:ind w:left="570" w:hanging="570"/>
        <w:rPr>
          <w:szCs w:val="24"/>
        </w:rPr>
      </w:pPr>
      <w:r w:rsidRPr="002A455A">
        <w:rPr>
          <w:szCs w:val="24"/>
        </w:rPr>
        <w:t>5.</w:t>
      </w:r>
      <w:r w:rsidRPr="002A455A">
        <w:rPr>
          <w:szCs w:val="24"/>
        </w:rPr>
        <w:tab/>
      </w:r>
      <w:r w:rsidR="005647DF" w:rsidRPr="002A455A">
        <w:t>σημειώνει με ικανοποίηση ότι το Ελεγκτικό Συνέδριο, στην ετήσια έκθεσή του για το οικονομικό έτος 2022, επισημαίνει πως δεν εντόπισε συγκεκριμένα ζητήματα που να αφορούν το ΔΕΕ·</w:t>
      </w:r>
    </w:p>
    <w:p w:rsidR="005647DF" w:rsidRPr="002A455A" w:rsidRDefault="005647DF" w:rsidP="005925A3">
      <w:pPr>
        <w:pStyle w:val="NormalHanging12a"/>
        <w:widowControl/>
        <w:ind w:left="0" w:firstLine="0"/>
        <w:rPr>
          <w:b/>
          <w:i/>
          <w:szCs w:val="24"/>
        </w:rPr>
      </w:pPr>
      <w:r w:rsidRPr="002A455A">
        <w:rPr>
          <w:b/>
          <w:i/>
        </w:rPr>
        <w:t>Δημοσιονομική και χρηματοοικονομική διαχείριση</w:t>
      </w:r>
    </w:p>
    <w:p w:rsidR="005647DF" w:rsidRPr="002A455A" w:rsidRDefault="002A455A" w:rsidP="002A455A">
      <w:pPr>
        <w:pStyle w:val="NormalHanging12a"/>
        <w:widowControl/>
        <w:ind w:left="570" w:hanging="570"/>
        <w:rPr>
          <w:szCs w:val="24"/>
        </w:rPr>
      </w:pPr>
      <w:r w:rsidRPr="002A455A">
        <w:rPr>
          <w:szCs w:val="24"/>
        </w:rPr>
        <w:t>6.</w:t>
      </w:r>
      <w:r w:rsidRPr="002A455A">
        <w:rPr>
          <w:szCs w:val="24"/>
        </w:rPr>
        <w:tab/>
      </w:r>
      <w:r w:rsidR="005647DF" w:rsidRPr="002A455A">
        <w:t>σημειώνει ότι ο συνολικός προϋπολογισμός που διατέθηκε για το ΔΕΕ για το 2022 ανήλθε σε 467 900 000 EUR, ποσό που συνιστά αύξηση από τα 444 049 000 EUR το 2021 και το 2020, που ισοδυναμεί με αύξηση κατά 5,4 % από το 2021 έως το 2022, καθώς και ότι το 79 % του προϋπολογισμού του 2022 χρησιμοποιήθηκε για τα μέλη και το προσωπικό του, 14 % για κτίρια, 6 % για ΤΠ και 1 % για άλλες δαπάνες·</w:t>
      </w:r>
    </w:p>
    <w:p w:rsidR="005647DF" w:rsidRPr="002A455A" w:rsidRDefault="002A455A" w:rsidP="002A455A">
      <w:pPr>
        <w:pStyle w:val="NormalHanging12a"/>
        <w:widowControl/>
        <w:ind w:left="570" w:hanging="570"/>
        <w:rPr>
          <w:szCs w:val="24"/>
        </w:rPr>
      </w:pPr>
      <w:r w:rsidRPr="002A455A">
        <w:rPr>
          <w:szCs w:val="24"/>
        </w:rPr>
        <w:t>7.</w:t>
      </w:r>
      <w:r w:rsidRPr="002A455A">
        <w:rPr>
          <w:szCs w:val="24"/>
        </w:rPr>
        <w:tab/>
      </w:r>
      <w:r w:rsidR="005647DF" w:rsidRPr="002A455A">
        <w:t>σημειώνει ότι, κατά τη διάρκεια του 2022, το ΔΕΕ πραγματοποίησε 19 μεταφορές πιστώσεων δυνάμει του άρθρου 29 του δημοσιονομικού κανονισμού, οι οποίες αντιστοιχούν συνολικά σε 12,7 εκατομμύρια EUR ή στο 2,7 % των πιστώσεων για το εν λόγω οικονομικό έτος· σημειώνει περαιτέρω ότι το ποσοστό εκτέλεσης του προϋπολογισμού για το 2022 ήταν 98,43 %, ποσοστό που συνάδει με τα προηγούμενα έτη·</w:t>
      </w:r>
    </w:p>
    <w:p w:rsidR="005647DF" w:rsidRPr="002A455A" w:rsidRDefault="002A455A" w:rsidP="002A455A">
      <w:pPr>
        <w:pStyle w:val="NormalHanging12a"/>
        <w:widowControl/>
        <w:ind w:left="570" w:hanging="570"/>
        <w:rPr>
          <w:szCs w:val="24"/>
        </w:rPr>
      </w:pPr>
      <w:r w:rsidRPr="002A455A">
        <w:rPr>
          <w:szCs w:val="24"/>
        </w:rPr>
        <w:t>8.</w:t>
      </w:r>
      <w:r w:rsidRPr="002A455A">
        <w:rPr>
          <w:szCs w:val="24"/>
        </w:rPr>
        <w:tab/>
      </w:r>
      <w:r w:rsidR="005647DF" w:rsidRPr="002A455A">
        <w:t>σημειώνει με ικανοποίηση ότι ο κύριος διατάκτης δήλωσε ότι οι πόροι που διατέθηκαν χρησιμοποιήθηκαν για τον επιδιωκόμενο σκοπό και σύμφωνα με την αρχή της χρηστής δημοσιονομικής διαχείρισης και ότι οι εφαρμοζόμενες διαδικασίες ελέγχου παρείχαν τις αναγκαίες εγγυήσεις όσον αφορά τη νομιμότητα και κανονικότητα των υποκείμενων πράξεων·</w:t>
      </w:r>
    </w:p>
    <w:p w:rsidR="005647DF" w:rsidRPr="002A455A" w:rsidRDefault="002A455A" w:rsidP="002A455A">
      <w:pPr>
        <w:pStyle w:val="NormalHanging12a"/>
        <w:widowControl/>
        <w:ind w:left="570" w:hanging="570"/>
        <w:rPr>
          <w:szCs w:val="24"/>
        </w:rPr>
      </w:pPr>
      <w:r w:rsidRPr="002A455A">
        <w:rPr>
          <w:szCs w:val="24"/>
        </w:rPr>
        <w:t>9.</w:t>
      </w:r>
      <w:r w:rsidRPr="002A455A">
        <w:rPr>
          <w:szCs w:val="24"/>
        </w:rPr>
        <w:tab/>
      </w:r>
      <w:r w:rsidR="005647DF" w:rsidRPr="002A455A">
        <w:t>εκφράζει την ικανοποίησή του για το γεγονός ότι το ΔΕΕ εργάζεται για ένα ευρύ φάσμα συστημάτων ΤΠ, τόσο εσωτερικά όσο και μέσω συμφωνιών σε επίπεδο υπηρεσιών, σε διάφορους τομείς που θα το καταστήσουν αποδοτικότερο ως προς τη χρήση των πόρων·</w:t>
      </w:r>
    </w:p>
    <w:p w:rsidR="005647DF" w:rsidRPr="002A455A" w:rsidRDefault="002A455A" w:rsidP="002A455A">
      <w:pPr>
        <w:pStyle w:val="NormalHanging12a"/>
        <w:widowControl/>
        <w:ind w:left="570" w:hanging="570"/>
        <w:rPr>
          <w:szCs w:val="24"/>
        </w:rPr>
      </w:pPr>
      <w:r w:rsidRPr="002A455A">
        <w:rPr>
          <w:szCs w:val="24"/>
        </w:rPr>
        <w:t>10.</w:t>
      </w:r>
      <w:r w:rsidRPr="002A455A">
        <w:rPr>
          <w:szCs w:val="24"/>
        </w:rPr>
        <w:tab/>
      </w:r>
      <w:r w:rsidR="005647DF" w:rsidRPr="002A455A">
        <w:t>σημειώνει ότι ο επιθετικός πόλεμος της Ρωσίας κατά της Ουκρανίας με διάφορους τρόπους δημιούργησε δημοσιονομικές πιέσεις για το ΔΕΕ, μεταξύ άλλων μέσω της αύξησης του πληθωρισμού και των μισθολογικών προσαρμογών, της έντονης αύξησης του ενεργειακού κόστους και του κόστους για ορισμένα αγαθά και υπηρεσίες·</w:t>
      </w:r>
    </w:p>
    <w:p w:rsidR="005647DF" w:rsidRPr="002A455A" w:rsidRDefault="002A455A" w:rsidP="002A455A">
      <w:pPr>
        <w:pStyle w:val="NormalHanging12a"/>
        <w:widowControl/>
        <w:ind w:left="570" w:hanging="570"/>
        <w:rPr>
          <w:szCs w:val="24"/>
        </w:rPr>
      </w:pPr>
      <w:r w:rsidRPr="002A455A">
        <w:rPr>
          <w:szCs w:val="24"/>
        </w:rPr>
        <w:t>11.</w:t>
      </w:r>
      <w:r w:rsidRPr="002A455A">
        <w:rPr>
          <w:szCs w:val="24"/>
        </w:rPr>
        <w:tab/>
      </w:r>
      <w:r w:rsidR="005647DF" w:rsidRPr="002A455A">
        <w:t xml:space="preserve">σημειώνει ότι ο γενικός προϋπολογισμός αποστολής του ΔΕΕ μειώθηκε από 405 000 EUR το 2021 σε 390 000 EUR το 2022, ποσό που ισοδυναμεί με μείωση κατά 3,7 %, η οποία οφειλόταν κυρίως σε αλλαγές στις μεθόδους εργασίας με μεγαλύτερο αριθμό εξ αποστάσεως συνεδριάσεων· σημειώνει, επιπλέον, ότι το ΔΕΕ δεν διαθέτει ειδική γραμμή του προϋπολογισμού για τις αποστολές και τα ταξίδια του Προέδρου του· σημειώνει, τέλος, ότι η γραμμή του προϋπολογισμού για τις αποστολές όλων των μελών του ΔΕΕ μειώθηκε από 280 000 EUR το 2021 σε 270 000 EUR το 2022, ποσό </w:t>
      </w:r>
      <w:r w:rsidR="005647DF" w:rsidRPr="002A455A">
        <w:lastRenderedPageBreak/>
        <w:t>που ισοδυναμεί με μείωση κατά 3,6 %, γεγονός που οφείλεται επίσης κυρίως στην αυξημένη χρήση εργαλείων βιντεοδιάσκεψης·</w:t>
      </w:r>
    </w:p>
    <w:p w:rsidR="005647DF" w:rsidRPr="002A455A" w:rsidRDefault="005647DF" w:rsidP="005925A3">
      <w:pPr>
        <w:pStyle w:val="NormalHanging12a"/>
        <w:widowControl/>
        <w:ind w:left="0" w:firstLine="0"/>
        <w:rPr>
          <w:b/>
          <w:i/>
          <w:szCs w:val="24"/>
        </w:rPr>
      </w:pPr>
      <w:r w:rsidRPr="002A455A">
        <w:rPr>
          <w:b/>
          <w:i/>
        </w:rPr>
        <w:t>Εσωτερική διαχείριση, επιδόσεις και εσωτερικός έλεγχος</w:t>
      </w:r>
    </w:p>
    <w:p w:rsidR="005647DF" w:rsidRPr="002A455A" w:rsidRDefault="002A455A" w:rsidP="002A455A">
      <w:pPr>
        <w:pStyle w:val="NormalHanging12a"/>
        <w:widowControl/>
        <w:ind w:left="570" w:hanging="570"/>
        <w:rPr>
          <w:szCs w:val="24"/>
        </w:rPr>
      </w:pPr>
      <w:r w:rsidRPr="002A455A">
        <w:rPr>
          <w:szCs w:val="24"/>
        </w:rPr>
        <w:t>12.</w:t>
      </w:r>
      <w:r w:rsidRPr="002A455A">
        <w:rPr>
          <w:szCs w:val="24"/>
        </w:rPr>
        <w:tab/>
      </w:r>
      <w:r w:rsidR="005647DF" w:rsidRPr="002A455A">
        <w:t xml:space="preserve">σημειώνει ότι, κατά τη διάρκεια του 2022, τα έκτακτα μέτρα που σχετίζονται με την πανδημία </w:t>
      </w:r>
      <w:r w:rsidR="005925A3" w:rsidRPr="002A455A">
        <w:t xml:space="preserve">της </w:t>
      </w:r>
      <w:r w:rsidR="005647DF" w:rsidRPr="002A455A">
        <w:t>COVID-19 καταργήθηκαν σταδιακά και το ΔΕΕ άρχισε να λειτουργεί κανονικά· εκφράζει, στο πλαίσιο αυτό, την ικανοποίησή του για το γεγονός ότι ο αριθμός των επισκεπτών αυξήθηκε σε 11 653 άτομα το 2022, γεγονός που, ωστόσο, εξακολουθεί να μην βρίσκεται στα προ της πανδημίας επίπεδα, όταν υπήρχαν 17 136 επισκέπτες το 2019, αλλά αυτό θα μπορούσε επίσης να οφείλεται εν μέρει σε νέες δυνατότητες εικονικής επίσκεψης στο ΔΕΕ·</w:t>
      </w:r>
    </w:p>
    <w:p w:rsidR="005647DF" w:rsidRPr="002A455A" w:rsidRDefault="002A455A" w:rsidP="002A455A">
      <w:pPr>
        <w:pStyle w:val="NormalHanging12a"/>
        <w:widowControl/>
        <w:ind w:left="570" w:hanging="570"/>
        <w:rPr>
          <w:szCs w:val="24"/>
        </w:rPr>
      </w:pPr>
      <w:r w:rsidRPr="002A455A">
        <w:rPr>
          <w:szCs w:val="24"/>
        </w:rPr>
        <w:t>13.</w:t>
      </w:r>
      <w:r w:rsidRPr="002A455A">
        <w:rPr>
          <w:szCs w:val="24"/>
        </w:rPr>
        <w:tab/>
      </w:r>
      <w:r w:rsidR="005647DF" w:rsidRPr="002A455A">
        <w:t xml:space="preserve">σημειώνει με ικανοποίηση ότι το 2022 σηματοδότησε την 70ετή επέτειο του ΔΕΕ, η οποία αποτελεί μια πολύ σημαντική επέτειο για ολόκληρη την Ένωση· επικροτεί το γεγονός ότι το ΔΕΕ αξιοποίησε την ευκαιρία για να δρομολογήσει πρωτοβουλίες με θέμα «Η δικαιοσύνη πιο κοντά στους πολίτες», συμπεριλαμβανομένης της νέας πρωτοβουλίας για την παροχή υπηρεσίας συνεχούς ροής για ακροάσεις στον ιστότοπο </w:t>
      </w:r>
      <w:proofErr w:type="spellStart"/>
      <w:r w:rsidR="005647DF" w:rsidRPr="002A455A">
        <w:t>Curia</w:t>
      </w:r>
      <w:proofErr w:type="spellEnd"/>
      <w:r w:rsidR="005647DF" w:rsidRPr="002A455A">
        <w:t>·</w:t>
      </w:r>
    </w:p>
    <w:p w:rsidR="005647DF" w:rsidRPr="002A455A" w:rsidRDefault="002A455A" w:rsidP="002A455A">
      <w:pPr>
        <w:pStyle w:val="NormalHanging12a"/>
        <w:widowControl/>
        <w:ind w:left="570" w:hanging="570"/>
        <w:rPr>
          <w:szCs w:val="24"/>
        </w:rPr>
      </w:pPr>
      <w:r w:rsidRPr="002A455A">
        <w:rPr>
          <w:szCs w:val="24"/>
        </w:rPr>
        <w:t>14.</w:t>
      </w:r>
      <w:r w:rsidRPr="002A455A">
        <w:rPr>
          <w:szCs w:val="24"/>
        </w:rPr>
        <w:tab/>
      </w:r>
      <w:r w:rsidR="005647DF" w:rsidRPr="002A455A">
        <w:t>σημειώνει ότι, το 2022, για το Δικαστήριο, το 68 % των νέων υποθέσεων αφορούσαν προδικαστικές αποφάσεις, το 24 % ήταν προσφυγές κατά αποφάσεων του Γενικού Δικαστηρίου και το 4 % προσφυγές κατά κρατών μελών λόγω μη εκπλήρωσης υποχρέωσης· σημειώνει περαιτέρω ότι, το 2022, για το Γενικό Δικαστήριο, το 46 % των νέων υποθέσεων αφορούσαν προσφυγές για την ακύρωση πράξεων των θεσμικών οργάνων της Ένωσης, το 30 % αφορούσαν προσφυγές που σχετίζονταν με τη διανοητική ιδιοκτησία και το 7 % αφορούσαν διαφορές μεταξύ θεσμικών οργάνων της Ένωσης και του προσωπικού τους·</w:t>
      </w:r>
    </w:p>
    <w:p w:rsidR="005647DF" w:rsidRPr="002A455A" w:rsidRDefault="002A455A" w:rsidP="002A455A">
      <w:pPr>
        <w:pStyle w:val="NormalHanging12a"/>
        <w:widowControl/>
        <w:ind w:left="570" w:hanging="570"/>
        <w:rPr>
          <w:szCs w:val="24"/>
        </w:rPr>
      </w:pPr>
      <w:r w:rsidRPr="002A455A">
        <w:rPr>
          <w:szCs w:val="24"/>
        </w:rPr>
        <w:t>15.</w:t>
      </w:r>
      <w:r w:rsidRPr="002A455A">
        <w:rPr>
          <w:szCs w:val="24"/>
        </w:rPr>
        <w:tab/>
      </w:r>
      <w:r w:rsidR="005647DF" w:rsidRPr="002A455A">
        <w:t>σημειώνει ότι ο αριθμός των υποθέσεων που παραπέμφθηκαν στα δύο δικαστήρια το 2022 είναι συγκρίσιμος με εκείνον του προηγούμενου έτους (1 710 υποθέσεις το 2022 σε σύγκριση με 1 720 το 2021) και υπογραμμίζει ότι, από κοινού, το Δικαστήριο και το Γενικό Δικαστήριο μπόρεσαν να ολοκληρώσουν 1 666 υποθέσεις το 2022, σε σύγκριση με 1 723 το 2021, αριθμός που αντιστοιχεί στον μέσο όρο των τελευταίων ετών (1 692 υποθέσεις ετησίως μεταξύ 2018 και 2021)· σημειώνει, ωστόσο, ότι ο συνολικός αριθμός των εκκρεμών υποθέσεων αυξάνεται, με 2 585 εκκρεμείς υποθέσεις το 2022 σε σύγκριση με 2 541 το 2021·</w:t>
      </w:r>
    </w:p>
    <w:p w:rsidR="005647DF" w:rsidRPr="002A455A" w:rsidRDefault="002A455A" w:rsidP="002A455A">
      <w:pPr>
        <w:pStyle w:val="NormalHanging12a"/>
        <w:widowControl/>
        <w:ind w:left="570" w:hanging="570"/>
        <w:rPr>
          <w:szCs w:val="24"/>
        </w:rPr>
      </w:pPr>
      <w:r w:rsidRPr="002A455A">
        <w:rPr>
          <w:szCs w:val="24"/>
        </w:rPr>
        <w:t>16.</w:t>
      </w:r>
      <w:r w:rsidRPr="002A455A">
        <w:rPr>
          <w:szCs w:val="24"/>
        </w:rPr>
        <w:tab/>
      </w:r>
      <w:r w:rsidR="005647DF" w:rsidRPr="002A455A">
        <w:t>σημειώνει ότι η μέση διάρκεια των διαδικασιών για τις υποθέσεις που παραπέμφθηκαν στο Δικαστήριο παρέμεινε παρόμοια με εκείνη του προηγούμενου έτους, ανερχόμενη σε 16,4 μήνες το 2022 σε σύγκριση με 16,6 μήνες το 2021· εκφράζει την ικανοποίησή του για το γεγονός ότι μειώθηκε η μέση διάρκεια των διαδικασιών για τις υποθέσεις που παραπέμπο</w:t>
      </w:r>
      <w:bookmarkStart w:id="9" w:name="_GoBack"/>
      <w:bookmarkEnd w:id="9"/>
      <w:r w:rsidR="005647DF" w:rsidRPr="002A455A">
        <w:t>νται στο Γενικό Δικαστήριο σε σύγκριση με το προηγούμενο έτος, ανερχόμενη σε 16,2 μήνες το 2022 σε σύγκριση με 17,3 μήνες το 2021·</w:t>
      </w:r>
    </w:p>
    <w:p w:rsidR="005647DF" w:rsidRPr="002A455A" w:rsidRDefault="002A455A" w:rsidP="002A455A">
      <w:pPr>
        <w:pStyle w:val="NormalHanging12a"/>
        <w:widowControl/>
        <w:ind w:left="570" w:hanging="570"/>
        <w:rPr>
          <w:szCs w:val="24"/>
        </w:rPr>
      </w:pPr>
      <w:r w:rsidRPr="002A455A">
        <w:rPr>
          <w:szCs w:val="24"/>
        </w:rPr>
        <w:t>17.</w:t>
      </w:r>
      <w:r w:rsidRPr="002A455A">
        <w:rPr>
          <w:szCs w:val="24"/>
        </w:rPr>
        <w:tab/>
      </w:r>
      <w:r w:rsidR="005647DF" w:rsidRPr="002A455A">
        <w:t>εκφράζει την ικανοποίησή του για το γεγονός ότι το ΔΕΕ έχει παράσχει σύνοψη του αριθμού και του είδους των εσωτερικών ελέγχων που διενεργήθηκαν στο ΔΕΕ, καθώς και σύνοψη των συστάσεων και της συνέχειας που δόθηκε στις εν λόγω συστάσεις σύμφωνα με το άρθρο 118 παράγραφος 8 του δημοσιονομικού κανονισμού· σημειώνει ότι ο εσωτερικός ελεγκτής διαθέτει ετήσιο πρόγραμμα εργασίας με πολυετή συνιστώσα·</w:t>
      </w:r>
    </w:p>
    <w:p w:rsidR="005647DF" w:rsidRPr="002A455A" w:rsidRDefault="002A455A" w:rsidP="002A455A">
      <w:pPr>
        <w:pStyle w:val="NormalHanging12a"/>
        <w:widowControl/>
        <w:ind w:left="570" w:hanging="570"/>
        <w:rPr>
          <w:szCs w:val="24"/>
        </w:rPr>
      </w:pPr>
      <w:r w:rsidRPr="002A455A">
        <w:rPr>
          <w:szCs w:val="24"/>
        </w:rPr>
        <w:lastRenderedPageBreak/>
        <w:t>18.</w:t>
      </w:r>
      <w:r w:rsidRPr="002A455A">
        <w:rPr>
          <w:szCs w:val="24"/>
        </w:rPr>
        <w:tab/>
      </w:r>
      <w:r w:rsidR="005647DF" w:rsidRPr="002A455A">
        <w:t>σημειώνει ότι οι σημαντικότεροι εσωτερικοί έλεγχοι το 2022 αφορούσαν τη διαχείριση τραπεζικών λογαριασμών, την εκτέλεση ταμειακών διαθεσίμων και πληρωμών, τις ασφαλιστικές συμβάσεις και την κάλυψη κινδύνων, τη διάδοση πληροφοριών βιωσιμότητας και τη ροή διαχείρισης της μετάφρασης·</w:t>
      </w:r>
    </w:p>
    <w:p w:rsidR="005647DF" w:rsidRPr="002A455A" w:rsidRDefault="002A455A" w:rsidP="002A455A">
      <w:pPr>
        <w:pStyle w:val="NormalHanging12a"/>
        <w:widowControl/>
        <w:ind w:left="570" w:hanging="570"/>
        <w:rPr>
          <w:szCs w:val="24"/>
        </w:rPr>
      </w:pPr>
      <w:r w:rsidRPr="002A455A">
        <w:rPr>
          <w:szCs w:val="24"/>
        </w:rPr>
        <w:t>19.</w:t>
      </w:r>
      <w:r w:rsidRPr="002A455A">
        <w:rPr>
          <w:szCs w:val="24"/>
        </w:rPr>
        <w:tab/>
      </w:r>
      <w:r w:rsidR="005647DF" w:rsidRPr="002A455A">
        <w:t>σημειώνει ότι, στις απαντήσεις στο ερωτηματολόγιο της Επιτροπής Ελέγχου του Προϋπολογισμού του Κοινοβουλίου που αποτελούσε μέρος της παρούσας διαδικασίας απαλλαγής, το ΔΕΕ αναφέρει ότι οι εσωτερικοί έλεγχοι οδήγησαν σε πολλές συστάσεις που έγιναν δεκτές από τις αρμόδιες υπηρεσίες· ζητεί να ενημερωθεί το Κοινοβούλιο σε περίπτωση που οι αρμόδιες υπηρεσίες δεν δώσουν συνέχεια στις συστάσεις του εσωτερικού ελεγκτή·</w:t>
      </w:r>
    </w:p>
    <w:p w:rsidR="005647DF" w:rsidRPr="002A455A" w:rsidRDefault="005647DF" w:rsidP="005925A3">
      <w:pPr>
        <w:pStyle w:val="NormalHanging12a"/>
        <w:widowControl/>
        <w:ind w:left="0" w:firstLine="0"/>
        <w:rPr>
          <w:b/>
          <w:i/>
          <w:szCs w:val="24"/>
        </w:rPr>
      </w:pPr>
      <w:r w:rsidRPr="002A455A">
        <w:rPr>
          <w:b/>
          <w:i/>
        </w:rPr>
        <w:t>Ανθρώπινοι πόροι, ισότητα και ευεξία του προσωπικού</w:t>
      </w:r>
    </w:p>
    <w:p w:rsidR="005647DF" w:rsidRPr="002A455A" w:rsidRDefault="002A455A" w:rsidP="002A455A">
      <w:pPr>
        <w:pStyle w:val="NormalHanging12a"/>
        <w:widowControl/>
        <w:ind w:left="570" w:hanging="570"/>
        <w:rPr>
          <w:szCs w:val="24"/>
        </w:rPr>
      </w:pPr>
      <w:r w:rsidRPr="002A455A">
        <w:rPr>
          <w:szCs w:val="24"/>
        </w:rPr>
        <w:t>20.</w:t>
      </w:r>
      <w:r w:rsidRPr="002A455A">
        <w:rPr>
          <w:szCs w:val="24"/>
        </w:rPr>
        <w:tab/>
      </w:r>
      <w:r w:rsidR="005647DF" w:rsidRPr="002A455A">
        <w:t>σημειώνει ότι το Δικαστήριο αποτελείται από 27 δικαστές και 11 γενικούς εισαγγελείς και ότι κανένας νέος δικαστής δεν ανέλαβε καθήκοντα το 2022· σημειώνει περαιτέρω ότι το Γενικό Δικαστήριο αποτελείται από 54 δικαστές και ότι οκτώ νέοι δικαστές ανέλαβαν καθήκοντα κατά τη διάρκεια του 2022·</w:t>
      </w:r>
    </w:p>
    <w:p w:rsidR="005647DF" w:rsidRPr="002A455A" w:rsidRDefault="002A455A" w:rsidP="002A455A">
      <w:pPr>
        <w:pStyle w:val="NormalHanging12a"/>
        <w:widowControl/>
        <w:ind w:left="570" w:hanging="570"/>
        <w:rPr>
          <w:szCs w:val="24"/>
        </w:rPr>
      </w:pPr>
      <w:r w:rsidRPr="002A455A">
        <w:rPr>
          <w:szCs w:val="24"/>
        </w:rPr>
        <w:t>21.</w:t>
      </w:r>
      <w:r w:rsidRPr="002A455A">
        <w:rPr>
          <w:szCs w:val="24"/>
        </w:rPr>
        <w:tab/>
      </w:r>
      <w:r w:rsidR="005647DF" w:rsidRPr="002A455A">
        <w:t>σημειώνει με ανησυχία ότι το Δικαστήριο και το Γενικό Δικαστήριο εξακολουθούν να έχουν πολύ άνιση σύνθεση μεταξύ των φύλων και ότι από τους οκτώ νέους δικαστές που ανέλαβαν καθήκοντα στο Γενικό Δικαστήριο το 2022, πέντε ήταν άνδρες και τρεις γυναίκες· επαναλαμβάνει την εκτίμησή του για την επιστολή του Προέδρου του Γενικού Δικαστηρίου προς τον Πρόεδρο της Διάσκεψης των αντιπροσώπων των κρατών μελών το 2021, με την οποία καλεί τα κράτη μέλη να λάβουν υπόψη την ανάγκη για ισόρροπη εκπροσώπηση των φύλων κατά τον διορισμό υποψηφίων για την αντικατάσταση δικαστών· εκφράζει τη λύπη του για το γεγονός ότι η επιστολή παρέμεινε αναπάντητη·</w:t>
      </w:r>
    </w:p>
    <w:p w:rsidR="005647DF" w:rsidRPr="002A455A" w:rsidRDefault="002A455A" w:rsidP="002A455A">
      <w:pPr>
        <w:pStyle w:val="NormalHanging12a"/>
        <w:widowControl/>
        <w:ind w:left="570" w:hanging="570"/>
        <w:rPr>
          <w:szCs w:val="24"/>
        </w:rPr>
      </w:pPr>
      <w:r w:rsidRPr="002A455A">
        <w:rPr>
          <w:szCs w:val="24"/>
        </w:rPr>
        <w:t>22.</w:t>
      </w:r>
      <w:r w:rsidRPr="002A455A">
        <w:rPr>
          <w:szCs w:val="24"/>
        </w:rPr>
        <w:tab/>
      </w:r>
      <w:r w:rsidR="005647DF" w:rsidRPr="002A455A">
        <w:t>εκτιμά το γεγονός ότι το ΔΕΕ, στο πλαίσιο των απαντήσεών του στο ερωτηματολόγιο της Επιτροπής Ελέγχου του Προϋπολογισμού του Κοινοβουλίου, παρείχε πολύ λεπτομερείς πληροφορίες σχετικά με την κατανομή του προσωπικού στο τέλος του 2022·</w:t>
      </w:r>
    </w:p>
    <w:p w:rsidR="005647DF" w:rsidRPr="002A455A" w:rsidRDefault="002A455A" w:rsidP="002A455A">
      <w:pPr>
        <w:pStyle w:val="NormalHanging12a"/>
        <w:widowControl/>
        <w:ind w:left="570" w:hanging="570"/>
        <w:rPr>
          <w:szCs w:val="24"/>
        </w:rPr>
      </w:pPr>
      <w:r w:rsidRPr="002A455A">
        <w:rPr>
          <w:szCs w:val="24"/>
        </w:rPr>
        <w:t>23.</w:t>
      </w:r>
      <w:r w:rsidRPr="002A455A">
        <w:rPr>
          <w:szCs w:val="24"/>
        </w:rPr>
        <w:tab/>
      </w:r>
      <w:r w:rsidR="005647DF" w:rsidRPr="002A455A">
        <w:t>σημειώνει ότι, στο τέλος του 2022, το ΔΕΕ απασχολούσε 2253 υπαλλήλους, ποσοστό που συνιστά ελαφρά αύξηση από τους 2 247 υπαλλήλους στο τέλος του 2021 και τους 2 239 στο τέλος του 2020· σημειώνει ότι η συνολική κατανομή των φύλων στο τέλος του 2022 ήταν 893 άνδρες, αριθμός που αντιστοιχεί στο 40 %, και 1 360 γυναίκες, αριθμός που αντιστοιχεί στο 60 %· σημειώνει, επιπλέον, ότι η συνολική κατανομή μεταξύ των κατηγοριών προσωπικού ήταν 1 300 μόνιμοι υπάλληλοι (58 %), 774 έκτακτοι υπάλληλοι (34 %) και 179 συμβασιούχοι υπάλληλοι (8 %), γεγονός που αντιπροσωπεύει μικρή μείωση του ποσοστού των μόνιμων υπαλλήλων σε σύγκριση με το 2021, η οποία αντικατοπτρίζεται σε μικρή αύξηση του ποσοστού των έκτακτων υπαλλήλων και καμία αλλαγή σε σχέση με τους συμβασιούχους υπαλλήλους·</w:t>
      </w:r>
    </w:p>
    <w:p w:rsidR="005647DF" w:rsidRPr="002A455A" w:rsidRDefault="002A455A" w:rsidP="002A455A">
      <w:pPr>
        <w:pStyle w:val="NormalHanging12a"/>
        <w:widowControl/>
        <w:ind w:left="570" w:hanging="570"/>
        <w:rPr>
          <w:szCs w:val="24"/>
        </w:rPr>
      </w:pPr>
      <w:r w:rsidRPr="002A455A">
        <w:rPr>
          <w:szCs w:val="24"/>
        </w:rPr>
        <w:t>24.</w:t>
      </w:r>
      <w:r w:rsidRPr="002A455A">
        <w:rPr>
          <w:szCs w:val="24"/>
        </w:rPr>
        <w:tab/>
      </w:r>
      <w:r w:rsidR="005647DF" w:rsidRPr="002A455A">
        <w:t>σημειώνει ότι για τα ανώτερα διοικητικά στελέχη η κατανομή των φύλων ήταν εννέα άνδρες και έξι γυναίκες, αριθμός που αντιστοιχεί σε 60 % άνδρες και 40 % γυναίκες· σημειώνει ότι για τα μεσαία διοικητικά στελέχη η κατανομή των φύλων ήταν 36 άνδρες και 24 γυναίκες, αριθμός που αντιστοιχεί επίσης σε 60 % άνδρες και 40 % γυναίκες·</w:t>
      </w:r>
    </w:p>
    <w:p w:rsidR="005647DF" w:rsidRPr="002A455A" w:rsidRDefault="002A455A" w:rsidP="002A455A">
      <w:pPr>
        <w:pStyle w:val="NormalHanging12a"/>
        <w:widowControl/>
        <w:ind w:left="570" w:hanging="570"/>
        <w:rPr>
          <w:szCs w:val="24"/>
        </w:rPr>
      </w:pPr>
      <w:r w:rsidRPr="002A455A">
        <w:rPr>
          <w:szCs w:val="24"/>
        </w:rPr>
        <w:t>25.</w:t>
      </w:r>
      <w:r w:rsidRPr="002A455A">
        <w:rPr>
          <w:szCs w:val="24"/>
        </w:rPr>
        <w:tab/>
      </w:r>
      <w:r w:rsidR="005647DF" w:rsidRPr="002A455A">
        <w:t xml:space="preserve">εκφράζει την ικανοποίησή του για το γεγονός ότι όλες οι εθνικότητες της Ένωσης εκπροσωπούνται στο προσωπικό του ΔΕΕ· σημειώνει, ωστόσο, με λύπη ότι οι υπήκοοι ορισμένων κρατών μελών </w:t>
      </w:r>
      <w:proofErr w:type="spellStart"/>
      <w:r w:rsidR="005647DF" w:rsidRPr="002A455A">
        <w:t>υπερεκπροσωπούνται</w:t>
      </w:r>
      <w:proofErr w:type="spellEnd"/>
      <w:r w:rsidR="005647DF" w:rsidRPr="002A455A">
        <w:t xml:space="preserve">· σημειώνει εν προκειμένω ότι οι Γάλλοι υπήκοοι αποτελούν 505 από τα 2 253 μέλη του προσωπικού, αριθμός που αντιστοιχεί στο 22 %, και ότι η </w:t>
      </w:r>
      <w:proofErr w:type="spellStart"/>
      <w:r w:rsidR="005647DF" w:rsidRPr="002A455A">
        <w:t>υπερεκπροσώπηση</w:t>
      </w:r>
      <w:proofErr w:type="spellEnd"/>
      <w:r w:rsidR="005647DF" w:rsidRPr="002A455A">
        <w:t xml:space="preserve"> είναι ακόμα υψηλότερη μεταξύ των βοηθών (AST), όπου αποτελούν 223 από τα 719 μέλη του προσωπικού, ήτοι 31 %· σημειώνει ότι οι Βέλγοι υπήκοοι και οι Ιταλοί </w:t>
      </w:r>
      <w:proofErr w:type="spellStart"/>
      <w:r w:rsidR="005647DF" w:rsidRPr="002A455A">
        <w:t>υπερεκπροσωπούνται</w:t>
      </w:r>
      <w:proofErr w:type="spellEnd"/>
      <w:r w:rsidR="005647DF" w:rsidRPr="002A455A">
        <w:t xml:space="preserve"> σε επίπεδο διοικητικών υπαλλήλων (AD) με 108 και 97 υπαλλήλους επί συνόλου 1 274 υπαλλήλων αντίστοιχα· σημειώνει επίσης ότι η Κύπρος είναι η πλέον </w:t>
      </w:r>
      <w:proofErr w:type="spellStart"/>
      <w:r w:rsidR="005647DF" w:rsidRPr="002A455A">
        <w:t>υποεκπροσωπούμενη</w:t>
      </w:r>
      <w:proofErr w:type="spellEnd"/>
      <w:r w:rsidR="005647DF" w:rsidRPr="002A455A">
        <w:t xml:space="preserve"> χώρα, με μόλις 2 υπηκόους σε θέσεις μόνιμων και έκτακτων υπαλλήλων AD και δεν διαθέτει υπηκόους σε θέσεις AST και βοηθών-γραμματέων (AST-SC)· σημειώνει ότι το ΔΕΕ θα πρέπει να επιδιώξει μια πιο ισορροπημένη εκπροσώπηση των υπηκόων της Ένωσης σε όλες τις θέσεις και να επιδιώξει κατάλληλη γεωγραφική κατανομή·</w:t>
      </w:r>
    </w:p>
    <w:p w:rsidR="005647DF" w:rsidRPr="002A455A" w:rsidRDefault="002A455A" w:rsidP="002A455A">
      <w:pPr>
        <w:pStyle w:val="NormalHanging12a"/>
        <w:widowControl/>
        <w:ind w:left="570" w:hanging="570"/>
        <w:rPr>
          <w:szCs w:val="24"/>
        </w:rPr>
      </w:pPr>
      <w:r w:rsidRPr="002A455A">
        <w:rPr>
          <w:szCs w:val="24"/>
        </w:rPr>
        <w:t>26.</w:t>
      </w:r>
      <w:r w:rsidRPr="002A455A">
        <w:rPr>
          <w:szCs w:val="24"/>
        </w:rPr>
        <w:tab/>
      </w:r>
      <w:r w:rsidR="005647DF" w:rsidRPr="002A455A">
        <w:t xml:space="preserve">ενθαρρύνει το ΔΕΕ να στηρίξει ένα πολύγλωσσο εργασιακό περιβάλλον· παρατηρεί ότι, παρόλο που, σύμφωνα με τον κανονισμό διαδικασίας του Δικαστηρίου της Ευρωπαϊκής Ένωσης κεφάλαιο 8 άρθρο 36, η γλώσσα διαδικασίας μπορεί να είναι σε οποιαδήποτε γλώσσα της Ένωσης (αγγλική, βουλγαρική, γαλλική, γερμανική, δανική, ελληνική, εσθονική, ιρλανδική, </w:t>
      </w:r>
      <w:proofErr w:type="spellStart"/>
      <w:r w:rsidR="005647DF" w:rsidRPr="002A455A">
        <w:t>λετονική</w:t>
      </w:r>
      <w:proofErr w:type="spellEnd"/>
      <w:r w:rsidR="005647DF" w:rsidRPr="002A455A">
        <w:t>, λιθουανική, μαλτέζικη, ολλανδική, ουγγρική, πολωνική, πορτογαλική, ρουμανική, σλοβακική, σλοβενική, σουηδική, τσεχική ή φινλανδική), η καθημερινή διοικητική εργασία εκτελείται ωστόσο σε ποσοστό 90 % στα γαλλικά· ενθαρρύνει τη συχνότερη και σε καθημερινή βάση χρήση των άλλων δύο γλωσσών εργασίας της Ευρωπαϊκής Ένωσης, δηλαδή της γερμανικής και της αγγλικής, στο καθημερινό διοικητικό έργο του ΔΕΕ, προκειμένου να ενθαρρυνθεί η πολυγλωσσία και να καταστεί η απασχόληση πιο προσιτή στους υπηκόους όλων των κρατών μελών, συμπεριλαμβανομένων εκείνων όπου η γαλλική δεν προσφέρεται στα σχολεία· σημειώνει ότι αυτό θα συμβάλει επίσης στην πιο ισότιμη κατανομή των εθνικοτήτων μεταξύ του προσωπικού του ΔΕΕ και καλεί όλα τα θεσμικά όργανα να εγγυηθούν την πολυγλωσσία·</w:t>
      </w:r>
    </w:p>
    <w:p w:rsidR="005647DF" w:rsidRPr="002A455A" w:rsidRDefault="002A455A" w:rsidP="002A455A">
      <w:pPr>
        <w:pStyle w:val="NormalHanging12a"/>
        <w:widowControl/>
        <w:ind w:left="570" w:hanging="570"/>
        <w:rPr>
          <w:szCs w:val="24"/>
        </w:rPr>
      </w:pPr>
      <w:r w:rsidRPr="002A455A">
        <w:rPr>
          <w:szCs w:val="24"/>
        </w:rPr>
        <w:t>27.</w:t>
      </w:r>
      <w:r w:rsidRPr="002A455A">
        <w:rPr>
          <w:szCs w:val="24"/>
        </w:rPr>
        <w:tab/>
      </w:r>
      <w:r w:rsidR="005647DF" w:rsidRPr="002A455A">
        <w:t>εκφράζει την ικανοποίησή του για το έργο που επιτελέστηκε στο πλαίσιο της Διοργανικής Ομάδας Υψηλού Επιπέδου για την ενίσχυση της ελκυστικότητας του Λουξεμβούργου για το προσωπικό· ενθαρρύνει το ΔΕΕ να συνεχίσει να συνεργάζεται με τα άλλα θεσμικά όργανα που εδρεύουν στο Λουξεμβούργο για διάφορες δράσεις, συμπεριλαμβανομένης της ιδέας της θέσπισης ειδικού επιδόματος στέγασης για την αντιστάθμιση των υψηλών ενοικίων που βαρύνουν ιδιαίτερα το προσωπικό χαμηλότερων βαθμών, καθώς και να διασφαλίσει ότι το προσωπικό του ΔΕΕ ωφελείται από κατάλληλες ρυθμίσεις για τις συνθήκες διαβίωσής του· ζητεί να ενημερωθεί το Κοινοβούλιο σχετικά με την πρόοδο όλων αυτών των πρωτοβουλιών·</w:t>
      </w:r>
    </w:p>
    <w:p w:rsidR="005647DF" w:rsidRPr="002A455A" w:rsidRDefault="002A455A" w:rsidP="002A455A">
      <w:pPr>
        <w:pStyle w:val="NormalHanging12a"/>
        <w:widowControl/>
        <w:ind w:left="570" w:hanging="570"/>
        <w:rPr>
          <w:szCs w:val="24"/>
        </w:rPr>
      </w:pPr>
      <w:r w:rsidRPr="002A455A">
        <w:rPr>
          <w:szCs w:val="24"/>
        </w:rPr>
        <w:t>28.</w:t>
      </w:r>
      <w:r w:rsidRPr="002A455A">
        <w:rPr>
          <w:szCs w:val="24"/>
        </w:rPr>
        <w:tab/>
      </w:r>
      <w:r w:rsidR="005647DF" w:rsidRPr="002A455A">
        <w:t>σημειώνει με ικανοποίηση ότι, την 1η Μαΐου 2022, το ΔΕΕ θέσπισε ένα νέο σύστημα τηλεργασίας που παρέχει τη δυνατότητα εργασίας από το σπίτι δύο ημέρες την εβδομάδα· σημειώνει, επιπλέον, ότι το σύστημα επιτρέπει στο προσωπικό να εργάζεται έως και 10 ημέρες ετησίως από χώρες εκτός του τόπου απασχόλησης, καθώς και ότι μια έρευνα μεταξύ των διευθυντικών στελεχών έδειξε συνολική ικανοποίηση με τη δυνατότητα αυτή, η οποία έχει αποδειχθεί συμβατή με την ορθή λειτουργία των υπηρεσιών·</w:t>
      </w:r>
    </w:p>
    <w:p w:rsidR="005647DF" w:rsidRPr="002A455A" w:rsidRDefault="002A455A" w:rsidP="002A455A">
      <w:pPr>
        <w:pStyle w:val="NormalHanging12a"/>
        <w:widowControl/>
        <w:ind w:left="570" w:hanging="570"/>
        <w:rPr>
          <w:szCs w:val="24"/>
        </w:rPr>
      </w:pPr>
      <w:r w:rsidRPr="002A455A">
        <w:rPr>
          <w:szCs w:val="24"/>
        </w:rPr>
        <w:t>29.</w:t>
      </w:r>
      <w:r w:rsidRPr="002A455A">
        <w:rPr>
          <w:szCs w:val="24"/>
        </w:rPr>
        <w:tab/>
      </w:r>
      <w:r w:rsidR="005647DF" w:rsidRPr="002A455A">
        <w:t xml:space="preserve">σημειώνει με ανησυχία ότι ο αριθμός των ημερών αναρρωτικής άδειας το 2022 εντός του ΔΕΕ ήταν 23 702, αριθμός που ισοδυναμεί με αύξηση κατά 38 % από το 2021, όταν ο αριθμός των ημερών αναρρωτικής άδειας ήταν 17 138· σημειώνει ταυτόχρονα ότι το 2019 υπήρχαν 25 629 ημέρες αναρρωτικής άδειας και ότι ο σχετικά χαμηλός αριθμός το 2021 ενδέχεται να σχετίζεται με την πανδημία </w:t>
      </w:r>
      <w:r w:rsidR="005925A3" w:rsidRPr="002A455A">
        <w:t xml:space="preserve">της </w:t>
      </w:r>
      <w:r w:rsidR="005647DF" w:rsidRPr="002A455A">
        <w:t>COVID-19·</w:t>
      </w:r>
    </w:p>
    <w:p w:rsidR="005647DF" w:rsidRPr="002A455A" w:rsidRDefault="002A455A" w:rsidP="002A455A">
      <w:pPr>
        <w:pStyle w:val="NormalHanging12a"/>
        <w:widowControl/>
        <w:ind w:left="570" w:hanging="570"/>
        <w:rPr>
          <w:szCs w:val="24"/>
        </w:rPr>
      </w:pPr>
      <w:r w:rsidRPr="002A455A">
        <w:rPr>
          <w:szCs w:val="24"/>
        </w:rPr>
        <w:t>30.</w:t>
      </w:r>
      <w:r w:rsidRPr="002A455A">
        <w:rPr>
          <w:szCs w:val="24"/>
        </w:rPr>
        <w:tab/>
      </w:r>
      <w:r w:rsidR="005647DF" w:rsidRPr="002A455A">
        <w:t>σημειώνει με ανησυχία ότι 46 μέλη του προσωπικού ανέφεραν εξάντληση για λόγους που σχετίζονται με την εργασία, ενώ οι ιατρικές υπηρεσίες του ΔΕΕ εκτιμούν ότι το 2022 υπήρξαν 23 περιπτώσεις στις οποίες μέλη του προσωπικού παρουσίασαν συμπτώματα που θα μπορούσαν να συνδέονται με διάγνωση της επαγγελματικής εξουθένωσης· σημειώνει ότι το ΔΕΕ έχει προσφέρει μαθήματα κατάρτισης για διευθυντικά στελέχη με σκοπό την ευαισθητοποίηση σχετικά με τους διάφορους κινδύνους που σχετίζονται με την επαγγελματική εξουθένωση και την ευεξία του προσωπικού· ενθαρρύνει το ΔΕΕ να συνεχίσει να εστιάζει στο πρόβλημα αυτό, να εξετάσει περαιτέρω τον τρόπο με τον οποίο μπορεί να αποτραπεί η επαγγελματική εξουθένωση και να λάβει όλα τα αναγκαία μέτρα για τη διασφάλιση της ευημερίας του προσωπικού του, προκειμένου να μειωθεί ο αριθμός των υποθέσεων που σχετίζονται με την επαγγελματική εξουθένωση· προτείνει στο ΔΕΕ και σε άλλα θεσμικά όργανα να καταρτίσουν ένα κουτί σχολίων όπου το προσωπικό θα μπορεί να αφήνει σχόλια διασφαλίζοντας ότι το προσωπικό δεν θα υπόκειται σε αντίποινα· ζητεί να λαμβάνεται σοβαρά υπόψη το περιεχόμενο αυτού του κουτιού σχολίων και να αναλύεται προκειμένου να διευκολύνεται ο εντοπισμός και η βελτίωση των πηγών επαγγελματικής εξουθένωσης·</w:t>
      </w:r>
    </w:p>
    <w:p w:rsidR="005647DF" w:rsidRPr="002A455A" w:rsidRDefault="002A455A" w:rsidP="002A455A">
      <w:pPr>
        <w:pStyle w:val="NormalHanging12a"/>
        <w:widowControl/>
        <w:ind w:left="570" w:hanging="570"/>
        <w:rPr>
          <w:szCs w:val="24"/>
        </w:rPr>
      </w:pPr>
      <w:r w:rsidRPr="002A455A">
        <w:rPr>
          <w:szCs w:val="24"/>
        </w:rPr>
        <w:t>31.</w:t>
      </w:r>
      <w:r w:rsidRPr="002A455A">
        <w:rPr>
          <w:szCs w:val="24"/>
        </w:rPr>
        <w:tab/>
      </w:r>
      <w:r w:rsidR="005647DF" w:rsidRPr="002A455A">
        <w:t>ενθαρρύνει το τμήμα ανθρώπινων πόρων να συνειδητοποιήσει σε μεγαλύτερο βαθμό τις συνέπειες των μακροχρόνιων συμπτωμάτων</w:t>
      </w:r>
      <w:r w:rsidR="005925A3" w:rsidRPr="002A455A">
        <w:t xml:space="preserve"> της</w:t>
      </w:r>
      <w:r w:rsidR="005647DF" w:rsidRPr="002A455A">
        <w:t xml:space="preserve"> COVID, άλλων ιογενών ασθενειών και </w:t>
      </w:r>
      <w:proofErr w:type="spellStart"/>
      <w:r w:rsidR="005647DF" w:rsidRPr="002A455A">
        <w:t>αυτοάνοσων</w:t>
      </w:r>
      <w:proofErr w:type="spellEnd"/>
      <w:r w:rsidR="005647DF" w:rsidRPr="002A455A">
        <w:t xml:space="preserve"> νόσων· ζητεί επιτακτικά η ασφάλιση υγείας που παρέχεται από το ΔΕΕ και τα υπόλοιπα θεσμικά όργανα της ΕΕ να καλύπτει οικονομικά τις θεραπείες που απαιτούνται για τις εν λόγω παθήσεις·</w:t>
      </w:r>
    </w:p>
    <w:p w:rsidR="005647DF" w:rsidRPr="002A455A" w:rsidRDefault="002A455A" w:rsidP="002A455A">
      <w:pPr>
        <w:pStyle w:val="NormalHanging12a"/>
        <w:widowControl/>
        <w:ind w:left="570" w:hanging="570"/>
        <w:rPr>
          <w:szCs w:val="24"/>
        </w:rPr>
      </w:pPr>
      <w:r w:rsidRPr="002A455A">
        <w:rPr>
          <w:szCs w:val="24"/>
        </w:rPr>
        <w:t>32.</w:t>
      </w:r>
      <w:r w:rsidRPr="002A455A">
        <w:rPr>
          <w:szCs w:val="24"/>
        </w:rPr>
        <w:tab/>
      </w:r>
      <w:r w:rsidR="005647DF" w:rsidRPr="002A455A">
        <w:t>σημειώνει ότι μια διοικητική ερώτηση σχετικά με υπόθεση που ενδέχεται να ισοδυναμεί με σεξουαλική παρενόχληση δρομολογήθηκε το 2023 σχετικά με γεγονότα που έλαβαν χώρα το 2022 και βρίσκεται επί του παρόντος σε εξέλιξη·</w:t>
      </w:r>
    </w:p>
    <w:p w:rsidR="005647DF" w:rsidRPr="002A455A" w:rsidRDefault="002A455A" w:rsidP="002A455A">
      <w:pPr>
        <w:pStyle w:val="NormalHanging12a"/>
        <w:widowControl/>
        <w:ind w:left="570" w:hanging="570"/>
        <w:rPr>
          <w:szCs w:val="24"/>
        </w:rPr>
      </w:pPr>
      <w:r w:rsidRPr="002A455A">
        <w:rPr>
          <w:szCs w:val="24"/>
        </w:rPr>
        <w:t>33.</w:t>
      </w:r>
      <w:r w:rsidRPr="002A455A">
        <w:rPr>
          <w:szCs w:val="24"/>
        </w:rPr>
        <w:tab/>
      </w:r>
      <w:r w:rsidR="005647DF" w:rsidRPr="002A455A">
        <w:t>σημειώνει με ικανοποίηση ότι το ΔΕΕ προσφέρει μαθήματα κατάρτισης για την προώθηση και την ενθάρρυνση της διαφορετικότητας στο πλαίσιο των υπηρεσιών του· σημειώνει, επιπλέον, ότι το ΔΕΕ έχει 27 μέλη του προσωπικού με αναπηρία, εκ των οποίων 14 θεωρείται ότι έχουν σοβαρή αναπηρία· εκτιμά το γεγονός ότι, κατά τη διάρκεια του 2022, δόθηκε σημαντική συνέχεια σε εσωτερικό έλεγχο που διενεργήθηκε το 2021, προκειμένου να διασφαλιστούν τα δικαιώματα των ατόμων με αναπηρία·</w:t>
      </w:r>
    </w:p>
    <w:p w:rsidR="005647DF" w:rsidRPr="002A455A" w:rsidRDefault="002A455A" w:rsidP="002A455A">
      <w:pPr>
        <w:pStyle w:val="NormalHanging12a"/>
        <w:widowControl/>
        <w:ind w:left="570" w:hanging="570"/>
        <w:rPr>
          <w:szCs w:val="24"/>
        </w:rPr>
      </w:pPr>
      <w:r w:rsidRPr="002A455A">
        <w:rPr>
          <w:szCs w:val="24"/>
        </w:rPr>
        <w:t>34.</w:t>
      </w:r>
      <w:r w:rsidRPr="002A455A">
        <w:rPr>
          <w:szCs w:val="24"/>
        </w:rPr>
        <w:tab/>
      </w:r>
      <w:r w:rsidR="005647DF" w:rsidRPr="002A455A">
        <w:t>σημειώνει ότι το ΔΕΕ υποδέχθηκε 267 ασκούμενους κατά τη διάρκεια του 2022· σημειώνει με ικανοποίηση ότι, από το φθινόπωρο του 2022, μετά από σύσταση του Κοινοβουλίου, το ΔΕΕ αποφάσισε να αμείβει όλους τους ασκούμενους εκτός από εκείνους που λαμβάνουν επιχορήγηση από άλλες πηγές· ενθαρρύνει το ΔΕΕ να εξετάσει κατά πόσον οι ασκούμενοι εκπροσωπούνται αναλογικά από όλα τα κράτη μέλη·</w:t>
      </w:r>
    </w:p>
    <w:p w:rsidR="005647DF" w:rsidRPr="002A455A" w:rsidRDefault="002A455A" w:rsidP="002A455A">
      <w:pPr>
        <w:pStyle w:val="NormalHanging12a"/>
        <w:widowControl/>
        <w:ind w:left="570" w:hanging="570"/>
        <w:rPr>
          <w:szCs w:val="24"/>
        </w:rPr>
      </w:pPr>
      <w:r w:rsidRPr="002A455A">
        <w:rPr>
          <w:szCs w:val="24"/>
        </w:rPr>
        <w:t>35.</w:t>
      </w:r>
      <w:r w:rsidRPr="002A455A">
        <w:rPr>
          <w:szCs w:val="24"/>
        </w:rPr>
        <w:tab/>
      </w:r>
      <w:r w:rsidR="005647DF" w:rsidRPr="002A455A">
        <w:t xml:space="preserve">εκφράζει τη λύπη του για το γεγονός ότι το ΔΕΕ δέχθηκε το 2022 άμισθους ασκούμενους, είτε κατά τη μεταβατική περίοδο μετά την έγκριση της νέας απόφασης για την πρακτική άσκηση τον Νοέμβριο του 2021 είτε λόγω εναλλακτικών πηγών χρηματοδότησης· επισημαίνει την αντίθεση μεταξύ του ΔΕΕ, το οποίο δεν διαθέτει πολιτική αμειβόμενης πρακτικής άσκησης, και άλλων ευρωπαϊκών θεσμικών οργάνων που υποστηρίζουν τις εν λόγω πολιτικές· καλεί το ΔΕΕ να παράσχει διαφάνεια σχετικά με τις εξωτερικές πηγές χρηματοδότησης των μη αμειβόμενων </w:t>
      </w:r>
      <w:proofErr w:type="spellStart"/>
      <w:r w:rsidR="005647DF" w:rsidRPr="002A455A">
        <w:t>ασκουμένων</w:t>
      </w:r>
      <w:proofErr w:type="spellEnd"/>
      <w:r w:rsidR="005647DF" w:rsidRPr="002A455A">
        <w:t xml:space="preserve"> και να αναλύσει το σκεπτικό στο οποίο βασίζεται η διατήρηση αυτής της πολιτικής·</w:t>
      </w:r>
    </w:p>
    <w:p w:rsidR="005647DF" w:rsidRPr="002A455A" w:rsidRDefault="005647DF" w:rsidP="005925A3">
      <w:pPr>
        <w:pStyle w:val="NormalHanging12a"/>
        <w:widowControl/>
        <w:ind w:left="0" w:firstLine="0"/>
        <w:rPr>
          <w:b/>
          <w:i/>
          <w:szCs w:val="24"/>
        </w:rPr>
      </w:pPr>
      <w:r w:rsidRPr="002A455A">
        <w:rPr>
          <w:b/>
          <w:i/>
        </w:rPr>
        <w:t>Δεοντολογικό πλαίσιο και διαφάνεια</w:t>
      </w:r>
    </w:p>
    <w:p w:rsidR="005647DF" w:rsidRPr="002A455A" w:rsidRDefault="002A455A" w:rsidP="002A455A">
      <w:pPr>
        <w:pStyle w:val="NormalHanging12a"/>
        <w:widowControl/>
        <w:ind w:left="570" w:hanging="570"/>
        <w:rPr>
          <w:szCs w:val="24"/>
        </w:rPr>
      </w:pPr>
      <w:r w:rsidRPr="002A455A">
        <w:rPr>
          <w:szCs w:val="24"/>
        </w:rPr>
        <w:t>36.</w:t>
      </w:r>
      <w:r w:rsidRPr="002A455A">
        <w:rPr>
          <w:szCs w:val="24"/>
        </w:rPr>
        <w:tab/>
      </w:r>
      <w:r w:rsidR="005647DF" w:rsidRPr="002A455A">
        <w:t>εξακολουθεί να επικροτεί τις μεταρρυθμίσεις που πραγματοποιήθηκαν το 2021 όσον αφορά τα μέλη του Δικαστηρίου και του Γενικού Δικαστηρίου όσον αφορά τον κώδικα δεοντολογίας τους και τις δηλώσεις συμφερόντων, οι οποίες, σε συνδυασμό με τις νέες απαιτήσεις για τα βιογραφικά σημειώματα των μελών, συνιστούν βελτίωση της διαφάνειας του ΔΕΕ· θεωρεί, ωστόσο, ότι η εγκυρότητα και η χρησιμότητα των δηλώσεων συμφερόντων θα βελτιωθούν μέσω κάποιου είδους επαλήθευσης και ποιοτικού ελέγχου·</w:t>
      </w:r>
    </w:p>
    <w:p w:rsidR="005647DF" w:rsidRPr="002A455A" w:rsidRDefault="002A455A" w:rsidP="002A455A">
      <w:pPr>
        <w:pStyle w:val="NormalHanging12a"/>
        <w:widowControl/>
        <w:ind w:left="570" w:hanging="570"/>
        <w:rPr>
          <w:szCs w:val="24"/>
        </w:rPr>
      </w:pPr>
      <w:r w:rsidRPr="002A455A">
        <w:rPr>
          <w:szCs w:val="24"/>
        </w:rPr>
        <w:t>37.</w:t>
      </w:r>
      <w:r w:rsidRPr="002A455A">
        <w:rPr>
          <w:szCs w:val="24"/>
        </w:rPr>
        <w:tab/>
      </w:r>
      <w:r w:rsidR="005647DF" w:rsidRPr="002A455A">
        <w:t>εκφράζει την ικανοποίησή του για το γεγονός ότι, από το 2018, το ΔΕΕ έχει δημοσιεύσει κατάλογο των εξωτερικών δραστηριοτήτων των μελών τόσο του Δικαστηρίου όσο και του Γενικού Δικαστηρίου· σημειώνει ότι ο κατάλογος είναι δυσνόητος για το ευρύ κοινό και προτείνει να καταστεί πιο ενημερωτικός, συμπεριλαμβάνοντας πληροφορίες σχετικά με τη φύση της εξωτερικής δραστηριότητας· τονίζει ότι τα μέλη αναμένεται να αφιερωθούν πλήρως στην εκτέλεση των καθηκόντων τους στο ΔΕΕ και ότι μπορούν να ασκούν μόνο εξωτερικές δραστηριότητες που σχετίζονται με την εκτέλεση των καθηκόντων τους και με την επιφύλαξη προηγούμενης έγκρισης που χορηγείται μόνο όταν οι δραστηριότητες αυτές είναι συμβατές με τις απαιτήσεις του κώδικα δεοντολογίας και, ιδίως, με την υποχρέωση τα μέλη να είναι διαθέσιμα για δικαστικές δραστηριότητες·</w:t>
      </w:r>
    </w:p>
    <w:p w:rsidR="005647DF" w:rsidRPr="002A455A" w:rsidRDefault="002A455A" w:rsidP="002A455A">
      <w:pPr>
        <w:pStyle w:val="NormalHanging12a"/>
        <w:widowControl/>
        <w:ind w:left="570" w:hanging="570"/>
        <w:rPr>
          <w:szCs w:val="24"/>
        </w:rPr>
      </w:pPr>
      <w:r w:rsidRPr="002A455A">
        <w:rPr>
          <w:szCs w:val="24"/>
        </w:rPr>
        <w:t>38.</w:t>
      </w:r>
      <w:r w:rsidRPr="002A455A">
        <w:rPr>
          <w:szCs w:val="24"/>
        </w:rPr>
        <w:tab/>
      </w:r>
      <w:r w:rsidR="005647DF" w:rsidRPr="002A455A">
        <w:t>σημειώνει την απόφαση του 2021 σχετικά με τα ταξίδια, τις αποστολές και τη χρήση οδηγών και αυτοκινήτων των μελών, η οποία συνεπάγεται ότι τα μέλη θα πρέπει να καλύπτουν όλες τις δαπάνες λειτουργίας για τη χρήση οχήματος που δεν καλύπτεται από εντολή αποστολής άνω των 10 000 χιλιομέτρων· πιστεύει ότι ο στόλος αυτοκινήτων δεν θα πρέπει να χρησιμοποιείται σε καμία περίπτωση για σκοπούς που δεν σχετίζονται με την αυστηρή εκτέλεση των καθηκόντων των μελών του ΔΕΕ· ζητεί από όλα τα θεσμικά όργανα της Ένωσης να συμφωνήσουν σε ένα ενιαίο σύστημα που θα εφαρμόζεται οριζόντια, το οποίο θα μειώσει τη σύγχυση και θα αυξήσει τη διαφάνεια και την αποτελεσματικότητα στη χρήση του δημόσιου χρήματος·</w:t>
      </w:r>
    </w:p>
    <w:p w:rsidR="005647DF" w:rsidRPr="002A455A" w:rsidRDefault="002A455A" w:rsidP="002A455A">
      <w:pPr>
        <w:pStyle w:val="NormalHanging12a"/>
        <w:widowControl/>
        <w:ind w:left="570" w:hanging="570"/>
        <w:rPr>
          <w:szCs w:val="24"/>
        </w:rPr>
      </w:pPr>
      <w:r w:rsidRPr="002A455A">
        <w:rPr>
          <w:szCs w:val="24"/>
        </w:rPr>
        <w:t>39.</w:t>
      </w:r>
      <w:r w:rsidRPr="002A455A">
        <w:rPr>
          <w:szCs w:val="24"/>
        </w:rPr>
        <w:tab/>
      </w:r>
      <w:r w:rsidR="005647DF" w:rsidRPr="002A455A">
        <w:t>εκφράζει την ικανοποίησή του για το γεγονός ότι το ΔΕΕ εκπαιδεύει όλους τους νεοεισερχόμενους σχετικά με όλες τις δεοντολογικές πτυχές, καθώς και σχετικά με τα δικαιώματα και τις υποχρεώσεις των υπαλλήλων και του λοιπού προσωπικού, όπως ορίζονται στον κανονισμό υπηρεσιακής κατάστασης, καλύπτοντας επίσης την καταγγελία δυσλειτουργιών, την απαγόρευση της παρενόχλησης, την πρόληψη των συγκρούσεων συμφερόντων και άλλα δεοντολογικά ζητήματα· εκφράζει επίσης την ικανοποίησή του για τη διοργάνωση έξι μαθημάτων κατάρτισης με τίτλο «Κανόνες δεοντολογίας» με τη συμμετοχή 70 μελών του προσωπικού και 11 μαθημάτων κατάρτισης με τίτλο «Εσωτερικός έλεγχος» με τη συμμετοχή 80 μελών του προσωπικού· ενθαρρύνει το ΔΕΕ να καταστήσει υποχρεωτικό για όλο το προσωπικό, παλαιό ή νέο, ένα πρόγραμμα κατάρτισης σχετικά με τον «κανόνα δεοντολογίας», προκειμένου να ενθαρρύνει έναν ασφαλή και παραγωγικό χώρο εργασίας και τον δεοντολογικό χειρισμό των υποθέσεων·</w:t>
      </w:r>
    </w:p>
    <w:p w:rsidR="005647DF" w:rsidRPr="002A455A" w:rsidRDefault="002A455A" w:rsidP="002A455A">
      <w:pPr>
        <w:pStyle w:val="NormalHanging12a"/>
        <w:widowControl/>
        <w:ind w:left="570" w:hanging="570"/>
        <w:rPr>
          <w:szCs w:val="24"/>
        </w:rPr>
      </w:pPr>
      <w:r w:rsidRPr="002A455A">
        <w:rPr>
          <w:szCs w:val="24"/>
        </w:rPr>
        <w:t>40.</w:t>
      </w:r>
      <w:r w:rsidRPr="002A455A">
        <w:rPr>
          <w:szCs w:val="24"/>
        </w:rPr>
        <w:tab/>
      </w:r>
      <w:r w:rsidR="005647DF" w:rsidRPr="002A455A">
        <w:t>σημειώνει με ικανοποίηση ότι η Ευρωπαϊκή Υπηρεσία Καταπολέμησης της Απάτης (OLAF) δεν κίνησε νέες έρευνες με τη συμμετοχή του ΔΕΕ το 2022, αλλά ότι βρίσκεται ακόμα σε εξέλιξη μία έρευνα, η οποία αφορά τη συμπεριφορά του προσωπικού που μπορεί να συνιστά σοβαρή παράλειψη συμμόρφωσης με τις υποχρεώσεις του, καθώς και ότι σε τέσσερις υποθέσεις που χειρίστηκε ο Ευρωπαίος Διαμεσολαβητής σχετικά με το ΔΕΕ δεν διαπιστώθηκε κακοδιοίκηση, γεγονός που σημαίνει ότι ο Ευρωπαίος Διαμεσολαβητής δεν εξέδωσε συστάσεις σχετικά με το ΔΕΕ το 2022· σημειώνει ότι δεν υπήρξαν περιπτώσεις καταγγελίας δυσλειτουργιών στο ΔΕΕ το 2022·</w:t>
      </w:r>
    </w:p>
    <w:p w:rsidR="005647DF" w:rsidRPr="002A455A" w:rsidRDefault="002A455A" w:rsidP="002A455A">
      <w:pPr>
        <w:pStyle w:val="NormalHanging12a"/>
        <w:widowControl/>
        <w:ind w:left="570" w:hanging="570"/>
        <w:rPr>
          <w:szCs w:val="24"/>
        </w:rPr>
      </w:pPr>
      <w:r w:rsidRPr="002A455A">
        <w:rPr>
          <w:szCs w:val="24"/>
        </w:rPr>
        <w:t>41.</w:t>
      </w:r>
      <w:r w:rsidRPr="002A455A">
        <w:rPr>
          <w:szCs w:val="24"/>
        </w:rPr>
        <w:tab/>
      </w:r>
      <w:r w:rsidR="005647DF" w:rsidRPr="002A455A">
        <w:t>εκφράζει τη βαθιά του λύπη για το γεγονός ότι ο νέος κώδικας δεοντολογίας για τα μέλη του προσωπικού, ο οποίος αναμενόταν αρχικά να ολοκληρωθεί έως το τέλος του 2021, δεν είχε ακόμη οριστικοποιηθεί έως το τέλος του 2022· σημειώνει ότι ο νέος κώδικας δεοντολογίας αναμενόταν να εγκριθεί έως το τέλος του 2023, αλλά βρίσκεται ακόμη στη διαδικασία έγκρισης· καλεί το Δικαστήριο να οριστικοποιήσει και να εγκρίνει χωρίς καθυστέρηση νέο κώδικα δεοντολογίας, σύμφωνα με αιτήματα προηγούμενων κύκλων απαλλαγής, και ζητεί να ενημερωθεί το Κοινοβούλιο σχετικά με την έγκρισή του και το περιεχόμενό του το συντομότερο δυνατόν·</w:t>
      </w:r>
    </w:p>
    <w:p w:rsidR="005647DF" w:rsidRPr="002A455A" w:rsidRDefault="002A455A" w:rsidP="002A455A">
      <w:pPr>
        <w:pStyle w:val="NormalHanging12a"/>
        <w:widowControl/>
        <w:ind w:left="570" w:hanging="570"/>
        <w:rPr>
          <w:szCs w:val="24"/>
        </w:rPr>
      </w:pPr>
      <w:r w:rsidRPr="002A455A">
        <w:rPr>
          <w:szCs w:val="24"/>
        </w:rPr>
        <w:t>42.</w:t>
      </w:r>
      <w:r w:rsidRPr="002A455A">
        <w:rPr>
          <w:szCs w:val="24"/>
        </w:rPr>
        <w:tab/>
      </w:r>
      <w:r w:rsidR="005647DF" w:rsidRPr="002A455A">
        <w:t>εκφράζει την ικανοποίησή του για το γεγονός ότι δεν εντοπίστηκαν συγκρούσεις συμφερόντων το 2022· σημειώνει ότι εξετάστηκαν 112 αιτήσεις βάσει του άρθρου 16 του κανονισμού υπηρεσιακής κατάστασης σχετικά με επαγγελματικές δραστηριότητες μετά την αποχώρηση από την υπηρεσία και ότι όλες εγκρίθηκαν· σημειώνει, επιπλέον, ότι δηλώθηκαν εννέα περιπτώσεις εξωτερικής δραστηριότητας κατά τη διάρκεια άδειας για προσωπικούς λόγους και ότι όλες εγκρίθηκαν· θεωρεί ότι ο εν λόγω τομέας θα μπορούσε δυνητικά να εξεταστεί από τον εσωτερικό ελεγκτή ή τον προτεινόμενο φορέα δεοντολογίας της ΕΕ</w:t>
      </w:r>
    </w:p>
    <w:p w:rsidR="005647DF" w:rsidRPr="002A455A" w:rsidRDefault="005647DF" w:rsidP="005925A3">
      <w:pPr>
        <w:pStyle w:val="NormalHanging12a"/>
        <w:widowControl/>
        <w:ind w:left="0" w:firstLine="0"/>
        <w:rPr>
          <w:b/>
          <w:i/>
          <w:szCs w:val="24"/>
        </w:rPr>
      </w:pPr>
      <w:r w:rsidRPr="002A455A">
        <w:rPr>
          <w:b/>
          <w:i/>
        </w:rPr>
        <w:t>Ψηφιοποίηση, κυβερνοασφάλεια και προστασία δεδομένων</w:t>
      </w:r>
    </w:p>
    <w:p w:rsidR="005647DF" w:rsidRPr="002A455A" w:rsidRDefault="002A455A" w:rsidP="002A455A">
      <w:pPr>
        <w:pStyle w:val="NormalHanging12a"/>
        <w:widowControl/>
        <w:ind w:left="570" w:hanging="570"/>
        <w:rPr>
          <w:szCs w:val="24"/>
        </w:rPr>
      </w:pPr>
      <w:r w:rsidRPr="002A455A">
        <w:rPr>
          <w:szCs w:val="24"/>
        </w:rPr>
        <w:t>43.</w:t>
      </w:r>
      <w:r w:rsidRPr="002A455A">
        <w:rPr>
          <w:szCs w:val="24"/>
        </w:rPr>
        <w:tab/>
      </w:r>
      <w:r w:rsidR="005647DF" w:rsidRPr="002A455A">
        <w:t>εκφράζει την ικανοποίησή του για το γεγονός ότι το ΔΕΕ επιτάχυνε την εφαρμογή ενός ολοκληρωμένου συστήματος διαχείρισης υποθέσεων (SIGA), το οποίο θα του επιτρέψει να εργαστεί για μια πλήρως ψηφιακή, ασφαλή και ολοκληρωμένη ροή εργασιών, και εκφράζει την ικανοποίησή του για το γεγονός ότι το ΔΕΕ προχώρησε στην εφαρμογή του προγράμματος HAN/</w:t>
      </w:r>
      <w:proofErr w:type="spellStart"/>
      <w:r w:rsidR="005647DF" w:rsidRPr="002A455A">
        <w:t>Ares</w:t>
      </w:r>
      <w:proofErr w:type="spellEnd"/>
      <w:r w:rsidR="005647DF" w:rsidRPr="002A455A">
        <w:t xml:space="preserve"> όσον αφορά όλες τις διοικητικές υπηρεσίες του ΔΕΕ· ζητεί από το ΔΕΕ να τηρεί το Κοινοβούλιο ενήμερο σχετικά με την εν λόγω εκτέλεση στο πλαίσιο της ετήσιας διαδικασίας απαλλαγής·</w:t>
      </w:r>
    </w:p>
    <w:p w:rsidR="005647DF" w:rsidRPr="002A455A" w:rsidRDefault="002A455A" w:rsidP="002A455A">
      <w:pPr>
        <w:pStyle w:val="NormalHanging12a"/>
        <w:widowControl/>
        <w:ind w:left="570" w:hanging="570"/>
        <w:rPr>
          <w:szCs w:val="24"/>
        </w:rPr>
      </w:pPr>
      <w:r w:rsidRPr="002A455A">
        <w:rPr>
          <w:szCs w:val="24"/>
        </w:rPr>
        <w:t>44.</w:t>
      </w:r>
      <w:r w:rsidRPr="002A455A">
        <w:rPr>
          <w:szCs w:val="24"/>
        </w:rPr>
        <w:tab/>
      </w:r>
      <w:r w:rsidR="005647DF" w:rsidRPr="002A455A">
        <w:t>εκφράζει την ικανοποίησή του για το γεγονός ότι το ΔΕΕ αποφάσισε να μην χρησιμοποιεί πλέον πλατφόρμες υπολογιστικού νέφους για ευαίσθητα δικαστικά δεδομένα που υποβάλλονται σε επεξεργασία, προκειμένου να προστατεύσει την ιδιοκτησία των δεδομένων και του συστήματος, με στόχο να φιλοξενεί όλα τα δεδομένα του επιτόπου και να μην έχει κρίσιμη επιχειρηματική εξάρτηση από οποιαδήποτε εξωτερικά συστήματα· εκφράζει επίσης την ικανοποίησή του για την πολιτική του ΔΕΕ να αποφεύγει τη χρήση οποιουδήποτε εργαλείου ή υποδομής που φιλοξενείται στο υπολογιστικό νέφος με σκοπό τον χειρισμό μη δημόσιων πληροφοριών, προκειμένου να προστατεύονται τα δεδομένα προσωπικού χαρακτήρα και να διατηρείται πλήρης έλεγχος των συστημάτων και των δεδομένων του·</w:t>
      </w:r>
    </w:p>
    <w:p w:rsidR="005647DF" w:rsidRPr="002A455A" w:rsidRDefault="002A455A" w:rsidP="002A455A">
      <w:pPr>
        <w:pStyle w:val="NormalHanging12a"/>
        <w:widowControl/>
        <w:ind w:left="570" w:hanging="570"/>
        <w:rPr>
          <w:szCs w:val="24"/>
        </w:rPr>
      </w:pPr>
      <w:r w:rsidRPr="002A455A">
        <w:rPr>
          <w:szCs w:val="24"/>
        </w:rPr>
        <w:t>45.</w:t>
      </w:r>
      <w:r w:rsidRPr="002A455A">
        <w:rPr>
          <w:szCs w:val="24"/>
        </w:rPr>
        <w:tab/>
      </w:r>
      <w:r w:rsidR="005647DF" w:rsidRPr="002A455A">
        <w:t>σημειώνει με ικανοποίηση την ανοδική τάση του ποσοστού χρήσης του e-</w:t>
      </w:r>
      <w:proofErr w:type="spellStart"/>
      <w:r w:rsidR="005647DF" w:rsidRPr="002A455A">
        <w:t>Curia</w:t>
      </w:r>
      <w:proofErr w:type="spellEnd"/>
      <w:r w:rsidR="005647DF" w:rsidRPr="002A455A">
        <w:t xml:space="preserve"> με το 94 % των καταθέσεων ενώπιον του Γενικού Δικαστηρίου να έχουν πραγματοποιηθεί μέσω του e-</w:t>
      </w:r>
      <w:proofErr w:type="spellStart"/>
      <w:r w:rsidR="005647DF" w:rsidRPr="002A455A">
        <w:t>Curia</w:t>
      </w:r>
      <w:proofErr w:type="spellEnd"/>
      <w:r w:rsidR="005647DF" w:rsidRPr="002A455A">
        <w:t xml:space="preserve"> το 2022, σε σύγκριση με 93 % το 2021 και το ποσοστό χρήσης του e-</w:t>
      </w:r>
      <w:proofErr w:type="spellStart"/>
      <w:r w:rsidR="005647DF" w:rsidRPr="002A455A">
        <w:t>Curia</w:t>
      </w:r>
      <w:proofErr w:type="spellEnd"/>
      <w:r w:rsidR="005647DF" w:rsidRPr="002A455A">
        <w:t xml:space="preserve"> στο Δικαστήριο να ανέρχεται σε περίπου 87 % του συνόλου των καταθέσεων που πραγματοποιήθηκαν κατ’ αυτόν τον τρόπο το 2022, σε σύγκριση με 85 % το 2021·</w:t>
      </w:r>
    </w:p>
    <w:p w:rsidR="005647DF" w:rsidRPr="002A455A" w:rsidRDefault="002A455A" w:rsidP="002A455A">
      <w:pPr>
        <w:pStyle w:val="NormalHanging12a"/>
        <w:widowControl/>
        <w:ind w:left="570" w:hanging="570"/>
        <w:rPr>
          <w:szCs w:val="24"/>
        </w:rPr>
      </w:pPr>
      <w:r w:rsidRPr="002A455A">
        <w:rPr>
          <w:szCs w:val="24"/>
        </w:rPr>
        <w:t>46.</w:t>
      </w:r>
      <w:r w:rsidRPr="002A455A">
        <w:rPr>
          <w:szCs w:val="24"/>
        </w:rPr>
        <w:tab/>
      </w:r>
      <w:r w:rsidR="005647DF" w:rsidRPr="002A455A">
        <w:t xml:space="preserve">σημειώνει ότι το 2022 δεν κοινοποιήθηκαν περαιτέρω έρευνες από τον Ευρωπαίο Επόπτη Προστασίας Δεδομένων (ΕΕΠΔ)· αναμένει με ενδιαφέρον την απόφαση σχετικά με την έρευνα από τις αρχές του 2021 σχετικά με τη χρήση διαδικτυακών υπηρεσιών τρίτων και την υποχρέωση να καταστεί διαθέσιμη η ουσία μιας συμφωνίας για τον από κοινού υπεύθυνο επεξεργασίας· αναμένει επίσης με ενδιαφέρον την απόφαση σχετικά με την έρευνα που αφορά τη χρήση υπηρεσιών υπολογιστικού νέφους που παρέχονται από την </w:t>
      </w:r>
      <w:proofErr w:type="spellStart"/>
      <w:r w:rsidR="005647DF" w:rsidRPr="002A455A">
        <w:t>Amazon</w:t>
      </w:r>
      <w:proofErr w:type="spellEnd"/>
      <w:r w:rsidR="005647DF" w:rsidRPr="002A455A">
        <w:t xml:space="preserve"> Web Services και τη Microsoft στο πλαίσιο συμβάσεων </w:t>
      </w:r>
      <w:proofErr w:type="spellStart"/>
      <w:r w:rsidR="005647DF" w:rsidRPr="002A455A">
        <w:t>Cloud</w:t>
      </w:r>
      <w:proofErr w:type="spellEnd"/>
      <w:r w:rsidR="005647DF" w:rsidRPr="002A455A">
        <w:t xml:space="preserve"> II από τα θεσμικά και λοιπά όργανα και οργανισμούς της Ένωσης·</w:t>
      </w:r>
    </w:p>
    <w:p w:rsidR="005647DF" w:rsidRPr="002A455A" w:rsidRDefault="002A455A" w:rsidP="002A455A">
      <w:pPr>
        <w:pStyle w:val="NormalHanging12a"/>
        <w:widowControl/>
        <w:ind w:left="570" w:hanging="570"/>
        <w:rPr>
          <w:szCs w:val="24"/>
        </w:rPr>
      </w:pPr>
      <w:r w:rsidRPr="002A455A">
        <w:rPr>
          <w:szCs w:val="24"/>
        </w:rPr>
        <w:t>47.</w:t>
      </w:r>
      <w:r w:rsidRPr="002A455A">
        <w:rPr>
          <w:szCs w:val="24"/>
        </w:rPr>
        <w:tab/>
      </w:r>
      <w:r w:rsidR="005647DF" w:rsidRPr="002A455A">
        <w:t>εκφράζει την ικανοποίησή του για το γεγονός ότι το ΔΕΕ εξετάζει πώς και σε ποιο βαθμό θα πρέπει να χρησιμοποιούνται οι ψηφιακές τεχνολογίες στο έργο του, για παράδειγμα για τον εντοπισμό ομοιοτήτων μεταξύ υποθέσεων, για μετάφραση, για μετατροπή ομιλίας σε κείμενο και για αυτοματοποιημένες περιλήψεις μακροσκελών εγγράφων· υπογραμμίζει ότι, ιδίως για ένα νομικό θεσμικό όργανο όπως το ΔΕΕ, οι αυτοματοποιημένες διαδικασίες θα πρέπει πάντα να είναι προσβάσιμες όσον αφορά τις δεοντολογικές πτυχές τους και να συμπληρώνονται από ανθρώπινη εποπτεία και έλεγχο· τονίζει ότι είναι σημαντικό να είναι δυνατή η παραπομπή υποθέσεων με βασικούς όρους και βασικούς δείκτες, προκειμένου να εντοπίζονται επικαλύψεις ή πρότυπα σε περιεχόμενο υποθέσεων· ενθαρρύνει επίσης το ΔΕΕ να εξετάσει τις δυνατότητες καλύτερης διαβίβασης πληροφοριών στους δικαστές και τις ομάδες τους·</w:t>
      </w:r>
    </w:p>
    <w:p w:rsidR="005647DF" w:rsidRPr="002A455A" w:rsidRDefault="002A455A" w:rsidP="002A455A">
      <w:pPr>
        <w:pStyle w:val="NormalHanging12a"/>
        <w:widowControl/>
        <w:ind w:left="570" w:hanging="570"/>
        <w:rPr>
          <w:szCs w:val="24"/>
        </w:rPr>
      </w:pPr>
      <w:r w:rsidRPr="002A455A">
        <w:rPr>
          <w:szCs w:val="24"/>
        </w:rPr>
        <w:t>48.</w:t>
      </w:r>
      <w:r w:rsidRPr="002A455A">
        <w:rPr>
          <w:szCs w:val="24"/>
        </w:rPr>
        <w:tab/>
      </w:r>
      <w:r w:rsidR="005647DF" w:rsidRPr="002A455A">
        <w:t>εκφράζει την ικανοποίησή του για το γεγονός ότι το ΔΕΕ χρησιμοποιεί λειτουργικά συστήματα ανοικτού κώδικα στο ένα τρίτο περίπου της βάσης διακομιστών του και ότι η πρώτη επιλογή του είναι να βασίζεται σε εσωτερικά φιλοξενούμενα συστήματα, βασισμένα σε τεχνολογία ανοικτού κώδικα, καθώς το ΔΕΕ έχει με αυτόν τον τρόπο τη δυνατότητα να διατηρεί τον τεχνικό έλεγχο των συστημάτων του και να ελέγχει την αποθήκευση δεδομένων και τις ροές δεδομένων, διασφαλίζοντας έτσι καλύτερη προστασία των δεδομένων και της ιδιωτικής ζωής· ενθαρρύνει το ΔΕΕ να συμμετάσχει στην πρωτοβουλία ανοικτού κώδικα που δρομολόγησε ο ΕΕΠΔ μέσω της εφαρμογής λύσεων ανοικτού κώδικα NextGenerationEU·</w:t>
      </w:r>
    </w:p>
    <w:p w:rsidR="005647DF" w:rsidRPr="002A455A" w:rsidRDefault="002A455A" w:rsidP="002A455A">
      <w:pPr>
        <w:pStyle w:val="NormalHanging12a"/>
        <w:widowControl/>
        <w:ind w:left="570" w:hanging="570"/>
        <w:rPr>
          <w:szCs w:val="24"/>
        </w:rPr>
      </w:pPr>
      <w:r w:rsidRPr="002A455A">
        <w:rPr>
          <w:szCs w:val="24"/>
        </w:rPr>
        <w:t>49.</w:t>
      </w:r>
      <w:r w:rsidRPr="002A455A">
        <w:rPr>
          <w:szCs w:val="24"/>
        </w:rPr>
        <w:tab/>
      </w:r>
      <w:r w:rsidR="005647DF" w:rsidRPr="002A455A">
        <w:t>καλεί το ΔΕΕ να καθιστά διαθέσιμα στον ιστότοπό του όλα τα αρχεία που σχετίζονται με μια υπόθεση μετά τη δημοσίευση της απόφασης, διασφαλίζοντας παράλληλα τη μη δημοσιοποίηση ιδιωτικών ή ευαίσθητων πληροφοριών με σκοπό την προστασία των δεδομένων προσωπικού χαρακτήρα·</w:t>
      </w:r>
    </w:p>
    <w:p w:rsidR="005647DF" w:rsidRPr="002A455A" w:rsidRDefault="002A455A" w:rsidP="002A455A">
      <w:pPr>
        <w:pStyle w:val="NormalHanging12a"/>
        <w:widowControl/>
        <w:ind w:left="570" w:hanging="570"/>
        <w:rPr>
          <w:szCs w:val="24"/>
        </w:rPr>
      </w:pPr>
      <w:r w:rsidRPr="002A455A">
        <w:rPr>
          <w:szCs w:val="24"/>
        </w:rPr>
        <w:t>50.</w:t>
      </w:r>
      <w:r w:rsidRPr="002A455A">
        <w:rPr>
          <w:szCs w:val="24"/>
        </w:rPr>
        <w:tab/>
      </w:r>
      <w:r w:rsidR="005647DF" w:rsidRPr="002A455A">
        <w:t>εκφράζει την ικανοποίησή του για τη συμμετοχή του ΔΕΕ στην ενσωμάτωση των εργαλείων τεχνητής νοημοσύνης (ΤΝ) στο έργο του και για το γεγονός ότι τον Ιούλιο του 2023 εγκρίθηκε ολοκληρωμένη στρατηγική σχετικά με την ΤΝ· υπογραμμίζει ότι είναι ζωτικής σημασίας η ΤΝ να χρησιμοποιείται κατά τρόπο που να διαφυλάσσει πλήρως την ανεξαρτησία, την ποιότητα και την ηρεμία των νομικών διαδικασιών, να λαμβάνει πλήρως υπόψη τα δεοντολογικά ζητήματα, καθώς και να χρησιμοποιείται υπό ανθρώπινο έλεγχο και εποπτεία και να επιτρέπει την ανθρώπινη παρέμβαση για την αποφυγή αρνητικών επιπτώσεων ή κινδύνων ή τη διακοπή του συστήματος εάν δεν έχει τις προβλεπόμενες επιδόσεις· εκφράζει την ικανοποίησή του για το γεγονός ότι το ΔΕΕ έχει δημιουργήσει ένα συμβούλιο ΤΝ αρμόδιο για την αντιμετώπιση των δεοντολογικών πτυχών και τον καθορισμό σαφών ορίων για τη χρήση της ΤΝ· υπενθυμίζει ότι το ΔΕΕ θα πρέπει να διασφαλίζει τον πλήρη έλεγχο του χρήστη, σύμφωνα με τον Ευρωπαϊκό Χάρτη Δεοντολογίας για τη χρήση της τεχνητής νοημοσύνης (ΤΝ) στα δικαστικά συστήματα και το περιβάλλον τους· αναμένει ότι οι κατευθυντήριες γραμμές για το προσωπικό σχετικά με τη χρήση της ΤΝ θα εγκριθούν έως το τέλος του φθινοπώρου του 2023, όπως αναφέρεται, και ζητεί να τηρείται ενήμερο το Κοινοβούλιο σχετικά με το περιεχόμενο των εν λόγω κατευθυντήριων γραμμών·</w:t>
      </w:r>
    </w:p>
    <w:p w:rsidR="005647DF" w:rsidRPr="002A455A" w:rsidRDefault="002A455A" w:rsidP="002A455A">
      <w:pPr>
        <w:pStyle w:val="NormalHanging12a"/>
        <w:widowControl/>
        <w:ind w:left="570" w:hanging="570"/>
        <w:rPr>
          <w:szCs w:val="24"/>
        </w:rPr>
      </w:pPr>
      <w:r w:rsidRPr="002A455A">
        <w:rPr>
          <w:szCs w:val="24"/>
        </w:rPr>
        <w:t>51.</w:t>
      </w:r>
      <w:r w:rsidRPr="002A455A">
        <w:rPr>
          <w:szCs w:val="24"/>
        </w:rPr>
        <w:tab/>
      </w:r>
      <w:r w:rsidR="005647DF" w:rsidRPr="002A455A">
        <w:t>σημειώνει με ανησυχία ότι το ΔΕΕ αναφέρει ότι ο αριθμός των κυβερνοεπιθέσεων συνέχισε να αυξάνεται το 2022· εκφράζει την ανακούφισή του για το γεγονός ότι, παρά την ποικιλία και τον όγκο τους, όλες οι επιθέσεις αντιμετωπίστηκαν από τα υφιστάμενα συστήματα προστασίας ή από την ειδική ομάδα για την αντιμετώπιση περιστατικών στο ΔΕΕ, σύμφωνα με τις απαντήσεις που δόθηκαν στο ΔΕΕ σε ερωτήσεις που έθεσε η Επιτροπή Ελέγχου του Προϋπολογισμού του Ευρωπαϊκού Κοινοβουλίου τον Οκτώβριο του 2023· εκφράζει ταυτόχρονα την ικανοποίησή του για το γεγονός ότι το ΔΕΕ συμμετέχει ενεργά στις σχετικές διοργανικές δομές της Ένωσης, προκειμένου να ενισχυθεί η συνολική κυβερνοασφάλεια των θεσμικών οργάνων της Ένωσης· ζητεί μετ’ επιτάσεως από τη διοίκηση του ΔΕΕ να συνεχίσει να έχει ως προτεραιότητα την ενίσχυση της κυβερνοασφάλειας, παροτρύνει τη διοίκηση να εξετάσει προορατικά ποια πτυχή της υποδομής ΤΠ καθιστά το ΔΕΕ ευάλωτο σε επιθέσεις και να προβεί στη σχετική διόρθωση το συντομότερο δυνατόν, καθώς και να εξασφαλίσει την τακτική διενέργεια ελέγχων και δοκιμών της κυβερνοάμυνας του·</w:t>
      </w:r>
    </w:p>
    <w:p w:rsidR="005647DF" w:rsidRPr="002A455A" w:rsidRDefault="002A455A" w:rsidP="002A455A">
      <w:pPr>
        <w:pStyle w:val="NormalHanging12a"/>
        <w:widowControl/>
        <w:ind w:left="570" w:hanging="570"/>
        <w:rPr>
          <w:szCs w:val="24"/>
        </w:rPr>
      </w:pPr>
      <w:r w:rsidRPr="002A455A">
        <w:rPr>
          <w:szCs w:val="24"/>
        </w:rPr>
        <w:t>52.</w:t>
      </w:r>
      <w:r w:rsidRPr="002A455A">
        <w:rPr>
          <w:szCs w:val="24"/>
        </w:rPr>
        <w:tab/>
      </w:r>
      <w:r w:rsidR="005647DF" w:rsidRPr="002A455A">
        <w:t>σημειώνει ότι το ΔΕΕ ανέλυσε τις δυνατότητες ανοικτών δεδομένων το 2022 και το 2023 και ότι το ΔΕΕ προτίθεται να κοινοποιήσει όλες τις δημοσιευμένες πληροφορίες που είναι διαθέσιμες στον ιστότοπό του ως ανοικτά δεδομένα· προειδοποιεί, ωστόσο, το ΔΕΕ ότι πρέπει να διαθέτει ελεγκτές ασφαλείας προτού καταστήσει διαθέσιμες τις δημοσιευμένες πληροφορίες ως ανοικτά δεδομένα, λαμβάνοντας υπόψη την ασφάλεια, την εμπιστευτικότητα, τα δικαιώματα προστασίας της ιδιωτικής ζωής και τα δικαιώματα διανοητικής ιδιοκτησίας·</w:t>
      </w:r>
    </w:p>
    <w:p w:rsidR="005647DF" w:rsidRPr="002A455A" w:rsidRDefault="005647DF" w:rsidP="005925A3">
      <w:pPr>
        <w:widowControl/>
        <w:spacing w:after="240"/>
        <w:rPr>
          <w:b/>
          <w:bCs/>
          <w:i/>
          <w:iCs/>
          <w:szCs w:val="24"/>
        </w:rPr>
      </w:pPr>
      <w:r w:rsidRPr="002A455A">
        <w:rPr>
          <w:b/>
          <w:i/>
        </w:rPr>
        <w:t>Κτιριακές εγκαταστάσεις</w:t>
      </w:r>
    </w:p>
    <w:p w:rsidR="005647DF" w:rsidRPr="002A455A" w:rsidRDefault="002A455A" w:rsidP="002A455A">
      <w:pPr>
        <w:pStyle w:val="NormalHanging12a"/>
        <w:widowControl/>
        <w:ind w:left="570" w:hanging="570"/>
        <w:rPr>
          <w:szCs w:val="24"/>
        </w:rPr>
      </w:pPr>
      <w:r w:rsidRPr="002A455A">
        <w:rPr>
          <w:szCs w:val="24"/>
        </w:rPr>
        <w:t>53.</w:t>
      </w:r>
      <w:r w:rsidRPr="002A455A">
        <w:rPr>
          <w:szCs w:val="24"/>
        </w:rPr>
        <w:tab/>
      </w:r>
      <w:r w:rsidR="005647DF" w:rsidRPr="002A455A">
        <w:t>σημειώνει με ενδιαφέρον ότι το ΔΕΕ έχει συγκροτήσει ομάδα εργασίας με εκπροσώπηση από διάφορα τμήματα του ΔΕΕ και της επιτροπής προσωπικού του προκειμένου να εξετάσει τη βελτιστοποίηση της χρήσης των εγκαταστάσεων του ΔΕΕ και ότι τα συμπεράσματά του εκδόθηκαν το 2023· ζητεί να τηρείται ενήμερο το Κοινοβούλιο σχετικά με την εφαρμογή των εν λόγω συμπερασμάτων και τις συνέπειες για την οργάνωση του χώρου εργασίας·</w:t>
      </w:r>
    </w:p>
    <w:p w:rsidR="005647DF" w:rsidRPr="002A455A" w:rsidRDefault="002A455A" w:rsidP="002A455A">
      <w:pPr>
        <w:pStyle w:val="NormalHanging12a"/>
        <w:widowControl/>
        <w:ind w:left="570" w:hanging="570"/>
        <w:rPr>
          <w:szCs w:val="24"/>
        </w:rPr>
      </w:pPr>
      <w:r w:rsidRPr="002A455A">
        <w:rPr>
          <w:szCs w:val="24"/>
        </w:rPr>
        <w:t>54.</w:t>
      </w:r>
      <w:r w:rsidRPr="002A455A">
        <w:rPr>
          <w:szCs w:val="24"/>
        </w:rPr>
        <w:tab/>
      </w:r>
      <w:r w:rsidR="005647DF" w:rsidRPr="002A455A">
        <w:t xml:space="preserve">σημειώνει με ενδιαφέρον ότι έχει διενεργηθεί εσωτερικός έλεγχος σχετικά με την προσβασιμότητα των κτιρίων για τα άτομα με αναπηρία και ότι το ΔΕΕ, σύμφωνα με τη νέα νομοθεσία του Λουξεμβούργου, εφαρμόζει κατάλληλα μέτρα· εκφράζει την ικανοποίησή του για το γεγονός ότι στα εν λόγω μέτρα περιλαμβάνεται η προσβασιμότητα στις αίθουσες δικαστηρίων για άτομα με μειωμένη κινητικότητα, μεταξύ άλλων με απτές επιφάνειες επίστρωσης και </w:t>
      </w:r>
      <w:proofErr w:type="spellStart"/>
      <w:r w:rsidR="005647DF" w:rsidRPr="002A455A">
        <w:t>χειρολισθήρες</w:t>
      </w:r>
      <w:proofErr w:type="spellEnd"/>
      <w:r w:rsidR="005647DF" w:rsidRPr="002A455A">
        <w:t>· ζητεί να τηρείται ενήμερο το Κοινοβούλιο σχετικά με περαιτέρω πρωτοβουλίες σε αυτόν τον τομέα·</w:t>
      </w:r>
    </w:p>
    <w:p w:rsidR="005647DF" w:rsidRPr="002A455A" w:rsidRDefault="005647DF" w:rsidP="005925A3">
      <w:pPr>
        <w:widowControl/>
        <w:spacing w:after="240"/>
        <w:rPr>
          <w:b/>
          <w:i/>
          <w:szCs w:val="24"/>
        </w:rPr>
      </w:pPr>
      <w:r w:rsidRPr="002A455A">
        <w:rPr>
          <w:b/>
          <w:i/>
        </w:rPr>
        <w:t>Περιβάλλον και βιωσιμότητα</w:t>
      </w:r>
    </w:p>
    <w:p w:rsidR="005647DF" w:rsidRPr="002A455A" w:rsidRDefault="002A455A" w:rsidP="002A455A">
      <w:pPr>
        <w:pStyle w:val="NormalHanging12a"/>
        <w:widowControl/>
        <w:ind w:left="570" w:hanging="570"/>
        <w:rPr>
          <w:szCs w:val="24"/>
        </w:rPr>
      </w:pPr>
      <w:r w:rsidRPr="002A455A">
        <w:rPr>
          <w:szCs w:val="24"/>
        </w:rPr>
        <w:t>55.</w:t>
      </w:r>
      <w:r w:rsidRPr="002A455A">
        <w:rPr>
          <w:szCs w:val="24"/>
        </w:rPr>
        <w:tab/>
      </w:r>
      <w:r w:rsidR="005647DF" w:rsidRPr="002A455A">
        <w:t>εκτιμά ιδιαίτερα το γεγονός ότι το ΔΕΕ καταρτίζει χωριστή ετήσια έκθεση σχετικά με το περιβαλλοντικό αποτύπωμα του θεσμικού οργάνου, η οποία θα μπορούσε να χρησιμεύσει ως υπόδειγμα για άλλα θεσμικά όργανα·</w:t>
      </w:r>
    </w:p>
    <w:p w:rsidR="005647DF" w:rsidRPr="002A455A" w:rsidRDefault="002A455A" w:rsidP="002A455A">
      <w:pPr>
        <w:pStyle w:val="NormalHanging12a"/>
        <w:widowControl/>
        <w:ind w:left="570" w:hanging="570"/>
        <w:rPr>
          <w:szCs w:val="24"/>
        </w:rPr>
      </w:pPr>
      <w:r w:rsidRPr="002A455A">
        <w:rPr>
          <w:szCs w:val="24"/>
        </w:rPr>
        <w:t>56.</w:t>
      </w:r>
      <w:r w:rsidRPr="002A455A">
        <w:rPr>
          <w:szCs w:val="24"/>
        </w:rPr>
        <w:tab/>
      </w:r>
      <w:r w:rsidR="005647DF" w:rsidRPr="002A455A">
        <w:t>συγχαίρει το ΔΕΕ για τα αποτελέσματα που επιτεύχθηκαν όσον αφορά τη σημαντική μείωση της γενικής κατανάλωσής του το 2022 σε σύγκριση με το έτος αναφοράς 2015· θεωρεί ιδιαίτερα εντυπωσιακό το γεγονός ότι η θέρμανση μειώθηκε κατά 23,6 %, το χαρτί κατά 42,6 %, τα απόβλητα κυλικείων κατά 49,9 % και οι εκπομπές αερίων του θερμοκηπίου κατά 31,7 %·</w:t>
      </w:r>
    </w:p>
    <w:p w:rsidR="005647DF" w:rsidRPr="002A455A" w:rsidRDefault="002A455A" w:rsidP="002A455A">
      <w:pPr>
        <w:pStyle w:val="NormalHanging12a"/>
        <w:widowControl/>
        <w:ind w:left="570" w:hanging="570"/>
        <w:rPr>
          <w:szCs w:val="24"/>
        </w:rPr>
      </w:pPr>
      <w:r w:rsidRPr="002A455A">
        <w:rPr>
          <w:szCs w:val="24"/>
        </w:rPr>
        <w:t>57.</w:t>
      </w:r>
      <w:r w:rsidRPr="002A455A">
        <w:rPr>
          <w:szCs w:val="24"/>
        </w:rPr>
        <w:tab/>
      </w:r>
      <w:r w:rsidR="005647DF" w:rsidRPr="002A455A">
        <w:t>σημειώνει ότι το ΔΕΕ έχει εγκαταστήσει ηλιακούς συλλέκτες που καλύπτουν 3 447,8 m², οι οποίοι παρήγαγαν 452 959 </w:t>
      </w:r>
      <w:proofErr w:type="spellStart"/>
      <w:r w:rsidR="005647DF" w:rsidRPr="002A455A">
        <w:t>kWh</w:t>
      </w:r>
      <w:proofErr w:type="spellEnd"/>
      <w:r w:rsidR="005647DF" w:rsidRPr="002A455A">
        <w:t xml:space="preserve"> το 2022· ενθαρρύνει το ΔΕΕ να συνεχίσει να εργάζεται για τον εντοπισμό δυνατοτήτων όσον αφορά τη μείωση της γενικής κατανάλωσης, την ανακύκλωση και την παραγωγή ενέργειας από ανανεώσιμες πηγές·</w:t>
      </w:r>
    </w:p>
    <w:p w:rsidR="005647DF" w:rsidRPr="002A455A" w:rsidRDefault="002A455A" w:rsidP="002A455A">
      <w:pPr>
        <w:pStyle w:val="NormalHanging12a"/>
        <w:widowControl/>
        <w:ind w:left="570" w:hanging="570"/>
        <w:rPr>
          <w:szCs w:val="24"/>
        </w:rPr>
      </w:pPr>
      <w:r w:rsidRPr="002A455A">
        <w:rPr>
          <w:szCs w:val="24"/>
        </w:rPr>
        <w:t>58.</w:t>
      </w:r>
      <w:r w:rsidRPr="002A455A">
        <w:rPr>
          <w:szCs w:val="24"/>
        </w:rPr>
        <w:tab/>
      </w:r>
      <w:r w:rsidR="005647DF" w:rsidRPr="002A455A">
        <w:t>εκφράζει την ικανοποίησή του για το γεγονός ότι το ΔΕΕ έχει αναλάβει διάφορες πρωτοβουλίες για τη στήριξη και την αύξηση της βιώσιμης κινητικότητας, συμπεριλαμβανομένων επιδοτήσεων για τις δημόσιες μεταφορές, επιδοτήσεων για αυτοεξυπηρετούμενο σύστημα ενοικίασης ποδηλάτων, βελτιωμένων εγκαταστάσεων στάθμευσης ποδηλάτων και βελτιωμένων εγκαταστάσεων για υβριδικά και ηλεκτρικά αυτοκίνητα·</w:t>
      </w:r>
    </w:p>
    <w:p w:rsidR="005647DF" w:rsidRPr="002A455A" w:rsidRDefault="005647DF" w:rsidP="005925A3">
      <w:pPr>
        <w:widowControl/>
        <w:spacing w:after="240"/>
        <w:rPr>
          <w:b/>
          <w:i/>
          <w:szCs w:val="24"/>
        </w:rPr>
      </w:pPr>
      <w:r w:rsidRPr="002A455A">
        <w:rPr>
          <w:b/>
          <w:i/>
        </w:rPr>
        <w:t>Διοργανική συνεργασία</w:t>
      </w:r>
    </w:p>
    <w:p w:rsidR="005647DF" w:rsidRPr="002A455A" w:rsidRDefault="002A455A" w:rsidP="002A455A">
      <w:pPr>
        <w:pStyle w:val="NormalHanging12a"/>
        <w:widowControl/>
        <w:ind w:left="570" w:hanging="570"/>
        <w:rPr>
          <w:szCs w:val="24"/>
        </w:rPr>
      </w:pPr>
      <w:r w:rsidRPr="002A455A">
        <w:rPr>
          <w:szCs w:val="24"/>
        </w:rPr>
        <w:t>59.</w:t>
      </w:r>
      <w:r w:rsidRPr="002A455A">
        <w:rPr>
          <w:szCs w:val="24"/>
        </w:rPr>
        <w:tab/>
      </w:r>
      <w:r w:rsidR="005647DF" w:rsidRPr="002A455A">
        <w:t xml:space="preserve">εκφράζει την ικανοποίησή του για το γεγονός ότι το ΔΕΕ διαθέτει ευρύ φάσμα συμφωνιών σε επίπεδο υπηρεσιών με άλλα θεσμικά όργανα της Ένωσης, γεγονός που συμβάλλει στη μείωση του κόστους για τα εμπλεκόμενα θεσμικά όργανα και διασφαλίζει τη χρήση παρόμοιων διαδικασιών, τεχνικών και ροών εργασίας σε όλα τα θεσμικά όργανα· εκτιμά ειδικότερα τις συμφωνίες σε επίπεδο υπηρεσιών με την Υπηρεσία Διαχείρισης και Εκκαθάρισης των Ατομικών Δικαιωμάτων της Επιτροπής και τη συμφωνία επιπέδου υπηρεσιών με την Γενική Διεύθυνση Ψηφιακών Υπηρεσιών ως πάροχο υπηρεσιών που φιλοξενεί τα πληροφοριακά συστήματα του ΔΕΕ, συμπεριλαμβανομένων του </w:t>
      </w:r>
      <w:proofErr w:type="spellStart"/>
      <w:r w:rsidR="005647DF" w:rsidRPr="002A455A">
        <w:t>eCuria</w:t>
      </w:r>
      <w:proofErr w:type="spellEnd"/>
      <w:r w:rsidR="005647DF" w:rsidRPr="002A455A">
        <w:t xml:space="preserve">, της πύλης </w:t>
      </w:r>
      <w:proofErr w:type="spellStart"/>
      <w:r w:rsidR="005647DF" w:rsidRPr="002A455A">
        <w:t>Curia</w:t>
      </w:r>
      <w:proofErr w:type="spellEnd"/>
      <w:r w:rsidR="005647DF" w:rsidRPr="002A455A">
        <w:t xml:space="preserve"> και άλλων· αναγνωρίζει επίσης τη συνεχή συνεργασία στο πλαίσιο της διοργανικής επιτροπής μετάφρασης και διερμηνείας (ICTI)· εκφράζει τέλος την ικανοποίησή του για το γεγονός ότι το 2023 υπεγράφη νέα συμφωνία επιπέδου υπηρεσιών με την Υπηρεσία Εκδόσεων της Ευρωπαϊκής Ένωσης, μετά τις διαπραγματεύσεις που πραγματοποιήθηκαν το 2022, η οποία καλύπτει για πρώτη φορά όλες τις πτυχές της συνεργασίας·</w:t>
      </w:r>
    </w:p>
    <w:p w:rsidR="005647DF" w:rsidRPr="002A455A" w:rsidRDefault="002A455A" w:rsidP="002A455A">
      <w:pPr>
        <w:pStyle w:val="NormalHanging12a"/>
        <w:widowControl/>
        <w:ind w:left="570" w:hanging="570"/>
        <w:rPr>
          <w:szCs w:val="24"/>
        </w:rPr>
      </w:pPr>
      <w:r w:rsidRPr="002A455A">
        <w:rPr>
          <w:szCs w:val="24"/>
        </w:rPr>
        <w:t>60.</w:t>
      </w:r>
      <w:r w:rsidRPr="002A455A">
        <w:rPr>
          <w:szCs w:val="24"/>
        </w:rPr>
        <w:tab/>
      </w:r>
      <w:r w:rsidR="005647DF" w:rsidRPr="002A455A">
        <w:t>σημειώνει με ικανοποίηση ότι το ΔΕΕ, από κοινού τα υπόλοιπα θεσμικά και λοιπά όργανα και οργανισμούς της Ένωσης, έχουν συνάψει κοινή σύμβαση για την παροχή ασφάλισης ατυχήματος, όπως αναφέρεται στο άρθρο 73 του κανονισμού υπηρεσιακής κατάστασης·</w:t>
      </w:r>
    </w:p>
    <w:p w:rsidR="005647DF" w:rsidRPr="002A455A" w:rsidRDefault="002A455A" w:rsidP="002A455A">
      <w:pPr>
        <w:pStyle w:val="NormalHanging12a"/>
        <w:widowControl/>
        <w:ind w:left="570" w:hanging="570"/>
        <w:rPr>
          <w:szCs w:val="24"/>
        </w:rPr>
      </w:pPr>
      <w:r w:rsidRPr="002A455A">
        <w:rPr>
          <w:szCs w:val="24"/>
        </w:rPr>
        <w:t>61.</w:t>
      </w:r>
      <w:r w:rsidRPr="002A455A">
        <w:rPr>
          <w:szCs w:val="24"/>
        </w:rPr>
        <w:tab/>
      </w:r>
      <w:r w:rsidR="005647DF" w:rsidRPr="002A455A">
        <w:t>εκφράζει την ικανοποίησή του για το γεγονός ότι η συνεργασία με την Ευρωπαϊκή Εισαγγελία έχει αναπτυχθεί περαιτέρω και ότι έχει υπογραφεί μνημόνιο συνεννόησης προκειμένου να καθιερωθεί εις βάθος συνεργασία όσον αφορά τις βιβλιογραφικές υπηρεσίες και τις υπηρεσίες τεκμηρίωσης προς όφελος και των δύο θεσμικών οργάνων· εκφράζει επίσης την ικανοποίησή του για το γεγονός ότι έχει προταθεί ειδική κατάρτιση στους εισαγγελείς της Ευρωπαϊκής Εισαγγελίας, ώστε να μπορέσουν να εξοικειωθούν με τις δραστηριότητες του ΔΕΕ·</w:t>
      </w:r>
    </w:p>
    <w:p w:rsidR="005647DF" w:rsidRPr="002A455A" w:rsidRDefault="002A455A" w:rsidP="002A455A">
      <w:pPr>
        <w:pStyle w:val="NormalHanging12a"/>
        <w:widowControl/>
        <w:ind w:left="570" w:hanging="570"/>
        <w:rPr>
          <w:szCs w:val="24"/>
        </w:rPr>
      </w:pPr>
      <w:r w:rsidRPr="002A455A">
        <w:rPr>
          <w:szCs w:val="24"/>
        </w:rPr>
        <w:t>62.</w:t>
      </w:r>
      <w:r w:rsidRPr="002A455A">
        <w:rPr>
          <w:szCs w:val="24"/>
        </w:rPr>
        <w:tab/>
      </w:r>
      <w:r w:rsidR="005647DF" w:rsidRPr="002A455A">
        <w:t>εκτιμά το γεγονός ότι το ΔΕΕ συνεργάζεται πλήρως με την OLAF, το Ελεγκτικό Συνέδριο, τον ΕΕΠΔ και τον Ευρωπαίο Διαμεσολαβητή, μεταξύ άλλων διασφαλίζοντας ότι οι εσωτερικές αποφάσεις του σχετικά με τις έρευνες της OLAF επικαιροποιούνται προκειμένου να διασφαλίζεται η συμμόρφωση με τις τελευταίες απαιτήσεις·</w:t>
      </w:r>
    </w:p>
    <w:p w:rsidR="005647DF" w:rsidRPr="002A455A" w:rsidRDefault="002A455A" w:rsidP="002A455A">
      <w:pPr>
        <w:pStyle w:val="NormalHanging12a"/>
        <w:widowControl/>
        <w:ind w:left="570" w:hanging="570"/>
        <w:rPr>
          <w:szCs w:val="24"/>
        </w:rPr>
      </w:pPr>
      <w:r w:rsidRPr="002A455A">
        <w:rPr>
          <w:szCs w:val="24"/>
        </w:rPr>
        <w:t>63.</w:t>
      </w:r>
      <w:r w:rsidRPr="002A455A">
        <w:rPr>
          <w:szCs w:val="24"/>
        </w:rPr>
        <w:tab/>
      </w:r>
      <w:r w:rsidR="005647DF" w:rsidRPr="002A455A">
        <w:t>ενθαρρύνει το ΔΕΕ να μοιραστεί τον αριθμό των υποθέσεων διανοητικής ιδιοκτησίας και τα συγκεκριμένα σημεία διαφωνίας με την Επιτροπή και το Γραφείο Διανοητικής Ιδιοκτησίας της Ευρωπαϊκής Ένωσης, προκειμένου να διερευνήσει τους λόγους για τους οποίους το 30 % των σχετικών προσφυγών στο Γενικό Δικαστήριο το 2022 αφορούσαν τη διανοητική ιδιοκτησία, με στόχο να συμβάλει στον εντοπισμό πιθανών κενών στις νομοθετικές πράξεις της Ένωσης· θεωρεί ότι ο προϋπολογισμός της Ένωσης θα μπορούσε να απαλλαγεί από τον χειρισμό των εν λόγω υποθέσεων εάν μπορούσε να εντοπιστεί και να επιλυθεί από νέα νομοθετική πράξη της Ένωσης·</w:t>
      </w:r>
    </w:p>
    <w:p w:rsidR="005647DF" w:rsidRPr="002A455A" w:rsidRDefault="002A455A" w:rsidP="002A455A">
      <w:pPr>
        <w:pStyle w:val="NormalHanging12a"/>
        <w:widowControl/>
        <w:ind w:left="570" w:hanging="570"/>
        <w:rPr>
          <w:szCs w:val="24"/>
        </w:rPr>
      </w:pPr>
      <w:r w:rsidRPr="002A455A">
        <w:rPr>
          <w:szCs w:val="24"/>
        </w:rPr>
        <w:t>64.</w:t>
      </w:r>
      <w:r w:rsidRPr="002A455A">
        <w:rPr>
          <w:szCs w:val="24"/>
        </w:rPr>
        <w:tab/>
      </w:r>
      <w:r w:rsidR="005647DF" w:rsidRPr="002A455A">
        <w:t xml:space="preserve">αναγνωρίζει την υλοποίηση των δραστηριοτήτων του Δικαστικού Δικτύου της Ευρωπαϊκής Ένωσης, το οποίο συμβάλλει στην προώθηση και τη διευκόλυνση της συνεργασίας μεταξύ του ΔΕΕ και των εθνικών δικαστηρίων, ιδίως στους τομείς της δικαστικής παρακολούθησης, της νομικής έρευνας, της </w:t>
      </w:r>
      <w:proofErr w:type="spellStart"/>
      <w:r w:rsidR="005647DF" w:rsidRPr="002A455A">
        <w:t>πολυγλωσσικής</w:t>
      </w:r>
      <w:proofErr w:type="spellEnd"/>
      <w:r w:rsidR="005647DF" w:rsidRPr="002A455A">
        <w:t xml:space="preserve"> ορολογίας και των αναδυόμενων τεχνολογιών, καθώς και στην προώθηση της συγκέντρωσης των πλέον αποτελεσματικών πρακτικών στην απονομή της δικαιοσύνης·</w:t>
      </w:r>
    </w:p>
    <w:p w:rsidR="005647DF" w:rsidRPr="002A455A" w:rsidRDefault="005647DF" w:rsidP="005925A3">
      <w:pPr>
        <w:widowControl/>
        <w:spacing w:after="240"/>
        <w:rPr>
          <w:b/>
          <w:i/>
          <w:szCs w:val="24"/>
        </w:rPr>
      </w:pPr>
      <w:r w:rsidRPr="002A455A">
        <w:rPr>
          <w:b/>
          <w:i/>
        </w:rPr>
        <w:t>Επικοινωνία</w:t>
      </w:r>
    </w:p>
    <w:p w:rsidR="005647DF" w:rsidRPr="002A455A" w:rsidRDefault="002A455A" w:rsidP="002A455A">
      <w:pPr>
        <w:pStyle w:val="NormalHanging12a"/>
        <w:widowControl/>
        <w:ind w:left="570" w:hanging="570"/>
        <w:rPr>
          <w:szCs w:val="24"/>
        </w:rPr>
      </w:pPr>
      <w:r w:rsidRPr="002A455A">
        <w:rPr>
          <w:szCs w:val="24"/>
        </w:rPr>
        <w:t>65.</w:t>
      </w:r>
      <w:r w:rsidRPr="002A455A">
        <w:rPr>
          <w:szCs w:val="24"/>
        </w:rPr>
        <w:tab/>
      </w:r>
      <w:r w:rsidR="005647DF" w:rsidRPr="002A455A">
        <w:t>σημειώνει ότι το 2022 ο προϋπολογισμός για τις επικοινωνίες, που καλύπτει την προετοιμασία περιεχομένου και την εκτύπωση εσωτερικών και εξωτερικών δημοσιεύσεων, ανήλθε σε 527 500 EUR, ποσό που ισοδυναμεί με αύξηση κατά 3,3 % σε σχέση με το 2021·</w:t>
      </w:r>
    </w:p>
    <w:p w:rsidR="005647DF" w:rsidRPr="002A455A" w:rsidRDefault="002A455A" w:rsidP="002A455A">
      <w:pPr>
        <w:pStyle w:val="NormalHanging12a"/>
        <w:widowControl/>
        <w:ind w:left="570" w:hanging="570"/>
        <w:rPr>
          <w:szCs w:val="24"/>
        </w:rPr>
      </w:pPr>
      <w:r w:rsidRPr="002A455A">
        <w:rPr>
          <w:szCs w:val="24"/>
        </w:rPr>
        <w:t>66.</w:t>
      </w:r>
      <w:r w:rsidRPr="002A455A">
        <w:rPr>
          <w:szCs w:val="24"/>
        </w:rPr>
        <w:tab/>
      </w:r>
      <w:r w:rsidR="005647DF" w:rsidRPr="002A455A">
        <w:t>εκφράζει την ικανοποίησή του για το γεγονός ότι το ΔΕΕ χρησιμοποίησε την 70ετή επέτειό του ως ευκαιρία για να ενισχύσει τη διαφάνεια και την επικοινωνία του με τους πολίτες της Ένωσης και να διοργανώσει δύο ημέρες ελεύθερης προσέλευσης με τη δυνατότητα των πολιτών να υποβάλλουν ερωτήσεις επιτόπου· ενθαρρύνει το ΔΕΕ να εξετάσει το ενδεχόμενο να δώσει συνέχεια σε αυτές τις πρωτοβουλίες και κατά τα επόμενα έτη·</w:t>
      </w:r>
    </w:p>
    <w:p w:rsidR="005647DF" w:rsidRPr="002A455A" w:rsidRDefault="002A455A" w:rsidP="002A455A">
      <w:pPr>
        <w:pStyle w:val="NormalHanging12a"/>
        <w:widowControl/>
        <w:ind w:left="570" w:hanging="570"/>
        <w:rPr>
          <w:szCs w:val="24"/>
        </w:rPr>
      </w:pPr>
      <w:r w:rsidRPr="002A455A">
        <w:rPr>
          <w:szCs w:val="24"/>
        </w:rPr>
        <w:t>67.</w:t>
      </w:r>
      <w:r w:rsidRPr="002A455A">
        <w:rPr>
          <w:szCs w:val="24"/>
        </w:rPr>
        <w:tab/>
      </w:r>
      <w:r w:rsidR="005647DF" w:rsidRPr="002A455A">
        <w:t>σημειώνει με ικανοποίηση ότι το 2022 το ΔΕΕ ξεκίνησε μια υπηρεσία συνεχούς ροής των ακροάσεων των υποθέσεων που ανατέθηκε στο τμήμα μείζονος συνθέσεως, παρέχοντας στο κοινό την ευκαιρία να κατανοήσει καλύτερα τον τρόπο λειτουργίας του ΔΕΕ· ενθαρρύνει το ΔΕΕ να διευρύνει την πρωτοβουλία αυτή, ώστε να διασφαλιστεί μεγαλύτερη διαφάνεια·</w:t>
      </w:r>
    </w:p>
    <w:p w:rsidR="005647DF" w:rsidRPr="002A455A" w:rsidRDefault="002A455A" w:rsidP="002A455A">
      <w:pPr>
        <w:pStyle w:val="NormalHanging12a"/>
        <w:widowControl/>
        <w:ind w:left="570" w:hanging="570"/>
        <w:rPr>
          <w:szCs w:val="24"/>
        </w:rPr>
      </w:pPr>
      <w:r w:rsidRPr="002A455A">
        <w:rPr>
          <w:szCs w:val="24"/>
        </w:rPr>
        <w:t>68.</w:t>
      </w:r>
      <w:r w:rsidRPr="002A455A">
        <w:rPr>
          <w:szCs w:val="24"/>
        </w:rPr>
        <w:tab/>
      </w:r>
      <w:r w:rsidR="005647DF" w:rsidRPr="002A455A">
        <w:t xml:space="preserve">εκφράζει την ικανοποίησή του για το γεγονός ότι το ΔΕΕ συμμετέχει ενεργά στο έργο EU </w:t>
      </w:r>
      <w:proofErr w:type="spellStart"/>
      <w:r w:rsidR="005647DF" w:rsidRPr="002A455A">
        <w:t>Voice</w:t>
      </w:r>
      <w:proofErr w:type="spellEnd"/>
      <w:r w:rsidR="005647DF" w:rsidRPr="002A455A">
        <w:t xml:space="preserve"> που δρομολογήθηκε από τον ΕΕΠΔ για την αλληλεπίδραση με το κοινό, και το οποίο αποσκοπεί στην προώθηση της χρήσης αποκεντρωμένων, ελεύθερων κοινωνικών δικτύων ανοικτής πηγής ως εναλλακτικής λύσης αντί των μέσων κοινωνικής δικτύωσης·</w:t>
      </w:r>
    </w:p>
    <w:p w:rsidR="005647DF" w:rsidRPr="002A455A" w:rsidRDefault="002A455A" w:rsidP="002A455A">
      <w:pPr>
        <w:pStyle w:val="NormalHanging12a"/>
        <w:widowControl/>
        <w:ind w:left="570" w:hanging="570"/>
        <w:rPr>
          <w:szCs w:val="24"/>
        </w:rPr>
      </w:pPr>
      <w:r w:rsidRPr="002A455A">
        <w:rPr>
          <w:szCs w:val="24"/>
        </w:rPr>
        <w:t>69.</w:t>
      </w:r>
      <w:r w:rsidRPr="002A455A">
        <w:rPr>
          <w:szCs w:val="24"/>
        </w:rPr>
        <w:tab/>
      </w:r>
      <w:r w:rsidR="005647DF" w:rsidRPr="002A455A">
        <w:t>πιστεύει ότι, δεδομένου ότι το Δικαστήριο καλείται όλο και περισσότερο να αποφαίνεται επί θεμάτων συνταγματικού χαρακτήρα που σχετίζονται με τα ανθρώπινα δικαιώματα και τον Χάρτη των Θεμελιωδών Δικαιωμάτων της Ευρωπαϊκής Ένωσης, θα πρέπει να ενισχυθεί η διαφάνεια και ο ανοικτός χαρακτήρας της δικαστικής διαδικασίας της Ένωσης· εκφράζει, εν προκειμένω, την ικανοποίησή του για τη δημιουργία ενός συστήματος συνεχούς ροής για τις ακροάσεις του Δικαστηρίου, το οποίο χρησιμεύει στην ενίσχυση της διάστασης του «Δικαστηρίου Πολιτών» του ΔΕΕ μέσω της αυξημένης προσβασιμότητας για το ευρύ κοινό· τονίζει, στο πλαίσιο αυτό, ότι το νέο σύστημα συνεχούς ροής πρέπει να συμπληρωθεί σταδιακά με πρόσθετα εξωτερικά μέσα επικοινωνίας που θα επιτρέψουν μεγαλύτερη προβολή του έργου του θεσμικού οργάνου·</w:t>
      </w:r>
    </w:p>
    <w:p w:rsidR="005647DF" w:rsidRPr="002A455A" w:rsidRDefault="002A455A" w:rsidP="002A455A">
      <w:pPr>
        <w:pStyle w:val="NormalHanging12a"/>
        <w:widowControl/>
        <w:ind w:left="570" w:hanging="570"/>
        <w:rPr>
          <w:szCs w:val="24"/>
        </w:rPr>
      </w:pPr>
      <w:r w:rsidRPr="002A455A">
        <w:rPr>
          <w:szCs w:val="24"/>
        </w:rPr>
        <w:t>70.</w:t>
      </w:r>
      <w:r w:rsidRPr="002A455A">
        <w:rPr>
          <w:szCs w:val="24"/>
        </w:rPr>
        <w:tab/>
      </w:r>
      <w:r w:rsidR="005647DF" w:rsidRPr="002A455A">
        <w:t>εκφράζει την ικανοποίησή του για το γεγονός ότι το 2022 δρομολογήθηκε πρωτοβουλία για την προσφορά εξ αποστάσεως επισκέψεων στο ΔΕΕ μετά την ολοκλήρωση της πιλοτικής φάσης το 2021, παρέχοντας στους νέους ηλικίας 15 έως 18 ετών τη δυνατότητα να γνωρίσουν το ΔΕΕ και τον αντίκτυπο της νομολογίας στην καθημερινή τους ζωή και ενισχύοντας την κατανόηση των δικαιωμάτων τους ως πολιτών της Ένωσης και των δημοκρατικών αξιών της Ένωσης· ενθαρρύνει το ΔΕΕ να επεκτείνει τις εν λόγω εξ αποστάσεως επισκέψεις που απευθύνονται στους νέους σε άτομα ηλικίας μεταξύ 15 και 29 ετών· ενθαρρύνει περαιτέρω το ΔΕΕ να προσφέρει εξ αποστάσεως επισκέψεις σε πολίτες όλων των ηλικιών και τονίζει ότι οι εξ αποστάσεως επισκέψεις θα πρέπει να είναι όσο το δυνατόν πιο προσβάσιμες σε όλους τους Ευρωπαίους·</w:t>
      </w:r>
    </w:p>
    <w:p w:rsidR="005647DF" w:rsidRPr="002A455A" w:rsidRDefault="002A455A" w:rsidP="002A455A">
      <w:pPr>
        <w:pStyle w:val="NormalHanging12a"/>
        <w:widowControl/>
        <w:ind w:left="570" w:hanging="570"/>
      </w:pPr>
      <w:r w:rsidRPr="002A455A">
        <w:t>71.</w:t>
      </w:r>
      <w:r w:rsidRPr="002A455A">
        <w:tab/>
      </w:r>
      <w:r w:rsidR="005647DF" w:rsidRPr="002A455A">
        <w:t xml:space="preserve">σημειώνει ότι το ΔΕΕ, από κοινού με μια σειρά άλλων θεσμικών οργάνων της Ένωσης, συμμετέχει ενεργά σε έργο που δρομολογήθηκε από τον ΕΕΠΔ με τακτικές δημοσιεύσεις στο αποκεντρωμένο </w:t>
      </w:r>
      <w:proofErr w:type="spellStart"/>
      <w:r w:rsidR="005647DF" w:rsidRPr="002A455A">
        <w:t>Mastodon</w:t>
      </w:r>
      <w:proofErr w:type="spellEnd"/>
      <w:r w:rsidR="005647DF" w:rsidRPr="002A455A">
        <w:t xml:space="preserve">, χρησιμοποιώντας ελεύθερο λογισμικό ανοιχτού κώδικα· σημειώνει ότι το ΔΕΕ χρησιμοποιεί επίσης τις πλατφόρμες X (πρώην Twitter) και LinkedIn, και ότι το ΔΕΕ συνέχισε την προηγούμενη πρακτική δημοσίευσής του τόσο στην πλατφόρμα X (πρώην Twitter) όσο και στην πλατφόρμα </w:t>
      </w:r>
      <w:proofErr w:type="spellStart"/>
      <w:r w:rsidR="005647DF" w:rsidRPr="002A455A">
        <w:t>Mastodon</w:t>
      </w:r>
      <w:proofErr w:type="spellEnd"/>
      <w:r w:rsidR="005647DF" w:rsidRPr="002A455A">
        <w:t>, μόλις βρέθηκε τεχνική λύση που επιτρέπει αυτοματοποιημένη παράλληλη δημοσίευση. ενθαρρύνει το ΔΕΕ να πραγματοποιεί τακτικά αναρτήσεις εάν έχει παρουσία σε πλατφόρμα μέσων κοινωνικής δικτύωσης, ώστε να αποφεύγεται η στασιμότητα των λογαριασμών στα μέσα κοινωνικής δικτύωσης, καθώς αυτό θα δημιουργούσε ενδεχομένως την εντύπωση αδράνειας στην καθημερινή εργασία του ΔΕΕ·</w:t>
      </w:r>
    </w:p>
    <w:p w:rsidR="005647DF" w:rsidRPr="002A455A" w:rsidRDefault="005647DF" w:rsidP="005925A3">
      <w:pPr>
        <w:pStyle w:val="NormalHanging12a"/>
        <w:widowControl/>
        <w:rPr>
          <w:szCs w:val="24"/>
        </w:rPr>
      </w:pPr>
    </w:p>
    <w:sectPr w:rsidR="005647DF" w:rsidRPr="002A455A" w:rsidSect="005925A3">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0DD" w:rsidRPr="00C14AE6" w:rsidRDefault="00AE70DD">
      <w:r w:rsidRPr="00C14AE6">
        <w:separator/>
      </w:r>
    </w:p>
  </w:endnote>
  <w:endnote w:type="continuationSeparator" w:id="0">
    <w:p w:rsidR="00AE70DD" w:rsidRPr="00C14AE6" w:rsidRDefault="00AE70DD">
      <w:r w:rsidRPr="00C14A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7DF" w:rsidRPr="00C14AE6" w:rsidRDefault="005647DF" w:rsidP="0063692E">
    <w:pPr>
      <w:pStyle w:val="EPFooter"/>
    </w:pPr>
    <w:r w:rsidRPr="00C14AE6">
      <w:t>PE</w:t>
    </w:r>
    <w:r w:rsidRPr="00C14AE6">
      <w:rPr>
        <w:rStyle w:val="HideTWBExt"/>
      </w:rPr>
      <w:t>&lt;NoPE&gt;</w:t>
    </w:r>
    <w:r w:rsidRPr="00C14AE6">
      <w:t>753.480</w:t>
    </w:r>
    <w:r w:rsidRPr="00C14AE6">
      <w:rPr>
        <w:rStyle w:val="HideTWBExt"/>
      </w:rPr>
      <w:t>&lt;/NoPE&gt;&lt;Version&gt;</w:t>
    </w:r>
    <w:r w:rsidRPr="00C14AE6">
      <w:t>v02-00</w:t>
    </w:r>
    <w:r w:rsidRPr="00C14AE6">
      <w:rPr>
        <w:rStyle w:val="HideTWBExt"/>
      </w:rPr>
      <w:t>&lt;/Version&gt;</w:t>
    </w:r>
    <w:r w:rsidRPr="00C14AE6">
      <w:tab/>
    </w:r>
    <w:r w:rsidRPr="00C14AE6">
      <w:fldChar w:fldCharType="begin"/>
    </w:r>
    <w:r w:rsidRPr="00C14AE6">
      <w:instrText xml:space="preserve"> PAGE  \* MERGEFORMAT </w:instrText>
    </w:r>
    <w:r w:rsidRPr="00C14AE6">
      <w:fldChar w:fldCharType="separate"/>
    </w:r>
    <w:r w:rsidR="00C14AE6" w:rsidRPr="00C14AE6">
      <w:rPr>
        <w:noProof/>
      </w:rPr>
      <w:t>2</w:t>
    </w:r>
    <w:r w:rsidRPr="00C14AE6">
      <w:fldChar w:fldCharType="end"/>
    </w:r>
    <w:r w:rsidRPr="00C14AE6">
      <w:t>/</w:t>
    </w:r>
    <w:fldSimple w:instr=" NUMPAGES  \* MERGEFORMAT ">
      <w:r w:rsidR="00C14AE6" w:rsidRPr="00C14AE6">
        <w:rPr>
          <w:noProof/>
        </w:rPr>
        <w:t>4</w:t>
      </w:r>
    </w:fldSimple>
    <w:r w:rsidRPr="00C14AE6">
      <w:tab/>
    </w:r>
    <w:r w:rsidRPr="00C14AE6">
      <w:rPr>
        <w:rStyle w:val="HideTWBExt"/>
      </w:rPr>
      <w:t>&lt;PathFdR&gt;</w:t>
    </w:r>
    <w:r w:rsidRPr="00C14AE6">
      <w:t>RR\1298529EL.docx</w:t>
    </w:r>
    <w:r w:rsidRPr="00C14AE6">
      <w:rPr>
        <w:rStyle w:val="HideTWBExt"/>
      </w:rPr>
      <w:t>&lt;/PathFdR&gt;</w:t>
    </w:r>
  </w:p>
  <w:p w:rsidR="005647DF" w:rsidRPr="00C14AE6" w:rsidRDefault="005647DF" w:rsidP="0063692E">
    <w:pPr>
      <w:pStyle w:val="EPFooter2"/>
    </w:pPr>
    <w:r w:rsidRPr="00C14AE6">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7DF" w:rsidRPr="00A8160D" w:rsidRDefault="005647DF" w:rsidP="002A455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7DF" w:rsidRPr="00C14AE6" w:rsidRDefault="005647DF" w:rsidP="0063692E">
    <w:pPr>
      <w:pStyle w:val="EPFooter"/>
    </w:pPr>
    <w:r w:rsidRPr="00C14AE6">
      <w:rPr>
        <w:rStyle w:val="HideTWBExt"/>
      </w:rPr>
      <w:t>&lt;PathFdR&gt;</w:t>
    </w:r>
    <w:r w:rsidRPr="00C14AE6">
      <w:t>RR\1298529EL.docx</w:t>
    </w:r>
    <w:r w:rsidRPr="00C14AE6">
      <w:rPr>
        <w:rStyle w:val="HideTWBExt"/>
      </w:rPr>
      <w:t>&lt;/PathFdR&gt;</w:t>
    </w:r>
    <w:r w:rsidRPr="00C14AE6">
      <w:tab/>
    </w:r>
    <w:r w:rsidRPr="00C14AE6">
      <w:tab/>
      <w:t>PE</w:t>
    </w:r>
    <w:r w:rsidRPr="00C14AE6">
      <w:rPr>
        <w:rStyle w:val="HideTWBExt"/>
      </w:rPr>
      <w:t>&lt;NoPE&gt;</w:t>
    </w:r>
    <w:r w:rsidRPr="00C14AE6">
      <w:t>753.480</w:t>
    </w:r>
    <w:r w:rsidRPr="00C14AE6">
      <w:rPr>
        <w:rStyle w:val="HideTWBExt"/>
      </w:rPr>
      <w:t>&lt;/NoPE&gt;&lt;Version&gt;</w:t>
    </w:r>
    <w:r w:rsidRPr="00C14AE6">
      <w:t>v02-00</w:t>
    </w:r>
    <w:r w:rsidRPr="00C14AE6">
      <w:rPr>
        <w:rStyle w:val="HideTWBExt"/>
      </w:rPr>
      <w:t>&lt;/Version&gt;</w:t>
    </w:r>
  </w:p>
  <w:p w:rsidR="005647DF" w:rsidRPr="00C14AE6" w:rsidRDefault="005647DF" w:rsidP="0063692E">
    <w:pPr>
      <w:pStyle w:val="EPFooter2"/>
    </w:pPr>
    <w:r w:rsidRPr="00C14AE6">
      <w:t>EL</w:t>
    </w:r>
    <w:r w:rsidRPr="00C14AE6">
      <w:tab/>
    </w:r>
    <w:r w:rsidRPr="00C14AE6">
      <w:rPr>
        <w:b w:val="0"/>
        <w:i/>
        <w:color w:val="C0C0C0"/>
        <w:sz w:val="22"/>
      </w:rPr>
      <w:t>Ενωμένη στην πολυμορφία</w:t>
    </w:r>
    <w:r w:rsidRPr="00C14AE6">
      <w:tab/>
      <w:t>EL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4AE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4AE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4A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0DD" w:rsidRPr="00C14AE6" w:rsidRDefault="00AE70DD">
      <w:r w:rsidRPr="00C14AE6">
        <w:separator/>
      </w:r>
    </w:p>
  </w:footnote>
  <w:footnote w:type="continuationSeparator" w:id="0">
    <w:p w:rsidR="00AE70DD" w:rsidRPr="00C14AE6" w:rsidRDefault="00AE70DD">
      <w:r w:rsidRPr="00C14AE6">
        <w:continuationSeparator/>
      </w:r>
    </w:p>
  </w:footnote>
  <w:footnote w:id="1">
    <w:p w:rsidR="005647DF" w:rsidRPr="00C14AE6" w:rsidRDefault="005647DF" w:rsidP="00C14AE6">
      <w:pPr>
        <w:pStyle w:val="FootnoteText"/>
        <w:ind w:left="567" w:hanging="567"/>
        <w:rPr>
          <w:sz w:val="24"/>
          <w:lang w:val="el-GR"/>
        </w:rPr>
      </w:pPr>
      <w:r w:rsidRPr="00C14AE6">
        <w:rPr>
          <w:rStyle w:val="FootnoteReference"/>
          <w:sz w:val="24"/>
          <w:lang w:val="el-GR"/>
        </w:rPr>
        <w:footnoteRef/>
      </w:r>
      <w:r w:rsidR="00C14AE6" w:rsidRPr="00C14AE6">
        <w:rPr>
          <w:sz w:val="24"/>
          <w:lang w:val="el-GR"/>
        </w:rPr>
        <w:t xml:space="preserve"> </w:t>
      </w:r>
      <w:r w:rsidR="00C14AE6" w:rsidRPr="00C14AE6">
        <w:rPr>
          <w:sz w:val="24"/>
          <w:lang w:val="el-GR"/>
        </w:rPr>
        <w:tab/>
      </w:r>
      <w:r w:rsidRPr="00C14AE6">
        <w:rPr>
          <w:sz w:val="24"/>
          <w:lang w:val="el-GR"/>
        </w:rPr>
        <w:t>ΕΕ L 45 της 24.2.2022.</w:t>
      </w:r>
    </w:p>
  </w:footnote>
  <w:footnote w:id="2">
    <w:p w:rsidR="005647DF" w:rsidRPr="00C14AE6" w:rsidRDefault="005647DF" w:rsidP="00C14AE6">
      <w:pPr>
        <w:pStyle w:val="FootnoteText"/>
        <w:ind w:left="567" w:hanging="567"/>
        <w:rPr>
          <w:sz w:val="24"/>
          <w:lang w:val="el-GR"/>
        </w:rPr>
      </w:pPr>
      <w:r w:rsidRPr="00C14AE6">
        <w:rPr>
          <w:rStyle w:val="FootnoteReference"/>
          <w:sz w:val="24"/>
          <w:lang w:val="el-GR"/>
        </w:rPr>
        <w:footnoteRef/>
      </w:r>
      <w:r w:rsidR="00C14AE6" w:rsidRPr="00C14AE6">
        <w:rPr>
          <w:sz w:val="24"/>
          <w:lang w:val="el-GR"/>
        </w:rPr>
        <w:t xml:space="preserve"> </w:t>
      </w:r>
      <w:r w:rsidR="00C14AE6" w:rsidRPr="00C14AE6">
        <w:rPr>
          <w:sz w:val="24"/>
          <w:lang w:val="el-GR"/>
        </w:rPr>
        <w:tab/>
      </w:r>
      <w:r w:rsidRPr="00C14AE6">
        <w:rPr>
          <w:sz w:val="24"/>
          <w:lang w:val="el-GR"/>
        </w:rPr>
        <w:t>ΕΕ C, C/2023/2, 12.10.2023.</w:t>
      </w:r>
    </w:p>
  </w:footnote>
  <w:footnote w:id="3">
    <w:p w:rsidR="005647DF" w:rsidRPr="00C14AE6" w:rsidRDefault="005647DF" w:rsidP="00C14AE6">
      <w:pPr>
        <w:pStyle w:val="FootnoteText"/>
        <w:ind w:left="567" w:hanging="567"/>
        <w:rPr>
          <w:sz w:val="24"/>
          <w:lang w:val="el-GR"/>
        </w:rPr>
      </w:pPr>
      <w:r w:rsidRPr="00C14AE6">
        <w:rPr>
          <w:rStyle w:val="FootnoteReference"/>
          <w:sz w:val="24"/>
          <w:lang w:val="el-GR"/>
        </w:rPr>
        <w:footnoteRef/>
      </w:r>
      <w:r w:rsidR="00C14AE6" w:rsidRPr="00C14AE6">
        <w:rPr>
          <w:sz w:val="24"/>
          <w:lang w:val="el-GR"/>
        </w:rPr>
        <w:t xml:space="preserve"> </w:t>
      </w:r>
      <w:r w:rsidR="00C14AE6" w:rsidRPr="00C14AE6">
        <w:rPr>
          <w:sz w:val="24"/>
          <w:lang w:val="el-GR"/>
        </w:rPr>
        <w:tab/>
      </w:r>
      <w:r w:rsidRPr="00C14AE6">
        <w:rPr>
          <w:sz w:val="24"/>
          <w:lang w:val="el-GR"/>
        </w:rPr>
        <w:t>ΕΕ C, C/2023/103, 4.10.2023.</w:t>
      </w:r>
    </w:p>
  </w:footnote>
  <w:footnote w:id="4">
    <w:p w:rsidR="005647DF" w:rsidRPr="00C14AE6" w:rsidRDefault="005647DF" w:rsidP="00C14AE6">
      <w:pPr>
        <w:pStyle w:val="FootnoteText"/>
        <w:ind w:left="567" w:hanging="567"/>
        <w:rPr>
          <w:sz w:val="24"/>
          <w:lang w:val="el-GR"/>
        </w:rPr>
      </w:pPr>
      <w:r w:rsidRPr="00C14AE6">
        <w:rPr>
          <w:rStyle w:val="FootnoteReference"/>
          <w:sz w:val="24"/>
          <w:lang w:val="el-GR"/>
        </w:rPr>
        <w:footnoteRef/>
      </w:r>
      <w:r w:rsidR="00C14AE6" w:rsidRPr="00C14AE6">
        <w:rPr>
          <w:sz w:val="24"/>
          <w:lang w:val="el-GR"/>
        </w:rPr>
        <w:t xml:space="preserve"> </w:t>
      </w:r>
      <w:r w:rsidR="00C14AE6" w:rsidRPr="00C14AE6">
        <w:rPr>
          <w:sz w:val="24"/>
          <w:lang w:val="el-GR"/>
        </w:rPr>
        <w:tab/>
      </w:r>
      <w:r w:rsidRPr="00C14AE6">
        <w:rPr>
          <w:sz w:val="24"/>
          <w:lang w:val="el-GR"/>
        </w:rPr>
        <w:t>ΕΕ C, C/2023/112, 12.10.2023.</w:t>
      </w:r>
    </w:p>
  </w:footnote>
  <w:footnote w:id="5">
    <w:p w:rsidR="005647DF" w:rsidRPr="00C14AE6" w:rsidRDefault="005647DF" w:rsidP="00C14AE6">
      <w:pPr>
        <w:pStyle w:val="FootnoteText"/>
        <w:ind w:left="567" w:hanging="567"/>
        <w:rPr>
          <w:sz w:val="24"/>
          <w:szCs w:val="24"/>
          <w:lang w:val="el-GR"/>
        </w:rPr>
      </w:pPr>
      <w:r w:rsidRPr="00C14AE6">
        <w:rPr>
          <w:rStyle w:val="FootnoteReference"/>
          <w:sz w:val="24"/>
          <w:lang w:val="el-GR"/>
        </w:rPr>
        <w:footnoteRef/>
      </w:r>
      <w:r w:rsidR="00C14AE6" w:rsidRPr="00C14AE6">
        <w:rPr>
          <w:sz w:val="24"/>
          <w:lang w:val="el-GR"/>
        </w:rPr>
        <w:t xml:space="preserve"> </w:t>
      </w:r>
      <w:r w:rsidR="00C14AE6" w:rsidRPr="00C14AE6">
        <w:rPr>
          <w:sz w:val="24"/>
          <w:lang w:val="el-GR"/>
        </w:rPr>
        <w:tab/>
      </w:r>
      <w:r w:rsidRPr="00C14AE6">
        <w:rPr>
          <w:sz w:val="24"/>
          <w:lang w:val="el-GR"/>
        </w:rPr>
        <w:t>ΕΕ L 193 της 30.7.2018, σ.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4AE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4AE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4A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226E7A"/>
    <w:multiLevelType w:val="hybridMultilevel"/>
    <w:tmpl w:val="E6B44F2A"/>
    <w:lvl w:ilvl="0" w:tplc="DF042A1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0D819D8"/>
    <w:multiLevelType w:val="hybridMultilevel"/>
    <w:tmpl w:val="6E2ABA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3"/>
  </w:num>
  <w:num w:numId="45">
    <w:abstractNumId w:val="12"/>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5/2024"/>
    <w:docVar w:name="dvlangue" w:val="EL"/>
    <w:docVar w:name="dvnumam" w:val="0"/>
    <w:docVar w:name="dvpe" w:val="753.480"/>
    <w:docVar w:name="dvrapporteur" w:val="Εισηγητής: "/>
    <w:docVar w:name="dvtitre" w:val="Απόφαση του Ευρωπαϊκού Κοινοβουλίου σχετικά με την απαλλαγή όσον αφορά την εκτέλεση του γενικού προϋπολογισμού της Ευρωπαϊκής Ένωσης για το οικονομικό έτος 2022, τμήμα IV – Δικαστήριο της Ευρωπαϊκής Ένωσης(2023/2132(DEC))"/>
  </w:docVars>
  <w:rsids>
    <w:rsidRoot w:val="00AE70DD"/>
    <w:rsid w:val="00002272"/>
    <w:rsid w:val="00064002"/>
    <w:rsid w:val="000677B9"/>
    <w:rsid w:val="000831BA"/>
    <w:rsid w:val="00096AF4"/>
    <w:rsid w:val="000A42CC"/>
    <w:rsid w:val="000E7DD9"/>
    <w:rsid w:val="0010095E"/>
    <w:rsid w:val="00125B37"/>
    <w:rsid w:val="00187494"/>
    <w:rsid w:val="001F2EDB"/>
    <w:rsid w:val="001F32AE"/>
    <w:rsid w:val="002674AE"/>
    <w:rsid w:val="002767FF"/>
    <w:rsid w:val="002A455A"/>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47DF"/>
    <w:rsid w:val="005925A3"/>
    <w:rsid w:val="005C2568"/>
    <w:rsid w:val="006037C0"/>
    <w:rsid w:val="006631B6"/>
    <w:rsid w:val="00680577"/>
    <w:rsid w:val="006F74FA"/>
    <w:rsid w:val="00731ADD"/>
    <w:rsid w:val="00734777"/>
    <w:rsid w:val="00747932"/>
    <w:rsid w:val="00751A4A"/>
    <w:rsid w:val="00756632"/>
    <w:rsid w:val="00762C74"/>
    <w:rsid w:val="00786EC0"/>
    <w:rsid w:val="007B779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160D"/>
    <w:rsid w:val="00AB441E"/>
    <w:rsid w:val="00AB6293"/>
    <w:rsid w:val="00AE0928"/>
    <w:rsid w:val="00AE70DD"/>
    <w:rsid w:val="00AF3B82"/>
    <w:rsid w:val="00B12E95"/>
    <w:rsid w:val="00B22876"/>
    <w:rsid w:val="00B558F0"/>
    <w:rsid w:val="00BD48FE"/>
    <w:rsid w:val="00BD7BD8"/>
    <w:rsid w:val="00BE6ADC"/>
    <w:rsid w:val="00C05BFE"/>
    <w:rsid w:val="00C14AE6"/>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5DD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59ADAC"/>
  <w15:chartTrackingRefBased/>
  <w15:docId w15:val="{511C585D-10E0-43BD-BC85-2856ACE0A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647D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647DF"/>
    <w:pPr>
      <w:spacing w:before="480" w:after="240"/>
    </w:pPr>
  </w:style>
  <w:style w:type="paragraph" w:customStyle="1" w:styleId="PageHeading">
    <w:name w:val="PageHeading"/>
    <w:basedOn w:val="Normal"/>
    <w:rsid w:val="005647DF"/>
    <w:pPr>
      <w:keepNext/>
      <w:spacing w:after="480"/>
      <w:jc w:val="center"/>
    </w:pPr>
    <w:rPr>
      <w:rFonts w:ascii="Arial" w:hAnsi="Arial" w:cs="Arial"/>
      <w:b/>
    </w:rPr>
  </w:style>
  <w:style w:type="paragraph" w:customStyle="1" w:styleId="NormalBold">
    <w:name w:val="NormalBold"/>
    <w:basedOn w:val="Normal"/>
    <w:rsid w:val="005647DF"/>
    <w:rPr>
      <w:b/>
    </w:rPr>
  </w:style>
  <w:style w:type="paragraph" w:customStyle="1" w:styleId="NormalHanging12a">
    <w:name w:val="NormalHanging12a"/>
    <w:basedOn w:val="Normal"/>
    <w:link w:val="NormalHanging12aChar"/>
    <w:qFormat/>
    <w:rsid w:val="005647DF"/>
    <w:pPr>
      <w:spacing w:after="240"/>
      <w:ind w:left="567" w:hanging="567"/>
    </w:pPr>
  </w:style>
  <w:style w:type="paragraph" w:styleId="Header">
    <w:name w:val="header"/>
    <w:basedOn w:val="Normal"/>
    <w:link w:val="HeaderChar"/>
    <w:rsid w:val="005647DF"/>
    <w:pPr>
      <w:tabs>
        <w:tab w:val="center" w:pos="4513"/>
        <w:tab w:val="right" w:pos="9026"/>
      </w:tabs>
    </w:pPr>
  </w:style>
  <w:style w:type="character" w:customStyle="1" w:styleId="HeaderChar">
    <w:name w:val="Header Char"/>
    <w:basedOn w:val="DefaultParagraphFont"/>
    <w:link w:val="Header"/>
    <w:rsid w:val="005647DF"/>
    <w:rPr>
      <w:sz w:val="24"/>
      <w:lang w:val="el-GR"/>
    </w:rPr>
  </w:style>
  <w:style w:type="paragraph" w:customStyle="1" w:styleId="EPFooter">
    <w:name w:val="EPFooter"/>
    <w:basedOn w:val="Normal"/>
    <w:rsid w:val="005647D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5647DF"/>
    <w:rPr>
      <w:sz w:val="24"/>
      <w:lang w:val="el-GR"/>
    </w:rPr>
  </w:style>
  <w:style w:type="paragraph" w:customStyle="1" w:styleId="Normal12a">
    <w:name w:val="Normal12a"/>
    <w:basedOn w:val="Normal"/>
    <w:rsid w:val="005647DF"/>
    <w:pPr>
      <w:spacing w:after="240"/>
    </w:pPr>
  </w:style>
  <w:style w:type="paragraph" w:customStyle="1" w:styleId="PageHeadingNotTOC">
    <w:name w:val="PageHeadingNotTOC"/>
    <w:basedOn w:val="Normal"/>
    <w:rsid w:val="005647DF"/>
    <w:pPr>
      <w:keepNext/>
      <w:spacing w:after="480"/>
      <w:jc w:val="center"/>
    </w:pPr>
    <w:rPr>
      <w:rFonts w:ascii="Arial" w:hAnsi="Arial" w:cs="Arial"/>
      <w:b/>
    </w:rPr>
  </w:style>
  <w:style w:type="paragraph" w:styleId="ListParagraph">
    <w:name w:val="List Paragraph"/>
    <w:basedOn w:val="Normal"/>
    <w:uiPriority w:val="34"/>
    <w:qFormat/>
    <w:rsid w:val="005647DF"/>
    <w:pPr>
      <w:ind w:left="720"/>
      <w:contextualSpacing/>
    </w:pPr>
  </w:style>
  <w:style w:type="paragraph" w:customStyle="1" w:styleId="Normal24a">
    <w:name w:val="Normal24a"/>
    <w:basedOn w:val="Normal"/>
    <w:link w:val="Normal24aChar"/>
    <w:rsid w:val="005647DF"/>
    <w:pPr>
      <w:spacing w:after="480"/>
    </w:pPr>
  </w:style>
  <w:style w:type="character" w:customStyle="1" w:styleId="Normal24aChar">
    <w:name w:val="Normal24a Char"/>
    <w:basedOn w:val="DefaultParagraphFont"/>
    <w:link w:val="Normal24a"/>
    <w:rsid w:val="005647DF"/>
    <w:rPr>
      <w:sz w:val="24"/>
      <w:lang w:val="el-GR"/>
    </w:rPr>
  </w:style>
  <w:style w:type="paragraph" w:customStyle="1" w:styleId="NormalBoldCenter">
    <w:name w:val="NormalBoldCenter"/>
    <w:basedOn w:val="Normal"/>
    <w:rsid w:val="005647DF"/>
    <w:pPr>
      <w:jc w:val="center"/>
    </w:pPr>
    <w:rPr>
      <w:b/>
    </w:rPr>
  </w:style>
  <w:style w:type="paragraph" w:styleId="BalloonText">
    <w:name w:val="Balloon Text"/>
    <w:basedOn w:val="Normal"/>
    <w:link w:val="BalloonTextChar"/>
    <w:rsid w:val="00A8160D"/>
    <w:rPr>
      <w:rFonts w:ascii="Segoe UI" w:hAnsi="Segoe UI" w:cs="Segoe UI"/>
      <w:sz w:val="18"/>
      <w:szCs w:val="18"/>
    </w:rPr>
  </w:style>
  <w:style w:type="character" w:customStyle="1" w:styleId="BalloonTextChar">
    <w:name w:val="Balloon Text Char"/>
    <w:basedOn w:val="DefaultParagraphFont"/>
    <w:link w:val="BalloonText"/>
    <w:rsid w:val="00A8160D"/>
    <w:rPr>
      <w:rFonts w:ascii="Segoe UI" w:hAnsi="Segoe UI" w:cs="Segoe UI"/>
      <w:sz w:val="18"/>
      <w:szCs w:val="18"/>
      <w:lang w:val="el-GR"/>
    </w:rPr>
  </w:style>
  <w:style w:type="paragraph" w:styleId="Footer">
    <w:name w:val="footer"/>
    <w:basedOn w:val="Normal"/>
    <w:link w:val="FooterChar"/>
    <w:rsid w:val="00A8160D"/>
    <w:pPr>
      <w:tabs>
        <w:tab w:val="center" w:pos="4513"/>
        <w:tab w:val="right" w:pos="9026"/>
      </w:tabs>
    </w:pPr>
  </w:style>
  <w:style w:type="character" w:customStyle="1" w:styleId="FooterChar">
    <w:name w:val="Footer Char"/>
    <w:basedOn w:val="DefaultParagraphFont"/>
    <w:link w:val="Footer"/>
    <w:rsid w:val="00A8160D"/>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DD2C3-1B69-4231-BCEE-B0E1A7F23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6468</Words>
  <Characters>36688</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CHRISTOFOROU Nikolaos</cp:lastModifiedBy>
  <cp:revision>2</cp:revision>
  <cp:lastPrinted>2004-11-19T15:42:00Z</cp:lastPrinted>
  <dcterms:created xsi:type="dcterms:W3CDTF">2024-05-15T08:29:00Z</dcterms:created>
  <dcterms:modified xsi:type="dcterms:W3CDTF">2024-05-15T08:29:00Z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P9_TA(2024)0230_</vt:lpwstr>
  </property>
  <property fmtid="{D5CDD505-2E9C-101B-9397-08002B2CF9AE}" pid="4" name="&lt;Type&gt;">
    <vt:lpwstr>RR</vt:lpwstr>
  </property>
</Properties>
</file>