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56F4" w:rsidTr="0010095E">
        <w:trPr>
          <w:trHeight w:hRule="exact" w:val="1418"/>
        </w:trPr>
        <w:tc>
          <w:tcPr>
            <w:tcW w:w="6804" w:type="dxa"/>
            <w:shd w:val="clear" w:color="auto" w:fill="auto"/>
            <w:vAlign w:val="center"/>
          </w:tcPr>
          <w:p w:rsidR="00751A4A" w:rsidRPr="00E156F4" w:rsidRDefault="00577A3C" w:rsidP="0010095E">
            <w:pPr>
              <w:pStyle w:val="EPName"/>
            </w:pPr>
            <w:r w:rsidRPr="00E156F4">
              <w:t>Euroopan parlamentti</w:t>
            </w:r>
          </w:p>
          <w:p w:rsidR="00751A4A" w:rsidRPr="00E156F4" w:rsidRDefault="00817416" w:rsidP="00756632">
            <w:pPr>
              <w:pStyle w:val="EPTerm"/>
              <w:rPr>
                <w:rStyle w:val="HideTWBExt"/>
                <w:noProof w:val="0"/>
                <w:vanish w:val="0"/>
                <w:color w:val="auto"/>
              </w:rPr>
            </w:pPr>
            <w:r w:rsidRPr="00E156F4">
              <w:t>2019-2024</w:t>
            </w:r>
          </w:p>
        </w:tc>
        <w:tc>
          <w:tcPr>
            <w:tcW w:w="2268" w:type="dxa"/>
            <w:shd w:val="clear" w:color="auto" w:fill="auto"/>
          </w:tcPr>
          <w:p w:rsidR="00751A4A" w:rsidRPr="00E156F4" w:rsidRDefault="00187494" w:rsidP="0010095E">
            <w:pPr>
              <w:pStyle w:val="EPLogo"/>
            </w:pPr>
            <w:r w:rsidRPr="00E156F4">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56F4" w:rsidRDefault="00D058B8" w:rsidP="004C5D52">
      <w:pPr>
        <w:pStyle w:val="LineTop"/>
      </w:pPr>
    </w:p>
    <w:p w:rsidR="00680577" w:rsidRPr="00E156F4" w:rsidRDefault="00577A3C" w:rsidP="00680577">
      <w:pPr>
        <w:pStyle w:val="EPBodyTA1"/>
      </w:pPr>
      <w:r w:rsidRPr="00E156F4">
        <w:t>HYVÄKSYTYT TEKSTIT</w:t>
      </w:r>
    </w:p>
    <w:p w:rsidR="00D058B8" w:rsidRPr="00E156F4" w:rsidRDefault="00D058B8" w:rsidP="00D058B8">
      <w:pPr>
        <w:pStyle w:val="LineBottom"/>
      </w:pPr>
    </w:p>
    <w:p w:rsidR="00577A3C" w:rsidRPr="00E156F4" w:rsidRDefault="00577A3C" w:rsidP="00577A3C">
      <w:pPr>
        <w:pStyle w:val="ATHeading1"/>
      </w:pPr>
      <w:bookmarkStart w:id="0" w:name="TANumber"/>
      <w:r w:rsidRPr="00E156F4">
        <w:t>P9_</w:t>
      </w:r>
      <w:proofErr w:type="gramStart"/>
      <w:r w:rsidRPr="00E156F4">
        <w:t>TA(</w:t>
      </w:r>
      <w:proofErr w:type="gramEnd"/>
      <w:r w:rsidRPr="00E156F4">
        <w:t>2024)0</w:t>
      </w:r>
      <w:r w:rsidR="00E156F4" w:rsidRPr="00E156F4">
        <w:t>23</w:t>
      </w:r>
      <w:r w:rsidRPr="00E156F4">
        <w:t>0</w:t>
      </w:r>
      <w:bookmarkEnd w:id="0"/>
    </w:p>
    <w:p w:rsidR="00577A3C" w:rsidRPr="00E156F4" w:rsidRDefault="00577A3C" w:rsidP="00577A3C">
      <w:pPr>
        <w:pStyle w:val="ATHeading2"/>
      </w:pPr>
      <w:bookmarkStart w:id="1" w:name="title"/>
      <w:r w:rsidRPr="00E156F4">
        <w:t>Vastuuvapaus 2022: EU:n yleinen talousarvio – Euroopan unionin tuomioistuin</w:t>
      </w:r>
      <w:bookmarkEnd w:id="1"/>
    </w:p>
    <w:p w:rsidR="00577A3C" w:rsidRPr="00E156F4" w:rsidRDefault="00577A3C" w:rsidP="00577A3C">
      <w:pPr>
        <w:rPr>
          <w:i/>
          <w:vanish/>
        </w:rPr>
      </w:pPr>
      <w:r w:rsidRPr="00E156F4">
        <w:rPr>
          <w:i/>
        </w:rPr>
        <w:fldChar w:fldCharType="begin"/>
      </w:r>
      <w:r w:rsidRPr="00E156F4">
        <w:rPr>
          <w:i/>
        </w:rPr>
        <w:instrText xml:space="preserve"> TC"(</w:instrText>
      </w:r>
      <w:bookmarkStart w:id="2" w:name="DocNumber"/>
      <w:r w:rsidRPr="00E156F4">
        <w:rPr>
          <w:i/>
        </w:rPr>
        <w:instrText>A9-0075/2024</w:instrText>
      </w:r>
      <w:bookmarkEnd w:id="2"/>
      <w:r w:rsidRPr="00E156F4">
        <w:rPr>
          <w:i/>
        </w:rPr>
        <w:instrText xml:space="preserve"> - Esittelijä: Luke Ming </w:instrText>
      </w:r>
      <w:proofErr w:type="spellStart"/>
      <w:r w:rsidRPr="00E156F4">
        <w:rPr>
          <w:i/>
        </w:rPr>
        <w:instrText>Flanagan</w:instrText>
      </w:r>
      <w:proofErr w:type="spellEnd"/>
      <w:r w:rsidRPr="00E156F4">
        <w:rPr>
          <w:i/>
        </w:rPr>
        <w:instrText xml:space="preserve">)"\l3 \n&gt; \* MERGEFORMAT </w:instrText>
      </w:r>
      <w:r w:rsidRPr="00E156F4">
        <w:rPr>
          <w:i/>
        </w:rPr>
        <w:fldChar w:fldCharType="end"/>
      </w:r>
    </w:p>
    <w:p w:rsidR="00577A3C" w:rsidRPr="00E156F4" w:rsidRDefault="00577A3C" w:rsidP="00577A3C">
      <w:pPr>
        <w:rPr>
          <w:vanish/>
        </w:rPr>
      </w:pPr>
      <w:bookmarkStart w:id="3" w:name="Commission"/>
      <w:r w:rsidRPr="00E156F4">
        <w:rPr>
          <w:vanish/>
        </w:rPr>
        <w:t>Talousarvion valvontavaliokunta</w:t>
      </w:r>
      <w:bookmarkEnd w:id="3"/>
    </w:p>
    <w:p w:rsidR="00577A3C" w:rsidRPr="00E156F4" w:rsidRDefault="00577A3C" w:rsidP="00577A3C">
      <w:pPr>
        <w:rPr>
          <w:vanish/>
        </w:rPr>
      </w:pPr>
      <w:bookmarkStart w:id="4" w:name="PE"/>
      <w:r w:rsidRPr="00E156F4">
        <w:rPr>
          <w:vanish/>
        </w:rPr>
        <w:t>PE753.480</w:t>
      </w:r>
      <w:bookmarkEnd w:id="4"/>
    </w:p>
    <w:p w:rsidR="00577A3C" w:rsidRPr="00E156F4" w:rsidRDefault="00577A3C" w:rsidP="00C27E3E">
      <w:pPr>
        <w:pStyle w:val="ATHeading3"/>
      </w:pPr>
      <w:bookmarkStart w:id="5" w:name="Sujet"/>
      <w:r w:rsidRPr="00E156F4">
        <w:t>1. Euroopan parlamentin päätös 1</w:t>
      </w:r>
      <w:r w:rsidR="004E1A5D" w:rsidRPr="00E156F4">
        <w:t>1</w:t>
      </w:r>
      <w:r w:rsidRPr="00E156F4">
        <w:t>. huhtikuuta 2024 vastuuvapauden myöntämisestä Euroopan unionin yleisen talousarvion toteuttamisesta varainhoitovuonna 2022, pääluokka IV – Euroopan unionin tuomioistuin</w:t>
      </w:r>
      <w:bookmarkEnd w:id="5"/>
      <w:r w:rsidRPr="00E156F4">
        <w:t xml:space="preserve"> </w:t>
      </w:r>
      <w:bookmarkStart w:id="6" w:name="References"/>
      <w:r w:rsidRPr="00E156F4">
        <w:t>(2023/2132(DEC))</w:t>
      </w:r>
      <w:bookmarkEnd w:id="6"/>
    </w:p>
    <w:p w:rsidR="003D741F" w:rsidRPr="00E156F4" w:rsidRDefault="003D741F" w:rsidP="003D741F">
      <w:pPr>
        <w:pStyle w:val="EPComma"/>
        <w:widowControl/>
      </w:pPr>
      <w:bookmarkStart w:id="7" w:name="TextBodyBegin"/>
      <w:bookmarkEnd w:id="7"/>
      <w:r w:rsidRPr="00E156F4">
        <w:rPr>
          <w:i/>
        </w:rPr>
        <w:t>Euroopan parlamentti</w:t>
      </w:r>
      <w:r w:rsidRPr="00E156F4">
        <w:t>, joka</w:t>
      </w:r>
    </w:p>
    <w:p w:rsidR="003D741F" w:rsidRPr="00E156F4" w:rsidRDefault="003D741F" w:rsidP="003D741F">
      <w:pPr>
        <w:pStyle w:val="NormalHanging12a"/>
        <w:widowControl/>
      </w:pPr>
      <w:r w:rsidRPr="00E156F4">
        <w:t>–</w:t>
      </w:r>
      <w:r w:rsidRPr="00E156F4">
        <w:tab/>
        <w:t>ottaa huomioon Euroopan unionin yleisen talousarvion varainhoitovuodeksi 2022</w:t>
      </w:r>
      <w:r w:rsidRPr="00E156F4">
        <w:rPr>
          <w:rStyle w:val="FootnoteReference"/>
        </w:rPr>
        <w:footnoteReference w:id="1"/>
      </w:r>
      <w:r w:rsidRPr="00E156F4">
        <w:t>,</w:t>
      </w:r>
    </w:p>
    <w:p w:rsidR="003D741F" w:rsidRPr="00E156F4" w:rsidRDefault="003D741F" w:rsidP="003D741F">
      <w:pPr>
        <w:pStyle w:val="NormalHanging12a"/>
        <w:widowControl/>
      </w:pPr>
      <w:r w:rsidRPr="00E156F4">
        <w:t>–</w:t>
      </w:r>
      <w:r w:rsidRPr="00E156F4">
        <w:tab/>
        <w:t xml:space="preserve">ottaa huomioon Euroopan unionin </w:t>
      </w:r>
      <w:proofErr w:type="spellStart"/>
      <w:r w:rsidRPr="00E156F4">
        <w:t>konsolidoidun</w:t>
      </w:r>
      <w:proofErr w:type="spellEnd"/>
      <w:r w:rsidRPr="00E156F4">
        <w:t xml:space="preserve"> tilinpäätöksen varainhoitovuodelta 2022 (COM(2023)0391 – C9</w:t>
      </w:r>
      <w:r w:rsidRPr="00E156F4">
        <w:noBreakHyphen/>
        <w:t>0251/2023)</w:t>
      </w:r>
      <w:r w:rsidRPr="00E156F4">
        <w:rPr>
          <w:rStyle w:val="FootnoteReference"/>
        </w:rPr>
        <w:footnoteReference w:id="2"/>
      </w:r>
      <w:r w:rsidRPr="00E156F4">
        <w:t>,</w:t>
      </w:r>
    </w:p>
    <w:p w:rsidR="003D741F" w:rsidRPr="00E156F4" w:rsidRDefault="003D741F" w:rsidP="003D741F">
      <w:pPr>
        <w:pStyle w:val="NormalHanging12a"/>
        <w:widowControl/>
      </w:pPr>
      <w:r w:rsidRPr="00E156F4">
        <w:t>–</w:t>
      </w:r>
      <w:r w:rsidRPr="00E156F4">
        <w:tab/>
        <w:t>ottaa huomioon Euroopan unionin tuomioistuimen vuosikertomuksen vastuuvapauden myöntävälle viranomaiselle vuonna 2022 toimitetuista sisäisistä tarkastuksista,</w:t>
      </w:r>
    </w:p>
    <w:p w:rsidR="003D741F" w:rsidRPr="00E156F4" w:rsidRDefault="003D741F" w:rsidP="003D741F">
      <w:pPr>
        <w:pStyle w:val="NormalHanging12a"/>
        <w:widowControl/>
      </w:pPr>
      <w:r w:rsidRPr="00E156F4">
        <w:t>–</w:t>
      </w:r>
      <w:r w:rsidRPr="00E156F4">
        <w:tab/>
        <w:t>ottaa huomioon tilintarkastustuomioistuimen vuosikertomuksen talousarvion toteuttamisesta varainhoitovuonna 2022 sekä toimielinten vastaukset</w:t>
      </w:r>
      <w:r w:rsidRPr="00E156F4">
        <w:rPr>
          <w:rStyle w:val="FootnoteReference"/>
        </w:rPr>
        <w:footnoteReference w:id="3"/>
      </w:r>
      <w:r w:rsidRPr="00E156F4">
        <w:t>,</w:t>
      </w:r>
    </w:p>
    <w:p w:rsidR="003D741F" w:rsidRPr="00E156F4" w:rsidRDefault="003D741F" w:rsidP="003D741F">
      <w:pPr>
        <w:pStyle w:val="NormalHanging12a"/>
        <w:widowControl/>
      </w:pPr>
      <w:r w:rsidRPr="00E156F4">
        <w:t>–</w:t>
      </w:r>
      <w:r w:rsidRPr="00E156F4">
        <w:tab/>
        <w:t>ottaa huomioon tilintarkastustuomioistuimen Euroopan unionin toiminnasta tehdyn sopimuksen 287 artiklan mukaisesti antaman varainhoitovuotta 2022 koskevan lausuman</w:t>
      </w:r>
      <w:r w:rsidRPr="00E156F4">
        <w:rPr>
          <w:rStyle w:val="FootnoteReference"/>
        </w:rPr>
        <w:footnoteReference w:id="4"/>
      </w:r>
      <w:r w:rsidRPr="00E156F4">
        <w:t xml:space="preserve"> tilien luotettavuudesta sekä tilien perustana olevien toimien laillisuudesta ja asianmukaisuudesta (sääntöjenmukaisuudesta),</w:t>
      </w:r>
    </w:p>
    <w:p w:rsidR="003D741F" w:rsidRPr="00E156F4" w:rsidRDefault="003D741F" w:rsidP="003D741F">
      <w:pPr>
        <w:pStyle w:val="NormalHanging12a"/>
        <w:widowControl/>
      </w:pPr>
      <w:r w:rsidRPr="00E156F4">
        <w:t>–</w:t>
      </w:r>
      <w:r w:rsidRPr="00E156F4">
        <w:tab/>
        <w:t>ottaa huomioon Euroopan unionin toiminnasta tehdyn sopimuksen 314 artiklan 10 kohdan sekä 317, 318 ja 319 artiklan,</w:t>
      </w:r>
    </w:p>
    <w:p w:rsidR="003D741F" w:rsidRPr="00E156F4" w:rsidRDefault="003D741F" w:rsidP="003D741F">
      <w:pPr>
        <w:pStyle w:val="NormalHanging12a"/>
        <w:widowControl/>
      </w:pPr>
      <w:r w:rsidRPr="00E156F4">
        <w:t>–</w:t>
      </w:r>
      <w:r w:rsidRPr="00E156F4">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E156F4">
        <w:lastRenderedPageBreak/>
        <w:t>neuvoston asetuksen (EU, Euratom) 2018/1046</w:t>
      </w:r>
      <w:r w:rsidRPr="00E156F4">
        <w:rPr>
          <w:rStyle w:val="FootnoteReference"/>
        </w:rPr>
        <w:footnoteReference w:id="5"/>
      </w:r>
      <w:r w:rsidRPr="00E156F4">
        <w:t xml:space="preserve"> ja erityisesti sen 59, 118, 260, 261 ja 262 artiklan,</w:t>
      </w:r>
    </w:p>
    <w:p w:rsidR="003D741F" w:rsidRPr="00E156F4" w:rsidRDefault="003D741F" w:rsidP="003D741F">
      <w:pPr>
        <w:pStyle w:val="NormalHanging12a"/>
        <w:widowControl/>
      </w:pPr>
      <w:r w:rsidRPr="00E156F4">
        <w:t>–</w:t>
      </w:r>
      <w:r w:rsidRPr="00E156F4">
        <w:tab/>
        <w:t>ottaa huomioon työjärjestyksen 100 artiklan ja liitteen V,</w:t>
      </w:r>
    </w:p>
    <w:p w:rsidR="003D741F" w:rsidRPr="00E156F4" w:rsidRDefault="003D741F" w:rsidP="003D741F">
      <w:pPr>
        <w:pStyle w:val="NormalHanging12a"/>
        <w:widowControl/>
      </w:pPr>
      <w:r w:rsidRPr="00E156F4">
        <w:t>–</w:t>
      </w:r>
      <w:r w:rsidRPr="00E156F4">
        <w:tab/>
        <w:t>ottaa huomioon oikeudellisten asioiden valiokunnan lausunnon,</w:t>
      </w:r>
    </w:p>
    <w:p w:rsidR="003D741F" w:rsidRPr="00E156F4" w:rsidRDefault="003D741F" w:rsidP="003D741F">
      <w:pPr>
        <w:pStyle w:val="NormalHanging12a"/>
        <w:widowControl/>
      </w:pPr>
      <w:r w:rsidRPr="00E156F4">
        <w:t>–</w:t>
      </w:r>
      <w:r w:rsidRPr="00E156F4">
        <w:tab/>
        <w:t>ottaa huomioon talousarvion valvontavaliokunnan mietinnön (A9-0075/2024),</w:t>
      </w:r>
    </w:p>
    <w:p w:rsidR="003D741F" w:rsidRPr="00E156F4" w:rsidRDefault="003D741F" w:rsidP="003D741F">
      <w:pPr>
        <w:pStyle w:val="NormalHanging12a"/>
        <w:widowControl/>
      </w:pPr>
      <w:r w:rsidRPr="00E156F4">
        <w:t>1.</w:t>
      </w:r>
      <w:r w:rsidRPr="00E156F4">
        <w:tab/>
        <w:t>myöntää tuomioistuimen kirjaajalle vastuuvapauden Euroopan unionin tuomioistuimen talousarvion toteuttamisesta varainhoitovuonna 2022;</w:t>
      </w:r>
    </w:p>
    <w:p w:rsidR="003D741F" w:rsidRPr="00E156F4" w:rsidRDefault="003D741F" w:rsidP="003D741F">
      <w:pPr>
        <w:pStyle w:val="NormalHanging12a"/>
        <w:widowControl/>
      </w:pPr>
      <w:r w:rsidRPr="00E156F4">
        <w:t>2.</w:t>
      </w:r>
      <w:r w:rsidRPr="00E156F4">
        <w:tab/>
        <w:t>esittää huomautuksensa oheisessa päätöslauselmassa;</w:t>
      </w:r>
    </w:p>
    <w:p w:rsidR="003D741F" w:rsidRPr="00E156F4" w:rsidRDefault="003D741F" w:rsidP="003D741F">
      <w:pPr>
        <w:pStyle w:val="NormalHanging12a"/>
        <w:widowControl/>
      </w:pPr>
      <w:r w:rsidRPr="00E156F4">
        <w:t>3.</w:t>
      </w:r>
      <w:r w:rsidRPr="00E156F4">
        <w:tab/>
        <w:t xml:space="preserve">kehottaa puhemiestä välittämään tämän päätöksen ja siihen erottamattomasti kuuluvan päätöslauselman Euroopan unionin tuomioistuimelle, neuvostolle, komissiolle ja tilintarkastustuomioistuimelle sekä huolehtimaan niiden julkaisemisesta </w:t>
      </w:r>
      <w:r w:rsidRPr="00E156F4">
        <w:rPr>
          <w:i/>
          <w:iCs/>
        </w:rPr>
        <w:t>Euroopan unionin virallisessa lehdessä</w:t>
      </w:r>
      <w:r w:rsidRPr="00E156F4">
        <w:t xml:space="preserve"> (L-sarja).</w:t>
      </w:r>
    </w:p>
    <w:p w:rsidR="003D741F" w:rsidRPr="00E156F4" w:rsidRDefault="003D741F" w:rsidP="003D741F">
      <w:pPr>
        <w:widowControl/>
      </w:pPr>
    </w:p>
    <w:p w:rsidR="003D741F" w:rsidRPr="00E156F4" w:rsidRDefault="003D741F" w:rsidP="003D741F">
      <w:pPr>
        <w:pStyle w:val="PageHeading"/>
        <w:widowControl/>
        <w:sectPr w:rsidR="003D741F" w:rsidRPr="00E156F4" w:rsidSect="0065641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D741F" w:rsidRPr="00E156F4" w:rsidRDefault="003D741F" w:rsidP="003D741F">
      <w:pPr>
        <w:pStyle w:val="NormalBold"/>
        <w:widowControl/>
      </w:pPr>
      <w:bookmarkStart w:id="8" w:name="_Toc161825541"/>
      <w:r w:rsidRPr="00E156F4">
        <w:lastRenderedPageBreak/>
        <w:t xml:space="preserve">2. </w:t>
      </w:r>
      <w:bookmarkEnd w:id="8"/>
      <w:r w:rsidR="00C27E3E" w:rsidRPr="00E156F4">
        <w:t>Euroopan parlamentin päätöslauselma 1</w:t>
      </w:r>
      <w:r w:rsidR="004E1A5D" w:rsidRPr="00E156F4">
        <w:t>1</w:t>
      </w:r>
      <w:r w:rsidR="00C27E3E" w:rsidRPr="00E156F4">
        <w:t xml:space="preserve">. huhtikuuta 2024, </w:t>
      </w:r>
      <w:r w:rsidRPr="00E156F4">
        <w:t>joka sisältää huomautukset, jotka ovat erottamaton osa päätöstä vastuuvapauden myöntämisestä Euroopan unionin yleisen talousarvion toteuttamisesta varainhoitovuonna 2022, pääluokka IV – Euroopan unionin tuomioistuin</w:t>
      </w:r>
      <w:r w:rsidR="00C27E3E" w:rsidRPr="00E156F4">
        <w:t xml:space="preserve"> </w:t>
      </w:r>
      <w:r w:rsidRPr="00E156F4">
        <w:t>(2023/2132(DEC))</w:t>
      </w:r>
    </w:p>
    <w:p w:rsidR="003D741F" w:rsidRPr="00E156F4" w:rsidRDefault="003D741F" w:rsidP="003D741F">
      <w:pPr>
        <w:pStyle w:val="EPComma"/>
        <w:widowControl/>
      </w:pPr>
      <w:r w:rsidRPr="00E156F4">
        <w:rPr>
          <w:i/>
        </w:rPr>
        <w:t>Euroopan parlamentti</w:t>
      </w:r>
      <w:r w:rsidRPr="00E156F4">
        <w:t>, joka</w:t>
      </w:r>
    </w:p>
    <w:p w:rsidR="003D741F" w:rsidRPr="00E156F4" w:rsidRDefault="003D741F" w:rsidP="003D741F">
      <w:pPr>
        <w:pStyle w:val="NormalHanging12a"/>
        <w:widowControl/>
        <w:rPr>
          <w:szCs w:val="24"/>
        </w:rPr>
      </w:pPr>
      <w:r w:rsidRPr="00E156F4">
        <w:t>–</w:t>
      </w:r>
      <w:r w:rsidRPr="00E156F4">
        <w:tab/>
        <w:t>ottaa huomioon päätöksensä vastuuvapauden myöntämisestä Euroopan unionin yleisen talousarvion toteuttamisesta varainhoitovuonna 2022, pääluokka IV – Euroopan unionin tuomioistuin,</w:t>
      </w:r>
    </w:p>
    <w:p w:rsidR="003D741F" w:rsidRPr="00E156F4" w:rsidRDefault="003D741F" w:rsidP="003D741F">
      <w:pPr>
        <w:pStyle w:val="NormalHanging12a"/>
        <w:widowControl/>
        <w:rPr>
          <w:szCs w:val="24"/>
        </w:rPr>
      </w:pPr>
      <w:r w:rsidRPr="00E156F4">
        <w:t>–</w:t>
      </w:r>
      <w:r w:rsidRPr="00E156F4">
        <w:tab/>
        <w:t>ottaa huomioon työjärjestyksen 100 artiklan ja liitteen V,</w:t>
      </w:r>
    </w:p>
    <w:p w:rsidR="003D741F" w:rsidRPr="00E156F4" w:rsidRDefault="003D741F" w:rsidP="003D741F">
      <w:pPr>
        <w:pStyle w:val="NormalHanging12a"/>
        <w:widowControl/>
        <w:rPr>
          <w:szCs w:val="24"/>
        </w:rPr>
      </w:pPr>
      <w:r w:rsidRPr="00E156F4">
        <w:t>–</w:t>
      </w:r>
      <w:r w:rsidRPr="00E156F4">
        <w:tab/>
        <w:t>ottaa huomioon oikeudellisten asioiden valiokunnan lausunnon,</w:t>
      </w:r>
    </w:p>
    <w:p w:rsidR="003D741F" w:rsidRPr="00E156F4" w:rsidRDefault="003D741F" w:rsidP="003D741F">
      <w:pPr>
        <w:pStyle w:val="NormalHanging12a"/>
        <w:widowControl/>
        <w:rPr>
          <w:szCs w:val="24"/>
        </w:rPr>
      </w:pPr>
      <w:r w:rsidRPr="00E156F4">
        <w:t>–</w:t>
      </w:r>
      <w:r w:rsidRPr="00E156F4">
        <w:tab/>
        <w:t>ottaa huomioon talousarvion valvontavaliokunnan mietinnön (A9-0075/2024),</w:t>
      </w:r>
    </w:p>
    <w:p w:rsidR="003D741F" w:rsidRPr="00E156F4" w:rsidRDefault="003D741F" w:rsidP="003D741F">
      <w:pPr>
        <w:pStyle w:val="NormalHanging12a"/>
        <w:widowControl/>
        <w:rPr>
          <w:szCs w:val="24"/>
        </w:rPr>
      </w:pPr>
      <w:r w:rsidRPr="00E156F4">
        <w:t>A.</w:t>
      </w:r>
      <w:r w:rsidRPr="00E156F4">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rsidR="003D741F" w:rsidRPr="00E156F4" w:rsidRDefault="003D741F" w:rsidP="003D741F">
      <w:pPr>
        <w:pStyle w:val="NormalHanging12a"/>
        <w:widowControl/>
        <w:rPr>
          <w:rStyle w:val="HideTWBExt"/>
          <w:rFonts w:ascii="Times New Roman" w:hAnsi="Times New Roman"/>
          <w:noProof w:val="0"/>
          <w:vanish w:val="0"/>
          <w:color w:val="auto"/>
          <w:sz w:val="24"/>
          <w:szCs w:val="24"/>
        </w:rPr>
      </w:pPr>
      <w:r w:rsidRPr="00E156F4">
        <w:t>B.</w:t>
      </w:r>
      <w:r w:rsidRPr="00E156F4">
        <w:tab/>
        <w:t>ottaa huomioon, että Euroopan unionin tuomioistuin on unionin lainkäyttöelin, jonka tehtävänä on varmistaa unionin oikeuden noudattaminen valvomalla perussopimusten yhdenmukaista tulkintaa ja soveltamista sekä varmistamalla unionin toimielinten, elinten, toimistojen ja virastojen toteuttamien toimenpiteiden laillisuus;</w:t>
      </w:r>
    </w:p>
    <w:p w:rsidR="003D741F" w:rsidRPr="00E156F4" w:rsidRDefault="003D741F" w:rsidP="003D741F">
      <w:pPr>
        <w:pStyle w:val="NormalHanging12a"/>
        <w:widowControl/>
        <w:rPr>
          <w:szCs w:val="24"/>
        </w:rPr>
      </w:pPr>
      <w:r w:rsidRPr="00E156F4">
        <w:t>C.</w:t>
      </w:r>
      <w:r w:rsidRPr="00E156F4">
        <w:tab/>
        <w:t>ottaa huomioon, että Euroopan unionin tuomioistuin auttaa vaalimaan unionin arvoja ja pyrkii oikeuskäytäntönsä avulla rakentamaan yhdentynyttä Eurooppaa;</w:t>
      </w:r>
    </w:p>
    <w:p w:rsidR="003D741F" w:rsidRPr="00E156F4" w:rsidRDefault="003D741F" w:rsidP="003D741F">
      <w:pPr>
        <w:pStyle w:val="NormalHanging12a"/>
        <w:widowControl/>
        <w:rPr>
          <w:szCs w:val="24"/>
        </w:rPr>
      </w:pPr>
      <w:r w:rsidRPr="00E156F4">
        <w:t>D.</w:t>
      </w:r>
      <w:r w:rsidRPr="00E156F4">
        <w:tab/>
        <w:t>ottaa huomioon, että Euroopan unionin tuomioistuimessa on kaksi tuomioistuinta: unionin tuomioistuin ja yleinen tuomioistuin;</w:t>
      </w:r>
    </w:p>
    <w:p w:rsidR="003D741F" w:rsidRPr="00E156F4" w:rsidRDefault="003D741F" w:rsidP="003D741F">
      <w:pPr>
        <w:pStyle w:val="NormalHanging12a"/>
        <w:widowControl/>
        <w:rPr>
          <w:szCs w:val="24"/>
        </w:rPr>
      </w:pPr>
      <w:r w:rsidRPr="00E156F4">
        <w:t>1.</w:t>
      </w:r>
      <w:r w:rsidRPr="00E156F4">
        <w:tab/>
        <w:t>panee merkille, että Euroopan unionin tuomioistuimen talousarvio kuuluu monivuotisen rahoituskehyksen otsakkeeseen 7 ”EU:n yleinen hallinto”, jonka määrä vuonna 2022 oli 11,6 miljardia euroa (eli 5,9 prosenttia unionin talousarviosta); panee merkille, että vuonna 2022 Euroopan unionin tuomioistuimen noin 0,5 miljardin euron talousarvio oli 3,9 prosenttia kaikista hallintomenoista;</w:t>
      </w:r>
    </w:p>
    <w:p w:rsidR="003D741F" w:rsidRPr="00E156F4" w:rsidRDefault="003D741F" w:rsidP="003D741F">
      <w:pPr>
        <w:pStyle w:val="NormalHanging12a"/>
        <w:widowControl/>
        <w:rPr>
          <w:szCs w:val="24"/>
        </w:rPr>
      </w:pPr>
      <w:r w:rsidRPr="00E156F4">
        <w:t>2.</w:t>
      </w:r>
      <w:r w:rsidRPr="00E156F4">
        <w:tab/>
        <w:t>toteaa, että varainhoitovuotta 2022 koskevassa vuosikertomuksessaan tilintarkastustuomioistuin tarkasti hallinnon alaan kuuluvan 60 tapahtuman otoksen eli saman verran kuin tarkastettiin vuonna 2021; toteaa tilintarkastustuomioistuimen myös kirjoittavan, että hallintomenoja ovat muun muassa henkilöstömenot, mukaan lukien eläkemenot, joiden osuus hallintomenojen kokonaismäärästä oli vuonna 2022 noin 70 prosenttia, ja lisäksi kiinteistöihin, laitteisiin, energiaan, viestintään ja tietotekniikkaan liittyvät menot ja että sen tarkastukset ovat jo useamman vuoden ajan osoittaneet, että hallintomenoissa riski on yleisesti ottaen alhainen;</w:t>
      </w:r>
    </w:p>
    <w:p w:rsidR="003D741F" w:rsidRPr="00E156F4" w:rsidRDefault="003D741F" w:rsidP="003D741F">
      <w:pPr>
        <w:pStyle w:val="NormalHanging12a"/>
        <w:widowControl/>
        <w:rPr>
          <w:szCs w:val="24"/>
        </w:rPr>
      </w:pPr>
      <w:r w:rsidRPr="00E156F4">
        <w:t>3.</w:t>
      </w:r>
      <w:r w:rsidRPr="00E156F4">
        <w:tab/>
        <w:t xml:space="preserve">toteaa, että osana vuoden 2022 tarkastusta tilintarkastustuomioistuin tutki Euroopan unionin tuomioistuimen valvontajärjestelmiä, erityisesti varainhoitoasetuksessa </w:t>
      </w:r>
      <w:r w:rsidRPr="00E156F4">
        <w:lastRenderedPageBreak/>
        <w:t>määriteltyjen sisäisen valvonnan standardien, riskienhallinnan ja keskeisten valvontamenettelyjen täytäntöönpanoa, myös maksuihin kohdistettavia ennakko- ja jälkitarkastuksia;</w:t>
      </w:r>
    </w:p>
    <w:p w:rsidR="003D741F" w:rsidRPr="00E156F4" w:rsidRDefault="003D741F" w:rsidP="003D741F">
      <w:pPr>
        <w:pStyle w:val="NormalHanging12a"/>
        <w:widowControl/>
        <w:rPr>
          <w:szCs w:val="24"/>
        </w:rPr>
      </w:pPr>
      <w:r w:rsidRPr="00E156F4">
        <w:t>4.</w:t>
      </w:r>
      <w:r w:rsidRPr="00E156F4">
        <w:tab/>
        <w:t xml:space="preserve">panee merkille, että tarkastetuista 60 tapahtumasta 14 (23 prosenttia) sisälsi virheitä, mutta että tilintarkastustuomioistuin arvioi </w:t>
      </w:r>
      <w:proofErr w:type="spellStart"/>
      <w:r w:rsidRPr="00E156F4">
        <w:t>kvantifioimiensa</w:t>
      </w:r>
      <w:proofErr w:type="spellEnd"/>
      <w:r w:rsidRPr="00E156F4">
        <w:t xml:space="preserve"> viiden virheen perusteella, että virhetaso on alle olennaisuusrajan;</w:t>
      </w:r>
    </w:p>
    <w:p w:rsidR="003D741F" w:rsidRPr="00E156F4" w:rsidRDefault="003D741F" w:rsidP="003D741F">
      <w:pPr>
        <w:pStyle w:val="NormalHanging12a"/>
        <w:widowControl/>
        <w:rPr>
          <w:szCs w:val="24"/>
        </w:rPr>
      </w:pPr>
      <w:r w:rsidRPr="00E156F4">
        <w:t>5.</w:t>
      </w:r>
      <w:r w:rsidRPr="00E156F4">
        <w:tab/>
        <w:t>panee tyytyväisenä merkille tilintarkastustuomioistuimen toteavan varainhoitovuotta 2022 koskevassa vuosikertomuksessaan, ettei se havainnut ongelmia Euroopan unionin tuomioistuimen kohdalla;</w:t>
      </w:r>
    </w:p>
    <w:p w:rsidR="003D741F" w:rsidRPr="00E156F4" w:rsidRDefault="003D741F" w:rsidP="00C27E3E">
      <w:pPr>
        <w:pStyle w:val="NormalHanging12a"/>
        <w:keepNext/>
        <w:widowControl/>
        <w:ind w:left="0" w:firstLine="0"/>
        <w:rPr>
          <w:b/>
          <w:i/>
          <w:szCs w:val="24"/>
        </w:rPr>
      </w:pPr>
      <w:r w:rsidRPr="00E156F4">
        <w:rPr>
          <w:b/>
          <w:i/>
        </w:rPr>
        <w:t>Talousarvio- ja varainhallinto</w:t>
      </w:r>
    </w:p>
    <w:p w:rsidR="003D741F" w:rsidRPr="00E156F4" w:rsidRDefault="003D741F" w:rsidP="003D741F">
      <w:pPr>
        <w:pStyle w:val="NormalHanging12a"/>
        <w:widowControl/>
        <w:rPr>
          <w:szCs w:val="24"/>
        </w:rPr>
      </w:pPr>
      <w:r w:rsidRPr="00E156F4">
        <w:t>6.</w:t>
      </w:r>
      <w:r w:rsidRPr="00E156F4">
        <w:tab/>
        <w:t>panee merkille, että Euroopan unionin tuomioistuimelle vuodeksi 2022 osoitetut kokonaismäärärahat olivat 467 900 000 euroa, mikä merkitsee lisäystä 444 049 000 eurosta vuosina 2021 ja 2020, mikä vastaa 5,4 prosentin lisäystä vuosien 2021 ja 2022 välillä, ja että 79 prosenttia vuoden 2022 talousarviosta käytettiin sen jäseniin ja henkilöstöön, 14 prosenttia kiinteistöihin, 6 prosenttia tietotekniikkaan ja 1 prosentti muihin menoihin;</w:t>
      </w:r>
    </w:p>
    <w:p w:rsidR="003D741F" w:rsidRPr="00E156F4" w:rsidRDefault="003D741F" w:rsidP="003D741F">
      <w:pPr>
        <w:pStyle w:val="NormalHanging12a"/>
        <w:widowControl/>
        <w:rPr>
          <w:szCs w:val="24"/>
        </w:rPr>
      </w:pPr>
      <w:r w:rsidRPr="00E156F4">
        <w:t>7.</w:t>
      </w:r>
      <w:r w:rsidRPr="00E156F4">
        <w:tab/>
        <w:t>panee merkille, että vuonna 2022 Euroopan unionin tuomioistuin teki 19 varainhoitoasetuksen 29 artiklan mukaista määrärahasiirtoa, joiden kokonaismäärä oli 12,7 miljoonaa euroa eli 2,7 prosenttia varainhoitovuoden määrärahoista; panee myös merkille, että talousarvion käyttöaste vuonna 2022 oli 98,43 prosenttia, mikä on linjassa aiempien vuosien kanssa;</w:t>
      </w:r>
    </w:p>
    <w:p w:rsidR="003D741F" w:rsidRPr="00E156F4" w:rsidRDefault="003D741F" w:rsidP="003D741F">
      <w:pPr>
        <w:pStyle w:val="NormalHanging12a"/>
        <w:widowControl/>
        <w:rPr>
          <w:szCs w:val="24"/>
        </w:rPr>
      </w:pPr>
      <w:r w:rsidRPr="00E156F4">
        <w:t>8.</w:t>
      </w:r>
      <w:r w:rsidRPr="00E156F4">
        <w:tab/>
        <w:t>panee tyytyväisenä merkille, että valtuutettu tulojen ja menojen hyväksyjä on ilmoittanut, että myönnettyjä resursseja oli käytetty aiottuun tarkoitukseen ja moitteettoman varainhoidon periaatteiden mukaisesti ja että käyttöön otetut valvontamenettelyt antoivat tarvittavat takeet tilien perustana olevien toimien laillisuudesta ja sääntöjenmukaisuudesta;</w:t>
      </w:r>
    </w:p>
    <w:p w:rsidR="003D741F" w:rsidRPr="00E156F4" w:rsidRDefault="003D741F" w:rsidP="003D741F">
      <w:pPr>
        <w:pStyle w:val="NormalHanging12a"/>
        <w:widowControl/>
        <w:rPr>
          <w:szCs w:val="24"/>
        </w:rPr>
      </w:pPr>
      <w:r w:rsidRPr="00E156F4">
        <w:t>9.</w:t>
      </w:r>
      <w:r w:rsidRPr="00E156F4">
        <w:tab/>
        <w:t>suhtautuu myönteisesti siihen, että Euroopan unionin tuomioistuin kehittää monenlaisia tietojärjestelmiä sekä sisäisesti että yksikön tason sopimusten kautta eri aloilla, mikä parantaa sen resurssitehokkuutta;</w:t>
      </w:r>
    </w:p>
    <w:p w:rsidR="003D741F" w:rsidRPr="00E156F4" w:rsidRDefault="003D741F" w:rsidP="003D741F">
      <w:pPr>
        <w:pStyle w:val="NormalHanging12a"/>
        <w:widowControl/>
        <w:rPr>
          <w:szCs w:val="24"/>
        </w:rPr>
      </w:pPr>
      <w:r w:rsidRPr="00E156F4">
        <w:t>10.</w:t>
      </w:r>
      <w:r w:rsidRPr="00E156F4">
        <w:tab/>
        <w:t>toteaa, että Venäjän hyökkäyssota Ukrainaa vastaan aiheutti monin eri tavoin Euroopan unionin tuomioistuimelle talousarviopaineita muun muassa inflaation kiihtymisen ja palkanmukautusten, energiakustannusten merkittävän nousun sekä eri tuotteiden ja palvelujen kustannusten muodossa;</w:t>
      </w:r>
    </w:p>
    <w:p w:rsidR="003D741F" w:rsidRPr="00E156F4" w:rsidRDefault="003D741F" w:rsidP="003D741F">
      <w:pPr>
        <w:pStyle w:val="NormalHanging12a"/>
        <w:widowControl/>
        <w:rPr>
          <w:szCs w:val="24"/>
        </w:rPr>
      </w:pPr>
      <w:r w:rsidRPr="00E156F4">
        <w:t>11.</w:t>
      </w:r>
      <w:r w:rsidRPr="00E156F4">
        <w:tab/>
        <w:t>panee merkille, että Euroopan unionin tuomioistuimen virkamatkojen talousarvio oli 405 000 euroa vuonna 2021 ja 390 000 euroa vuonna 2022, mikä vastaa 3,7 prosentin vähennystä, jonka syynä olivat pääasiassa työskentelytapojen muutokset, kun suurempi määrä kokouksia järjestettiin etäkokouksina; panee lisäksi merkille, että Euroopan unionin tuomioistuimella ei ole erityistä budjettikohtaa sen puheenjohtajan virkamatkoja ja matkoja varten; panee lisäksi merkille, että kaikkien Euroopan unionin tuomioistuimen jäsenten virkamatkoja koskeva budjettikohta pieneni 280 000 eurosta vuonna 2021 270 000 euroon vuonna 2022, mikä vastaa 3,6 prosentin vähennystä, mikä myös johtui pääasiassa videoneuvotteluvälineiden käytön lisääntymisestä;</w:t>
      </w:r>
    </w:p>
    <w:p w:rsidR="003D741F" w:rsidRPr="00E156F4" w:rsidRDefault="003D741F" w:rsidP="00C27E3E">
      <w:pPr>
        <w:pStyle w:val="NormalHanging12a"/>
        <w:keepNext/>
        <w:widowControl/>
        <w:ind w:left="0" w:firstLine="0"/>
        <w:rPr>
          <w:b/>
          <w:i/>
        </w:rPr>
      </w:pPr>
      <w:r w:rsidRPr="00E156F4">
        <w:rPr>
          <w:b/>
          <w:i/>
        </w:rPr>
        <w:lastRenderedPageBreak/>
        <w:t>Sisäinen hallinto, toiminnan tuloksellisuus ja sisäinen valvonta</w:t>
      </w:r>
    </w:p>
    <w:p w:rsidR="003D741F" w:rsidRPr="00E156F4" w:rsidRDefault="003D741F" w:rsidP="003D741F">
      <w:pPr>
        <w:pStyle w:val="NormalHanging12a"/>
        <w:widowControl/>
        <w:rPr>
          <w:szCs w:val="24"/>
        </w:rPr>
      </w:pPr>
      <w:r w:rsidRPr="00E156F4">
        <w:t>12.</w:t>
      </w:r>
      <w:r w:rsidRPr="00E156F4">
        <w:tab/>
        <w:t>panee merkille, että vuonna 2022 covid-19-pandemiaan liittyvistä poikkeuksellisista toimenpiteistä luovuttiin asteittain ja Euroopan unionin tuomioistuin alkoi toimia normaalisti; pitää tässä yhteydessä myönteisenä, että vierailijoiden määrä kasvoi vuonna 2022 yltäen 11 653 henkilöön, mikä ei kuitenkaan vieläkään vastaa pandemiaa edeltänyttä tasoa, sillä vuonna 2019 kävijöitä oli 17 136, joskin tämä saattaa johtua osittain myös uusista mahdollisuuksista vierailla Euroopan unionin tuomioistuimessa virtuaalisesti;</w:t>
      </w:r>
    </w:p>
    <w:p w:rsidR="003D741F" w:rsidRPr="00E156F4" w:rsidRDefault="003D741F" w:rsidP="003D741F">
      <w:pPr>
        <w:pStyle w:val="NormalHanging12a"/>
        <w:widowControl/>
        <w:rPr>
          <w:szCs w:val="24"/>
        </w:rPr>
      </w:pPr>
      <w:r w:rsidRPr="00E156F4">
        <w:t>13.</w:t>
      </w:r>
      <w:r w:rsidRPr="00E156F4">
        <w:tab/>
        <w:t>panee tyytyväisenä merkille, että vuonna 2022 vietettiin Euroopan unionin tuomioistuimen 70-vuotisjuhlaa, joka on erittäin tärkeä merkkipäivä koko unionille; on tyytyväinen siihen, että Euroopan unionin tuomioistuin hyödynsi tilaisuuden käynnistää aloitteita aiheesta ”</w:t>
      </w:r>
      <w:proofErr w:type="spellStart"/>
      <w:r w:rsidRPr="00E156F4">
        <w:t>Bringing</w:t>
      </w:r>
      <w:proofErr w:type="spellEnd"/>
      <w:r w:rsidRPr="00E156F4">
        <w:t xml:space="preserve"> </w:t>
      </w:r>
      <w:proofErr w:type="spellStart"/>
      <w:r w:rsidRPr="00E156F4">
        <w:t>justice</w:t>
      </w:r>
      <w:proofErr w:type="spellEnd"/>
      <w:r w:rsidRPr="00E156F4">
        <w:t xml:space="preserve"> </w:t>
      </w:r>
      <w:proofErr w:type="spellStart"/>
      <w:r w:rsidRPr="00E156F4">
        <w:t>closer</w:t>
      </w:r>
      <w:proofErr w:type="spellEnd"/>
      <w:r w:rsidRPr="00E156F4">
        <w:t xml:space="preserve"> to </w:t>
      </w:r>
      <w:proofErr w:type="spellStart"/>
      <w:r w:rsidRPr="00E156F4">
        <w:t>the</w:t>
      </w:r>
      <w:proofErr w:type="spellEnd"/>
      <w:r w:rsidRPr="00E156F4">
        <w:t xml:space="preserve"> </w:t>
      </w:r>
      <w:proofErr w:type="spellStart"/>
      <w:r w:rsidRPr="00E156F4">
        <w:t>citizen</w:t>
      </w:r>
      <w:proofErr w:type="spellEnd"/>
      <w:r w:rsidRPr="00E156F4">
        <w:t>”, mukaan lukien uusi aloite kuulemistilaisuuksien suoratoistopalvelun tarjoamisesta Euroopan unionin tuomioistuimen verkkosivustolla;</w:t>
      </w:r>
    </w:p>
    <w:p w:rsidR="003D741F" w:rsidRPr="00E156F4" w:rsidRDefault="003D741F" w:rsidP="003D741F">
      <w:pPr>
        <w:pStyle w:val="NormalHanging12a"/>
        <w:widowControl/>
        <w:rPr>
          <w:szCs w:val="24"/>
        </w:rPr>
      </w:pPr>
      <w:r w:rsidRPr="00E156F4">
        <w:t>14.</w:t>
      </w:r>
      <w:r w:rsidRPr="00E156F4">
        <w:tab/>
        <w:t xml:space="preserve">panee merkille, että vuonna 2022 Euroopan unionin tuomioistuimen osalta 68 prosenttia uusista tapauksista oli ennakkoratkaisupyyntöjä, 24 prosenttia unionin yleisen tuomioistuimen päätöksistä tehtyjä valituksia ja 4 prosenttia jäsenvaltioita vastaan nostettuja jäsenyysvelvoitteiden noudattamatta jättämistä koskevia kanteita; panee lisäksi merkille, että vuonna 2022 unionin yleisen tuomioistuimen osalta 46 prosenttia uusista tapauksista koski unionin toimielinten säädöksiä koskevia kumoamiskanteita, 30 prosenttia </w:t>
      </w:r>
      <w:proofErr w:type="spellStart"/>
      <w:r w:rsidRPr="00E156F4">
        <w:t>teollis</w:t>
      </w:r>
      <w:proofErr w:type="spellEnd"/>
      <w:r w:rsidRPr="00E156F4">
        <w:t>- ja tekijänoikeuksia koskevia kanteita ja 7 prosenttia unionin toimielinten ja niiden henkilöstön välisiä riita-asioita;</w:t>
      </w:r>
    </w:p>
    <w:p w:rsidR="003D741F" w:rsidRPr="00E156F4" w:rsidRDefault="003D741F" w:rsidP="003D741F">
      <w:pPr>
        <w:pStyle w:val="NormalHanging12a"/>
        <w:widowControl/>
        <w:rPr>
          <w:szCs w:val="24"/>
        </w:rPr>
      </w:pPr>
      <w:r w:rsidRPr="00E156F4">
        <w:t>15</w:t>
      </w:r>
      <w:r w:rsidR="00C50BDE">
        <w:t>.</w:t>
      </w:r>
      <w:r w:rsidRPr="00E156F4">
        <w:tab/>
        <w:t>panee merkille, että näissä kahdessa tuomioistuimessa vuonna 2022 vireille pantujen asioiden määrä on verrattavissa edellisvuoden määrään (1 710 asiaa vuonna 2022 ja 1 720 asiaa vuonna 2021), ja korostaa, että unionin tuomioistuin ja unionin yleinen tuomioistuin saattoivat vuonna 2022 päätökseen yhteensä 1 666 asiaa (1 723 vuonna 2021), mikä vastaa viime vuosien keskiarvoa (1 692 asiaa vuodessa vuosina 2018–2021); panee kuitenkin merkille, että vireillä olevien asioiden kokonaismäärä on kasvussa ja että vuonna 2022 niitä oli 2 585, kun vuoden 2021 vastaava luku oli 2 541;</w:t>
      </w:r>
    </w:p>
    <w:p w:rsidR="003D741F" w:rsidRPr="00E156F4" w:rsidRDefault="003D741F" w:rsidP="003D741F">
      <w:pPr>
        <w:pStyle w:val="NormalHanging12a"/>
        <w:widowControl/>
        <w:rPr>
          <w:szCs w:val="24"/>
        </w:rPr>
      </w:pPr>
      <w:r w:rsidRPr="00E156F4">
        <w:t>16.</w:t>
      </w:r>
      <w:r w:rsidRPr="00E156F4">
        <w:tab/>
        <w:t>panee merkille, että Euroopan unionin tuomioistuimen käsiteltäväksi saatettujen asioiden käsittelyn keskimääräinen kesto säilyi kutakuinkin aiempien vuosien tasolla ollen 16,4 kuukautta vuonna 2022 verrattuna 16,6 kuukauteen vuonna 2021; panee tyytyväisenä merkille, että unionin yleisen tuomioistuimen käsiteltäväksi saatettujen asioiden käsittelyn keskimääräinen kesto lyheni 16,2 kuukauteen vuonna 2022 sen ollessa 17,3 kuukautta vuonna 2021;</w:t>
      </w:r>
    </w:p>
    <w:p w:rsidR="003D741F" w:rsidRPr="00E156F4" w:rsidRDefault="003D741F" w:rsidP="003D741F">
      <w:pPr>
        <w:pStyle w:val="NormalHanging12a"/>
        <w:widowControl/>
        <w:rPr>
          <w:szCs w:val="24"/>
        </w:rPr>
      </w:pPr>
      <w:r w:rsidRPr="00E156F4">
        <w:t>17.</w:t>
      </w:r>
      <w:r w:rsidRPr="00E156F4">
        <w:tab/>
        <w:t>panee tyytyväisenä merkille, että Euroopan unionin tuomioistuin on toimittanut yhteenvedon Euroopan unionin tuomioistuimessa tehtyjen sisäisten tarkastusten määrästä ja tyypeistä sekä yhteenvedon suosituksista ja niiden johdosta toteutetuista jatkotoimista varainhoitoasetuksen 118 artiklan 8 kohdan mukaisesti; panee merkille, että sisäisellä tarkastajalla on vuotuinen työohjelma, joka sisältää monivuotisen osion;</w:t>
      </w:r>
    </w:p>
    <w:p w:rsidR="003D741F" w:rsidRPr="00E156F4" w:rsidRDefault="003D741F" w:rsidP="003D741F">
      <w:pPr>
        <w:pStyle w:val="NormalHanging12a"/>
        <w:widowControl/>
        <w:rPr>
          <w:szCs w:val="24"/>
        </w:rPr>
      </w:pPr>
      <w:r w:rsidRPr="00E156F4">
        <w:t>18.</w:t>
      </w:r>
      <w:r w:rsidRPr="00E156F4">
        <w:tab/>
        <w:t>panee merkille, että vuoden 2022 tärkeimmät sisäiset tarkastukset koskivat pankkitilien hallintaa, kassanhallintaa ja maksujen suorittamista, vakuutussopimuksia ja sitä, miten hyvin ne kattavat riskit, kestävyystietojen levittämistä ja käännösten hallintaa;</w:t>
      </w:r>
    </w:p>
    <w:p w:rsidR="003D741F" w:rsidRPr="00E156F4" w:rsidRDefault="003D741F" w:rsidP="003D741F">
      <w:pPr>
        <w:pStyle w:val="NormalHanging12a"/>
        <w:widowControl/>
        <w:rPr>
          <w:szCs w:val="24"/>
        </w:rPr>
      </w:pPr>
      <w:r w:rsidRPr="00E156F4">
        <w:lastRenderedPageBreak/>
        <w:t>19.</w:t>
      </w:r>
      <w:r w:rsidRPr="00E156F4">
        <w:tab/>
        <w:t>panee merkille, että parlamentin talousarvion valvontavaliokunnan kyselylomakkeeseen, joka oli osa tämänkertaista vastuuvapausmenettelyä, antamissaan vastauksissa Euroopan unionin tuomioistuin mainitsee, että sisäisten tarkastusten perusteella annettiin useita suosituksia, joihin asianomaiset yksiköt ovat suhtautuneet myönteisesti; pyytää, että parlamentille ilmoitetaan, jos asianomaiset yksiköt eivät noudata sisäisen tarkastajan suosituksia;</w:t>
      </w:r>
    </w:p>
    <w:p w:rsidR="003D741F" w:rsidRPr="00E156F4" w:rsidRDefault="003D741F" w:rsidP="00C27E3E">
      <w:pPr>
        <w:pStyle w:val="NormalHanging12a"/>
        <w:keepNext/>
        <w:widowControl/>
        <w:ind w:left="0" w:firstLine="0"/>
        <w:rPr>
          <w:b/>
          <w:szCs w:val="24"/>
        </w:rPr>
      </w:pPr>
      <w:r w:rsidRPr="00E156F4">
        <w:rPr>
          <w:b/>
          <w:i/>
        </w:rPr>
        <w:t>Henkilöresurssit, tasa-arvo ja henkilöstön hyvinvointi</w:t>
      </w:r>
    </w:p>
    <w:p w:rsidR="003D741F" w:rsidRPr="00E156F4" w:rsidRDefault="003D741F" w:rsidP="003D741F">
      <w:pPr>
        <w:pStyle w:val="NormalHanging12a"/>
        <w:widowControl/>
        <w:rPr>
          <w:szCs w:val="24"/>
        </w:rPr>
      </w:pPr>
      <w:r w:rsidRPr="00E156F4">
        <w:t>20.</w:t>
      </w:r>
      <w:r w:rsidRPr="00E156F4">
        <w:tab/>
        <w:t>panee merkille, että Euroopan unionin tuomioistuimessa on 27 tuomaria ja 11 julkisasiamiestä ja että yhtään uutta tuomaria ei aloittanut tehtävässään vuonna 2022; panee lisäksi merkille, että unionin yleisessä tuomioistuimessa on 54 tuomaria ja että kahdeksan uutta tuomaria aloitti tehtävässään vuoden 2022 aikana;</w:t>
      </w:r>
    </w:p>
    <w:p w:rsidR="003D741F" w:rsidRPr="00E156F4" w:rsidRDefault="003D741F" w:rsidP="003D741F">
      <w:pPr>
        <w:pStyle w:val="NormalHanging12a"/>
        <w:widowControl/>
        <w:rPr>
          <w:szCs w:val="24"/>
        </w:rPr>
      </w:pPr>
      <w:r w:rsidRPr="00E156F4">
        <w:t>21.</w:t>
      </w:r>
      <w:r w:rsidRPr="00E156F4">
        <w:tab/>
        <w:t>panee huolestuneena merkille, että Euroopan unionin tuomioistuimessa ja unionin yleisessä tuomioistuimessa sukupuolijakauma on edelleen hyvin epätasainen ja että unionin yleisessä tuomioistuimessa vuonna 2022 aloittaneista kahdeksasta uudesta tuomarista viisi oli miehiä ja kolme naisia; toistaa arvostavansa unionin yleisen tuomioistuimen presidentin jäsenvaltioiden hallitusten edustajien konferenssin puheenjohtajalle vuonna 2021 lähettämää kirjettä, jossa kehotettiin jäsenvaltioita ottamaan huomioon sukupuolten tasapuolisen edustuksen tarve niiden nimittäessä ehdokkaita tuomareiden korvaamiseksi; pitää valitettavana sitä, ettei kirjeeseen ole vastattu;</w:t>
      </w:r>
    </w:p>
    <w:p w:rsidR="003D741F" w:rsidRPr="00E156F4" w:rsidRDefault="003D741F" w:rsidP="003D741F">
      <w:pPr>
        <w:pStyle w:val="NormalHanging12a"/>
        <w:widowControl/>
        <w:rPr>
          <w:szCs w:val="24"/>
        </w:rPr>
      </w:pPr>
      <w:r w:rsidRPr="00E156F4">
        <w:t>22.</w:t>
      </w:r>
      <w:r w:rsidRPr="00E156F4">
        <w:tab/>
        <w:t>arvostaa sitä, että Euroopan unionin tuomioistuin antoi osana vastauksiaan parlamentin talousarvion valvontavaliokunnan kyselylomakkeeseen hyvin seikkaperäisiä tietoja henkilöstön jakautumisesta vuoden 2022 lopussa;</w:t>
      </w:r>
    </w:p>
    <w:p w:rsidR="003D741F" w:rsidRPr="00E156F4" w:rsidRDefault="003D741F" w:rsidP="003D741F">
      <w:pPr>
        <w:pStyle w:val="NormalHanging12a"/>
        <w:widowControl/>
        <w:rPr>
          <w:szCs w:val="24"/>
        </w:rPr>
      </w:pPr>
      <w:r w:rsidRPr="00E156F4">
        <w:t>23.</w:t>
      </w:r>
      <w:r w:rsidRPr="00E156F4">
        <w:tab/>
        <w:t>panee merkille, että vuoden 2022 lopussa Euroopan unionin tuomioistuimen palveluksessa oli 2 253 henkilöstön jäsentä, mikä merkitsee hienoista lisäystä, kun vuoden 2021 lopussa henkilöstön jäseniä oli 2 247 ja vuoden 2020 lopussa 2 239; panee merkille, että vuoden 2022 lopussa sukupuolijakauma oli 893 miestä eli 40 prosenttia ja 1 360 naista eli 60 prosenttia; panee lisäksi merkille, että yleinen jakauma henkilöstöryhmien kesken oli 1 300 virkamiestä (58 prosenttia), 774 väliaikaista toimihenkilöä (34 prosenttia) ja 179 sopimussuhteista toimihenkilöä (8 prosenttia), mikä merkitsee virkamiesten osuuden hienoista laskua vuoteen 2021 verrattuna, mitä puolestaan väliaikaisten toimihenkilöiden osuuden hienoinen kasvu heijastaa, eikä sopimussuhteisten toimihenkilöiden osalta ole tapahtunut muutoksia;</w:t>
      </w:r>
    </w:p>
    <w:p w:rsidR="003D741F" w:rsidRPr="00E156F4" w:rsidRDefault="003D741F" w:rsidP="003D741F">
      <w:pPr>
        <w:pStyle w:val="NormalHanging12a"/>
        <w:widowControl/>
        <w:rPr>
          <w:szCs w:val="24"/>
        </w:rPr>
      </w:pPr>
      <w:r w:rsidRPr="00E156F4">
        <w:t>24.</w:t>
      </w:r>
      <w:r w:rsidRPr="00E156F4">
        <w:tab/>
        <w:t>panee merkille, että ylemmässä johdossa sukupuolijakauma oli yhdeksän miestä ja kuusi naista, eli 60 prosenttia miehiä ja 40 prosenttia naisia; panee merkille, että keskijohdossa sukupuolijakauma oli 36 miestä ja 24 naista, eli myös 60 prosenttia miehiä ja 40 prosenttia naisia;</w:t>
      </w:r>
    </w:p>
    <w:p w:rsidR="003D741F" w:rsidRPr="00E156F4" w:rsidRDefault="003D741F" w:rsidP="003D741F">
      <w:pPr>
        <w:pStyle w:val="NormalHanging12a"/>
        <w:widowControl/>
        <w:rPr>
          <w:szCs w:val="24"/>
        </w:rPr>
      </w:pPr>
      <w:r w:rsidRPr="00E156F4">
        <w:t>25.</w:t>
      </w:r>
      <w:r w:rsidRPr="00E156F4">
        <w:tab/>
        <w:t xml:space="preserve">pitää myönteisenä sitä, että kaikki unionin kansallisuudet ovat edustettuina Euroopan unionin tuomioistuimen henkilöstössä; pitää kuitenkin valitettavana, että joidenkin jäsenvaltioiden kansalaiset ovat yliedustettuina; pitää tältä osin valitettavana, että 2 253 henkilöstön jäsenestä 505 on Ranskan kansalaisia, mikä vastaa 22:ta prosenttia, ja että yliedustus on vielä suurempaa assistenttien (AST-tehtävät) tapauksessa, sillä heidän joukostaan 719:stä henkilöstön jäsenestä Ranskan kansalaisia on 223, mikä vastaa 31:tä prosenttia; panee merkille, että hallintovirkamiesten (AD-tehtävät) tasolla Belgian ja </w:t>
      </w:r>
      <w:r w:rsidRPr="00E156F4">
        <w:lastRenderedPageBreak/>
        <w:t>Italian kansalaiset ovat yliedustettuina, sillä 1 274:stä henkilöstön jäsenestä 108 on belgialaisia ja 97 italialaisia; panee myös merkille, että Kypros on aliedustetuin maa, sillä AD-toimissa on virkamiehenä tai väliaikaisena toimihenkilönä vain kaksi Kyproksen kansalaista, eikä heitä ole ainuttakaan assistentti- tai sihteeritason tehtävissä (AST- ja SC-tehtävät); toteaa, että Euroopan unionin tuomioistuimen olisi pyrittävä siihen, että unionin kansallisuudet ovat tasapuolisemmin edustettuina kaikissa tehtävissä, ja pyrittävä takaamaan asianmukainen maantieteellinen jakauma;</w:t>
      </w:r>
    </w:p>
    <w:p w:rsidR="003D741F" w:rsidRPr="00E156F4" w:rsidRDefault="003D741F" w:rsidP="003D741F">
      <w:pPr>
        <w:pStyle w:val="NormalHanging12a"/>
        <w:widowControl/>
        <w:rPr>
          <w:szCs w:val="24"/>
        </w:rPr>
      </w:pPr>
      <w:r w:rsidRPr="00E156F4">
        <w:t>26.</w:t>
      </w:r>
      <w:r w:rsidRPr="00E156F4">
        <w:tab/>
        <w:t>kannustaa Euroopan unionin tuomioistuinta tukemaan monikielistä työympäristöä; huomauttaa, että vaikka Euroopan unionin tuomioistuimen työjärjestyksen 8 luvun 36 artiklan mukaan oikeudenkäyntikieli voi olla mikä tahansa unionin kieli (bulgaria, englanti, espanja, hollanti, iiri, italia, kreikka, kroatia, latvia, liettua, malta, portugali, puola, ranska, romania, ruotsi, saksa, slovakki, sloveeni, suomi, tanska, tšekki, unkari ja viro), päivittäinen hallinnollinen työ tehdään kuitenkin 90-prosenttisesti ranskaksi; kannustaa käyttämään Euroopan unionin kahta muuta työkieltä eli saksaa ja englantia useammin Euroopan unionin tuomioistuimen päivittäisessä hallinnollisessa työssä monikielisyyden edistämiseksi ja työllistymisen helpottamiseksi kaikkien jäsenvaltioiden kansalaisille, myös niistä jäsenvaltioista tuleville kansalaisille, joiden kouluissa ei tarjota ranskan kielen opetusta; toteaa, että tämä myös edistäisi Euroopan unionin tuomioistuimen henkilöstössä tasapuolisempaa kansallisuuksien jakautumista, ja kehottaa kaikkia toimielimiä takaamaan monikielisyyden;</w:t>
      </w:r>
    </w:p>
    <w:p w:rsidR="003D741F" w:rsidRPr="00E156F4" w:rsidRDefault="003D741F" w:rsidP="003D741F">
      <w:pPr>
        <w:pStyle w:val="NormalHanging12a"/>
        <w:widowControl/>
        <w:rPr>
          <w:szCs w:val="24"/>
        </w:rPr>
      </w:pPr>
      <w:r w:rsidRPr="00E156F4">
        <w:t>27.</w:t>
      </w:r>
      <w:r w:rsidRPr="00E156F4">
        <w:tab/>
        <w:t>pitää myönteisenä Luxemburgin houkuttelevuuden lisäämistä henkilöstön keskuudessa käsittelevässä toimielinten välisessä korkean tason työryhmässä tehtyä työtä; kannustaa Euroopan unionin tuomioistuinta jatkamaan työskentelyä muiden Luxemburgissa sijaitsevien toimielinten kanssa eri toimien parissa, mukaan lukien ajatus erityisen asumistuen käyttöönotosta tarkoituksena kompensoida korkeita vuokria erityisesti alempiin palkkaluokkiin kuuluvalle henkilöstölle, sekä varmistamaan, että Euroopan unionin tuomioistuimen henkilöstölle on tarjolla asianmukaisia asuinolosuhteisiin liittyviä järjestelyjä; pyytää, että parlamentille tiedotetaan kaikkien tällaisten aloitteiden edistymisestä;</w:t>
      </w:r>
    </w:p>
    <w:p w:rsidR="003D741F" w:rsidRPr="00E156F4" w:rsidRDefault="003D741F" w:rsidP="003D741F">
      <w:pPr>
        <w:pStyle w:val="NormalHanging12a"/>
        <w:widowControl/>
        <w:rPr>
          <w:szCs w:val="24"/>
        </w:rPr>
      </w:pPr>
      <w:r w:rsidRPr="00E156F4">
        <w:t>28.</w:t>
      </w:r>
      <w:r w:rsidRPr="00E156F4">
        <w:tab/>
        <w:t>panee tyytyväisenä merkille, että Euroopan unionin tuomioistuin otti 1. toukokuuta 2022 käyttöön uuden etätyöjärjestelyn, joka tarjoaa mahdollisuuden työskennellä kotoa käsin kahtena päivänä viikossa; panee lisäksi merkille, että järjestelmä antaa henkilöstölle mahdollisuuden työskennellä enintään kymmenen päivää vuodessa asemapaikan ulkopuolelta ja että johtajien keskuudessa tehty kysely osoitti yleistä tyytyväisyyttä tähän mahdollisuuteen, joka on osoittautunut yhteensopivaksi yksiköiden moitteettoman toiminnan kanssa;</w:t>
      </w:r>
    </w:p>
    <w:p w:rsidR="003D741F" w:rsidRPr="00E156F4" w:rsidRDefault="003D741F" w:rsidP="003D741F">
      <w:pPr>
        <w:pStyle w:val="NormalHanging12a"/>
        <w:widowControl/>
        <w:rPr>
          <w:szCs w:val="24"/>
        </w:rPr>
      </w:pPr>
      <w:r w:rsidRPr="00E156F4">
        <w:t>29.</w:t>
      </w:r>
      <w:r w:rsidRPr="00E156F4">
        <w:tab/>
        <w:t>panee huolestuneena merkille, että Euroopan unionin tuomioistuimessa sairauslomapäivien määrä vuonna 2022 oli 23 702, mikä vastaa 38 prosentin lisäystä verrattuna vuoteen 2021, jolloin sairauslomapäivien määrä oli 17 138; panee samalla merkille, että vuonna 2019 Euroopan unionin tuomioistuimessa pidettiin 25 629 sairauslomapäivää ja että vuoden 2021 suhteellisen alhainen määrä saattoi liittyä covid-19-pandemiaan;</w:t>
      </w:r>
    </w:p>
    <w:p w:rsidR="003D741F" w:rsidRPr="00E156F4" w:rsidRDefault="003D741F" w:rsidP="003D741F">
      <w:pPr>
        <w:pStyle w:val="NormalHanging12a"/>
        <w:widowControl/>
        <w:rPr>
          <w:szCs w:val="24"/>
        </w:rPr>
      </w:pPr>
      <w:r w:rsidRPr="00E156F4">
        <w:t>30.</w:t>
      </w:r>
      <w:r w:rsidRPr="00E156F4">
        <w:tab/>
        <w:t xml:space="preserve">panee huolestuneena merkille, että 46 henkilöstön jäsentä ilmoitti sairastuneensa uupumukseen työhön liittyvistä syistä, kun taas Euroopan unionin tuomioistuimen työterveyspalvelut arvioivat, että vuonna 2022 oli 23 tapausta, joissa henkilöstön jäsenillä oli oireita, jotka saattoivat liittyä työuupumusdiagnoosiin; panee merkille, että </w:t>
      </w:r>
      <w:r w:rsidRPr="00E156F4">
        <w:lastRenderedPageBreak/>
        <w:t>Euroopan unionin tuomioistuin on tarjonnut johtajille koulutusta lisätäkseen tietoisuutta työuupumukseen liittyvistä erilaisista riskeistä ja henkilöstön hyvinvoinnista; kehottaa Euroopan unionin tuomioistuinta keskittymään edelleen tähän ongelmaan, paneutumaan siihen, miten työuupumusta voidaan ehkäistä, ja toteuttamaan kaikki tarvittavat toimenpiteet henkilöstönsä hyvinvoinnin varmistamiseksi, jotta työuupumustapausten määrää voidaan vähentää; ehdottaa, että Euroopan unionin tuomioistuin ja muut toimielimet perustavat kommenttilaatikon, johon henkilöstö voi jättää huomautuksia, sen varmistamiseksi, ettei henkilöstöön kohdistu vastatoimia; kehottaa ottamaan tällaisen kommenttilaatikon sisällön vakavasti ja analysoimaan sitä, jotta voidaan auttaa tunnistamaan työuupumusta aiheuttavat tekijät ja korjaamaan niitä;</w:t>
      </w:r>
    </w:p>
    <w:p w:rsidR="003D741F" w:rsidRPr="00E156F4" w:rsidRDefault="003D741F" w:rsidP="003D741F">
      <w:pPr>
        <w:pStyle w:val="NormalHanging12a"/>
        <w:widowControl/>
        <w:rPr>
          <w:szCs w:val="24"/>
        </w:rPr>
      </w:pPr>
      <w:r w:rsidRPr="00E156F4">
        <w:t>31.</w:t>
      </w:r>
      <w:r w:rsidRPr="00E156F4">
        <w:tab/>
        <w:t>kannustaa henkilöstöosastoa paneutumaan syvemmin pitkäkestoisen covid-19-taudin sekä muiden virussairauksien ja autoimmuunitautien seurauksiin ja oireisiin; vaatii, että Euroopan unionin tuomioistuimen ja kaikkien muiden unionin toimielinten tarjoaman sairausvakuutuksen olisi taloudellisesti katettava näissä sairauksissa tarvittavat hoidot;</w:t>
      </w:r>
    </w:p>
    <w:p w:rsidR="003D741F" w:rsidRPr="00E156F4" w:rsidRDefault="003D741F" w:rsidP="003D741F">
      <w:pPr>
        <w:pStyle w:val="NormalHanging12a"/>
        <w:widowControl/>
        <w:rPr>
          <w:szCs w:val="24"/>
        </w:rPr>
      </w:pPr>
      <w:r w:rsidRPr="00E156F4">
        <w:t>32.</w:t>
      </w:r>
      <w:r w:rsidRPr="00E156F4">
        <w:tab/>
        <w:t>panee merkille, että vuonna 2023 käynnistettiin yksi hallinnollinen tutkimus tapauksesta, jossa voi olla kyse seksuaalisesta häirinnästä ja joka koskee vuonna 2022 tapahtuneita seikkoja, ja että tutkimus on edelleen käynnissä;</w:t>
      </w:r>
    </w:p>
    <w:p w:rsidR="003D741F" w:rsidRPr="00E156F4" w:rsidRDefault="003D741F" w:rsidP="003D741F">
      <w:pPr>
        <w:pStyle w:val="NormalHanging12a"/>
        <w:widowControl/>
        <w:rPr>
          <w:szCs w:val="24"/>
        </w:rPr>
      </w:pPr>
      <w:r w:rsidRPr="00E156F4">
        <w:t>33.</w:t>
      </w:r>
      <w:r w:rsidRPr="00E156F4">
        <w:tab/>
        <w:t>panee tyytyväisenä merkille, että Euroopan unionin tuomioistuin tarjoaa koulutusta monimuotoisuuden edistämiseksi yksiköissään; panee lisäksi merkille, että Euroopan unionin tuomioistuimessa on 27 vammaista henkilöstön jäsentä, joista 14:llä katsotaan olevan vakava vamma; arvostaa sitä, että vuonna 2022 toteutettiin merkittäviä jatkotoimia vuonna 2021 toteutetun sisäisen tarkastuksen johdosta vammaisten henkilöiden oikeuksien takaamiseksi;</w:t>
      </w:r>
    </w:p>
    <w:p w:rsidR="003D741F" w:rsidRPr="00E156F4" w:rsidRDefault="003D741F" w:rsidP="003D741F">
      <w:pPr>
        <w:pStyle w:val="NormalHanging12a"/>
        <w:widowControl/>
        <w:rPr>
          <w:szCs w:val="24"/>
        </w:rPr>
      </w:pPr>
      <w:r w:rsidRPr="00E156F4">
        <w:t>34.</w:t>
      </w:r>
      <w:r w:rsidRPr="00E156F4">
        <w:tab/>
        <w:t>panee merkille, että vuonna 2022 Euroopan unionin tuomioistuin vastaanotti 267 harjoittelijaa; panee tyytyväisenä merkille, että Euroopan unionin tuomioistuin päätti parlamentin suosituksesta maksaa syksystä 2022 lähtien korvauksen kaikille harjoittelijoille lukuun ottamatta harjoittelijoita, jotka saavat avustusta muista lähteistä; kannustaa Euroopan unionin tuomioistuinta selvittämään harjoittelijoiden tapauksessa, ovatko kaikki jäsenvaltiot suhteellisesti edustettuina;</w:t>
      </w:r>
    </w:p>
    <w:p w:rsidR="003D741F" w:rsidRPr="00E156F4" w:rsidRDefault="003D741F" w:rsidP="003D741F">
      <w:pPr>
        <w:pStyle w:val="NormalHanging12a"/>
        <w:widowControl/>
        <w:rPr>
          <w:szCs w:val="24"/>
        </w:rPr>
      </w:pPr>
      <w:r w:rsidRPr="00E156F4">
        <w:t>35.</w:t>
      </w:r>
      <w:r w:rsidRPr="00E156F4">
        <w:tab/>
        <w:t>pitää valitettavana, että Euroopan unionin tuomioistuin hyväksyi vuonna 2022 palkattomien harjoittelijoiden vastaanottamisen joko harjoittelusta marraskuussa 2021 annetun uuden päätöksen siirtymäkauden ajan tai sen vuoksi, että nämä saivat rahoitusta vaihtoehtoisista lähteistä; painottaa ristiriitaa siinä, että Euroopan unionin tuomioistuimella ei ole palkallista harjoittelua koskevaa politiikkaa, jollainen EU:n muilla toimielimillä on; kehottaa Euroopan unionin tuomioistuinta lisäämään avoimuutta palkattomien harjoittelijoiden ulkoisista rahoituslähteistä ja selventämään tämän politiikan säilyttämisen taustalla olevia perusteita;</w:t>
      </w:r>
    </w:p>
    <w:p w:rsidR="003D741F" w:rsidRPr="00E156F4" w:rsidRDefault="003D741F" w:rsidP="00C27E3E">
      <w:pPr>
        <w:pStyle w:val="NormalHanging12a"/>
        <w:keepNext/>
        <w:widowControl/>
        <w:ind w:left="0" w:firstLine="0"/>
        <w:rPr>
          <w:b/>
          <w:szCs w:val="24"/>
        </w:rPr>
      </w:pPr>
      <w:r w:rsidRPr="00E156F4">
        <w:rPr>
          <w:b/>
          <w:i/>
        </w:rPr>
        <w:t>Eettiset toimintapuitteet ja avoimuus</w:t>
      </w:r>
    </w:p>
    <w:p w:rsidR="003D741F" w:rsidRPr="00E156F4" w:rsidRDefault="003D741F" w:rsidP="003D741F">
      <w:pPr>
        <w:pStyle w:val="NormalHanging12a"/>
        <w:widowControl/>
        <w:rPr>
          <w:szCs w:val="24"/>
        </w:rPr>
      </w:pPr>
      <w:r w:rsidRPr="00E156F4">
        <w:t>36.</w:t>
      </w:r>
      <w:r w:rsidRPr="00E156F4">
        <w:tab/>
        <w:t>arvostaa edelleen vuonna 2021 tehtyjä uudistuksia, jotka koskevat Euroopan unionin tuomioistuimen ja unionin yleisen tuomioistuimen jäsenten käytännesääntöjä ja sidonnaisuuksia koskevia ilmoituksia ja jotka yhdessä jäsenten ansioluetteloita koskevien uusien vaatimusten kanssa parantavat Euroopan unionin tuomioistuimen avoimuutta; katsoo kuitenkin, että sidonnaisuuksia koskevien ilmoitusten pätevyys ja hyödyllisyys voisivat parantua jonkinlaisella todentamisella ja laadunvalvonnalla;</w:t>
      </w:r>
    </w:p>
    <w:p w:rsidR="003D741F" w:rsidRPr="00E156F4" w:rsidRDefault="003D741F" w:rsidP="003D741F">
      <w:pPr>
        <w:pStyle w:val="NormalHanging12a"/>
        <w:widowControl/>
        <w:rPr>
          <w:szCs w:val="24"/>
        </w:rPr>
      </w:pPr>
      <w:r w:rsidRPr="00E156F4">
        <w:lastRenderedPageBreak/>
        <w:t>37.</w:t>
      </w:r>
      <w:r w:rsidRPr="00E156F4">
        <w:tab/>
        <w:t>panee tyytyväisenä merkille, että Euroopan unionin tuomioistuin on vuodesta 2018 lähtien julkaissut luettelon sekä Euroopan unionin tuomioistuimen että unionin yleisen tuomioistuimen jäsenten toteuttamasta ulkoisesta toiminnasta; panee merkille, että suuren yleisön on vaikea lukea luetteloa ja suosittaa, että siitä tehtäisiin informatiivisempi sisällyttämällä siihen tietoja ulkoisen toiminnan luonteesta; korostaa, että jäsenten odotetaan omistautuvan täysimääräisesti tehtäviensä hoitamiseen Euroopan unionin tuomioistuimessa ja että he voivat harjoittaa ulkoista toimintaa vain, jos se liittyy heidän tehtäviensä hoitamiseen ja jos siihen on myönnetty ennakkolupa, ja vain siinä tapauksessa, että tällainen toiminta on sopusoinnussa käytännesääntöjen vaatimusten ja erityisesti sen velvoitteen kanssa, jonka mukaan heidän on oltava käytettävissä lainkäyttötoimintaa varten;</w:t>
      </w:r>
    </w:p>
    <w:p w:rsidR="003D741F" w:rsidRPr="00E156F4" w:rsidRDefault="003D741F" w:rsidP="003D741F">
      <w:pPr>
        <w:pStyle w:val="NormalHanging12a"/>
        <w:widowControl/>
        <w:rPr>
          <w:szCs w:val="24"/>
        </w:rPr>
      </w:pPr>
      <w:r w:rsidRPr="00E156F4">
        <w:t>38.</w:t>
      </w:r>
      <w:r w:rsidRPr="00E156F4">
        <w:tab/>
        <w:t>panee merkille jäsenten matkoista, virkamatkoista sekä kuljettajien ja autojen käytöstä vuonna 2021 tehdyn päätöksen, joka merkitsee sitä, että jäsenten on itse katettava 10 000 kilometrin ylittävältä osuudelta kaikki käyttökustannukset, jotka liittyvät ajoneuvon käyttöön ja jotka eivät kuulu virkamatkamääräyksen piiriin; katsoo, että ajoneuvoja ei pitäisi missään olosuhteissa käyttää mihinkään muuhun kuin Euroopan unionin tuomioistuimen jäsenen tehtävien hoitamiseen; kehottaa kaikkia unionin toimielimiä sopimaan yhtenäisestä horisontaalisesta järjestelmästä, mikä vähentäisi sekaannusten vaaraa ja lisäisi julkisten varojen käytön avoimuutta ja tehokkuutta;</w:t>
      </w:r>
    </w:p>
    <w:p w:rsidR="003D741F" w:rsidRPr="00E156F4" w:rsidRDefault="003D741F" w:rsidP="003D741F">
      <w:pPr>
        <w:pStyle w:val="NormalHanging12a"/>
        <w:widowControl/>
        <w:rPr>
          <w:szCs w:val="24"/>
        </w:rPr>
      </w:pPr>
      <w:r w:rsidRPr="00E156F4">
        <w:t>39.</w:t>
      </w:r>
      <w:r w:rsidRPr="00E156F4">
        <w:tab/>
        <w:t>pitää myönteisenä sitä, että Euroopan unionin tuomioistuin antaa kaikille uusille tulokkaille koulutusta kaikista eettisistä näkökohdista sekä virkamiesten ja toimihenkilöiden oikeuksista ja velvollisuuksista henkilöstösääntöjen mukaisesti kattaen myös väärinkäytösten paljastamisen, häirintäkiellon, eturistiriitojen ehkäisemisen ja muut eettiset kysymykset; pitää myönteisenä myös sitä, että on järjestetty kuusi ammattieettisiä sääntöjä käsittelevää kurssia, joihin osallistui 70 henkilöstön jäsentä, ja 11 sisäistä valvontaa käsittelevää kurssia, joihin osallistui 80 henkilöstön jäsentä; kannustaa Euroopan unionin tuomioistuinta asettamaan koko henkilöstölleen, sekä jo palveluksessa oleville että uusille henkilöstön jäsenille, vaatimuksen yhden ammattieettisiä sääntöjä koskevan kurssin suorittamisesta turvallisen ja tuottavan työympäristön ja tapausten eettisen käsittelyn edistämiseksi;</w:t>
      </w:r>
    </w:p>
    <w:p w:rsidR="003D741F" w:rsidRPr="00E156F4" w:rsidRDefault="003D741F" w:rsidP="003D741F">
      <w:pPr>
        <w:pStyle w:val="NormalHanging12a"/>
        <w:widowControl/>
        <w:rPr>
          <w:szCs w:val="24"/>
        </w:rPr>
      </w:pPr>
      <w:r w:rsidRPr="00E156F4">
        <w:t>40.</w:t>
      </w:r>
      <w:r w:rsidRPr="00E156F4">
        <w:tab/>
        <w:t>panee tyytyväisenä merkille, että Euroopan petostentorjuntavirasto (OLAF) ei käynnistänyt vuonna 2022 uusia tutkimuksia, jotka olisivat koskeneet Euroopan unionin tuomioistuinta, mutta toteaa, että käynnissä on edelleen yksi tutkimus henkilöstön toiminnasta, jossa voi olla kyse vakavasta velvoitteiden noudattamisen laiminlyönnistä, ja että neljässä Euroopan oikeusasiamiehen käsittelemässä tapauksessa, jotka koskivat Euroopan unionin tuomioistuinta, ei havaittu hallinnollista epäkohtaa, mikä tarkoittaa, että Euroopan oikeusasiamies ei antanut Euroopan unionin tuomioistuimelle suosituksia vuonna 2022; panee merkille, ettei Euroopan unionin tuomioistuimessa ollut väärinkäytösten paljastamistapauksia vuonna 2022;</w:t>
      </w:r>
    </w:p>
    <w:p w:rsidR="003D741F" w:rsidRPr="00E156F4" w:rsidRDefault="003D741F" w:rsidP="003D741F">
      <w:pPr>
        <w:pStyle w:val="NormalHanging12a"/>
        <w:widowControl/>
        <w:rPr>
          <w:szCs w:val="24"/>
        </w:rPr>
      </w:pPr>
      <w:r w:rsidRPr="00E156F4">
        <w:t>41.</w:t>
      </w:r>
      <w:r w:rsidRPr="00E156F4">
        <w:tab/>
        <w:t>pitää erittäin valitettavana sitä, että henkilöstön jäsenten uudet käytännesäännöt, joiden oli alun perin määrä valmistua vuoden 2021 loppuun mennessä, eivät vieläkään olleet valmiit vuoden 2022 lopussa; panee merkille, että uudet käytännesäännöt oli määrä hyväksyä vuoden 2023 loppuun mennessä, mutta niiden hyväksymistä koskeva prosessi on vielä kesken; kehottaa unionin tuomioistuinta viimeistelemään ja hyväksymään viipymättä uudet käytännesäännöt aiemmissa vastuuvapausmenettelyissä esitettyjen pyyntöjen mukaisesti ja pyytää, että parlamentille ilmoitetaan niiden hyväksymisestä ja sisällöstä mahdollisimman pian;</w:t>
      </w:r>
    </w:p>
    <w:p w:rsidR="003D741F" w:rsidRPr="00E156F4" w:rsidRDefault="003D741F" w:rsidP="003D741F">
      <w:pPr>
        <w:pStyle w:val="NormalHanging12a"/>
        <w:widowControl/>
        <w:rPr>
          <w:szCs w:val="24"/>
        </w:rPr>
      </w:pPr>
      <w:r w:rsidRPr="00E156F4">
        <w:lastRenderedPageBreak/>
        <w:t>42.</w:t>
      </w:r>
      <w:r w:rsidRPr="00E156F4">
        <w:tab/>
        <w:t>panee tyytyväisenä merkille, ettei vuonna 2022 havaittu yhtäkään eturistiriitaa; panee merkille, että 112 henkilöstösääntöjen 16 artiklan mukaista pyyntöä, jotka koskivat palvelussuhteen päättymisen jälkeistä ammatillista toimintaa, käsiteltiin ja kaikki hyväksyttiin; panee lisäksi merkille, että yhdeksän tapausta, joissa oli kyse viranhoitoon kuulumattomasta toiminnasta henkilökohtaisista syistä myönnetyn poissaolon aikana, hyväksyttiin kaikki; katsoo, että sisäinen tarkastaja tai ehdotettu EU:n eettinen elin voisi mahdollisesti tarkastella tätä osa-aluetta;</w:t>
      </w:r>
    </w:p>
    <w:p w:rsidR="003D741F" w:rsidRPr="00E156F4" w:rsidRDefault="003D741F" w:rsidP="00C27E3E">
      <w:pPr>
        <w:pStyle w:val="NormalHanging12a"/>
        <w:keepNext/>
        <w:widowControl/>
        <w:ind w:left="0" w:firstLine="0"/>
        <w:rPr>
          <w:b/>
          <w:szCs w:val="24"/>
        </w:rPr>
      </w:pPr>
      <w:proofErr w:type="spellStart"/>
      <w:r w:rsidRPr="00E156F4">
        <w:rPr>
          <w:b/>
          <w:i/>
        </w:rPr>
        <w:t>Digitalisaatio</w:t>
      </w:r>
      <w:proofErr w:type="spellEnd"/>
      <w:r w:rsidRPr="00E156F4">
        <w:rPr>
          <w:b/>
          <w:i/>
        </w:rPr>
        <w:t>, kyberturvallisuus ja tietosuoja</w:t>
      </w:r>
    </w:p>
    <w:p w:rsidR="003D741F" w:rsidRPr="00E156F4" w:rsidRDefault="003D741F" w:rsidP="003D741F">
      <w:pPr>
        <w:pStyle w:val="NormalHanging12a"/>
        <w:widowControl/>
        <w:rPr>
          <w:szCs w:val="24"/>
        </w:rPr>
      </w:pPr>
      <w:r w:rsidRPr="00E156F4">
        <w:t>43.</w:t>
      </w:r>
      <w:r w:rsidRPr="00E156F4">
        <w:tab/>
        <w:t>panee tyytyväisenä merkille, että Euroopan unionin tuomioistuin on nopeuttanut sellaisen yhdennetyn asianhallintajärjestelmän (SIGA) täytäntöönpanoa, jonka ansiosta se voi työskennellä täysin digitaalisen, turvallisen ja integroidun työnkulun puitteissa, ja pitää myönteisenä sitä, että Euroopan unionin tuomioistuin edistyi kaikkia sen hallinnollisia palveluja koskevan HAN/</w:t>
      </w:r>
      <w:proofErr w:type="spellStart"/>
      <w:r w:rsidRPr="00E156F4">
        <w:t>Ares</w:t>
      </w:r>
      <w:proofErr w:type="spellEnd"/>
      <w:r w:rsidRPr="00E156F4">
        <w:t>-ohjelman täytäntöönpanossa; pyytää Euroopan unionin tuomioistuinta pitämään parlamentin ajan tasalla tällaisesta täytäntöönpanosta osana vuotuista vastuuvapausmenettelyä;</w:t>
      </w:r>
    </w:p>
    <w:p w:rsidR="003D741F" w:rsidRPr="00E156F4" w:rsidRDefault="003D741F" w:rsidP="003D741F">
      <w:pPr>
        <w:pStyle w:val="NormalHanging12a"/>
        <w:widowControl/>
        <w:rPr>
          <w:szCs w:val="24"/>
        </w:rPr>
      </w:pPr>
      <w:r w:rsidRPr="00E156F4">
        <w:t>44.</w:t>
      </w:r>
      <w:r w:rsidRPr="00E156F4">
        <w:tab/>
        <w:t>pitää myönteisenä, että Euroopan unionin tuomioistuin on päättänyt tietojen ja järjestelmien omistajuuden suojaamiseksi, ettei se enää käytä arkaluonteisten oikeudellisten tietojen käsittelyssä pilvipalvelualustoja ja että sen on tarkoitus säilyttää kaikki tiedot paikan päällä ja olla toimintansa kriittisten seikkojen kannalta riippumaton ulkoisista järjestelmistä; pitää lisäksi myönteisenä Euroopan unionin tuomioistuimen politiikkaa, jolla pyritään välttämään pilvipalvelussa säilytettävien välineiden tai infrastruktuurien käyttämistä muiden kuin julkisten tietojen käsittelyyn, jotta henkilötiedot voidaan suojata ja jotta se voi pitää järjestelmänsä ja tietonsa täysin hallinnassaan;</w:t>
      </w:r>
    </w:p>
    <w:p w:rsidR="003D741F" w:rsidRPr="00E156F4" w:rsidRDefault="003D741F" w:rsidP="003D741F">
      <w:pPr>
        <w:pStyle w:val="NormalHanging12a"/>
        <w:widowControl/>
        <w:rPr>
          <w:szCs w:val="24"/>
        </w:rPr>
      </w:pPr>
      <w:r w:rsidRPr="00E156F4">
        <w:t>45.</w:t>
      </w:r>
      <w:r w:rsidRPr="00E156F4">
        <w:tab/>
        <w:t>panee tyytyväisenä merkille e-</w:t>
      </w:r>
      <w:proofErr w:type="spellStart"/>
      <w:r w:rsidRPr="00E156F4">
        <w:t>Curian</w:t>
      </w:r>
      <w:proofErr w:type="spellEnd"/>
      <w:r w:rsidRPr="00E156F4">
        <w:t xml:space="preserve"> käyttöasteen kasvamisen, sillä unionin yleiseen tuomioistuimeen toimitetuista hakemuksista 94 prosenttia tehtiin e-</w:t>
      </w:r>
      <w:proofErr w:type="spellStart"/>
      <w:r w:rsidRPr="00E156F4">
        <w:t>Curiassa</w:t>
      </w:r>
      <w:proofErr w:type="spellEnd"/>
      <w:r w:rsidRPr="00E156F4">
        <w:t xml:space="preserve"> vuonna 2022 (93 prosenttia vuonna 2021), ja e-</w:t>
      </w:r>
      <w:proofErr w:type="spellStart"/>
      <w:r w:rsidRPr="00E156F4">
        <w:t>Curian</w:t>
      </w:r>
      <w:proofErr w:type="spellEnd"/>
      <w:r w:rsidRPr="00E156F4">
        <w:t xml:space="preserve"> käyttöaste unionin tuomioistuimessa oli noin 87 prosenttia kaikista näin tehdyistä hakemuksista vuonna 2022 (85 prosenttia vuonna 2021);</w:t>
      </w:r>
    </w:p>
    <w:p w:rsidR="003D741F" w:rsidRPr="00E156F4" w:rsidRDefault="003D741F" w:rsidP="003D741F">
      <w:pPr>
        <w:pStyle w:val="NormalHanging12a"/>
        <w:widowControl/>
        <w:rPr>
          <w:szCs w:val="24"/>
        </w:rPr>
      </w:pPr>
      <w:r w:rsidRPr="00E156F4">
        <w:t>46.</w:t>
      </w:r>
      <w:r w:rsidRPr="00E156F4">
        <w:tab/>
        <w:t xml:space="preserve">panee merkille, että vuonna 2022 ei ilmoitettu Euroopan tietosuojavaltuutetun lisätutkimuksista; odottaa kiinnostuneena päätöstä vuoden 2021 alussa tehdystä kolmannen osapuolen verkkopalvelujen käyttöä koskevasta tutkimuksesta ja velvoitetta asettaa saataville yhteisrekisterinpitäjää koskevan sopimuksen olennainen sisältö; odottaa kiinnostuneena myös päätöstä tutkimuksesta, joka koskee sitä, miten unionin toimielimet, elimet ja virastot ovat käyttäneet pilvipalveluja, joita tarjoavat </w:t>
      </w:r>
      <w:proofErr w:type="spellStart"/>
      <w:r w:rsidRPr="00E156F4">
        <w:t>Cloud</w:t>
      </w:r>
      <w:proofErr w:type="spellEnd"/>
      <w:r w:rsidRPr="00E156F4">
        <w:t xml:space="preserve"> II </w:t>
      </w:r>
      <w:r w:rsidRPr="00E156F4">
        <w:noBreakHyphen/>
        <w:t>sopimusten nojalla Amazon Web Services ja Microsoft;</w:t>
      </w:r>
    </w:p>
    <w:p w:rsidR="003D741F" w:rsidRPr="00E156F4" w:rsidRDefault="003D741F" w:rsidP="003D741F">
      <w:pPr>
        <w:pStyle w:val="NormalHanging12a"/>
        <w:widowControl/>
        <w:rPr>
          <w:szCs w:val="24"/>
        </w:rPr>
      </w:pPr>
      <w:r w:rsidRPr="00E156F4">
        <w:t>47.</w:t>
      </w:r>
      <w:r w:rsidRPr="00E156F4">
        <w:tab/>
        <w:t xml:space="preserve">pitää myönteisenä sitä, että Euroopan unionin tuomioistuin harkitsee, miten ja missä laajuudessa sen työssä olisi käytettävä digitaaliteknologiaa, esimerkiksi tapausten samankaltaisuuksien tunnistamisessa, asiakirjojen kääntämisessä, puheen muuntamisessa tekstiksi ja pitkien asiakirjojen automatisoitujen tiivistelmien osalta; korostaa, että erityisesti Euroopan unionin tuomioistuimen kaltaisen oikeudellisen elimen osalta automatisoituja prosesseja on aina voitava arvioida niiden eettisten näkökohtien kannalta ja niitä on aina täydennettävä ihmisen toteuttamalla valvonnalla; korostaa, että on tärkeää voida viitata tapauksiin keskeisten termien ja keskeisten indikaattorien avulla tapausten sisällön päällekkäisyyksien tai kaavamaisuuksien </w:t>
      </w:r>
      <w:r w:rsidRPr="00E156F4">
        <w:lastRenderedPageBreak/>
        <w:t>havaitsemiseksi; kannustaa Euroopan unionin tuomioistuinta myös tarkastelemaan mahdollisuuksia välittää tietoja paremmin tuomareille ja heidän yksiköilleen;</w:t>
      </w:r>
    </w:p>
    <w:p w:rsidR="003D741F" w:rsidRPr="00E156F4" w:rsidRDefault="003D741F" w:rsidP="003D741F">
      <w:pPr>
        <w:pStyle w:val="NormalHanging12a"/>
        <w:widowControl/>
        <w:rPr>
          <w:szCs w:val="24"/>
        </w:rPr>
      </w:pPr>
      <w:r w:rsidRPr="00E156F4">
        <w:t>48.</w:t>
      </w:r>
      <w:r w:rsidRPr="00E156F4">
        <w:tab/>
        <w:t xml:space="preserve">pitää myönteisenä, että Euroopan unionin tuomioistuin käyttää avoimen lähdekoodin käyttöjärjestelmiä noin kolmanneksessa palvelinkannastaan ja että se käyttää ensisijaisesti avoimen lähdekoodin teknologiaan perustuvia sisäisesti ylläpidettäviä järjestelmiä, sillä se antaa Euroopan unionin tuomioistuimelle mahdollisuuden säilyttää järjestelmiensä teknisen hallinnan sekä valvoa tietojen säilyttämistä ja tietovirtoja ja siten varmistaa paremman tietosuojan ja yksityisyyden suojan; kannustaa Euroopan unionin tuomioistuinta liittymään Euroopan tietosuojavaltuutetun käynnistämään avointa lähdekoodia koskevaan aloitteeseen toteuttamalla </w:t>
      </w:r>
      <w:proofErr w:type="spellStart"/>
      <w:r w:rsidRPr="00E156F4">
        <w:t>Nextcloud</w:t>
      </w:r>
      <w:proofErr w:type="spellEnd"/>
      <w:r w:rsidRPr="00E156F4">
        <w:t>-järjestelmän avoimen lähdekoodin ratkaisuja;</w:t>
      </w:r>
    </w:p>
    <w:p w:rsidR="003D741F" w:rsidRPr="00E156F4" w:rsidRDefault="003D741F" w:rsidP="003D741F">
      <w:pPr>
        <w:pStyle w:val="NormalHanging12a"/>
        <w:widowControl/>
        <w:rPr>
          <w:szCs w:val="24"/>
        </w:rPr>
      </w:pPr>
      <w:r w:rsidRPr="00E156F4">
        <w:t>49.</w:t>
      </w:r>
      <w:r w:rsidRPr="00E156F4">
        <w:tab/>
        <w:t>kehottaa Euroopan unionin tuomioistuinta asettamaan verkkosivustollaan saataville kaikki asiaan liittyvät asiakirjat sen jälkeen, kun tuomio on julkaistu, ja varmistamaan samalla henkilötietojen suojaamiseksi, ettei yksityisiä tai arkaluonteisia tietoja paljasteta;</w:t>
      </w:r>
    </w:p>
    <w:p w:rsidR="003D741F" w:rsidRPr="00E156F4" w:rsidRDefault="003D741F" w:rsidP="003D741F">
      <w:pPr>
        <w:pStyle w:val="NormalHanging12a"/>
        <w:widowControl/>
        <w:rPr>
          <w:szCs w:val="24"/>
        </w:rPr>
      </w:pPr>
      <w:r w:rsidRPr="00E156F4">
        <w:t>50.</w:t>
      </w:r>
      <w:r w:rsidRPr="00E156F4">
        <w:tab/>
        <w:t>suhtautuu myönteisesti Euroopan unionin tuomioistuimen sitoutumiseen tekoälyvälineiden sisällyttämiseen työhönsä ja siihen, että heinäkuussa 2023 hyväksyttiin tekoälyä koskeva kattava strategia; korostaa olevan ratkaisevan tärkeää, että tekoälyä käytetään tavalla, jossa säilytetään täysimääräisesti oikeudellisten prosessien riippumattomuus, laatu ja järjestys, että siinä otetaan täysimääräisesti huomioon eettiset kysymykset ja että sitä käytetään ihmisen valvonnassa ja mahdollistaen ihmisen toimet kielteisten seurausten tai riskien välttämiseksi tai järjestelmän pysäyttämiseksi, jos se ei toimi tarkoitetulla tavalla; suhtautuu myönteisesti siihen, että Euroopan unionin tuomioistuin on perustanut tekoälylautakunnan, jonka tehtävänä on käsitellä tekoälyn käytön eettisiä näkökohtia ja asettaa sille selkeät rajat; muistuttaa, että Euroopan unionin tuomioistuimen olisi varmistettava, että käyttö tapahtuu täysin käyttäjän hallinnassa tekoälyn käyttöä oikeusjärjestelmissä ja niiden ympäristössä koskevan eurooppalaisen eettisen peruskirjan mukaisesti; odottaa tekoälyn käyttöä koskevien henkilöstön suuntaviivojen tulleen hyväksytyiksi ilmoitetusti syksyn 2023 loppuun mennessä ja pyytää, että parlamentille tiedotetaan näiden suuntaviivojen sisällöstä;</w:t>
      </w:r>
    </w:p>
    <w:p w:rsidR="003D741F" w:rsidRPr="00E156F4" w:rsidRDefault="003D741F" w:rsidP="003D741F">
      <w:pPr>
        <w:pStyle w:val="NormalHanging12a"/>
        <w:widowControl/>
        <w:rPr>
          <w:b/>
          <w:i/>
          <w:szCs w:val="24"/>
        </w:rPr>
      </w:pPr>
      <w:r w:rsidRPr="00E156F4">
        <w:t>51.</w:t>
      </w:r>
      <w:r w:rsidRPr="00E156F4">
        <w:tab/>
        <w:t>panee huolestuneena merkille, että Euroopan unionin tuomioistuimen mukaan kyberhyökkäysten määrä kasvoi edelleen vuonna 2022; on huojentunut siitä, että niiden vastausten mukaan, jotka Euroopan unionin tuomioistuin antoi parlamentin talousarvion valvontavaliokunnan lokakuussa 2023 esittämiin kysymyksiin, käytössä olevilla suojausjärjestelmillä tai Euroopan unionin tuomioistuimen erityisen tietoturvaloukkauksia käsittelevän ryhmän ansiosta kaikki hyökkäykset saatiin torjuttua niiden moninaisuudesta ja määrästä huolimatta; pitää samalla myönteisenä sitä, että Euroopan unionin tuomioistuin osallistuu aktiivisesti asiaankuuluviin unionin toimielinten välisiin rakenteisiin, jotta unionin toimielinten yleistä kyberturvallisuutta voidaan vahvistaa; kehottaa painokkaasti Euroopan unionin tuomioistuimen johtoa pitämään kyberturvallisuuden vahvistamisen painopisteenä ja kehottaa johtoa tarkastelemaan ennakoivasti, mikä Euroopan unionin tuomioistuimen tietoteknisen infrastruktuurin osa-alue altistaa sen hyökkäyksille, ja korjaamaan tämän mahdollisimman pian sekä varmistamaan kyberpuolustuksensa säännölliset tarkastukset ja testit;</w:t>
      </w:r>
    </w:p>
    <w:p w:rsidR="003D741F" w:rsidRPr="00E156F4" w:rsidRDefault="003D741F" w:rsidP="003D741F">
      <w:pPr>
        <w:pStyle w:val="NormalHanging12a"/>
        <w:widowControl/>
        <w:rPr>
          <w:szCs w:val="24"/>
        </w:rPr>
      </w:pPr>
      <w:r w:rsidRPr="00E156F4">
        <w:lastRenderedPageBreak/>
        <w:t>52.</w:t>
      </w:r>
      <w:r w:rsidRPr="00E156F4">
        <w:tab/>
        <w:t xml:space="preserve">panee merkille, että Euroopan unionin tuomioistuin analysoi avoimen datan mahdollisuuksia vuosina 2022 ja 2023 ja että se aikoo jakaa kaikki saatavilla olevat julkaistut tiedot verkkosivustollaan avoimena datana; suosittaa kuitenkin, että Euroopan unionin tuomioistuin toteuttaa seulontaa, ennen kuin se asettaa julkaistut tiedot saataville avoimena datana, ottaen huomioon turvallisuuden, luottamuksellisuuden, yksityisyyden suojan sekä </w:t>
      </w:r>
      <w:proofErr w:type="spellStart"/>
      <w:r w:rsidRPr="00E156F4">
        <w:t>teollis</w:t>
      </w:r>
      <w:proofErr w:type="spellEnd"/>
      <w:r w:rsidRPr="00E156F4">
        <w:t>- ja tekijänoikeudet;</w:t>
      </w:r>
    </w:p>
    <w:p w:rsidR="003D741F" w:rsidRPr="00E156F4" w:rsidRDefault="003D741F" w:rsidP="00C27E3E">
      <w:pPr>
        <w:pStyle w:val="NormalHanging12a"/>
        <w:keepNext/>
        <w:widowControl/>
        <w:ind w:left="0" w:firstLine="0"/>
        <w:rPr>
          <w:b/>
          <w:i/>
        </w:rPr>
      </w:pPr>
      <w:r w:rsidRPr="00E156F4">
        <w:rPr>
          <w:b/>
          <w:i/>
        </w:rPr>
        <w:t>Kiinteistöt</w:t>
      </w:r>
    </w:p>
    <w:p w:rsidR="003D741F" w:rsidRPr="00E156F4" w:rsidRDefault="003D741F" w:rsidP="003D741F">
      <w:pPr>
        <w:pStyle w:val="NormalHanging12a"/>
        <w:widowControl/>
        <w:rPr>
          <w:szCs w:val="24"/>
        </w:rPr>
      </w:pPr>
      <w:r w:rsidRPr="00E156F4">
        <w:t>53.</w:t>
      </w:r>
      <w:r w:rsidRPr="00E156F4">
        <w:tab/>
        <w:t>panee kiinnostuneena merkille, että Euroopan unionin tuomioistuin on perustanut työryhmän, jossa on edustajia Euroopan unionin tuomioistuimen eri osista ja sen henkilöstökomiteasta, pohtimaan Euroopan unionin tuomioistuimen tilojen käytön optimointia, ja että sen päätelmät annettiin vuonna 2023; pyytää, että parlamentille tiedotetaan näiden päätelmien täytäntöönpanosta ja sen vaikutuksista työtilojen organisointiin;</w:t>
      </w:r>
    </w:p>
    <w:p w:rsidR="003D741F" w:rsidRPr="00E156F4" w:rsidRDefault="003D741F" w:rsidP="003D741F">
      <w:pPr>
        <w:pStyle w:val="NormalHanging12a"/>
        <w:widowControl/>
        <w:rPr>
          <w:szCs w:val="24"/>
        </w:rPr>
      </w:pPr>
      <w:r w:rsidRPr="00E156F4">
        <w:t>54.</w:t>
      </w:r>
      <w:r w:rsidRPr="00E156F4">
        <w:tab/>
        <w:t>panee kiinnostuneena merkille, että rakennusten esteettömyydestä vammaisille henkilöille on tehty sisäinen tarkastus ja että Euroopan unionin tuomioistuin toteuttaa Luxemburgin uuden lainsäädännön mukaisesti asianmukaisia toimenpiteitä; panee tyytyväisenä merkille, että näihin toimenpiteisiin kuuluu oikeussalien saattaminen liikuntarajoitteisten henkilöiden saavutettaviksi esimerkiksi koholaattojen ja käsijohteiden avulla; pyytää, että parlamentille tiedotetaan uusista aloitteista tällä alalla;</w:t>
      </w:r>
    </w:p>
    <w:p w:rsidR="003D741F" w:rsidRPr="00E156F4" w:rsidRDefault="003D741F" w:rsidP="00C27E3E">
      <w:pPr>
        <w:pStyle w:val="NormalHanging12a"/>
        <w:keepNext/>
        <w:widowControl/>
        <w:ind w:left="0" w:firstLine="0"/>
        <w:rPr>
          <w:b/>
          <w:i/>
        </w:rPr>
      </w:pPr>
      <w:r w:rsidRPr="00E156F4">
        <w:rPr>
          <w:b/>
          <w:i/>
        </w:rPr>
        <w:t>Ympäristö ja kestävä kehitys</w:t>
      </w:r>
    </w:p>
    <w:p w:rsidR="003D741F" w:rsidRPr="00E156F4" w:rsidRDefault="003D741F" w:rsidP="003D741F">
      <w:pPr>
        <w:pStyle w:val="NormalHanging12a"/>
        <w:widowControl/>
        <w:rPr>
          <w:szCs w:val="24"/>
        </w:rPr>
      </w:pPr>
      <w:r w:rsidRPr="00E156F4">
        <w:t>55.</w:t>
      </w:r>
      <w:r w:rsidRPr="00E156F4">
        <w:tab/>
        <w:t>arvostaa suuresti sitä, että Euroopan unionin tuomioistuin laatii ympäristöjalanjälkeään koskevan erillisen vuosikertomuksen, jota voitaisiin käyttää mallina muille toimielimille;</w:t>
      </w:r>
    </w:p>
    <w:p w:rsidR="003D741F" w:rsidRPr="00E156F4" w:rsidRDefault="003D741F" w:rsidP="003D741F">
      <w:pPr>
        <w:pStyle w:val="NormalHanging12a"/>
        <w:widowControl/>
        <w:rPr>
          <w:szCs w:val="24"/>
        </w:rPr>
      </w:pPr>
      <w:r w:rsidRPr="00E156F4">
        <w:t xml:space="preserve">56. </w:t>
      </w:r>
      <w:r w:rsidRPr="00E156F4">
        <w:tab/>
        <w:t>onnittelee Euroopan unionin tuomioistuinta saavutetuista tuloksista, jotka liittyvät sen yleisen kulutuksen merkittävään vähenemiseen vuonna 2022 verrattuna vertailuvuoteen 2015; pitää erityisen vaikuttavana sitä, että lämmitys väheni 23,6 prosenttia, paperi 42,6 prosenttia, ruokalajäte 49,9 prosentt</w:t>
      </w:r>
      <w:bookmarkStart w:id="9" w:name="_GoBack"/>
      <w:bookmarkEnd w:id="9"/>
      <w:r w:rsidRPr="00E156F4">
        <w:t>ia ja kasvihuonekaasupäästöt 31,7 prosenttia;</w:t>
      </w:r>
    </w:p>
    <w:p w:rsidR="003D741F" w:rsidRPr="00E156F4" w:rsidRDefault="003D741F" w:rsidP="003D741F">
      <w:pPr>
        <w:pStyle w:val="NormalHanging12a"/>
        <w:widowControl/>
        <w:rPr>
          <w:szCs w:val="24"/>
        </w:rPr>
      </w:pPr>
      <w:r w:rsidRPr="00E156F4">
        <w:t>57.</w:t>
      </w:r>
      <w:r w:rsidRPr="00E156F4">
        <w:tab/>
        <w:t xml:space="preserve">panee merkille, että Euroopan unionin tuomioistuin on asentanut aurinkopaneeleja, joiden pinta-ala on </w:t>
      </w:r>
      <w:r w:rsidR="00DA2BFA" w:rsidRPr="00DA2BFA">
        <w:rPr>
          <w:szCs w:val="24"/>
        </w:rPr>
        <w:t>3 447,8</w:t>
      </w:r>
      <w:r w:rsidRPr="00E156F4">
        <w:t> neliömetriä ja jotka tuottivat 452 959 kilowattituntia vuonna 2022; kannustaa Euroopan unionin tuomioistuinta jatkamaan työtä sellaisten mahdollisuuksien määrittämiseksi, jotka koskevat yleisen kulutuksen vähentämistä, kierrätystä ja uusiutuvan energian tuotantoa;</w:t>
      </w:r>
    </w:p>
    <w:p w:rsidR="003D741F" w:rsidRPr="00E156F4" w:rsidRDefault="003D741F" w:rsidP="003D741F">
      <w:pPr>
        <w:pStyle w:val="NormalHanging12a"/>
        <w:widowControl/>
        <w:rPr>
          <w:szCs w:val="24"/>
        </w:rPr>
      </w:pPr>
      <w:r w:rsidRPr="00E156F4">
        <w:t>58.</w:t>
      </w:r>
      <w:r w:rsidRPr="00E156F4">
        <w:tab/>
        <w:t>pitää myönteisenä sitä, että Euroopan unionin tuomioistuin on toteuttanut useita aloitteita kestävän liikkuvuuden tukemiseksi ja lisäämiseksi, mukaan lukien tuet julkiselle liikenteelle, tuet yhteiskäyttöisille polkupyörille, polkupyörien pysäköintitilojen parantaminen sekä hybridi- ja sähköautojen tilojen ja laitteistojen parantaminen;</w:t>
      </w:r>
    </w:p>
    <w:p w:rsidR="003D741F" w:rsidRPr="00E156F4" w:rsidRDefault="003D741F" w:rsidP="00C27E3E">
      <w:pPr>
        <w:pStyle w:val="NormalHanging12a"/>
        <w:keepNext/>
        <w:widowControl/>
        <w:ind w:left="0" w:firstLine="0"/>
        <w:rPr>
          <w:b/>
          <w:i/>
        </w:rPr>
      </w:pPr>
      <w:r w:rsidRPr="00E156F4">
        <w:rPr>
          <w:b/>
          <w:i/>
        </w:rPr>
        <w:t>Toimielinten välinen yhteistyö</w:t>
      </w:r>
    </w:p>
    <w:p w:rsidR="003D741F" w:rsidRPr="00E156F4" w:rsidRDefault="003D741F" w:rsidP="003D741F">
      <w:pPr>
        <w:pStyle w:val="NormalHanging12a"/>
        <w:widowControl/>
        <w:rPr>
          <w:szCs w:val="24"/>
        </w:rPr>
      </w:pPr>
      <w:r w:rsidRPr="00E156F4">
        <w:t>59.</w:t>
      </w:r>
      <w:r w:rsidRPr="00E156F4">
        <w:tab/>
        <w:t xml:space="preserve">pitää myönteisenä sitä, että Euroopan unionin tuomioistuimella on laaja valikoima yksikön tason sopimuksia muiden unionin toimielinten kanssa, mikä auttaa vähentämään asianomaisille toimielimille aiheutuvia kustannuksia ja millä varmistetaan, että kaikissa toimielimissä käytetään samankaltaisia menettelyjä, </w:t>
      </w:r>
      <w:r w:rsidRPr="00E156F4">
        <w:lastRenderedPageBreak/>
        <w:t>tekniikoita ja työnkulkuja; pitää erityisen myönteisinä yksikön tason sopimuksia komission henkilökohtaisten etuuksien hallinto- ja maksutoimiston kanssa sekä yksikön tason sopimusta komission digitaalisten palvelujen pääosaston kanssa toimimisesta palveluntarjoajana, joka ylläpitää Euroopan unionin tuomioistuimen tietojärjestelmiä, muiden muassa e-</w:t>
      </w:r>
      <w:proofErr w:type="spellStart"/>
      <w:r w:rsidRPr="00E156F4">
        <w:t>Curiaa</w:t>
      </w:r>
      <w:proofErr w:type="spellEnd"/>
      <w:r w:rsidRPr="00E156F4">
        <w:t xml:space="preserve"> ja </w:t>
      </w:r>
      <w:proofErr w:type="spellStart"/>
      <w:r w:rsidRPr="00E156F4">
        <w:t>Curia</w:t>
      </w:r>
      <w:proofErr w:type="spellEnd"/>
      <w:r w:rsidRPr="00E156F4">
        <w:t>-portaalia; antaa tunnustusta myös toimielinten yhteisessä käännös- ja tulkkauskomiteassa tehdylle jatkuvalle yhteistyölle; panee lopuksi tyytyväisenä merkille, että vuonna 2022 käytyjen neuvottelujen jälkeen Euroopan unionin julkaisutoimiston kanssa allekirjoitettiin vuonna 2023 uusi yksikön tason sopimus, joka kattaa ensimmäistä kertaa kaikki yhteistyön näkökohdat;</w:t>
      </w:r>
    </w:p>
    <w:p w:rsidR="003D741F" w:rsidRPr="00E156F4" w:rsidRDefault="003D741F" w:rsidP="003D741F">
      <w:pPr>
        <w:pStyle w:val="NormalHanging12a"/>
        <w:widowControl/>
        <w:rPr>
          <w:szCs w:val="24"/>
        </w:rPr>
      </w:pPr>
      <w:r w:rsidRPr="00E156F4">
        <w:t>60.</w:t>
      </w:r>
      <w:r w:rsidRPr="00E156F4">
        <w:tab/>
        <w:t>panee tyytyväisenä merkille, että Euroopan unionin tuomioistuin on yhdessä kaikkien muiden unionin toimielinten, elinten, toimistojen ja virastojen kanssa tehnyt henkilöstösääntöjen 73 artiklassa tarkoitetun tapaturmavakuutuksen tarjoamista koskevan yhteisen hankinnan;</w:t>
      </w:r>
    </w:p>
    <w:p w:rsidR="003D741F" w:rsidRPr="00E156F4" w:rsidRDefault="003D741F" w:rsidP="003D741F">
      <w:pPr>
        <w:pStyle w:val="NormalHanging12a"/>
        <w:widowControl/>
        <w:rPr>
          <w:szCs w:val="24"/>
        </w:rPr>
      </w:pPr>
      <w:r w:rsidRPr="00E156F4">
        <w:t>61.</w:t>
      </w:r>
      <w:r w:rsidRPr="00E156F4">
        <w:tab/>
        <w:t xml:space="preserve">pitää myönteisenä sitä, että yhteistyötä Euroopan syyttäjänviraston (EPPO) kanssa on kehitetty edelleen ja että on allekirjoitettu yhteisymmärryspöytäkirja kirjasto- ja dokumenttipalveluja koskevan perusteellisen yhteistyön käynnistämiseksi molempien elinten hyödyksi; pitää lisäksi myönteisenä sitä, että </w:t>
      </w:r>
      <w:proofErr w:type="spellStart"/>
      <w:r w:rsidRPr="00E156F4">
        <w:t>EPPOn</w:t>
      </w:r>
      <w:proofErr w:type="spellEnd"/>
      <w:r w:rsidRPr="00E156F4">
        <w:t xml:space="preserve"> syyttäjille on ehdotettu erityiskoulutusta, jotta he voivat tutustua Euroopan unionin tuomioistuimen toimintaan;</w:t>
      </w:r>
    </w:p>
    <w:p w:rsidR="003D741F" w:rsidRPr="00E156F4" w:rsidRDefault="003D741F" w:rsidP="003D741F">
      <w:pPr>
        <w:pStyle w:val="NormalHanging12a"/>
        <w:widowControl/>
        <w:rPr>
          <w:szCs w:val="24"/>
        </w:rPr>
      </w:pPr>
      <w:r w:rsidRPr="00E156F4">
        <w:t>62.</w:t>
      </w:r>
      <w:r w:rsidRPr="00E156F4">
        <w:tab/>
        <w:t xml:space="preserve">arvostaa sitä, että Euroopan unionin tuomioistuin tekee täyttä yhteistyötä </w:t>
      </w:r>
      <w:proofErr w:type="spellStart"/>
      <w:r w:rsidRPr="00E156F4">
        <w:t>OLAFin</w:t>
      </w:r>
      <w:proofErr w:type="spellEnd"/>
      <w:r w:rsidRPr="00E156F4">
        <w:t xml:space="preserve">, tilintarkastustuomioistuimen, Euroopan tietosuojavaltuutetun ja Euroopan oikeusasiamiehen kanssa muun muassa varmistamalla, että sen </w:t>
      </w:r>
      <w:proofErr w:type="spellStart"/>
      <w:r w:rsidRPr="00E156F4">
        <w:t>OLAFin</w:t>
      </w:r>
      <w:proofErr w:type="spellEnd"/>
      <w:r w:rsidRPr="00E156F4">
        <w:t xml:space="preserve"> tutkimuksia koskevat sisäiset päätökset saatetaan ajan tasalle, jotta voidaan varmistaa viimeisimpien vaatimusten noudattaminen;</w:t>
      </w:r>
    </w:p>
    <w:p w:rsidR="003D741F" w:rsidRPr="00E156F4" w:rsidRDefault="003D741F" w:rsidP="003D741F">
      <w:pPr>
        <w:pStyle w:val="NormalHanging12a"/>
        <w:widowControl/>
        <w:rPr>
          <w:szCs w:val="24"/>
        </w:rPr>
      </w:pPr>
      <w:r w:rsidRPr="00E156F4">
        <w:t>63.</w:t>
      </w:r>
      <w:r w:rsidRPr="00E156F4">
        <w:tab/>
        <w:t xml:space="preserve">kannustaa Euroopan unionin tuomioistuinta toimittamaan komissiolle ja Euroopan unionin teollisoikeuksien virastolle tietoa </w:t>
      </w:r>
      <w:proofErr w:type="spellStart"/>
      <w:r w:rsidRPr="00E156F4">
        <w:t>teollis</w:t>
      </w:r>
      <w:proofErr w:type="spellEnd"/>
      <w:r w:rsidRPr="00E156F4">
        <w:t xml:space="preserve">- ja tekijänoikeuksia koskevien tapausten määrästä ja erityisistä kiistanalaisista kysymyksistä, jotta voidaan selvittää, miksi yleisessä tuomioistuimessa vuonna 2022 nostetuista kanteista 30 prosenttia liittyi </w:t>
      </w:r>
      <w:proofErr w:type="spellStart"/>
      <w:r w:rsidRPr="00E156F4">
        <w:t>teollis</w:t>
      </w:r>
      <w:proofErr w:type="spellEnd"/>
      <w:r w:rsidRPr="00E156F4">
        <w:t>- ja tekijänoikeuksiin, ja jotta voidaan auttaa tunnistamaan mahdolliset puutteet unionin säädöksissä; katsoo, että vältettäisiin unionin talousarvion määrärahojen käyttämistä kyseisten asioiden käsittelyyn, jos uudella unionin säädöksellä voitaisiin yksilöidä jokin kiistanalainen kysymys ja ratkaista se;</w:t>
      </w:r>
    </w:p>
    <w:p w:rsidR="003D741F" w:rsidRPr="00E156F4" w:rsidRDefault="003D741F" w:rsidP="003D741F">
      <w:pPr>
        <w:pStyle w:val="NormalHanging12a"/>
        <w:widowControl/>
        <w:rPr>
          <w:szCs w:val="24"/>
        </w:rPr>
      </w:pPr>
      <w:r w:rsidRPr="00E156F4">
        <w:t>64.</w:t>
      </w:r>
      <w:r w:rsidRPr="00E156F4">
        <w:tab/>
        <w:t>panee merkille EU:n tuomioistuinverkoston toiminnan jatkamisen, ja toteaa, että sillä edistetään ja helpotetaan Euroopan unionin tuomioistuimen ja kansallisten tuomioistuinten välistä yhteistyötä erityisesti oikeudellisen valvonnan, oikeudellisen tutkimuksen, monikielisen terminologian ja kehitteillä olevien teknologioiden aloilla sekä oikeudenkäytön tehokkaimpien käytäntöjen yhdistämistä;</w:t>
      </w:r>
    </w:p>
    <w:p w:rsidR="003D741F" w:rsidRPr="00E156F4" w:rsidRDefault="003D741F" w:rsidP="00C27E3E">
      <w:pPr>
        <w:pStyle w:val="NormalHanging12a"/>
        <w:keepNext/>
        <w:widowControl/>
        <w:ind w:left="0" w:firstLine="0"/>
        <w:rPr>
          <w:b/>
          <w:i/>
        </w:rPr>
      </w:pPr>
      <w:r w:rsidRPr="00E156F4">
        <w:rPr>
          <w:b/>
          <w:i/>
        </w:rPr>
        <w:t>Viestintä</w:t>
      </w:r>
    </w:p>
    <w:p w:rsidR="003D741F" w:rsidRPr="00E156F4" w:rsidRDefault="003D741F" w:rsidP="003D741F">
      <w:pPr>
        <w:pStyle w:val="NormalHanging12a"/>
        <w:widowControl/>
        <w:rPr>
          <w:szCs w:val="24"/>
        </w:rPr>
      </w:pPr>
      <w:r w:rsidRPr="00E156F4">
        <w:t>65.</w:t>
      </w:r>
      <w:r w:rsidRPr="00E156F4">
        <w:tab/>
        <w:t>panee merkille, että vuonna 2022 viestintämäärärahat, jotka kattavat sisäisten ja ulkoisten julkaisujen sisällön valmistelun ja painatuksen, olivat 527 500 euroa, mikä merkitsi 3,3 prosentin lisäystä vuoteen 2021 verrattuna;</w:t>
      </w:r>
    </w:p>
    <w:p w:rsidR="003D741F" w:rsidRPr="00E156F4" w:rsidRDefault="003D741F" w:rsidP="003D741F">
      <w:pPr>
        <w:pStyle w:val="NormalHanging12a"/>
        <w:widowControl/>
        <w:rPr>
          <w:szCs w:val="24"/>
        </w:rPr>
      </w:pPr>
      <w:r w:rsidRPr="00E156F4">
        <w:t>66.</w:t>
      </w:r>
      <w:r w:rsidRPr="00E156F4">
        <w:tab/>
        <w:t xml:space="preserve">pitää myönteisenä sitä, että Euroopan unionin tuomioistuin on hyödyntänyt 70-vuotispäiväänsä tilaisuutena lisätä avoimuuttaan ja viestintäänsä unionin kansalaisten kanssa ja järjestänyt kaksi avoimien ovien päivää, jolloin kansalaisilla oli mahdollisuus </w:t>
      </w:r>
      <w:r w:rsidRPr="00E156F4">
        <w:lastRenderedPageBreak/>
        <w:t>esittää kysymyksiä paikan päällä; kannustaa Euroopan unionin tuomioistuinta harkitsemaan näiden aloitteiden seuraamista myös tulevina vuosina;</w:t>
      </w:r>
    </w:p>
    <w:p w:rsidR="003D741F" w:rsidRPr="00E156F4" w:rsidRDefault="003D741F" w:rsidP="003D741F">
      <w:pPr>
        <w:pStyle w:val="NormalHanging12a"/>
        <w:widowControl/>
        <w:rPr>
          <w:szCs w:val="24"/>
        </w:rPr>
      </w:pPr>
      <w:r w:rsidRPr="00E156F4">
        <w:t>67.</w:t>
      </w:r>
      <w:r w:rsidRPr="00E156F4">
        <w:tab/>
        <w:t>panee tyytyväisenä merkille, että Euroopan unionin tuomioistuin aloitti vuonna 2022 suuren jaoston oikeudenkäyntien suoratoistopalvelun, joka tarjoaa yleisölle mahdollisuuden saada parempi käsitys siitä, miten Euroopan unionin tuomioistuin toimii; kannustaa Euroopan unionin tuomioistuinta laajentamaan tätä aloitetta avoimuuden lisäämiseksi;</w:t>
      </w:r>
    </w:p>
    <w:p w:rsidR="003D741F" w:rsidRPr="00E156F4" w:rsidRDefault="003D741F" w:rsidP="003D741F">
      <w:pPr>
        <w:pStyle w:val="NormalHanging12a"/>
        <w:widowControl/>
        <w:rPr>
          <w:szCs w:val="24"/>
        </w:rPr>
      </w:pPr>
      <w:r w:rsidRPr="00E156F4">
        <w:t>68.</w:t>
      </w:r>
      <w:r w:rsidRPr="00E156F4">
        <w:tab/>
        <w:t>pitää myönteisenä, että Euroopan unionin tuomioistuin osallistuu aktiivisesti Euroopan tietosuojavaltuutetun käynnistämään EU Voice -hankkeeseen, jonka tarkoituksena on olla vuorovaikutuksessa yleisön kanssa ja jolla pyritään edistämään hajautettujen, vapaiden ja avoimen lähdekoodin sosiaalisten verkostojen käyttöä vaihtoehtona kaupallisille verkostoille;</w:t>
      </w:r>
    </w:p>
    <w:p w:rsidR="003D741F" w:rsidRPr="00E156F4" w:rsidRDefault="003D741F" w:rsidP="003D741F">
      <w:pPr>
        <w:pStyle w:val="NormalHanging12a"/>
        <w:widowControl/>
        <w:rPr>
          <w:szCs w:val="24"/>
        </w:rPr>
      </w:pPr>
      <w:r w:rsidRPr="00E156F4">
        <w:t>69.</w:t>
      </w:r>
      <w:r w:rsidRPr="00E156F4">
        <w:tab/>
        <w:t>katsoo, että unionin oikeusprosessin avoimuutta ja läpinäkyvyyttä olisi vahvistettava, koska unionin tuomioistuin saa enenevässä määrin ratkaistavakseen asioita, jotka ovat luonteeltaan perustuslaillisia ja liittyvät ihmisoikeuksiin ja Euroopan unionin perusoikeuskirjaan; pitää tähän liittyen myönteisenä, että Euroopan unionin tuomioistuimen istuntoja varten on perustettu suoratoistojärjestelmä, jolla vahvistetaan Euroopan unionin tuomioistuimen ”kansalaisten tuomioistuimen” ulottuvuutta parantamalla yleisön mahdollisuuksia seurata istuntoja; korostaa tässä yhteydessä, että uutta suoratoistojärjestelmää on asteittain täydennettävä uusilla ulkoisilla viestintävälineillä, jotka mahdollistavat paremman näkyvyyden toimielimen työlle;</w:t>
      </w:r>
    </w:p>
    <w:p w:rsidR="003D741F" w:rsidRPr="00E156F4" w:rsidRDefault="003D741F" w:rsidP="003D741F">
      <w:pPr>
        <w:pStyle w:val="NormalHanging12a"/>
        <w:widowControl/>
        <w:rPr>
          <w:szCs w:val="24"/>
        </w:rPr>
      </w:pPr>
      <w:r w:rsidRPr="00E156F4">
        <w:t>70.</w:t>
      </w:r>
      <w:r w:rsidRPr="00E156F4">
        <w:tab/>
        <w:t>pitää myönteisenä sitä, että vuonna 2022 käynnistettiin aloite etävierailujen tarjoamisesta Euroopan unionin tuomioistuimeen sen jälkeen, kun pilottivaihe oli saatu päätökseen vuonna 2021, ja että niiden ansiosta voidaan antaa 15–18-vuotiaille nuorille käsitys Euroopan unionin tuomioistuimen ja oikeuskäytännön vaikutuksesta heidän jokapäiväiseen elämäänsä ja parantaa heidän ymmärrystään heidän oikeuksistaan unionin kansalaisina sekä unionin demokraattisista arvoista; kannustaa Euroopan unionin tuomioistuinta laajentamaan näitä nuorille suunnattuja etävierailuja 15–29-vuotiaisiin henkilöihin; kannustaa edelleen Euroopan unionin tuomioistuinta tarjoamaan etävierailuja myös kaikenikäisille kansalaisille; korostaa, että etävierailujen olisi oltava mahdollisimman helposti kaikkien eurooppalaisten saatavilla;</w:t>
      </w:r>
    </w:p>
    <w:p w:rsidR="00E365E1" w:rsidRPr="00656413" w:rsidRDefault="003D741F" w:rsidP="00C27E3E">
      <w:pPr>
        <w:pStyle w:val="NormalHanging12a"/>
        <w:widowControl/>
      </w:pPr>
      <w:r w:rsidRPr="00E156F4">
        <w:t>71.</w:t>
      </w:r>
      <w:r w:rsidRPr="00E156F4">
        <w:tab/>
        <w:t xml:space="preserve">panee merkille, että Euroopan unionin tuomioistuin osallistuu yhdessä useiden muiden unionin toimielinten kanssa aktiivisesti tietosuojavaltuutetun käynnistämään hankkeeseen, johon sisältyy säännöllisiä julkaisuja hajautetulla sosiaalisen median </w:t>
      </w:r>
      <w:proofErr w:type="spellStart"/>
      <w:r w:rsidRPr="00E156F4">
        <w:t>Mastodon</w:t>
      </w:r>
      <w:proofErr w:type="spellEnd"/>
      <w:r w:rsidRPr="00E156F4">
        <w:t xml:space="preserve">-alustalla vapaata ja avoimen lähdekoodin ohjelmistoa käyttäen; panee merkille, että Euroopan unionin tuomioistuin käyttää myös </w:t>
      </w:r>
      <w:proofErr w:type="spellStart"/>
      <w:r w:rsidRPr="00E156F4">
        <w:t>X-</w:t>
      </w:r>
      <w:proofErr w:type="spellEnd"/>
      <w:r w:rsidRPr="00E156F4">
        <w:t xml:space="preserve"> (entinen Twitter) ja </w:t>
      </w:r>
      <w:proofErr w:type="spellStart"/>
      <w:r w:rsidRPr="00E156F4">
        <w:t>LinkedIn</w:t>
      </w:r>
      <w:proofErr w:type="spellEnd"/>
      <w:r w:rsidRPr="00E156F4">
        <w:t xml:space="preserve">-alustoja ja että se jatkoi aiempaa käytäntöä, jonka mukaan materiaalia julkaistaan sekä </w:t>
      </w:r>
      <w:proofErr w:type="spellStart"/>
      <w:r w:rsidRPr="00E156F4">
        <w:t>X-</w:t>
      </w:r>
      <w:proofErr w:type="spellEnd"/>
      <w:r w:rsidRPr="00E156F4">
        <w:t xml:space="preserve"> (entinen Twitter) että </w:t>
      </w:r>
      <w:proofErr w:type="spellStart"/>
      <w:r w:rsidRPr="00E156F4">
        <w:t>Mastodon</w:t>
      </w:r>
      <w:proofErr w:type="spellEnd"/>
      <w:r w:rsidRPr="00E156F4">
        <w:t>-alustoilla, kun löydettiin tekninen ratkaisu, joka mahdollistaa automaattisen rinnakkaisjulkaisun. kannustaa Euroopan unionin tuomioistuinta julkaisemaan säännöllisesti päivityksiä sosiaalisen median alustoilla, joilla se on läsnä, jotta vältetään passiivisuus sosiaalisen median tileillä, sillä se saattaa antaa vaikutelman Euroopan unionin tuomioistuimen päivittäisen työn tehottomuudesta.</w:t>
      </w:r>
      <w:bookmarkStart w:id="10" w:name="TextBodyEnd"/>
      <w:bookmarkEnd w:id="10"/>
    </w:p>
    <w:sectPr w:rsidR="00E365E1" w:rsidRPr="00656413" w:rsidSect="0065641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A3C" w:rsidRPr="00656413" w:rsidRDefault="00577A3C">
      <w:r w:rsidRPr="00656413">
        <w:separator/>
      </w:r>
    </w:p>
  </w:endnote>
  <w:endnote w:type="continuationSeparator" w:id="0">
    <w:p w:rsidR="00577A3C" w:rsidRPr="00656413" w:rsidRDefault="00577A3C">
      <w:r w:rsidRPr="006564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41F" w:rsidRPr="00656413" w:rsidRDefault="003D741F" w:rsidP="007A5861">
    <w:pPr>
      <w:pStyle w:val="EPFooter"/>
    </w:pPr>
    <w:r w:rsidRPr="00656413">
      <w:t>PE</w:t>
    </w:r>
    <w:r w:rsidRPr="00656413">
      <w:rPr>
        <w:rStyle w:val="HideTWBExt"/>
      </w:rPr>
      <w:t>&lt;</w:t>
    </w:r>
    <w:proofErr w:type="spellStart"/>
    <w:r w:rsidRPr="00656413">
      <w:rPr>
        <w:rStyle w:val="HideTWBExt"/>
      </w:rPr>
      <w:t>NoPE</w:t>
    </w:r>
    <w:proofErr w:type="spellEnd"/>
    <w:r w:rsidRPr="00656413">
      <w:rPr>
        <w:rStyle w:val="HideTWBExt"/>
      </w:rPr>
      <w:t>&gt;</w:t>
    </w:r>
    <w:r w:rsidRPr="00656413">
      <w:t>753.480</w:t>
    </w:r>
    <w:r w:rsidRPr="00656413">
      <w:rPr>
        <w:rStyle w:val="HideTWBExt"/>
      </w:rPr>
      <w:t>&lt;/</w:t>
    </w:r>
    <w:proofErr w:type="spellStart"/>
    <w:r w:rsidRPr="00656413">
      <w:rPr>
        <w:rStyle w:val="HideTWBExt"/>
      </w:rPr>
      <w:t>NoPE</w:t>
    </w:r>
    <w:proofErr w:type="spellEnd"/>
    <w:r w:rsidRPr="00656413">
      <w:rPr>
        <w:rStyle w:val="HideTWBExt"/>
      </w:rPr>
      <w:t>&gt;&lt;Version&gt;</w:t>
    </w:r>
    <w:r w:rsidRPr="00656413">
      <w:t>v02-00</w:t>
    </w:r>
    <w:r w:rsidRPr="00656413">
      <w:rPr>
        <w:rStyle w:val="HideTWBExt"/>
      </w:rPr>
      <w:t>&lt;/Version&gt;</w:t>
    </w:r>
    <w:r w:rsidRPr="00656413">
      <w:tab/>
    </w:r>
    <w:r w:rsidRPr="00656413">
      <w:fldChar w:fldCharType="begin"/>
    </w:r>
    <w:r w:rsidRPr="00656413">
      <w:instrText xml:space="preserve"> PAGE  \* MERGEFORMAT </w:instrText>
    </w:r>
    <w:r w:rsidRPr="00656413">
      <w:fldChar w:fldCharType="separate"/>
    </w:r>
    <w:r w:rsidR="00656413" w:rsidRPr="00656413">
      <w:rPr>
        <w:noProof/>
      </w:rPr>
      <w:t>2</w:t>
    </w:r>
    <w:r w:rsidRPr="00656413">
      <w:fldChar w:fldCharType="end"/>
    </w:r>
    <w:r w:rsidRPr="00656413">
      <w:t>/</w:t>
    </w:r>
    <w:fldSimple w:instr=" NUMPAGES  \* MERGEFORMAT ">
      <w:r w:rsidR="00656413" w:rsidRPr="00656413">
        <w:rPr>
          <w:noProof/>
        </w:rPr>
        <w:t>8</w:t>
      </w:r>
    </w:fldSimple>
    <w:r w:rsidRPr="00656413">
      <w:tab/>
    </w:r>
    <w:r w:rsidRPr="00656413">
      <w:rPr>
        <w:rStyle w:val="HideTWBExt"/>
      </w:rPr>
      <w:t>&lt;PathFdR&gt;</w:t>
    </w:r>
    <w:r w:rsidRPr="00656413">
      <w:t>RR\1298529FI.docx</w:t>
    </w:r>
    <w:r w:rsidRPr="00656413">
      <w:rPr>
        <w:rStyle w:val="HideTWBExt"/>
      </w:rPr>
      <w:t>&lt;/</w:t>
    </w:r>
    <w:proofErr w:type="spellStart"/>
    <w:r w:rsidRPr="00656413">
      <w:rPr>
        <w:rStyle w:val="HideTWBExt"/>
      </w:rPr>
      <w:t>PathFdR</w:t>
    </w:r>
    <w:proofErr w:type="spellEnd"/>
    <w:r w:rsidRPr="00656413">
      <w:rPr>
        <w:rStyle w:val="HideTWBExt"/>
      </w:rPr>
      <w:t>&gt;</w:t>
    </w:r>
  </w:p>
  <w:p w:rsidR="003D741F" w:rsidRPr="00656413" w:rsidRDefault="003D741F" w:rsidP="007A5861">
    <w:pPr>
      <w:pStyle w:val="EPFooter2"/>
    </w:pPr>
    <w:r w:rsidRPr="00656413">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41F" w:rsidRPr="00656413" w:rsidRDefault="003D741F" w:rsidP="007A5861">
    <w:pPr>
      <w:pStyle w:val="EPFooter"/>
    </w:pPr>
    <w:r w:rsidRPr="00656413">
      <w:rPr>
        <w:rStyle w:val="HideTWBExt"/>
      </w:rPr>
      <w:t>&lt;PathFdR&gt;</w:t>
    </w:r>
    <w:r w:rsidRPr="00656413">
      <w:t>RR\1298529FI.docx</w:t>
    </w:r>
    <w:r w:rsidRPr="00656413">
      <w:rPr>
        <w:rStyle w:val="HideTWBExt"/>
      </w:rPr>
      <w:t>&lt;/</w:t>
    </w:r>
    <w:proofErr w:type="spellStart"/>
    <w:r w:rsidRPr="00656413">
      <w:rPr>
        <w:rStyle w:val="HideTWBExt"/>
      </w:rPr>
      <w:t>PathFdR</w:t>
    </w:r>
    <w:proofErr w:type="spellEnd"/>
    <w:r w:rsidRPr="00656413">
      <w:rPr>
        <w:rStyle w:val="HideTWBExt"/>
      </w:rPr>
      <w:t>&gt;</w:t>
    </w:r>
    <w:r w:rsidRPr="00656413">
      <w:tab/>
    </w:r>
    <w:r w:rsidRPr="00656413">
      <w:tab/>
      <w:t>PE</w:t>
    </w:r>
    <w:r w:rsidRPr="00656413">
      <w:rPr>
        <w:rStyle w:val="HideTWBExt"/>
      </w:rPr>
      <w:t>&lt;</w:t>
    </w:r>
    <w:proofErr w:type="spellStart"/>
    <w:r w:rsidRPr="00656413">
      <w:rPr>
        <w:rStyle w:val="HideTWBExt"/>
      </w:rPr>
      <w:t>NoPE</w:t>
    </w:r>
    <w:proofErr w:type="spellEnd"/>
    <w:r w:rsidRPr="00656413">
      <w:rPr>
        <w:rStyle w:val="HideTWBExt"/>
      </w:rPr>
      <w:t>&gt;</w:t>
    </w:r>
    <w:r w:rsidRPr="00656413">
      <w:t>753.480</w:t>
    </w:r>
    <w:r w:rsidRPr="00656413">
      <w:rPr>
        <w:rStyle w:val="HideTWBExt"/>
      </w:rPr>
      <w:t>&lt;/</w:t>
    </w:r>
    <w:proofErr w:type="spellStart"/>
    <w:r w:rsidRPr="00656413">
      <w:rPr>
        <w:rStyle w:val="HideTWBExt"/>
      </w:rPr>
      <w:t>NoPE</w:t>
    </w:r>
    <w:proofErr w:type="spellEnd"/>
    <w:r w:rsidRPr="00656413">
      <w:rPr>
        <w:rStyle w:val="HideTWBExt"/>
      </w:rPr>
      <w:t>&gt;&lt;Version&gt;</w:t>
    </w:r>
    <w:r w:rsidRPr="00656413">
      <w:t>v02-00</w:t>
    </w:r>
    <w:r w:rsidRPr="00656413">
      <w:rPr>
        <w:rStyle w:val="HideTWBExt"/>
      </w:rPr>
      <w:t>&lt;/Version&gt;</w:t>
    </w:r>
  </w:p>
  <w:p w:rsidR="003D741F" w:rsidRPr="00656413" w:rsidRDefault="003D741F" w:rsidP="007A5861">
    <w:pPr>
      <w:pStyle w:val="EPFooter2"/>
    </w:pPr>
    <w:r w:rsidRPr="00656413">
      <w:t>FI</w:t>
    </w:r>
    <w:r w:rsidRPr="00656413">
      <w:tab/>
    </w:r>
    <w:r w:rsidRPr="00656413">
      <w:rPr>
        <w:b w:val="0"/>
        <w:i/>
        <w:color w:val="C0C0C0"/>
        <w:sz w:val="22"/>
      </w:rPr>
      <w:t>Moninaisuudessaan yhtenäinen</w:t>
    </w:r>
    <w:r w:rsidRPr="00656413">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41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41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4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A3C" w:rsidRPr="00656413" w:rsidRDefault="00577A3C">
      <w:r w:rsidRPr="00656413">
        <w:separator/>
      </w:r>
    </w:p>
  </w:footnote>
  <w:footnote w:type="continuationSeparator" w:id="0">
    <w:p w:rsidR="00577A3C" w:rsidRPr="00656413" w:rsidRDefault="00577A3C">
      <w:r w:rsidRPr="00656413">
        <w:continuationSeparator/>
      </w:r>
    </w:p>
  </w:footnote>
  <w:footnote w:id="1">
    <w:p w:rsidR="003D741F" w:rsidRPr="00656413" w:rsidRDefault="003D741F" w:rsidP="00656413">
      <w:pPr>
        <w:pStyle w:val="FootnoteText"/>
        <w:ind w:left="567" w:hanging="567"/>
        <w:rPr>
          <w:sz w:val="24"/>
          <w:lang w:val="fi-FI"/>
        </w:rPr>
      </w:pPr>
      <w:r w:rsidRPr="00656413">
        <w:rPr>
          <w:rStyle w:val="FootnoteReference"/>
          <w:sz w:val="24"/>
          <w:lang w:val="fi-FI"/>
        </w:rPr>
        <w:footnoteRef/>
      </w:r>
      <w:r w:rsidR="00656413" w:rsidRPr="00656413">
        <w:rPr>
          <w:sz w:val="24"/>
          <w:lang w:val="fi-FI"/>
        </w:rPr>
        <w:t xml:space="preserve"> </w:t>
      </w:r>
      <w:r w:rsidR="00656413" w:rsidRPr="00656413">
        <w:rPr>
          <w:sz w:val="24"/>
          <w:lang w:val="fi-FI"/>
        </w:rPr>
        <w:tab/>
      </w:r>
      <w:r w:rsidRPr="00656413">
        <w:rPr>
          <w:sz w:val="24"/>
          <w:lang w:val="fi-FI"/>
        </w:rPr>
        <w:t>EUVL L 45, 24.2.2022.</w:t>
      </w:r>
    </w:p>
  </w:footnote>
  <w:footnote w:id="2">
    <w:p w:rsidR="003D741F" w:rsidRPr="00656413" w:rsidRDefault="003D741F" w:rsidP="00656413">
      <w:pPr>
        <w:pStyle w:val="FootnoteText"/>
        <w:ind w:left="567" w:hanging="567"/>
        <w:rPr>
          <w:sz w:val="24"/>
          <w:lang w:val="fi-FI"/>
        </w:rPr>
      </w:pPr>
      <w:r w:rsidRPr="00656413">
        <w:rPr>
          <w:rStyle w:val="FootnoteReference"/>
          <w:sz w:val="24"/>
          <w:lang w:val="fi-FI"/>
        </w:rPr>
        <w:footnoteRef/>
      </w:r>
      <w:r w:rsidR="00656413" w:rsidRPr="00656413">
        <w:rPr>
          <w:sz w:val="24"/>
          <w:lang w:val="fi-FI"/>
        </w:rPr>
        <w:t xml:space="preserve"> </w:t>
      </w:r>
      <w:r w:rsidR="00656413" w:rsidRPr="00656413">
        <w:rPr>
          <w:sz w:val="24"/>
          <w:lang w:val="fi-FI"/>
        </w:rPr>
        <w:tab/>
      </w:r>
      <w:r w:rsidRPr="00656413">
        <w:rPr>
          <w:sz w:val="24"/>
          <w:lang w:val="fi-FI"/>
        </w:rPr>
        <w:t>EUVL C, C/2023/2, 12.10.2023.</w:t>
      </w:r>
    </w:p>
  </w:footnote>
  <w:footnote w:id="3">
    <w:p w:rsidR="003D741F" w:rsidRPr="00656413" w:rsidRDefault="003D741F" w:rsidP="00656413">
      <w:pPr>
        <w:pStyle w:val="FootnoteText"/>
        <w:ind w:left="567" w:hanging="567"/>
        <w:rPr>
          <w:sz w:val="24"/>
          <w:lang w:val="fi-FI"/>
        </w:rPr>
      </w:pPr>
      <w:r w:rsidRPr="00656413">
        <w:rPr>
          <w:rStyle w:val="FootnoteReference"/>
          <w:sz w:val="24"/>
          <w:lang w:val="fi-FI"/>
        </w:rPr>
        <w:footnoteRef/>
      </w:r>
      <w:r w:rsidR="00656413" w:rsidRPr="00656413">
        <w:rPr>
          <w:sz w:val="24"/>
          <w:lang w:val="fi-FI"/>
        </w:rPr>
        <w:t xml:space="preserve"> </w:t>
      </w:r>
      <w:r w:rsidR="00656413" w:rsidRPr="00656413">
        <w:rPr>
          <w:sz w:val="24"/>
          <w:lang w:val="fi-FI"/>
        </w:rPr>
        <w:tab/>
      </w:r>
      <w:r w:rsidRPr="00656413">
        <w:rPr>
          <w:sz w:val="24"/>
          <w:lang w:val="fi-FI"/>
        </w:rPr>
        <w:t>EUVL C, C/2023/103, 4.10.2023.</w:t>
      </w:r>
    </w:p>
  </w:footnote>
  <w:footnote w:id="4">
    <w:p w:rsidR="003D741F" w:rsidRPr="00656413" w:rsidRDefault="003D741F" w:rsidP="00656413">
      <w:pPr>
        <w:pStyle w:val="FootnoteText"/>
        <w:ind w:left="567" w:hanging="567"/>
        <w:rPr>
          <w:sz w:val="24"/>
          <w:lang w:val="fi-FI"/>
        </w:rPr>
      </w:pPr>
      <w:r w:rsidRPr="00656413">
        <w:rPr>
          <w:rStyle w:val="FootnoteReference"/>
          <w:sz w:val="24"/>
          <w:lang w:val="fi-FI"/>
        </w:rPr>
        <w:footnoteRef/>
      </w:r>
      <w:r w:rsidR="00656413" w:rsidRPr="00656413">
        <w:rPr>
          <w:sz w:val="24"/>
          <w:lang w:val="fi-FI"/>
        </w:rPr>
        <w:t xml:space="preserve"> </w:t>
      </w:r>
      <w:r w:rsidR="00656413" w:rsidRPr="00656413">
        <w:rPr>
          <w:sz w:val="24"/>
          <w:lang w:val="fi-FI"/>
        </w:rPr>
        <w:tab/>
      </w:r>
      <w:r w:rsidRPr="00656413">
        <w:rPr>
          <w:sz w:val="24"/>
          <w:lang w:val="fi-FI"/>
        </w:rPr>
        <w:t>EUVL C, C/2023/112, 12.10.2023.</w:t>
      </w:r>
    </w:p>
  </w:footnote>
  <w:footnote w:id="5">
    <w:p w:rsidR="003D741F" w:rsidRPr="00656413" w:rsidRDefault="003D741F" w:rsidP="00656413">
      <w:pPr>
        <w:pStyle w:val="FootnoteText"/>
        <w:ind w:left="567" w:hanging="567"/>
        <w:rPr>
          <w:sz w:val="24"/>
          <w:szCs w:val="24"/>
          <w:lang w:val="fi-FI"/>
        </w:rPr>
      </w:pPr>
      <w:r w:rsidRPr="00656413">
        <w:rPr>
          <w:rStyle w:val="FootnoteReference"/>
          <w:sz w:val="24"/>
          <w:lang w:val="fi-FI"/>
        </w:rPr>
        <w:footnoteRef/>
      </w:r>
      <w:r w:rsidR="00656413" w:rsidRPr="00656413">
        <w:rPr>
          <w:sz w:val="24"/>
          <w:lang w:val="fi-FI"/>
        </w:rPr>
        <w:t xml:space="preserve"> </w:t>
      </w:r>
      <w:r w:rsidR="00656413" w:rsidRPr="00656413">
        <w:rPr>
          <w:sz w:val="24"/>
          <w:lang w:val="fi-FI"/>
        </w:rPr>
        <w:tab/>
      </w:r>
      <w:r w:rsidRPr="00656413">
        <w:rPr>
          <w:sz w:val="24"/>
          <w:lang w:val="fi-FI"/>
        </w:rPr>
        <w:t>EUVL L 193, 30.7.2018,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4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4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4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FI"/>
    <w:docVar w:name="dvnumam" w:val="0"/>
    <w:docVar w:name="dvpe" w:val="753.480"/>
    <w:docVar w:name="dvrapporteur" w:val="Esittelijä: "/>
    <w:docVar w:name="dvtitre" w:val="1. Euroopan parlamentin päätöslauselma 10. huhtikuuta 2024 vastuuvapauden myöntämisestä Euroopan unionin yleisen talousarvion toteuttamisesta varainhoitovuonna 2022, pääluokka IV – Euroopan unionin tuomioistuin(2023/2132(DEC))"/>
  </w:docVars>
  <w:rsids>
    <w:rsidRoot w:val="00577A3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741F"/>
    <w:rsid w:val="003E15D4"/>
    <w:rsid w:val="00411CCE"/>
    <w:rsid w:val="0041666E"/>
    <w:rsid w:val="00421060"/>
    <w:rsid w:val="00471C19"/>
    <w:rsid w:val="004867E3"/>
    <w:rsid w:val="00494A28"/>
    <w:rsid w:val="004C0004"/>
    <w:rsid w:val="004C5D52"/>
    <w:rsid w:val="004E1A5D"/>
    <w:rsid w:val="0050519A"/>
    <w:rsid w:val="005072A1"/>
    <w:rsid w:val="00514517"/>
    <w:rsid w:val="00545827"/>
    <w:rsid w:val="00560270"/>
    <w:rsid w:val="00577A3C"/>
    <w:rsid w:val="005C2568"/>
    <w:rsid w:val="006037C0"/>
    <w:rsid w:val="0065641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E3E"/>
    <w:rsid w:val="00C50BDE"/>
    <w:rsid w:val="00C61C0C"/>
    <w:rsid w:val="00C941CB"/>
    <w:rsid w:val="00CC2357"/>
    <w:rsid w:val="00CF071A"/>
    <w:rsid w:val="00D058B8"/>
    <w:rsid w:val="00D56C11"/>
    <w:rsid w:val="00D834A0"/>
    <w:rsid w:val="00D872DF"/>
    <w:rsid w:val="00D91E21"/>
    <w:rsid w:val="00DA2BFA"/>
    <w:rsid w:val="00DA7FCD"/>
    <w:rsid w:val="00E156F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A8B114-3835-4371-9823-D5CB7E685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741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D741F"/>
    <w:pPr>
      <w:spacing w:before="480" w:after="240"/>
    </w:pPr>
  </w:style>
  <w:style w:type="paragraph" w:customStyle="1" w:styleId="PageHeading">
    <w:name w:val="PageHeading"/>
    <w:basedOn w:val="Normal"/>
    <w:rsid w:val="003D741F"/>
    <w:pPr>
      <w:keepNext/>
      <w:spacing w:after="480"/>
      <w:jc w:val="center"/>
    </w:pPr>
    <w:rPr>
      <w:rFonts w:ascii="Arial" w:hAnsi="Arial" w:cs="Arial"/>
      <w:b/>
    </w:rPr>
  </w:style>
  <w:style w:type="paragraph" w:customStyle="1" w:styleId="NormalBold">
    <w:name w:val="NormalBold"/>
    <w:basedOn w:val="Normal"/>
    <w:rsid w:val="003D741F"/>
    <w:rPr>
      <w:b/>
    </w:rPr>
  </w:style>
  <w:style w:type="paragraph" w:customStyle="1" w:styleId="NormalHanging12a">
    <w:name w:val="NormalHanging12a"/>
    <w:basedOn w:val="Normal"/>
    <w:link w:val="NormalHanging12aChar"/>
    <w:qFormat/>
    <w:rsid w:val="003D741F"/>
    <w:pPr>
      <w:spacing w:after="240"/>
      <w:ind w:left="567" w:hanging="567"/>
    </w:pPr>
  </w:style>
  <w:style w:type="paragraph" w:styleId="Header">
    <w:name w:val="header"/>
    <w:basedOn w:val="Normal"/>
    <w:link w:val="HeaderChar"/>
    <w:rsid w:val="003D741F"/>
    <w:pPr>
      <w:tabs>
        <w:tab w:val="center" w:pos="4513"/>
        <w:tab w:val="right" w:pos="9026"/>
      </w:tabs>
    </w:pPr>
  </w:style>
  <w:style w:type="character" w:customStyle="1" w:styleId="HeaderChar">
    <w:name w:val="Header Char"/>
    <w:basedOn w:val="DefaultParagraphFont"/>
    <w:link w:val="Header"/>
    <w:rsid w:val="003D741F"/>
    <w:rPr>
      <w:sz w:val="24"/>
      <w:lang w:val="fi-FI"/>
    </w:rPr>
  </w:style>
  <w:style w:type="paragraph" w:customStyle="1" w:styleId="EPFooter">
    <w:name w:val="EPFooter"/>
    <w:basedOn w:val="Normal"/>
    <w:rsid w:val="003D741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D741F"/>
    <w:rPr>
      <w:sz w:val="24"/>
      <w:lang w:val="fi-FI"/>
    </w:rPr>
  </w:style>
  <w:style w:type="paragraph" w:styleId="Footer">
    <w:name w:val="footer"/>
    <w:basedOn w:val="Normal"/>
    <w:link w:val="FooterChar"/>
    <w:rsid w:val="00C27E3E"/>
    <w:pPr>
      <w:tabs>
        <w:tab w:val="center" w:pos="4513"/>
        <w:tab w:val="right" w:pos="9026"/>
      </w:tabs>
    </w:pPr>
  </w:style>
  <w:style w:type="character" w:customStyle="1" w:styleId="FooterChar">
    <w:name w:val="Footer Char"/>
    <w:basedOn w:val="DefaultParagraphFont"/>
    <w:link w:val="Footer"/>
    <w:rsid w:val="00C27E3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D0B09-E6E3-4EB7-BCB3-5B9C3462B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4681</Words>
  <Characters>38395</Characters>
  <Application>Microsoft Office Word</Application>
  <DocSecurity>0</DocSecurity>
  <Lines>319</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2024-09-12T11:36:00Z</dcterms:created>
  <dcterms:modified xsi:type="dcterms:W3CDTF">2024-09-12T11:36:00Z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P9_TA(2024)0230_</vt:lpwstr>
  </property>
  <property fmtid="{D5CDD505-2E9C-101B-9397-08002B2CF9AE}" pid="4" name="&lt;Type&gt;">
    <vt:lpwstr>RR</vt:lpwstr>
  </property>
</Properties>
</file>