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1C02" w:rsidTr="0010095E">
        <w:trPr>
          <w:trHeight w:hRule="exact" w:val="1418"/>
        </w:trPr>
        <w:tc>
          <w:tcPr>
            <w:tcW w:w="6804" w:type="dxa"/>
            <w:shd w:val="clear" w:color="auto" w:fill="auto"/>
            <w:vAlign w:val="center"/>
          </w:tcPr>
          <w:p w:rsidR="00751A4A" w:rsidRPr="00A41C02" w:rsidRDefault="000C599E" w:rsidP="0010095E">
            <w:pPr>
              <w:pStyle w:val="EPName"/>
            </w:pPr>
            <w:r w:rsidRPr="00A41C02">
              <w:t>Európsky parlament</w:t>
            </w:r>
          </w:p>
          <w:p w:rsidR="00751A4A" w:rsidRPr="00A41C02" w:rsidRDefault="00817416" w:rsidP="00756632">
            <w:pPr>
              <w:pStyle w:val="EPTerm"/>
              <w:rPr>
                <w:rStyle w:val="HideTWBExt"/>
                <w:noProof w:val="0"/>
                <w:vanish w:val="0"/>
                <w:color w:val="auto"/>
              </w:rPr>
            </w:pPr>
            <w:r w:rsidRPr="00A41C02">
              <w:t>2019-2024</w:t>
            </w:r>
          </w:p>
        </w:tc>
        <w:tc>
          <w:tcPr>
            <w:tcW w:w="2268" w:type="dxa"/>
            <w:shd w:val="clear" w:color="auto" w:fill="auto"/>
          </w:tcPr>
          <w:p w:rsidR="00751A4A" w:rsidRPr="00A41C02" w:rsidRDefault="00187494" w:rsidP="0010095E">
            <w:pPr>
              <w:pStyle w:val="EPLogo"/>
            </w:pPr>
            <w:r w:rsidRPr="00A41C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1C02" w:rsidRDefault="00D058B8" w:rsidP="004C5D52">
      <w:pPr>
        <w:pStyle w:val="LineTop"/>
      </w:pPr>
    </w:p>
    <w:p w:rsidR="00680577" w:rsidRPr="00A41C02" w:rsidRDefault="000C599E" w:rsidP="00680577">
      <w:pPr>
        <w:pStyle w:val="EPBodyTA1"/>
      </w:pPr>
      <w:r w:rsidRPr="00A41C02">
        <w:t>PRIJATÉ TEXTY</w:t>
      </w:r>
    </w:p>
    <w:p w:rsidR="00D058B8" w:rsidRPr="00A41C02" w:rsidRDefault="00D058B8" w:rsidP="00D058B8">
      <w:pPr>
        <w:pStyle w:val="LineBottom"/>
      </w:pPr>
    </w:p>
    <w:p w:rsidR="000C599E" w:rsidRPr="00A41C02" w:rsidRDefault="000C599E" w:rsidP="000C599E">
      <w:pPr>
        <w:pStyle w:val="ATHeading1"/>
      </w:pPr>
      <w:bookmarkStart w:id="0" w:name="TANumber"/>
      <w:r w:rsidRPr="00A41C02">
        <w:t>P9_TA(2024)0</w:t>
      </w:r>
      <w:r w:rsidR="00A41C02" w:rsidRPr="00A41C02">
        <w:t>23</w:t>
      </w:r>
      <w:r w:rsidR="007A6B8D">
        <w:t>0</w:t>
      </w:r>
      <w:bookmarkEnd w:id="0"/>
    </w:p>
    <w:p w:rsidR="000C599E" w:rsidRPr="00A41C02" w:rsidRDefault="000C599E" w:rsidP="000C599E">
      <w:pPr>
        <w:pStyle w:val="ATHeading2"/>
      </w:pPr>
      <w:bookmarkStart w:id="1" w:name="title"/>
      <w:r w:rsidRPr="00A41C02">
        <w:t>Absolutórium za rok 2022: všeobecný rozpočet EÚ – Súdny dvor Európskej únie</w:t>
      </w:r>
      <w:bookmarkEnd w:id="1"/>
    </w:p>
    <w:p w:rsidR="000C599E" w:rsidRPr="00A41C02" w:rsidRDefault="000C599E" w:rsidP="000C599E">
      <w:pPr>
        <w:rPr>
          <w:i/>
          <w:vanish/>
        </w:rPr>
      </w:pPr>
      <w:r w:rsidRPr="00A41C02">
        <w:rPr>
          <w:i/>
        </w:rPr>
        <w:fldChar w:fldCharType="begin"/>
      </w:r>
      <w:r w:rsidRPr="00A41C02">
        <w:rPr>
          <w:i/>
        </w:rPr>
        <w:instrText xml:space="preserve"> TC"(</w:instrText>
      </w:r>
      <w:bookmarkStart w:id="2" w:name="DocNumber"/>
      <w:r w:rsidRPr="00A41C02">
        <w:rPr>
          <w:i/>
        </w:rPr>
        <w:instrText>A9-0075/2024</w:instrText>
      </w:r>
      <w:bookmarkEnd w:id="2"/>
      <w:r w:rsidRPr="00A41C02">
        <w:rPr>
          <w:i/>
        </w:rPr>
        <w:instrText xml:space="preserve"> - Spravodajca: Luke Ming Flanagan)"\l3 \n&gt; \* MERGEFORMAT </w:instrText>
      </w:r>
      <w:r w:rsidRPr="00A41C02">
        <w:rPr>
          <w:i/>
        </w:rPr>
        <w:fldChar w:fldCharType="end"/>
      </w:r>
    </w:p>
    <w:p w:rsidR="000C599E" w:rsidRPr="00A41C02" w:rsidRDefault="000C599E" w:rsidP="000C599E">
      <w:pPr>
        <w:rPr>
          <w:vanish/>
        </w:rPr>
      </w:pPr>
      <w:bookmarkStart w:id="3" w:name="Commission"/>
      <w:r w:rsidRPr="00A41C02">
        <w:rPr>
          <w:vanish/>
        </w:rPr>
        <w:t>Výbor pre kontrolu rozpočtu</w:t>
      </w:r>
      <w:bookmarkEnd w:id="3"/>
    </w:p>
    <w:p w:rsidR="000C599E" w:rsidRPr="00A41C02" w:rsidRDefault="000C599E" w:rsidP="000C599E">
      <w:pPr>
        <w:rPr>
          <w:vanish/>
        </w:rPr>
      </w:pPr>
      <w:bookmarkStart w:id="4" w:name="PE"/>
      <w:r w:rsidRPr="00A41C02">
        <w:rPr>
          <w:vanish/>
        </w:rPr>
        <w:t>PE753.480</w:t>
      </w:r>
      <w:bookmarkEnd w:id="4"/>
    </w:p>
    <w:p w:rsidR="000C599E" w:rsidRPr="00A41C02" w:rsidRDefault="000D38CA" w:rsidP="000C599E">
      <w:pPr>
        <w:pStyle w:val="ATHeading3"/>
      </w:pPr>
      <w:bookmarkStart w:id="5" w:name="Sujet"/>
      <w:r w:rsidRPr="00A41C02">
        <w:t>1. R</w:t>
      </w:r>
      <w:r w:rsidR="000C599E" w:rsidRPr="00A41C02">
        <w:t>ozhodnutie Európskeho parlamentu z</w:t>
      </w:r>
      <w:r w:rsidR="003B7F00" w:rsidRPr="00A41C02">
        <w:t> 11</w:t>
      </w:r>
      <w:r w:rsidR="000C599E" w:rsidRPr="00A41C02">
        <w:t>. apríla 2024 o absolutóriu za plnenie všeobecného rozpočtu Európskej únie za rozpočtový rok 2022, oddiel IV – Súdny dvor Európskej únie</w:t>
      </w:r>
      <w:bookmarkEnd w:id="5"/>
      <w:r w:rsidR="000C599E" w:rsidRPr="00A41C02">
        <w:t xml:space="preserve"> </w:t>
      </w:r>
      <w:bookmarkStart w:id="6" w:name="References"/>
      <w:r w:rsidR="000C599E" w:rsidRPr="00A41C02">
        <w:t>(2023/2132(DEC))</w:t>
      </w:r>
      <w:bookmarkEnd w:id="6"/>
    </w:p>
    <w:p w:rsidR="00FA0124" w:rsidRPr="00A41C02" w:rsidRDefault="00FA0124" w:rsidP="00FA0124">
      <w:pPr>
        <w:pStyle w:val="EPComma"/>
      </w:pPr>
      <w:bookmarkStart w:id="7" w:name="TextBodyBegin"/>
      <w:bookmarkEnd w:id="7"/>
      <w:r w:rsidRPr="00A41C02">
        <w:rPr>
          <w:i/>
          <w:iCs/>
        </w:rPr>
        <w:t>Európsky parlament</w:t>
      </w:r>
      <w:r w:rsidRPr="00A41C02">
        <w:t>,</w:t>
      </w:r>
    </w:p>
    <w:p w:rsidR="00FA0124" w:rsidRPr="00A41C02" w:rsidRDefault="00FA0124" w:rsidP="00FA0124">
      <w:pPr>
        <w:pStyle w:val="NormalHanging12a"/>
      </w:pPr>
      <w:r w:rsidRPr="00A41C02">
        <w:t>–</w:t>
      </w:r>
      <w:r w:rsidRPr="00A41C02">
        <w:tab/>
        <w:t>so zreteľom na všeobecný rozpočet Európskej únie na rozpočtový rok 2022</w:t>
      </w:r>
      <w:r w:rsidRPr="00A41C02">
        <w:rPr>
          <w:rStyle w:val="FootnoteReference"/>
        </w:rPr>
        <w:footnoteReference w:id="1"/>
      </w:r>
      <w:r w:rsidRPr="00A41C02">
        <w:t>,</w:t>
      </w:r>
    </w:p>
    <w:p w:rsidR="00FA0124" w:rsidRPr="00A41C02" w:rsidRDefault="00FA0124" w:rsidP="00FA0124">
      <w:pPr>
        <w:pStyle w:val="NormalHanging12a"/>
      </w:pPr>
      <w:r w:rsidRPr="00A41C02">
        <w:t>–</w:t>
      </w:r>
      <w:r w:rsidRPr="00A41C02">
        <w:tab/>
        <w:t>so zreteľom na konsolidovanú ročnú účtovnú závierku Európskej únie za rozpočtový rok 2022 (COM(2023)0391 – C9</w:t>
      </w:r>
      <w:r w:rsidRPr="00A41C02">
        <w:noBreakHyphen/>
        <w:t>0251/2023)</w:t>
      </w:r>
      <w:r w:rsidRPr="00A41C02">
        <w:rPr>
          <w:rStyle w:val="FootnoteReference"/>
        </w:rPr>
        <w:footnoteReference w:id="2"/>
      </w:r>
      <w:r w:rsidRPr="00A41C02">
        <w:t>,</w:t>
      </w:r>
    </w:p>
    <w:p w:rsidR="00FA0124" w:rsidRPr="00A41C02" w:rsidRDefault="00FA0124" w:rsidP="00FA0124">
      <w:pPr>
        <w:pStyle w:val="NormalHanging12a"/>
      </w:pPr>
      <w:r w:rsidRPr="00A41C02">
        <w:t>–</w:t>
      </w:r>
      <w:r w:rsidRPr="00A41C02">
        <w:tab/>
        <w:t>so zreteľom na výročnú správu Súdneho dvora Európskej únie pre orgán udeľujúci absolutórium o vnútorných auditoch vykonaných v roku 2022,</w:t>
      </w:r>
    </w:p>
    <w:p w:rsidR="00FA0124" w:rsidRPr="00A41C02" w:rsidRDefault="00FA0124" w:rsidP="00FA0124">
      <w:pPr>
        <w:pStyle w:val="NormalHanging12a"/>
      </w:pPr>
      <w:r w:rsidRPr="00A41C02">
        <w:t>–</w:t>
      </w:r>
      <w:r w:rsidRPr="00A41C02">
        <w:tab/>
        <w:t>so zreteľom na výročnú správu Dvora audítorov o plnení rozpočtu za rozpočtový rok 2022 spolu s odpoveďami inštitúcií</w:t>
      </w:r>
      <w:r w:rsidRPr="00A41C02">
        <w:rPr>
          <w:rStyle w:val="FootnoteReference"/>
        </w:rPr>
        <w:footnoteReference w:id="3"/>
      </w:r>
      <w:r w:rsidRPr="00A41C02">
        <w:t>,</w:t>
      </w:r>
    </w:p>
    <w:p w:rsidR="00FA0124" w:rsidRPr="00A41C02" w:rsidRDefault="00FA0124" w:rsidP="00FA0124">
      <w:pPr>
        <w:pStyle w:val="NormalHanging12a"/>
      </w:pPr>
      <w:r w:rsidRPr="00A41C02">
        <w:t>–</w:t>
      </w:r>
      <w:r w:rsidRPr="00A41C02">
        <w:tab/>
        <w:t>so zreteľom na vyhlásenie o vierohodnosti</w:t>
      </w:r>
      <w:r w:rsidRPr="00A41C02">
        <w:rPr>
          <w:rStyle w:val="FootnoteReference"/>
        </w:rPr>
        <w:footnoteReference w:id="4"/>
      </w:r>
      <w:r w:rsidRPr="00A41C02">
        <w:t xml:space="preserve"> vedenia účtov a zákonnosti a správnosti príslušných operácií, ktoré poskytol Dvor audítorov za rozpočtový rok 2022 v súlade s článkom 287 Zmluvy o fungovaní Európskej únie,</w:t>
      </w:r>
    </w:p>
    <w:p w:rsidR="00FA0124" w:rsidRPr="00A41C02" w:rsidRDefault="00FA0124" w:rsidP="00FA0124">
      <w:pPr>
        <w:pStyle w:val="NormalHanging12a"/>
      </w:pPr>
      <w:r w:rsidRPr="00A41C02">
        <w:t>–</w:t>
      </w:r>
      <w:r w:rsidRPr="00A41C02">
        <w:tab/>
        <w:t>so zreteľom na článok 314 ods. 10 a články 317, 318 a 319 Zmluvy o fungovaní Európskej únie,</w:t>
      </w:r>
    </w:p>
    <w:p w:rsidR="00FA0124" w:rsidRPr="00A41C02" w:rsidRDefault="00FA0124" w:rsidP="00FA0124">
      <w:pPr>
        <w:pStyle w:val="NormalHanging12a"/>
      </w:pPr>
      <w:r w:rsidRPr="00A41C02">
        <w:t>–</w:t>
      </w:r>
      <w:r w:rsidRPr="00A41C02">
        <w:tab/>
        <w:t xml:space="preserve">so zreteľom na nariadenie Európskeho parlamentu a Rady (EÚ, </w:t>
      </w:r>
      <w:proofErr w:type="spellStart"/>
      <w:r w:rsidRPr="00A41C02">
        <w:t>Euratom</w:t>
      </w:r>
      <w:proofErr w:type="spellEnd"/>
      <w:r w:rsidRPr="00A41C02">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A41C02">
        <w:t>Euratom</w:t>
      </w:r>
      <w:proofErr w:type="spellEnd"/>
      <w:r w:rsidRPr="00A41C02">
        <w:t>) č. 966/2012</w:t>
      </w:r>
      <w:r w:rsidRPr="00A41C02">
        <w:rPr>
          <w:rStyle w:val="FootnoteReference"/>
        </w:rPr>
        <w:footnoteReference w:id="5"/>
      </w:r>
      <w:r w:rsidRPr="00A41C02">
        <w:t>, a najmä na jeho články 59, 118, 260, 261 a 262,</w:t>
      </w:r>
    </w:p>
    <w:p w:rsidR="00FA0124" w:rsidRPr="00A41C02" w:rsidRDefault="00FA0124" w:rsidP="00FA0124">
      <w:pPr>
        <w:pStyle w:val="NormalHanging12a"/>
      </w:pPr>
      <w:r w:rsidRPr="00A41C02">
        <w:lastRenderedPageBreak/>
        <w:t>–</w:t>
      </w:r>
      <w:r w:rsidRPr="00A41C02">
        <w:tab/>
        <w:t>so zreteľom na článok 100 a prílohu V</w:t>
      </w:r>
      <w:r w:rsidR="000D38CA" w:rsidRPr="00A41C02">
        <w:t xml:space="preserve"> k </w:t>
      </w:r>
      <w:r w:rsidRPr="00A41C02">
        <w:t>rokovacie</w:t>
      </w:r>
      <w:r w:rsidR="000D38CA" w:rsidRPr="00A41C02">
        <w:t>mu</w:t>
      </w:r>
      <w:r w:rsidRPr="00A41C02">
        <w:t xml:space="preserve"> poriadku,</w:t>
      </w:r>
    </w:p>
    <w:p w:rsidR="00FA0124" w:rsidRPr="00A41C02" w:rsidRDefault="00FA0124" w:rsidP="00FA0124">
      <w:pPr>
        <w:pStyle w:val="NormalHanging12a"/>
      </w:pPr>
      <w:r w:rsidRPr="00A41C02">
        <w:t>–</w:t>
      </w:r>
      <w:r w:rsidRPr="00A41C02">
        <w:tab/>
        <w:t>so zreteľom na stanovisko Výboru pre právne veci,</w:t>
      </w:r>
    </w:p>
    <w:p w:rsidR="00FA0124" w:rsidRPr="00A41C02" w:rsidRDefault="00FA0124" w:rsidP="00FA0124">
      <w:pPr>
        <w:pStyle w:val="NormalHanging12a"/>
      </w:pPr>
      <w:r w:rsidRPr="00A41C02">
        <w:t>–</w:t>
      </w:r>
      <w:r w:rsidRPr="00A41C02">
        <w:tab/>
        <w:t>so zreteľom na správu Výboru pre kontrolu rozpočtu (A9-0075/2024),</w:t>
      </w:r>
    </w:p>
    <w:p w:rsidR="00FA0124" w:rsidRPr="00A41C02" w:rsidRDefault="00FA0124" w:rsidP="00FA0124">
      <w:pPr>
        <w:pStyle w:val="NormalHanging12a"/>
      </w:pPr>
      <w:r w:rsidRPr="00A41C02">
        <w:t>1.</w:t>
      </w:r>
      <w:r w:rsidRPr="00A41C02">
        <w:tab/>
        <w:t>udeľuje tajomníkovi Súdneho dvora absolutórium za plnenie rozpočtu Súdneho dvora Európskej únie za rozpočtový rok 2022;</w:t>
      </w:r>
    </w:p>
    <w:p w:rsidR="00FA0124" w:rsidRPr="00A41C02" w:rsidRDefault="00FA0124" w:rsidP="00FA0124">
      <w:pPr>
        <w:pStyle w:val="NormalHanging12a"/>
      </w:pPr>
      <w:r w:rsidRPr="00A41C02">
        <w:t>2.</w:t>
      </w:r>
      <w:r w:rsidRPr="00A41C02">
        <w:tab/>
        <w:t>uvádza svoje poznámky v priloženom uznesení;</w:t>
      </w:r>
    </w:p>
    <w:p w:rsidR="00FA0124" w:rsidRPr="00A41C02" w:rsidRDefault="00FA0124" w:rsidP="00FA0124">
      <w:pPr>
        <w:pStyle w:val="NormalHanging12a"/>
      </w:pPr>
      <w:r w:rsidRPr="00A41C02">
        <w:t>3.</w:t>
      </w:r>
      <w:r w:rsidRPr="00A41C02">
        <w:tab/>
        <w:t>poveruje svoju predsedníčku, aby postúpila toto rozhodnutie a uznesenie, ktoré je jeho neoddeliteľnou súčasťou, Súdnemu dvoru Európskej únie, Rade, Komisii a Dvoru audítorov a aby zabezpečila ich uverejnenie v</w:t>
      </w:r>
      <w:r w:rsidRPr="00A41C02">
        <w:rPr>
          <w:i/>
          <w:iCs/>
        </w:rPr>
        <w:t> Úradnom vestníku Európskej únie (v sérii L).</w:t>
      </w:r>
    </w:p>
    <w:p w:rsidR="00FA0124" w:rsidRPr="00A41C02" w:rsidRDefault="00FA0124" w:rsidP="00FA0124"/>
    <w:p w:rsidR="00FA0124" w:rsidRPr="00A41C02" w:rsidRDefault="00FA0124" w:rsidP="00FA0124">
      <w:pPr>
        <w:pStyle w:val="PageHeading"/>
        <w:sectPr w:rsidR="00FA0124" w:rsidRPr="00A41C02" w:rsidSect="00EA2CD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A0124" w:rsidRPr="00A41C02" w:rsidRDefault="00FA0124" w:rsidP="000D38CA">
      <w:pPr>
        <w:pStyle w:val="ATHeading3"/>
      </w:pPr>
      <w:bookmarkStart w:id="8" w:name="_Toc161849228"/>
      <w:r w:rsidRPr="00A41C02">
        <w:lastRenderedPageBreak/>
        <w:t xml:space="preserve">2. </w:t>
      </w:r>
      <w:bookmarkEnd w:id="8"/>
      <w:r w:rsidR="000D38CA" w:rsidRPr="00A41C02">
        <w:t>Uznesenie Európskeho parlamentu z</w:t>
      </w:r>
      <w:r w:rsidR="003B7F00" w:rsidRPr="00A41C02">
        <w:t> 11</w:t>
      </w:r>
      <w:r w:rsidR="000D38CA" w:rsidRPr="00A41C02">
        <w:t xml:space="preserve">. apríla 2024 </w:t>
      </w:r>
      <w:r w:rsidRPr="00A41C02">
        <w:t xml:space="preserve">s poznámkami, ktoré </w:t>
      </w:r>
      <w:r w:rsidR="00954B47" w:rsidRPr="00A41C02">
        <w:t xml:space="preserve">je </w:t>
      </w:r>
      <w:r w:rsidRPr="00A41C02">
        <w:t>neoddeliteľnou súčasťou rozhodnutia o absolutóriu za plnenie všeobecného rozpočtu Európskej únie za rozpočtový rok 2022, oddiel IV – Súdny dvor Európskej únie</w:t>
      </w:r>
      <w:r w:rsidR="000D38CA" w:rsidRPr="00A41C02">
        <w:t xml:space="preserve"> </w:t>
      </w:r>
      <w:r w:rsidRPr="00A41C02">
        <w:t>(2023/2132(DEC))</w:t>
      </w:r>
    </w:p>
    <w:p w:rsidR="00FA0124" w:rsidRPr="00A41C02" w:rsidRDefault="00FA0124" w:rsidP="00FA0124">
      <w:pPr>
        <w:pStyle w:val="EPComma"/>
      </w:pPr>
      <w:r w:rsidRPr="00A41C02">
        <w:rPr>
          <w:i/>
          <w:iCs/>
        </w:rPr>
        <w:t>Európsky parlament</w:t>
      </w:r>
      <w:r w:rsidRPr="00A41C02">
        <w:t>,</w:t>
      </w:r>
    </w:p>
    <w:p w:rsidR="00FA0124" w:rsidRPr="00A41C02" w:rsidRDefault="00FA0124" w:rsidP="00FA0124">
      <w:pPr>
        <w:pStyle w:val="NormalHanging12a"/>
        <w:rPr>
          <w:szCs w:val="24"/>
        </w:rPr>
      </w:pPr>
      <w:r w:rsidRPr="00A41C02">
        <w:t>–</w:t>
      </w:r>
      <w:r w:rsidRPr="00A41C02">
        <w:tab/>
        <w:t>so zreteľom na svoje rozhodnutie o absolutóriu za plnenie všeobecného rozpočtu Európskej únie za rozpočtový rok 2022, oddiel IV – Súdny dvor Európskej únie,</w:t>
      </w:r>
    </w:p>
    <w:p w:rsidR="00FA0124" w:rsidRPr="00A41C02" w:rsidRDefault="00FA0124" w:rsidP="00FA0124">
      <w:pPr>
        <w:pStyle w:val="NormalHanging12a"/>
        <w:rPr>
          <w:szCs w:val="24"/>
        </w:rPr>
      </w:pPr>
      <w:r w:rsidRPr="00A41C02">
        <w:t>–</w:t>
      </w:r>
      <w:r w:rsidRPr="00A41C02">
        <w:tab/>
        <w:t>so zreteľom na článok 100 a prílohu V</w:t>
      </w:r>
      <w:r w:rsidR="00954B47" w:rsidRPr="00A41C02">
        <w:t xml:space="preserve"> k</w:t>
      </w:r>
      <w:r w:rsidRPr="00A41C02">
        <w:t xml:space="preserve"> rokovacie</w:t>
      </w:r>
      <w:r w:rsidR="00954B47" w:rsidRPr="00A41C02">
        <w:t>mu</w:t>
      </w:r>
      <w:r w:rsidRPr="00A41C02">
        <w:t xml:space="preserve"> poriadku,</w:t>
      </w:r>
    </w:p>
    <w:p w:rsidR="00FA0124" w:rsidRPr="00A41C02" w:rsidRDefault="00FA0124" w:rsidP="00FA0124">
      <w:pPr>
        <w:pStyle w:val="NormalHanging12a"/>
        <w:rPr>
          <w:szCs w:val="24"/>
        </w:rPr>
      </w:pPr>
      <w:r w:rsidRPr="00A41C02">
        <w:t>–</w:t>
      </w:r>
      <w:r w:rsidRPr="00A41C02">
        <w:tab/>
        <w:t>so zreteľom na stanovisko Výboru pre právne veci,</w:t>
      </w:r>
    </w:p>
    <w:p w:rsidR="00FA0124" w:rsidRPr="00A41C02" w:rsidRDefault="00FA0124" w:rsidP="00FA0124">
      <w:pPr>
        <w:pStyle w:val="NormalHanging12a"/>
        <w:rPr>
          <w:szCs w:val="24"/>
        </w:rPr>
      </w:pPr>
      <w:r w:rsidRPr="00A41C02">
        <w:t>–</w:t>
      </w:r>
      <w:r w:rsidRPr="00A41C02">
        <w:tab/>
        <w:t>so zreteľom na správu Výboru pre kontrolu rozpočtu (A9-0075/2024),</w:t>
      </w:r>
    </w:p>
    <w:p w:rsidR="00FA0124" w:rsidRPr="00A41C02" w:rsidRDefault="00FA0124" w:rsidP="00FA0124">
      <w:pPr>
        <w:pStyle w:val="NormalHanging12a"/>
        <w:rPr>
          <w:szCs w:val="24"/>
        </w:rPr>
      </w:pPr>
      <w:r w:rsidRPr="00A41C02">
        <w:t>A.</w:t>
      </w:r>
      <w:r w:rsidRPr="00A41C02">
        <w:tab/>
        <w:t>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w:t>
      </w:r>
    </w:p>
    <w:p w:rsidR="00FA0124" w:rsidRPr="00A41C02" w:rsidRDefault="00FA0124" w:rsidP="00FA0124">
      <w:pPr>
        <w:pStyle w:val="NormalHanging12a"/>
        <w:rPr>
          <w:rStyle w:val="HideTWBExt"/>
          <w:rFonts w:ascii="Times New Roman" w:hAnsi="Times New Roman"/>
          <w:noProof w:val="0"/>
          <w:vanish w:val="0"/>
          <w:color w:val="auto"/>
          <w:sz w:val="24"/>
          <w:szCs w:val="24"/>
        </w:rPr>
      </w:pPr>
      <w:r w:rsidRPr="00A41C02">
        <w:t>B.</w:t>
      </w:r>
      <w:r w:rsidRPr="00A41C02">
        <w:tab/>
        <w:t>keďže Súdny dvor Európskej únie (ďalej len „SDEÚ“) je súdny orgán Únie, ktorého úlohou je zabezpečovať súlad s právom Únie, a to tak, že dohliada na jednotný výklad a uplatňovanie zmlúv a zabezpečuje zákonnosť opatrení, ktoré prijímajú inštitúcie, orgány, úrady a agentúry Únie;</w:t>
      </w:r>
    </w:p>
    <w:p w:rsidR="00FA0124" w:rsidRPr="00A41C02" w:rsidRDefault="00FA0124" w:rsidP="00FA0124">
      <w:pPr>
        <w:pStyle w:val="NormalHanging12a"/>
        <w:rPr>
          <w:szCs w:val="24"/>
        </w:rPr>
      </w:pPr>
      <w:r w:rsidRPr="00A41C02">
        <w:t>C.</w:t>
      </w:r>
      <w:r w:rsidRPr="00A41C02">
        <w:tab/>
        <w:t>keďže SDEÚ pomáha zachovávať hodnoty Únie a prostredníctvom svojej judikatúry sa usiluje o budovanie Európy;</w:t>
      </w:r>
    </w:p>
    <w:p w:rsidR="00FA0124" w:rsidRPr="00A41C02" w:rsidRDefault="00FA0124" w:rsidP="00FA0124">
      <w:pPr>
        <w:pStyle w:val="NormalHanging12a"/>
        <w:rPr>
          <w:szCs w:val="24"/>
        </w:rPr>
      </w:pPr>
      <w:r w:rsidRPr="00A41C02">
        <w:t>D.</w:t>
      </w:r>
      <w:r w:rsidRPr="00A41C02">
        <w:tab/>
        <w:t>keďže Súdny dvor Európskej únie tvoria dva súdy: Súdny dvor a Všeobecný súd;</w:t>
      </w:r>
    </w:p>
    <w:p w:rsidR="00FA0124" w:rsidRPr="00A41C02" w:rsidRDefault="00FA0124" w:rsidP="00FA0124">
      <w:pPr>
        <w:pStyle w:val="NormalHanging12a"/>
        <w:rPr>
          <w:szCs w:val="24"/>
        </w:rPr>
      </w:pPr>
      <w:r w:rsidRPr="00A41C02">
        <w:t>1.</w:t>
      </w:r>
      <w:r w:rsidRPr="00A41C02">
        <w:tab/>
        <w:t>konštatuje, že rozpočet SDEÚ patrí do okruhu 7 VFR „Európska verejná správa“, ktorý v roku 2022 predstavoval 11,6 miliardy EUR (čo predstavuje 5,9 % celkového rozpočtu Únie); konštatuje, že rozpočet SDEÚ vo výške približne 0,5 miliardy EUR v roku 2022 predstavoval 3,9 % celkových administratívnych výdavkov;</w:t>
      </w:r>
    </w:p>
    <w:p w:rsidR="00FA0124" w:rsidRPr="00A41C02" w:rsidRDefault="00FA0124" w:rsidP="00FA0124">
      <w:pPr>
        <w:pStyle w:val="NormalHanging12a"/>
        <w:rPr>
          <w:szCs w:val="24"/>
        </w:rPr>
      </w:pPr>
      <w:r w:rsidRPr="00A41C02">
        <w:t>2.</w:t>
      </w:r>
      <w:r w:rsidRPr="00A41C02">
        <w:tab/>
        <w:t>poznamenáva, že Dvor audítorov vo svojej výročnej správe za rozpočtový rok 2022 preskúmal vzorku 60 transakcií v oddiele Administratíva, rovnako ako v roku 2021; ďalej konštatuje, že podľa Dvora audítorov administratívne výdavky zahŕňajú výdavky na ľudské zdroje vrátane výdavkov na dôchodky, ktoré v roku 2022 predstavovali približne 70 % celkových administratívnych výdavkov, a výdavky na budovy, zariadenie, energie, komunikáciu a informačné technológie, a že jeho práca počas mnohých rokov naznačuje, že tieto výdavky sú celkovo nízkorizikové;</w:t>
      </w:r>
    </w:p>
    <w:p w:rsidR="00FA0124" w:rsidRPr="00A41C02" w:rsidRDefault="00FA0124" w:rsidP="00FA0124">
      <w:pPr>
        <w:pStyle w:val="NormalHanging12a"/>
        <w:rPr>
          <w:szCs w:val="24"/>
        </w:rPr>
      </w:pPr>
      <w:r w:rsidRPr="00A41C02">
        <w:t>3.</w:t>
      </w:r>
      <w:r w:rsidRPr="00A41C02">
        <w:tab/>
        <w:t xml:space="preserve">berie na vedomie, že Dvor audítorov preskúmal v rámci auditu za rok 2022 systémy dohľadu a kontroly SDEÚ, najmä vykonávanie noriem vnútornej kontroly, riadenie rizík a fungovanie kľúčových kontrol stanovených v nariadení o rozpočtových pravidlách, a vykonal aj </w:t>
      </w:r>
      <w:r w:rsidRPr="00A41C02">
        <w:rPr>
          <w:i/>
        </w:rPr>
        <w:t xml:space="preserve">ex </w:t>
      </w:r>
      <w:proofErr w:type="spellStart"/>
      <w:r w:rsidRPr="00A41C02">
        <w:rPr>
          <w:i/>
        </w:rPr>
        <w:t>ante</w:t>
      </w:r>
      <w:proofErr w:type="spellEnd"/>
      <w:r w:rsidRPr="00A41C02">
        <w:t xml:space="preserve"> a </w:t>
      </w:r>
      <w:r w:rsidRPr="00A41C02">
        <w:rPr>
          <w:i/>
        </w:rPr>
        <w:t>ex post</w:t>
      </w:r>
      <w:r w:rsidRPr="00A41C02">
        <w:t xml:space="preserve"> kontroly platieb;</w:t>
      </w:r>
    </w:p>
    <w:p w:rsidR="00FA0124" w:rsidRPr="00A41C02" w:rsidRDefault="00FA0124" w:rsidP="00FA0124">
      <w:pPr>
        <w:pStyle w:val="NormalHanging12a"/>
        <w:rPr>
          <w:szCs w:val="24"/>
        </w:rPr>
      </w:pPr>
      <w:r w:rsidRPr="00A41C02">
        <w:t>4.</w:t>
      </w:r>
      <w:r w:rsidRPr="00A41C02">
        <w:tab/>
        <w:t xml:space="preserve">konštatuje, že 14 zo 60 (23 %) operácií obsahovalo chyby, ale že Dvor audítorov na základe piatich vyčíslených chýb odhaduje, že chybovosť bola pod prahom </w:t>
      </w:r>
      <w:r w:rsidRPr="00A41C02">
        <w:lastRenderedPageBreak/>
        <w:t>významnosti;</w:t>
      </w:r>
    </w:p>
    <w:p w:rsidR="00FA0124" w:rsidRPr="00A41C02" w:rsidRDefault="00FA0124" w:rsidP="00FA0124">
      <w:pPr>
        <w:pStyle w:val="NormalHanging12a"/>
        <w:rPr>
          <w:szCs w:val="24"/>
        </w:rPr>
      </w:pPr>
      <w:r w:rsidRPr="00A41C02">
        <w:t>5.</w:t>
      </w:r>
      <w:r w:rsidRPr="00A41C02">
        <w:tab/>
        <w:t>s uspokojením konštatuje, že Dvor audítorov vo výročnej správe za rozpočtový rok 2022 uvádza, že nezistil žiadne konkrétne problémy týkajúce sa SDEÚ;</w:t>
      </w:r>
    </w:p>
    <w:p w:rsidR="00FA0124" w:rsidRPr="00A41C02" w:rsidRDefault="00FA0124" w:rsidP="00FA0124">
      <w:pPr>
        <w:pStyle w:val="NormalHanging12a"/>
        <w:rPr>
          <w:b/>
          <w:szCs w:val="24"/>
        </w:rPr>
      </w:pPr>
      <w:r w:rsidRPr="00A41C02">
        <w:rPr>
          <w:b/>
        </w:rPr>
        <w:t>Rozpočtové a finančné riadenie</w:t>
      </w:r>
    </w:p>
    <w:p w:rsidR="00FA0124" w:rsidRPr="00A41C02" w:rsidRDefault="00FA0124" w:rsidP="00FA0124">
      <w:pPr>
        <w:pStyle w:val="NormalHanging12a"/>
        <w:rPr>
          <w:szCs w:val="24"/>
        </w:rPr>
      </w:pPr>
      <w:r w:rsidRPr="00A41C02">
        <w:t>6.</w:t>
      </w:r>
      <w:r w:rsidRPr="00A41C02">
        <w:tab/>
        <w:t>konštatuje, že celkový rozpočet pridelený SDEÚ na rok 2022 bol 467 900 000 EUR, čo je nárast oproti 444 049 000 EUR v roku 2021 a v roku 2020 a zvýšenie o 5,4 % medzi rokmi 2021 a 2022, a že 79 % rozpočtu v roku 2022 sa použilo na jeho členov a zamestnancov, 14 % na budovy, 6 % na IT a 1 % na iné výdavky;</w:t>
      </w:r>
    </w:p>
    <w:p w:rsidR="00FA0124" w:rsidRPr="00A41C02" w:rsidRDefault="00FA0124" w:rsidP="00FA0124">
      <w:pPr>
        <w:pStyle w:val="NormalHanging12a"/>
        <w:rPr>
          <w:szCs w:val="24"/>
        </w:rPr>
      </w:pPr>
      <w:r w:rsidRPr="00A41C02">
        <w:t>7.</w:t>
      </w:r>
      <w:r w:rsidRPr="00A41C02">
        <w:tab/>
        <w:t>konštatuje, že v priebehu roka 2022 SDEÚ uskutočnil 19 rozpočtových presunov podľa článku 29 nariadenia o rozpočtových pravidlách, čo predstavuje celkovo 12,7 milióna EUR, resp. 2,7 % rozpočtových prostriedkov na daný rozpočtový rok; konštatuje tiež, že miera plnenia rozpočtu v roku 2022 bola 98,43 %, čo je porovnateľné s predchádzajúcimi rokmi;</w:t>
      </w:r>
    </w:p>
    <w:p w:rsidR="00FA0124" w:rsidRPr="00A41C02" w:rsidRDefault="00FA0124" w:rsidP="00FA0124">
      <w:pPr>
        <w:pStyle w:val="NormalHanging12a"/>
        <w:rPr>
          <w:szCs w:val="24"/>
        </w:rPr>
      </w:pPr>
      <w:r w:rsidRPr="00A41C02">
        <w:t>8.</w:t>
      </w:r>
      <w:r w:rsidRPr="00A41C02">
        <w:tab/>
        <w:t>s uspokojením konštatuje, že povoľujúci úradník vymenovaný delegovaním vyhlásil, že pridelené zdroje boli použité na zamýšľaný účel a v súlade so zásadami správneho finančného riadenia a že zavedené kontrolné postupy poskytujú potrebné záruky, pokiaľ ide o zákonnosť a správnosť príslušných operácií;</w:t>
      </w:r>
    </w:p>
    <w:p w:rsidR="00FA0124" w:rsidRPr="00A41C02" w:rsidRDefault="00FA0124" w:rsidP="00FA0124">
      <w:pPr>
        <w:pStyle w:val="NormalHanging12a"/>
        <w:rPr>
          <w:szCs w:val="24"/>
        </w:rPr>
      </w:pPr>
      <w:r w:rsidRPr="00A41C02">
        <w:t>9.</w:t>
      </w:r>
      <w:r w:rsidRPr="00A41C02">
        <w:tab/>
        <w:t>víta skutočnosť, že SDEÚ používa širokú škálu informačných systémov, a to interne aj prostredníctvom dohôd o úrovni poskytovaných služieb, v rôznych oblastiach, čím sa efektívnejšie využívajú zdroje;</w:t>
      </w:r>
    </w:p>
    <w:p w:rsidR="00FA0124" w:rsidRPr="00A41C02" w:rsidRDefault="00FA0124" w:rsidP="00FA0124">
      <w:pPr>
        <w:pStyle w:val="NormalHanging12a"/>
        <w:rPr>
          <w:szCs w:val="24"/>
        </w:rPr>
      </w:pPr>
      <w:r w:rsidRPr="00A41C02">
        <w:t>10.</w:t>
      </w:r>
      <w:r w:rsidRPr="00A41C02">
        <w:tab/>
        <w:t>konštatuje, že útočná vojna Ruska proti Ukrajine rôznymi formami vytvorila tlak na rozpočet SDEÚ, a to aj v podobe rastúcej inflácie a úprav platov, výrazného zvýšenia nákladov na energiu a nákladov na viaceré tovary a služby;</w:t>
      </w:r>
    </w:p>
    <w:p w:rsidR="00FA0124" w:rsidRPr="00A41C02" w:rsidRDefault="00FA0124" w:rsidP="00FA0124">
      <w:pPr>
        <w:pStyle w:val="NormalHanging12a"/>
        <w:rPr>
          <w:szCs w:val="24"/>
        </w:rPr>
      </w:pPr>
      <w:r w:rsidRPr="00A41C02">
        <w:t>11.</w:t>
      </w:r>
      <w:r w:rsidRPr="00A41C02">
        <w:tab/>
        <w:t xml:space="preserve">konštatuje, že všeobecný rozpočet SDEÚ na služobné cesty klesol zo 405 000 EUR v roku 2021 na 390 000 EUR v roku 2022, čo zodpovedá zníženiu o 3,7 % a bolo spôsobené zmenami pracovných metód s väčším počtom schôdzí na diaľku; ďalej konštatuje, že SDEÚ nemá osobitný rozpočtový riadok na služobné cesty a cesty svojho predsedu; napokon konštatuje, že rozpočet v riadku na služobné cesty všetkých členov SDEÚ klesol z 280 000 EUR v roku 2021 na 270 000 EUR v roku 2022, čo predstavuje zníženie o 3,6 % a bolo v prvom rade spôsobené zvýšeným využívaním </w:t>
      </w:r>
      <w:proofErr w:type="spellStart"/>
      <w:r w:rsidRPr="00A41C02">
        <w:t>videokonferenčných</w:t>
      </w:r>
      <w:proofErr w:type="spellEnd"/>
      <w:r w:rsidRPr="00A41C02">
        <w:t xml:space="preserve"> nástrojov;</w:t>
      </w:r>
    </w:p>
    <w:p w:rsidR="00FA0124" w:rsidRPr="00A41C02" w:rsidRDefault="00FA0124" w:rsidP="00FA0124">
      <w:pPr>
        <w:pStyle w:val="NormalHanging12a"/>
        <w:rPr>
          <w:b/>
          <w:szCs w:val="24"/>
        </w:rPr>
      </w:pPr>
      <w:r w:rsidRPr="00A41C02">
        <w:rPr>
          <w:b/>
        </w:rPr>
        <w:t>Vnútorné riadenie, výkonnosť a vnútorná kontrola</w:t>
      </w:r>
    </w:p>
    <w:p w:rsidR="00FA0124" w:rsidRPr="00A41C02" w:rsidRDefault="00FA0124" w:rsidP="00FA0124">
      <w:pPr>
        <w:pStyle w:val="NormalHanging12a"/>
        <w:rPr>
          <w:szCs w:val="24"/>
        </w:rPr>
      </w:pPr>
      <w:r w:rsidRPr="00A41C02">
        <w:t>12.</w:t>
      </w:r>
      <w:r w:rsidRPr="00A41C02">
        <w:tab/>
        <w:t xml:space="preserve">konštatuje, že počas roka 2022 boli výnimočné opatrenia súvisiace s pandémiou </w:t>
      </w:r>
      <w:r w:rsidR="000B5D43" w:rsidRPr="00A41C02">
        <w:t xml:space="preserve">ochorenia </w:t>
      </w:r>
      <w:r w:rsidRPr="00A41C02">
        <w:t>COVID-19 postupne zrušené a Súdny dvor začal fungovať normálne; v tejto súvislosti víta skutočnosť, že počet návštevníkov sa zvýšil na 11 653, čo však stále nie je úroveň z obdobia pred pandémiou, keď v roku 2019 prišlo 17 136 návštevníkov, čo môže byť čiastočne spôsobené aj novými možnosťami virtuálnej návštevy SDEÚ;</w:t>
      </w:r>
    </w:p>
    <w:p w:rsidR="00FA0124" w:rsidRPr="00A41C02" w:rsidRDefault="00FA0124" w:rsidP="00FA0124">
      <w:pPr>
        <w:pStyle w:val="NormalHanging12a"/>
        <w:rPr>
          <w:szCs w:val="24"/>
        </w:rPr>
      </w:pPr>
      <w:r w:rsidRPr="00A41C02">
        <w:t>13.</w:t>
      </w:r>
      <w:r w:rsidRPr="00A41C02">
        <w:tab/>
        <w:t xml:space="preserve">s uspokojením konštatuje, že v roku 2022 uplynulo 70 rokov od založenia SDEÚ, čo predstavuje veľmi významné výročie pre celú Úniu; oceňuje, že SDEÚ využil príležitosť na začatie iniciatív na tému „Priblíženie spravodlivosti občanom“ vrátane novej iniciatívy ponúkať </w:t>
      </w:r>
      <w:proofErr w:type="spellStart"/>
      <w:r w:rsidRPr="00A41C02">
        <w:t>strímingovú</w:t>
      </w:r>
      <w:proofErr w:type="spellEnd"/>
      <w:r w:rsidRPr="00A41C02">
        <w:t xml:space="preserve"> službu pre pojednávania na webovom sídle </w:t>
      </w:r>
      <w:proofErr w:type="spellStart"/>
      <w:r w:rsidRPr="00A41C02">
        <w:t>Curia</w:t>
      </w:r>
      <w:proofErr w:type="spellEnd"/>
      <w:r w:rsidRPr="00A41C02">
        <w:t>;</w:t>
      </w:r>
    </w:p>
    <w:p w:rsidR="00FA0124" w:rsidRPr="00A41C02" w:rsidRDefault="00FA0124" w:rsidP="00FA0124">
      <w:pPr>
        <w:pStyle w:val="NormalHanging12a"/>
        <w:rPr>
          <w:szCs w:val="24"/>
        </w:rPr>
      </w:pPr>
      <w:r w:rsidRPr="00A41C02">
        <w:lastRenderedPageBreak/>
        <w:t>14.</w:t>
      </w:r>
      <w:r w:rsidRPr="00A41C02">
        <w:tab/>
        <w:t>konštatuje, že 68 % z nových vecí na Súdnom dvore v roku 2022 boli návrhy na začatie prejudiciálneho konania, 24 % odvolania proti rozhodnutiam Všeobecného súdu a 4 % boli žaloby proti členským štátom za nesplnenie povinnosti; ďalej konštatuje, že v roku 2022 sa v prípade Všeobecného súdu 46 % nových vecí týkalo žalôb o neplatnosť aktov inštitúcií Únie, 30 % sa týkalo žalôb v oblasti duševného vlastníctva a 7 % sporov medzi inštitúciami Únie a ich zamestnancami;</w:t>
      </w:r>
    </w:p>
    <w:p w:rsidR="00FA0124" w:rsidRPr="00A41C02" w:rsidRDefault="00FA0124" w:rsidP="00FA0124">
      <w:pPr>
        <w:pStyle w:val="NormalHanging12a"/>
        <w:rPr>
          <w:szCs w:val="24"/>
        </w:rPr>
      </w:pPr>
      <w:r w:rsidRPr="00A41C02">
        <w:t>15</w:t>
      </w:r>
      <w:r w:rsidR="001E250E">
        <w:t>.</w:t>
      </w:r>
      <w:bookmarkStart w:id="9" w:name="_GoBack"/>
      <w:bookmarkEnd w:id="9"/>
      <w:r w:rsidRPr="00A41C02">
        <w:tab/>
        <w:t>konštatuje, že počet vecí predložených obom súdom v roku 2022 je porovnateľný s počtom vecí predložených v predchádzajúcom roku (1 710 v roku 2022 v porovnaní s 1 720 v roku 2021), a zdôrazňuje, že Súdny dvor a Všeobecný súd v roku 2022 spolu uzavreli 1 666 vecí v porovnaní s 1 723 v roku 2021, čo zodpovedá priemeru za posledné roky (1 692 vecí ročne v období 2018 až 2021); konštatuje však, že celkový počet nevyriešených vecí sa zvyšuje, pričom v roku 2022 bolo nevyriešených 2585 vecí v porovnaní s 2541 v roku 2021;</w:t>
      </w:r>
    </w:p>
    <w:p w:rsidR="00FA0124" w:rsidRPr="00A41C02" w:rsidRDefault="00FA0124" w:rsidP="00FA0124">
      <w:pPr>
        <w:pStyle w:val="NormalHanging12a"/>
        <w:rPr>
          <w:szCs w:val="24"/>
        </w:rPr>
      </w:pPr>
      <w:r w:rsidRPr="00A41C02">
        <w:t>16.</w:t>
      </w:r>
      <w:r w:rsidRPr="00A41C02">
        <w:tab/>
        <w:t>poznamenáva, že priemerná dĺžka konaní vo veciach podaných na Súdnom dvore bola podobná ako v predchádzajúcom roku (16,4 mesiaca v roku 2022, 16,6 mesiaca v roku 2021); víta skutočnosť, že priemerná dĺžka konaní vo veciach podaných na Všeobecnom súde sa v roku 2022 skrátila na 16,2 mesiaca (17,3 mesiaca v roku 2021);</w:t>
      </w:r>
    </w:p>
    <w:p w:rsidR="00FA0124" w:rsidRPr="00A41C02" w:rsidRDefault="00FA0124" w:rsidP="00FA0124">
      <w:pPr>
        <w:pStyle w:val="NormalHanging12a"/>
        <w:rPr>
          <w:szCs w:val="24"/>
        </w:rPr>
      </w:pPr>
      <w:r w:rsidRPr="00A41C02">
        <w:t>17.</w:t>
      </w:r>
      <w:r w:rsidRPr="00A41C02">
        <w:tab/>
        <w:t>víta skutočnosť, že SDEÚ poskytol zhrnutie počtu a druhu vnútorných auditov vykonaných v inštitúcii, ako aj súhrn odporúčaní a opatrení prijatých na základe týchto odporúčaní v súlade s článkom 118 ods. 8 nariadenia o rozpočtových pravidlách; konštatuje, že vnútorný audítor má ročný pracovný program s viacročnou zložkou;</w:t>
      </w:r>
    </w:p>
    <w:p w:rsidR="00FA0124" w:rsidRPr="00A41C02" w:rsidRDefault="00FA0124" w:rsidP="00FA0124">
      <w:pPr>
        <w:pStyle w:val="NormalHanging12a"/>
        <w:rPr>
          <w:szCs w:val="24"/>
        </w:rPr>
      </w:pPr>
      <w:r w:rsidRPr="00A41C02">
        <w:t>18.</w:t>
      </w:r>
      <w:r w:rsidRPr="00A41C02">
        <w:tab/>
        <w:t>konštatuje, že najdôležitejšie vnútorné audity v roku 2022 sa týkali správy bankových účtov, pokladnice a vykonávania platieb, poistných zmlúv a krytia rizík, šírenia informácií o udržateľnosti a toku riadenia prekladov;</w:t>
      </w:r>
    </w:p>
    <w:p w:rsidR="00FA0124" w:rsidRPr="00A41C02" w:rsidRDefault="00FA0124" w:rsidP="00FA0124">
      <w:pPr>
        <w:pStyle w:val="NormalHanging12a"/>
        <w:rPr>
          <w:szCs w:val="24"/>
        </w:rPr>
      </w:pPr>
      <w:r w:rsidRPr="00A41C02">
        <w:t>19.</w:t>
      </w:r>
      <w:r w:rsidRPr="00A41C02">
        <w:tab/>
        <w:t xml:space="preserve">konštatuje, že v odpovediach v dotazníku Výboru Európskeho parlamentu pre kontrolu rozpočtu, ktorý bol súčasťou súčasného postupu udeľovania absolutória, SDEÚ uvádza, že vnútorné audity viedli k mnohým odporúčaniam, ktoré príslušné útvary uvítali; žiada, aby bol </w:t>
      </w:r>
      <w:r w:rsidR="00954B47" w:rsidRPr="00A41C02">
        <w:t>Európsky p</w:t>
      </w:r>
      <w:r w:rsidRPr="00A41C02">
        <w:t>arlament informovaný, ak príslušné útvary nereagujú na odporúčania vnútorného audítora;</w:t>
      </w:r>
    </w:p>
    <w:p w:rsidR="00FA0124" w:rsidRPr="00A41C02" w:rsidRDefault="00FA0124" w:rsidP="00FA0124">
      <w:pPr>
        <w:pStyle w:val="NormalHanging12a"/>
        <w:rPr>
          <w:b/>
          <w:szCs w:val="24"/>
        </w:rPr>
      </w:pPr>
      <w:r w:rsidRPr="00A41C02">
        <w:rPr>
          <w:b/>
        </w:rPr>
        <w:t>Ľudské zdroje, rovnosť a dobré pracovné podmienky zamestnancov</w:t>
      </w:r>
    </w:p>
    <w:p w:rsidR="00FA0124" w:rsidRPr="00A41C02" w:rsidRDefault="00FA0124" w:rsidP="00FA0124">
      <w:pPr>
        <w:pStyle w:val="NormalHanging12a"/>
        <w:rPr>
          <w:szCs w:val="24"/>
        </w:rPr>
      </w:pPr>
      <w:r w:rsidRPr="00A41C02">
        <w:t>20.</w:t>
      </w:r>
      <w:r w:rsidRPr="00A41C02">
        <w:tab/>
        <w:t>konštatuje, že Súdny dvor sa skladá z 27 sudcov a 11 generálnych advokátov a že v roku 2022 nenastúpil do funkcie žiadny nový sudca; ďalej konštatuje, že Všeobecný súd sa skladá z 54 sudcov a že v roku 2022 nastúpilo do funkcie osem nových sudcov;</w:t>
      </w:r>
    </w:p>
    <w:p w:rsidR="00FA0124" w:rsidRPr="00A41C02" w:rsidRDefault="00FA0124" w:rsidP="00FA0124">
      <w:pPr>
        <w:pStyle w:val="NormalHanging12a"/>
        <w:rPr>
          <w:szCs w:val="24"/>
        </w:rPr>
      </w:pPr>
      <w:r w:rsidRPr="00A41C02">
        <w:t>21.</w:t>
      </w:r>
      <w:r w:rsidRPr="00A41C02">
        <w:tab/>
        <w:t>s obavami konštatuje, že Súdny dvor a Všeobecný súd majú naďalej veľmi nevyvážené rodové zloženie a že z ôsmich nových sudcov, ktorí nastúpili do funkcie na Všeobecnom súde v roku 2022, boli piati muži a tri ženy; opakuje, že oceňuje list predsedu Všeobecného súdu predsedovi Konferencie zástupcov členských štátov v roku 2021, v ktorom vyzýva členské štáty, aby pri navrhovaní kandidátov na nahradenie sudcov zohľadnili potrebu rodovej rovnováhy; vyjadruje poľutovanie nad tým, že list zostal nezodpovedaný;</w:t>
      </w:r>
    </w:p>
    <w:p w:rsidR="00FA0124" w:rsidRPr="00A41C02" w:rsidRDefault="00FA0124" w:rsidP="00FA0124">
      <w:pPr>
        <w:pStyle w:val="NormalHanging12a"/>
        <w:rPr>
          <w:szCs w:val="24"/>
        </w:rPr>
      </w:pPr>
      <w:r w:rsidRPr="00A41C02">
        <w:t>22.</w:t>
      </w:r>
      <w:r w:rsidRPr="00A41C02">
        <w:tab/>
        <w:t xml:space="preserve">oceňuje, že SDEÚ vo svojich odpovediach v dotazníku Výboru Európskeho parlamentu pre kontrolu rozpočtu poskytol veľmi podrobné informácie o zložení zamestnancov na </w:t>
      </w:r>
      <w:r w:rsidRPr="00A41C02">
        <w:lastRenderedPageBreak/>
        <w:t>konci roka 2022;</w:t>
      </w:r>
    </w:p>
    <w:p w:rsidR="00FA0124" w:rsidRPr="00A41C02" w:rsidRDefault="00FA0124" w:rsidP="00FA0124">
      <w:pPr>
        <w:pStyle w:val="NormalHanging12a"/>
        <w:rPr>
          <w:szCs w:val="24"/>
        </w:rPr>
      </w:pPr>
      <w:r w:rsidRPr="00A41C02">
        <w:t>23.</w:t>
      </w:r>
      <w:r w:rsidRPr="00A41C02">
        <w:tab/>
        <w:t>berie na vedomie, že na konci roka 2022 SDEÚ zamestnával 2 253 zamestnancov, čo predstavuje mierny nárast z 2 247 zamestnancov na konci roka 2021 a 2 239 na konci roka 2020; konštatuje, že na konci roka 2022 bolo z tohto počtu v rámci celkového rodového zloženia 893 mužov, t. j. 40 %, a 1 360 žien, t. j. 60 %; ďalej konštatuje, že v celkovom zložení podľa kategórie zamestnancov mal Súdny dvor 1 300 úradníkov (58 %), 774 dočasných zamestnancov (34 %) a 179 zmluvných zamestnancov (8 %), čo predstavuje malý pokles percentuálneho podielu zamestnancov, ktorí sú úradníkmi v porovnaní s rokom 2021, a odráža sa v malom zvýšení percentuálneho podielu dočasných zamestnancov a v nezmenenej situácii, pokiaľ ide o zmluvných zamestnancov;</w:t>
      </w:r>
    </w:p>
    <w:p w:rsidR="00FA0124" w:rsidRPr="00A41C02" w:rsidRDefault="00FA0124" w:rsidP="00FA0124">
      <w:pPr>
        <w:pStyle w:val="NormalHanging12a"/>
        <w:rPr>
          <w:szCs w:val="24"/>
        </w:rPr>
      </w:pPr>
      <w:r w:rsidRPr="00A41C02">
        <w:t>24.</w:t>
      </w:r>
      <w:r w:rsidRPr="00A41C02">
        <w:tab/>
        <w:t>konštatuje, že vo vyššom manažmente pôsobilo deväť mužov a šesť žien, čo znamená, že 60 % pracovníkov boli muži a 40 % ženy; konštatuje, že v strednom manažmente pôsobilo 36 mužov a 24 žien, čo tiež znamená, že 60 % pracovníkov boli muži a 40 % ženy;</w:t>
      </w:r>
    </w:p>
    <w:p w:rsidR="00FA0124" w:rsidRPr="00A41C02" w:rsidRDefault="00FA0124" w:rsidP="00FA0124">
      <w:pPr>
        <w:pStyle w:val="NormalHanging12a"/>
        <w:rPr>
          <w:szCs w:val="24"/>
        </w:rPr>
      </w:pPr>
      <w:r w:rsidRPr="00A41C02">
        <w:t>25.</w:t>
      </w:r>
      <w:r w:rsidRPr="00A41C02">
        <w:tab/>
        <w:t>víta skutočnosť, že medzi zamestnancami SDEÚ sú zastúpení štátni príslušníci všetkých členských štátov Únie; s poľutovaním však konštatuje, že štátni príslušníci niektorých členských štátov sú nadmerne zastúpení; v tejto súvislosti konštatuje, konštatuje však, že francúzski štátni príslušníci tvoria 505 z 2 253 zamestnancov, čo zodpovedá 22 %, a že ich nadmerné zastúpenie je ešte vyššie medzi asistentmi (AST), kde tvoria 223 zo 719 zamestnancov, čo zodpovedá 31 %; konštatuje, že na úrovni administrátorov (AD) sú nadmerne zastúpení belgickí štátni príslušníci, ktorých je 108, a Taliani, ktorých je 97 z 1 274 zamestnancov; konštatuje takisto, že Cyprus je najmenej zastúpenou krajinou, ktorá má len dvoch štátnych príslušníkov na pozíciách úradníkov a dočasných zamestnancov AD a nemá žiadnych štátnych príslušníkov na pozíciách AST a AST-SC; konštatuje, že SDEÚ by sa mal usilovať o vyváženejšie zastúpenie štátnych príslušníkov Únie na všetkých pozíciách a snažiť sa zaručiť primerané geografické rozloženie;</w:t>
      </w:r>
    </w:p>
    <w:p w:rsidR="00FA0124" w:rsidRPr="00A41C02" w:rsidRDefault="00FA0124" w:rsidP="00FA0124">
      <w:pPr>
        <w:pStyle w:val="NormalHanging12a"/>
        <w:rPr>
          <w:szCs w:val="24"/>
        </w:rPr>
      </w:pPr>
      <w:r w:rsidRPr="00A41C02">
        <w:t>26.</w:t>
      </w:r>
      <w:r w:rsidRPr="00A41C02">
        <w:tab/>
        <w:t>nabáda SDEÚ, aby podporoval viacjazyčné pracovné prostredie; konštatuje, že hoci podľa rokovacieho poriadku Súdneho dvora Európskej únie, kapitola 8 článok 36, môže byť jazykom konania ktorýkoľvek jazyk Únie (anglický, bulharský, český, dánsky, estónsky, fínsky, francúzsky, grécky, holandský, írsky, litovský, lotyšský, maďarský, maltský, nemecký, poľský, portugalský, rumunský, slovenský, slovinský, španielsky alebo švédsky), každodenná administratívna práca sa napriek tomu vykonáva z 90 % vo francúzštine; podporuje častejšie každodenné používanie ďalších dvoch pracovných jazykov Európskej únie, a to nemčiny a angličtiny, v každodennej administratívnej práci Súdneho dvora EÚ s cieľom podporiť viacjazyčnosť a sprístupniť zamestnanie štátnym príslušníkom všetkých členských štátov vrátane tých, v ktorých sa na školách neučí francúzština; konštatuje, že by to prispelo aj k rovnomernejšiemu rozdeleniu štátnych príslušností medzi zamestnancami Súdneho dvora EÚ, a vyzýva všetky inštitúcie, aby zaručili viacjazyčnosť;</w:t>
      </w:r>
    </w:p>
    <w:p w:rsidR="00FA0124" w:rsidRPr="00A41C02" w:rsidRDefault="00FA0124" w:rsidP="00FA0124">
      <w:pPr>
        <w:pStyle w:val="NormalHanging12a"/>
        <w:rPr>
          <w:szCs w:val="24"/>
        </w:rPr>
      </w:pPr>
      <w:r w:rsidRPr="00A41C02">
        <w:t>27.</w:t>
      </w:r>
      <w:r w:rsidRPr="00A41C02">
        <w:tab/>
        <w:t xml:space="preserve">víta prácu, ktorú vykonala </w:t>
      </w:r>
      <w:proofErr w:type="spellStart"/>
      <w:r w:rsidRPr="00A41C02">
        <w:t>medziinštitucionálna</w:t>
      </w:r>
      <w:proofErr w:type="spellEnd"/>
      <w:r w:rsidRPr="00A41C02">
        <w:t xml:space="preserve"> skupina na vysokej úrovni v snahe zvýšiť atraktívnosť Luxemburska pre zamestnancov; nabáda SDEÚ, aby pokračoval v spolupráci s ostatnými inštitúciami so sídlom v Luxembursku na rôznych opatreniach vrátane myšlienky zavedenia osobitného príspevku na bývanie s cieľom kompenzovať vysoké nájomné, ktoré pociťujú najmä zamestnanci v nižších platových triedach, a zabezpečiť, aby zamestnanci SDEÚ mali výhodu v podobe vhodných podmienok na </w:t>
      </w:r>
      <w:r w:rsidRPr="00A41C02">
        <w:lastRenderedPageBreak/>
        <w:t xml:space="preserve">bývanie; žiada, aby bol </w:t>
      </w:r>
      <w:r w:rsidR="00954B47" w:rsidRPr="00A41C02">
        <w:t>Európsky p</w:t>
      </w:r>
      <w:r w:rsidRPr="00A41C02">
        <w:t>arlament informovaný o pokroku všetkých takýchto iniciatív;</w:t>
      </w:r>
    </w:p>
    <w:p w:rsidR="00FA0124" w:rsidRPr="00A41C02" w:rsidRDefault="00FA0124" w:rsidP="00FA0124">
      <w:pPr>
        <w:pStyle w:val="NormalHanging12a"/>
        <w:rPr>
          <w:szCs w:val="24"/>
        </w:rPr>
      </w:pPr>
      <w:r w:rsidRPr="00A41C02">
        <w:t>28.</w:t>
      </w:r>
      <w:r w:rsidRPr="00A41C02">
        <w:tab/>
        <w:t xml:space="preserve">s uspokojením konštatuje, že SDEÚ 1. mája 2022 zaviedol nový systém </w:t>
      </w:r>
      <w:proofErr w:type="spellStart"/>
      <w:r w:rsidRPr="00A41C02">
        <w:t>telepráce</w:t>
      </w:r>
      <w:proofErr w:type="spellEnd"/>
      <w:r w:rsidRPr="00A41C02">
        <w:t>, ktorý poskytuje možnosť pracovať z domu dva dni v týždni; ďalej konštatuje, že tento systém umožňuje zamestnancom pracovať až 10 dní v roku mimo miesta výkonu práce a že prieskum medzi manažérmi ukázal celkovú spokojnosť s touto možnosťou, ktorá sa ukázala ako zlučiteľná s riadnym fungovaním služieb;</w:t>
      </w:r>
    </w:p>
    <w:p w:rsidR="00FA0124" w:rsidRPr="00A41C02" w:rsidRDefault="00FA0124" w:rsidP="00FA0124">
      <w:pPr>
        <w:pStyle w:val="NormalHanging12a"/>
        <w:rPr>
          <w:szCs w:val="24"/>
        </w:rPr>
      </w:pPr>
      <w:r w:rsidRPr="00A41C02">
        <w:t>29.</w:t>
      </w:r>
      <w:r w:rsidRPr="00A41C02">
        <w:tab/>
        <w:t xml:space="preserve">so znepokojením konštatuje, že počet dní práceneschopnosti na SDEÚ v roku 2022 dosiahol 23 702, čo zodpovedá zvýšeniu o 38 % oproti roku 2021, keď bol počet dní práceneschopnosti 17 138; zároveň konštatuje, že v roku 2019 bolo evidovaných 25 629 dní práceneschopnosti a že relatívne nízky počet v roku 2021 mohol súvisieť s pandémiou </w:t>
      </w:r>
      <w:r w:rsidR="000B5D43" w:rsidRPr="00A41C02">
        <w:t xml:space="preserve">ochorenia </w:t>
      </w:r>
      <w:r w:rsidRPr="00A41C02">
        <w:t>COVID-19;</w:t>
      </w:r>
    </w:p>
    <w:p w:rsidR="00FA0124" w:rsidRPr="00A41C02" w:rsidRDefault="00FA0124" w:rsidP="00FA0124">
      <w:pPr>
        <w:pStyle w:val="NormalHanging12a"/>
        <w:rPr>
          <w:szCs w:val="24"/>
        </w:rPr>
      </w:pPr>
      <w:r w:rsidRPr="00A41C02">
        <w:t>30.</w:t>
      </w:r>
      <w:r w:rsidRPr="00A41C02">
        <w:tab/>
        <w:t>so znepokojením konštatuje, že 46 zamestnancov oznámilo vyčerpanie z pracovných dôvodov a podľa odhadu zdravotnej služby SDEÚ sa v roku 2022 vyskytlo 23 prípadov, keď zamestnanci vykazovali symptómy, ktoré by sa mohli spájať s diagnózou vyhorenia; konštatuje, že SDEÚ ponúkol kurzy odbornej prípravy pre manažérov s cieľom zvýšiť informovanosť o rôznych rizikách súvisiacich s vyhorením a o dobrých podmienkach zamestnancov; vyzýva SDEÚ, aby sa naďalej zameriaval na tento problém, ďalej zvažoval, ako je možné predchádzať vyhoreniu, a prijal všetky potrebné opatrenia na zabezpečenie dobrých životných podmienok svojich zamestnancov s cieľom znížiť počet prípadov spojených s vyhorením; navrhuje, aby SDEÚ a ostatné inštitúcie zriadili schránku na pripomienky, kde by zamestnanci mohli zanechať svoje pripomienky, čím sa zabezpečí, že zamestnanci nebudú vystavení odvetným opatreniam; vyzýva, aby sa obsah takejto schránky na pripomienky bral vážne a analyzoval s cieľom pomôcť identifikovať a zmierniť zdroje vyhorenia;</w:t>
      </w:r>
    </w:p>
    <w:p w:rsidR="00FA0124" w:rsidRPr="00A41C02" w:rsidRDefault="00FA0124" w:rsidP="00FA0124">
      <w:pPr>
        <w:pStyle w:val="NormalHanging12a"/>
        <w:rPr>
          <w:szCs w:val="24"/>
        </w:rPr>
      </w:pPr>
      <w:r w:rsidRPr="00A41C02">
        <w:t>31.</w:t>
      </w:r>
      <w:r w:rsidRPr="00A41C02">
        <w:tab/>
        <w:t xml:space="preserve">povzbudzuje oddelenie ľudských zdrojov, aby si viac uvedomovalo dôsledky a príznaky dlhodobého ochorenia COVID, iných vírusových ochorení a </w:t>
      </w:r>
      <w:proofErr w:type="spellStart"/>
      <w:r w:rsidRPr="00A41C02">
        <w:t>autoimunitných</w:t>
      </w:r>
      <w:proofErr w:type="spellEnd"/>
      <w:r w:rsidRPr="00A41C02">
        <w:t xml:space="preserve"> ochorení; naliehavo žiada, aby zdravotné poistenie poskytované Súdnym dvorom EÚ a všetkými ostatnými inštitúciami Únie finančne pokrývalo terapie potrebné na liečbu týchto ochorení;</w:t>
      </w:r>
    </w:p>
    <w:p w:rsidR="00FA0124" w:rsidRPr="00A41C02" w:rsidRDefault="00FA0124" w:rsidP="00FA0124">
      <w:pPr>
        <w:pStyle w:val="NormalHanging12a"/>
        <w:rPr>
          <w:szCs w:val="24"/>
        </w:rPr>
      </w:pPr>
      <w:r w:rsidRPr="00A41C02">
        <w:t>32.</w:t>
      </w:r>
      <w:r w:rsidRPr="00A41C02">
        <w:tab/>
        <w:t>konštatuje, že v roku 2023 sa začalo jedno správne konanie týkajúce sa prípadu, ktorý môže predstavovať sexuálne obťažovanie, a to v súvislosti so skutočnosťami, ktoré sa odohrali v roku 2022, a v súčasnosti prebieha;</w:t>
      </w:r>
    </w:p>
    <w:p w:rsidR="00FA0124" w:rsidRPr="00A41C02" w:rsidRDefault="00FA0124" w:rsidP="00FA0124">
      <w:pPr>
        <w:pStyle w:val="NormalHanging12a"/>
        <w:rPr>
          <w:szCs w:val="24"/>
        </w:rPr>
      </w:pPr>
      <w:r w:rsidRPr="00A41C02">
        <w:t>33.</w:t>
      </w:r>
      <w:r w:rsidRPr="00A41C02">
        <w:tab/>
        <w:t>s uznaním konštatuje, že SDEÚ ponúka kurzy odbornej prípravy na presadzovanie a podporu rozmanitosti v rámci svojich služieb; ďalej konštatuje, že SDEÚ má 27 zamestnancov so zdravotným postihnutím, z ktorých 14 sa považuje za osoby s ťažkým zdravotným postihnutím; oceňuje, že v roku 2022 sa prijali dôležité opatrenia nadväzujúce na vnútorný audit od roku 2021 s cieľom zaručiť práva osôb so zdravotným postihnutím;</w:t>
      </w:r>
    </w:p>
    <w:p w:rsidR="00FA0124" w:rsidRPr="00A41C02" w:rsidRDefault="00FA0124" w:rsidP="00FA0124">
      <w:pPr>
        <w:pStyle w:val="NormalHanging12a"/>
        <w:rPr>
          <w:szCs w:val="24"/>
        </w:rPr>
      </w:pPr>
      <w:r w:rsidRPr="00A41C02">
        <w:t>34.</w:t>
      </w:r>
      <w:r w:rsidRPr="00A41C02">
        <w:tab/>
        <w:t xml:space="preserve">berie na vedomie, že SDEÚ v roku 2022 privítal 267 stážistov; s uznaním konštatuje, že od jesene 2022 sa SDEÚ na základe odporúčania </w:t>
      </w:r>
      <w:r w:rsidR="00954B47" w:rsidRPr="00A41C02">
        <w:t>Európskeho p</w:t>
      </w:r>
      <w:r w:rsidRPr="00A41C02">
        <w:t>arlamentu rozhodol odmeňovať všetkých stážistov okrem tých, ktorí dostávajú grant z iných zdrojov; vyzýva SDEÚ, aby preskúmal, či sú stážisti zo všetkých členských štátov zastúpení proporcionálne;</w:t>
      </w:r>
    </w:p>
    <w:p w:rsidR="00FA0124" w:rsidRPr="00A41C02" w:rsidRDefault="00FA0124" w:rsidP="00FA0124">
      <w:pPr>
        <w:pStyle w:val="NormalHanging12a"/>
        <w:rPr>
          <w:szCs w:val="24"/>
        </w:rPr>
      </w:pPr>
      <w:r w:rsidRPr="00A41C02">
        <w:lastRenderedPageBreak/>
        <w:t>35.</w:t>
      </w:r>
      <w:r w:rsidRPr="00A41C02">
        <w:tab/>
        <w:t>s poľutovaním konštatuje, že SDEÚ v roku 2022 prijal neplatených stážistov, či už počas prechodného obdobia po prijatí nového rozhodnutia o stážach v novembri 2021, alebo z dôvodu alternatívnych zdrojov financovania. zdôrazňuje kontrast medzi SDEÚ, ktorý nemá politiku platených stáží, a inými európskymi inštitúciami, ktoré takúto politiku presadzujú. naliehavo žiada Súdny dvor EÚ, aby zabezpečil transparentnosť externých finančných zdrojov neplatených stážistov a podrobne vysvetlil dôvody zachovania tejto politiky;</w:t>
      </w:r>
    </w:p>
    <w:p w:rsidR="00FA0124" w:rsidRPr="00A41C02" w:rsidRDefault="00FA0124" w:rsidP="00FA0124">
      <w:pPr>
        <w:pStyle w:val="NormalHanging12a"/>
        <w:rPr>
          <w:b/>
          <w:szCs w:val="24"/>
        </w:rPr>
      </w:pPr>
      <w:r w:rsidRPr="00A41C02">
        <w:rPr>
          <w:b/>
        </w:rPr>
        <w:t>Etický rámec a transparentnosť</w:t>
      </w:r>
    </w:p>
    <w:p w:rsidR="00FA0124" w:rsidRPr="00A41C02" w:rsidRDefault="00FA0124" w:rsidP="00FA0124">
      <w:pPr>
        <w:pStyle w:val="NormalHanging12a"/>
        <w:rPr>
          <w:szCs w:val="24"/>
        </w:rPr>
      </w:pPr>
      <w:r w:rsidRPr="00A41C02">
        <w:t>36.</w:t>
      </w:r>
      <w:r w:rsidRPr="00A41C02">
        <w:tab/>
        <w:t>naďalej oceňuje reformy uskutočnené v roku 2021 týkajúce sa členov Súdneho dvora a Všeobecného súdu, pokiaľ ide o ich kódex správania a vyhlásenia o záujmoch, ktoré spolu s novými požiadavkami na životopisy členov predstavujú zlepšenie transparentnosti Súdneho dvora Európskej únie; zastáva však názor, že platnosť a užitočnosť vyhlásení o záujmoch by sa zlepšila prostredníctvom určitého druhu overovania a kontroly kvality;</w:t>
      </w:r>
    </w:p>
    <w:p w:rsidR="00FA0124" w:rsidRPr="00A41C02" w:rsidRDefault="00FA0124" w:rsidP="00FA0124">
      <w:pPr>
        <w:pStyle w:val="NormalHanging12a"/>
        <w:rPr>
          <w:szCs w:val="24"/>
        </w:rPr>
      </w:pPr>
      <w:r w:rsidRPr="00A41C02">
        <w:t>37.</w:t>
      </w:r>
      <w:r w:rsidRPr="00A41C02">
        <w:tab/>
        <w:t>víta skutočnosť, že SDEÚ od roku 2018 uverejňuje zoznam vonkajších činností, ktoré vykonávajú členovia Súdneho dvora aj Všeobecného súdu; konštatuje, že zoznam je pre širokú verejnosť ťažko čitateľný a odporúča, aby bol informatívnejší a aby obsahoval informácie o povahe vonkajšej činnosti; zdôrazňuje, že od členov sa očakáva, že sa budú v plnej miere venovať výkonu svojich povinností na SDEÚ a že môžu vykonávať len vonkajšie činnosti súvisiace s výkonom ich povinností a po predchádzajúcom povolení udelenom iba v prípade, že takéto činnosti sú v súlade s požiadavkami kódexu správania, a najmä s povinnosťou byť k dispozícii na výkon súdnych činností;</w:t>
      </w:r>
    </w:p>
    <w:p w:rsidR="00FA0124" w:rsidRPr="00A41C02" w:rsidRDefault="00FA0124" w:rsidP="00FA0124">
      <w:pPr>
        <w:pStyle w:val="NormalHanging12a"/>
        <w:rPr>
          <w:szCs w:val="24"/>
        </w:rPr>
      </w:pPr>
      <w:r w:rsidRPr="00A41C02">
        <w:t>38.</w:t>
      </w:r>
      <w:r w:rsidRPr="00A41C02">
        <w:tab/>
        <w:t>berie na vedomie rozhodnutie z roku 2021 týkajúce sa ciest, služobných ciest a používania vodičov a vozidiel členmi, z ktorého vyplýva, že členovia musia uhradiť všetky prevádzkové náklady na použitie vozidla na cesty, na ktoré sa nevzťahuje cestovný príkaz, nad 10 000 km; zastáva názor, že využívanie vozového parku mimo prísneho plnenia povinností členov SDEÚ by sa nemalo uskutočňovať za žiadnych okolností; vyzýva všetky inštitúcie Únie, aby sa dohodli na jednotnom systéme, ktorý by sa uplatňoval horizontálne, čo by znížilo zmätok a zvýšilo transparentnosť a efektívnosť pri využívaní verejných prostriedkov;</w:t>
      </w:r>
    </w:p>
    <w:p w:rsidR="00FA0124" w:rsidRPr="00A41C02" w:rsidRDefault="00FA0124" w:rsidP="00FA0124">
      <w:pPr>
        <w:pStyle w:val="NormalHanging12a"/>
        <w:rPr>
          <w:szCs w:val="24"/>
        </w:rPr>
      </w:pPr>
      <w:r w:rsidRPr="00A41C02">
        <w:t>39.</w:t>
      </w:r>
      <w:r w:rsidRPr="00A41C02">
        <w:tab/>
        <w:t>víta skutočnosť, že SDEÚ poskytuje odbornú prípravu všetkým novým pracovníkom o všetkých etických aspektoch, ako aj o právach a povinnostiach úradníkov a zamestnancov, ako sa stanovuje v služobnom poriadku, a to aj pokiaľ ide o oznamovanie protispoločenskej činnosti, zákaz obťažovania, predchádzanie konfliktom záujmov a iné etické otázky; víta tiež zorganizovanie šiestich kurzov odbornej prípravy o pravidlách dobrého správania, na ktorých sa zúčastnilo 70 zamestnancov, a 11 kurzov odbornej prípravy o vnútornej kontrole, na ktorých sa zúčastnilo 80 zamestnancov; vyzýva Súdny dvor, aby zaviedol jeden kurz odbornej prípravy o pravidlách dobrého správania ako povinnosť pre všetkých zamestnancov, či už starých, alebo nových, s cieľom podporiť bezpečné a produktívne pracovné prostredie a etické riešenie prípadov;</w:t>
      </w:r>
    </w:p>
    <w:p w:rsidR="00FA0124" w:rsidRPr="00A41C02" w:rsidRDefault="00FA0124" w:rsidP="00FA0124">
      <w:pPr>
        <w:pStyle w:val="NormalHanging12a"/>
        <w:rPr>
          <w:szCs w:val="24"/>
        </w:rPr>
      </w:pPr>
      <w:r w:rsidRPr="00A41C02">
        <w:t>40.</w:t>
      </w:r>
      <w:r w:rsidRPr="00A41C02">
        <w:tab/>
        <w:t xml:space="preserve">s uspokojením konštatuje, že Európsky úrad pre boj proti podvodom (OLAF) v roku 2022 nezačal žiadne nové vyšetrovanie týkajúce sa SDEÚ, stále však prebieha jedno vyšetrovanie, ktoré sa zaoberá správaním zamestnancov, ktoré môže predstavovať závažné porušenie povinností, a že v štyroch prípadoch, ktorými sa zaoberala európska </w:t>
      </w:r>
      <w:r w:rsidRPr="00A41C02">
        <w:lastRenderedPageBreak/>
        <w:t>ombudsmanka v súvislosti so SDEÚ, sa nezistil nesprávny úradný postup, čo znamená, že európska ombudsmanka v roku 2022 nevydala žiadne odporúčania týkajúce sa SDEÚ; konštatuje, že v roku 2022 na SDEÚ nedošlo k žiadnemu prípadu oznamovania protispoločenskej činnosti;</w:t>
      </w:r>
    </w:p>
    <w:p w:rsidR="00FA0124" w:rsidRPr="00A41C02" w:rsidRDefault="00FA0124" w:rsidP="00FA0124">
      <w:pPr>
        <w:pStyle w:val="NormalHanging12a"/>
        <w:rPr>
          <w:szCs w:val="24"/>
        </w:rPr>
      </w:pPr>
      <w:r w:rsidRPr="00A41C02">
        <w:t>41.</w:t>
      </w:r>
      <w:r w:rsidRPr="00A41C02">
        <w:tab/>
        <w:t xml:space="preserve">vyjadruje hlboké poľutovanie nad tým, že nový kódex správania zamestnancov, ktorý mal byť pôvodne dokončený do konca roka 2021, ku koncu roka 2022 ešte nebol dokončený; konštatuje, že nový kódex správania mal byť prijatý do konca roka 2023, ale stále je v procese prijímania; vyzýva Súdny dvor, aby bezodkladne finalizoval a prijal nový kódex správania v súlade so žiadosťami z predchádzajúcich cyklov udeľovania absolutória, a žiada ho, aby </w:t>
      </w:r>
      <w:r w:rsidR="00954B47" w:rsidRPr="00A41C02">
        <w:t>Európsky p</w:t>
      </w:r>
      <w:r w:rsidRPr="00A41C02">
        <w:t>arlament čo najskôr informoval o jeho prijatí a obsahu;</w:t>
      </w:r>
    </w:p>
    <w:p w:rsidR="00FA0124" w:rsidRPr="00A41C02" w:rsidRDefault="00FA0124" w:rsidP="00FA0124">
      <w:pPr>
        <w:pStyle w:val="NormalHanging12a"/>
        <w:rPr>
          <w:szCs w:val="24"/>
        </w:rPr>
      </w:pPr>
      <w:r w:rsidRPr="00A41C02">
        <w:t>42.</w:t>
      </w:r>
      <w:r w:rsidRPr="00A41C02">
        <w:tab/>
        <w:t>víta, že v roku 2022 neboli odhalené žiadne prípady konfliktu záujmov; konštatuje, že bolo preskúmaných 112 žiadostí podľa článku 16 služobného poriadku týkajúcich sa odborných činností po odchode zo služby a že všetky boli schválené; ďalej konštatuje, že bolo ohlásených deväť prípadov externej činnosti počas dovolenky z osobných dôvodov a že všetky boli schválené; domnieva sa, že túto oblasť by prípadne mohol preskúmať vnútorný audítor alebo navrhovaný etický orgán EÚ;</w:t>
      </w:r>
    </w:p>
    <w:p w:rsidR="00FA0124" w:rsidRPr="00A41C02" w:rsidRDefault="00FA0124" w:rsidP="00FA0124">
      <w:pPr>
        <w:pStyle w:val="NormalHanging12a"/>
        <w:rPr>
          <w:b/>
          <w:szCs w:val="24"/>
        </w:rPr>
      </w:pPr>
      <w:r w:rsidRPr="00A41C02">
        <w:rPr>
          <w:b/>
        </w:rPr>
        <w:t>Digitalizácia, kybernetická bezpečnosť a ochrana údajov</w:t>
      </w:r>
    </w:p>
    <w:p w:rsidR="00FA0124" w:rsidRPr="00A41C02" w:rsidRDefault="00FA0124" w:rsidP="00FA0124">
      <w:pPr>
        <w:pStyle w:val="NormalHanging12a"/>
        <w:rPr>
          <w:szCs w:val="24"/>
        </w:rPr>
      </w:pPr>
      <w:r w:rsidRPr="00A41C02">
        <w:t>43.</w:t>
      </w:r>
      <w:r w:rsidRPr="00A41C02">
        <w:tab/>
        <w:t>víta skutočnosť, že SDEÚ urýchlil zavedenie integrovaného systému správy vecí (SIGA), ktorý mu umožní pracovať v úplne digitálnom, bezpečnom a integrovanom pracovnom toku, a víta, že SDEÚ pokročil vo vykonávaní programu HAN/</w:t>
      </w:r>
      <w:proofErr w:type="spellStart"/>
      <w:r w:rsidRPr="00A41C02">
        <w:t>Ares</w:t>
      </w:r>
      <w:proofErr w:type="spellEnd"/>
      <w:r w:rsidRPr="00A41C02">
        <w:t xml:space="preserve">, pokiaľ ide o všetky administratívne služby SDEÚ; žiada SDEÚ, aby informoval </w:t>
      </w:r>
      <w:r w:rsidR="00954B47" w:rsidRPr="00A41C02">
        <w:t>Európsky p</w:t>
      </w:r>
      <w:r w:rsidRPr="00A41C02">
        <w:t>arlament o vykonávaní programu v rámci každoročného postupu udeľovania absolutória;</w:t>
      </w:r>
    </w:p>
    <w:p w:rsidR="00FA0124" w:rsidRPr="00A41C02" w:rsidRDefault="00FA0124" w:rsidP="00FA0124">
      <w:pPr>
        <w:pStyle w:val="NormalHanging12a"/>
        <w:rPr>
          <w:szCs w:val="24"/>
        </w:rPr>
      </w:pPr>
      <w:r w:rsidRPr="00A41C02">
        <w:t>44.</w:t>
      </w:r>
      <w:r w:rsidRPr="00A41C02">
        <w:tab/>
        <w:t xml:space="preserve">oceňuje, že Súdny dvor EÚ sa rozhodol prestať používať </w:t>
      </w:r>
      <w:proofErr w:type="spellStart"/>
      <w:r w:rsidRPr="00A41C02">
        <w:t>cloudové</w:t>
      </w:r>
      <w:proofErr w:type="spellEnd"/>
      <w:r w:rsidRPr="00A41C02">
        <w:t xml:space="preserve"> platformy na spracúvanie citlivých justičných údajov v záujme ochrany údajov a vlastníctva systému, pričom cieľom je umiestniť všetky svoje údaje na mieste a nemať kritickú obchodnú závislosť od akýchkoľvek externých systémov; ďalej víta politiku SDEÚ vyhýbať sa používaniu akýchkoľvek nástrojov alebo infraštruktúry umiestnených v </w:t>
      </w:r>
      <w:proofErr w:type="spellStart"/>
      <w:r w:rsidRPr="00A41C02">
        <w:t>cloude</w:t>
      </w:r>
      <w:proofErr w:type="spellEnd"/>
      <w:r w:rsidRPr="00A41C02">
        <w:t xml:space="preserve"> na účely spracovania neverejných informácií s cieľom chrániť osobné údaje a zachovať úplnú kontrolu nad svojimi systémami a údajmi;</w:t>
      </w:r>
    </w:p>
    <w:p w:rsidR="00FA0124" w:rsidRPr="00A41C02" w:rsidRDefault="00FA0124" w:rsidP="00FA0124">
      <w:pPr>
        <w:pStyle w:val="NormalHanging12a"/>
        <w:rPr>
          <w:szCs w:val="24"/>
        </w:rPr>
      </w:pPr>
      <w:r w:rsidRPr="00A41C02">
        <w:t>45.</w:t>
      </w:r>
      <w:r w:rsidRPr="00A41C02">
        <w:tab/>
        <w:t>s uspokojením berie na vedomie stúpajúcu tendenciu miery využívania aplikácie e-</w:t>
      </w:r>
      <w:proofErr w:type="spellStart"/>
      <w:r w:rsidRPr="00A41C02">
        <w:t>Curia</w:t>
      </w:r>
      <w:proofErr w:type="spellEnd"/>
      <w:r w:rsidRPr="00A41C02">
        <w:t>, keď 94 % podaní na Všeobecný súd bolo v roku 2022 podaných prostredníctvom aplikácie e-</w:t>
      </w:r>
      <w:proofErr w:type="spellStart"/>
      <w:r w:rsidRPr="00A41C02">
        <w:t>Curia</w:t>
      </w:r>
      <w:proofErr w:type="spellEnd"/>
      <w:r w:rsidRPr="00A41C02">
        <w:t xml:space="preserve"> v porovnaní s 93 % v roku 2021 a miera používania aplikácie e-</w:t>
      </w:r>
      <w:proofErr w:type="spellStart"/>
      <w:r w:rsidRPr="00A41C02">
        <w:t>Curia</w:t>
      </w:r>
      <w:proofErr w:type="spellEnd"/>
      <w:r w:rsidRPr="00A41C02">
        <w:t xml:space="preserve"> na Súdnom dvore predstavovala v roku 2022 približne 87 % všetkých podaní uskutočnených týmto spôsobom v porovnaní s 85 % v roku 2021;</w:t>
      </w:r>
    </w:p>
    <w:p w:rsidR="00FA0124" w:rsidRPr="00A41C02" w:rsidRDefault="00FA0124" w:rsidP="00FA0124">
      <w:pPr>
        <w:pStyle w:val="NormalHanging12a"/>
        <w:rPr>
          <w:szCs w:val="24"/>
        </w:rPr>
      </w:pPr>
      <w:r w:rsidRPr="00A41C02">
        <w:t>46.</w:t>
      </w:r>
      <w:r w:rsidRPr="00A41C02">
        <w:tab/>
        <w:t xml:space="preserve">konštatuje, že v roku 2022 neboli oznámené žiadne ďalšie vyšetrovania európskeho dozorného úradníka pre ochranu údajov (EDPS); so záujmom očakáva rozhodnutie týkajúce sa vyšetrovania zo začiatku roka 2021 v súvislosti s využívaním webových služieb tretích strán a povinnosti sprístupniť základné údaje z dohody o spoločnej kontrole; so záujmom očakáva aj rozhodnutie o vyšetrovaní v súvislosti s využívaním </w:t>
      </w:r>
      <w:proofErr w:type="spellStart"/>
      <w:r w:rsidRPr="00A41C02">
        <w:t>cloudových</w:t>
      </w:r>
      <w:proofErr w:type="spellEnd"/>
      <w:r w:rsidRPr="00A41C02">
        <w:t xml:space="preserve"> služieb poskytovaných spoločnosťami Amazon Web </w:t>
      </w:r>
      <w:proofErr w:type="spellStart"/>
      <w:r w:rsidRPr="00A41C02">
        <w:t>Services</w:t>
      </w:r>
      <w:proofErr w:type="spellEnd"/>
      <w:r w:rsidRPr="00A41C02">
        <w:t xml:space="preserve"> a Microsoft na základe zmlúv </w:t>
      </w:r>
      <w:proofErr w:type="spellStart"/>
      <w:r w:rsidRPr="00A41C02">
        <w:t>Cloud</w:t>
      </w:r>
      <w:proofErr w:type="spellEnd"/>
      <w:r w:rsidRPr="00A41C02">
        <w:t xml:space="preserve"> II inštitúciami, orgánmi a agentúrami Európskej únie;</w:t>
      </w:r>
    </w:p>
    <w:p w:rsidR="00FA0124" w:rsidRPr="00A41C02" w:rsidRDefault="00FA0124" w:rsidP="00FA0124">
      <w:pPr>
        <w:pStyle w:val="NormalHanging12a"/>
        <w:rPr>
          <w:szCs w:val="24"/>
        </w:rPr>
      </w:pPr>
      <w:r w:rsidRPr="00A41C02">
        <w:lastRenderedPageBreak/>
        <w:t>47.</w:t>
      </w:r>
      <w:r w:rsidRPr="00A41C02">
        <w:tab/>
        <w:t>víta skutočnosť, že SDEÚ zvažuje, ako a do akej miery by sa mali digitálne technológie používať v jeho práci, napríklad na identifikáciu podobnosti medzi prípadmi, na preklad, na konverziu reči na text a na automatizované zhrnutia dlhých dokumentov; zdôrazňuje, že najmä v prípade právnej inštitúcie, akou je SDEÚ, bude vždy potrebné pristupovať k automatizovaným procesom so zreteľom na etické aspekty a doplniť ich ľudským dohľadom a kontrolou; zdôrazňuje význam možnosti vzájomného porovnávania prípadov podľa kľúčových pojmov a kľúčových ukazovateľov s cieľom nájsť prekrývanie alebo vzory v obsahu prípadov; takisto vyzýva Súdny dvor, aby preskúmal možnosti lepšieho prenosu informácií sudcom a ich tímom;</w:t>
      </w:r>
    </w:p>
    <w:p w:rsidR="00FA0124" w:rsidRPr="00A41C02" w:rsidRDefault="00FA0124" w:rsidP="00FA0124">
      <w:pPr>
        <w:pStyle w:val="NormalHanging12a"/>
        <w:rPr>
          <w:szCs w:val="24"/>
        </w:rPr>
      </w:pPr>
      <w:r w:rsidRPr="00A41C02">
        <w:t>48.</w:t>
      </w:r>
      <w:r w:rsidRPr="00A41C02">
        <w:tab/>
        <w:t xml:space="preserve">víta skutočnosť, že Súdny dvor EÚ využíva operačné systémy s otvoreným zdrojovým kódom približne v jednej tretine svojej serverovej základne a že jeho prvou voľbou je spoliehať sa na interné hostiteľské systémy založené na technológii s otvoreným zdrojovým kódom, pretože to SDEÚ umožňuje zachovať si technickú kontrolu nad svojimi systémami a kontrolovať ukladanie údajov a dátové toky, a tým zabezpečiť lepšiu ochranu údajov a súkromia; vyzýva SDEÚ, aby sa pripojil k iniciatíve softvéru s otvoreným zdrojovým kódom, ktorú spustil EDPS prostredníctvom zavádzania riešení softvéru s otvoreným zdrojovým kódom </w:t>
      </w:r>
      <w:proofErr w:type="spellStart"/>
      <w:r w:rsidRPr="00A41C02">
        <w:t>Nextcloud</w:t>
      </w:r>
      <w:proofErr w:type="spellEnd"/>
      <w:r w:rsidRPr="00A41C02">
        <w:t>;</w:t>
      </w:r>
    </w:p>
    <w:p w:rsidR="00FA0124" w:rsidRPr="00A41C02" w:rsidRDefault="00FA0124" w:rsidP="00FA0124">
      <w:pPr>
        <w:pStyle w:val="NormalHanging12a"/>
        <w:rPr>
          <w:szCs w:val="24"/>
        </w:rPr>
      </w:pPr>
      <w:r w:rsidRPr="00A41C02">
        <w:t>49.</w:t>
      </w:r>
      <w:r w:rsidRPr="00A41C02">
        <w:tab/>
        <w:t>vyzýva SDEÚ, aby po zverejnení rozsudku sprístupnil na svojom webovom sídle všetky spisy súvisiace s prípadom a zároveň zabezpečil, aby sa v záujme ochrany osobných údajov nezverejňovali súkromné alebo citlivé informácie;</w:t>
      </w:r>
    </w:p>
    <w:p w:rsidR="00FA0124" w:rsidRPr="00A41C02" w:rsidRDefault="00FA0124" w:rsidP="00FA0124">
      <w:pPr>
        <w:pStyle w:val="NormalHanging12a"/>
        <w:rPr>
          <w:szCs w:val="24"/>
        </w:rPr>
      </w:pPr>
      <w:r w:rsidRPr="00A41C02">
        <w:t>50.</w:t>
      </w:r>
      <w:r w:rsidRPr="00A41C02">
        <w:tab/>
        <w:t xml:space="preserve">víta angažovanosť SDEÚ pri začleňovaní nástrojov umelej inteligencie do svojej práce a skutočnosť, že v júli 2023 bola prijatá komplexná stratégia v oblasti umelej inteligencie; zdôrazňuje, že je mimoriadne dôležité, aby sa umelá inteligencia používala spôsobom, ktorý v plnej miere zachová nezávislosť, kvalitu právnych procesov bez ich narušenia, riadne zohľadní etické otázky a aby sa používala pod ľudským dohľadom a umožňovala ľudský zásah s cieľom zabrániť negatívnym dôsledkom alebo rizikám, alebo zastaviť systém, ak nefunguje tak, ako bolo zamýšľané; víta skutočnosť, že SDEÚ zriadil radu pre umelú inteligenciu, ktorá je zodpovedná za riešenie etických aspektov a stanovenie jasných hraníc používania umelej inteligencie; pripomína, že Súdny dvor by mal zabezpečiť úplnú kontrolu používateľov v súlade s „Európskou etickou chartou o používaní umelej inteligencie v súdnych systémoch a ich prostredí“; predpokladá, že usmernenia pre zamestnancov o používaní umelej inteligencie boli prijaté do konca jesene 2023, a žiada, aby bol </w:t>
      </w:r>
      <w:r w:rsidR="00954B47" w:rsidRPr="00A41C02">
        <w:t>Európsky p</w:t>
      </w:r>
      <w:r w:rsidRPr="00A41C02">
        <w:t>arlament informovaný o obsahu týchto usmernení;</w:t>
      </w:r>
    </w:p>
    <w:p w:rsidR="00FA0124" w:rsidRPr="00A41C02" w:rsidRDefault="00FA0124" w:rsidP="00FA0124">
      <w:pPr>
        <w:pStyle w:val="NormalHanging12a"/>
        <w:rPr>
          <w:b/>
          <w:i/>
          <w:szCs w:val="24"/>
        </w:rPr>
      </w:pPr>
      <w:r w:rsidRPr="00A41C02">
        <w:t>51.</w:t>
      </w:r>
      <w:r w:rsidRPr="00A41C02">
        <w:tab/>
        <w:t xml:space="preserve">so znepokojením konštatuje, že podľa SDEÚ počet kybernetických útokov v roku 2022 naďalej rástol; s úľavou konštatuje, že napriek ich rôznorodosti a objemu boli všetky útoky zvládnuté pomocou zavedených ochranných systémov alebo špecializovaným tímom pre reakciu na incidenty v SDEÚ, ako vyplýva z odpovedí, ktoré SDEÚ poskytol na otázky Výboru Európskeho parlamentu pre kontrolu rozpočtu v októbri 2023; víta zároveň, že SDEÚ sa aktívne podieľa na príslušných </w:t>
      </w:r>
      <w:proofErr w:type="spellStart"/>
      <w:r w:rsidRPr="00A41C02">
        <w:t>medziinštitucionálnych</w:t>
      </w:r>
      <w:proofErr w:type="spellEnd"/>
      <w:r w:rsidRPr="00A41C02">
        <w:t xml:space="preserve"> štruktúrach Únie s cieľom posilniť celkovú kybernetickú bezpečnosť inštitúcií Únie; dôrazne vyzýva vedenie SDEÚ, aby sa posilňovanie kybernetickej bezpečnosti stalo prioritou, vyzýva vedenie, aby aktívne preskúmalo, ktoré aspekty IT infraštruktúry robia SDEÚ zraniteľným voči útokom, a aby to čo najskôr napravilo a aby zabezpečilo pravidelné audity a testy svojej kybernetickej obrany;</w:t>
      </w:r>
    </w:p>
    <w:p w:rsidR="00FA0124" w:rsidRPr="00A41C02" w:rsidRDefault="00FA0124" w:rsidP="00FA0124">
      <w:pPr>
        <w:pStyle w:val="NormalHanging12a"/>
        <w:rPr>
          <w:szCs w:val="24"/>
        </w:rPr>
      </w:pPr>
      <w:r w:rsidRPr="00A41C02">
        <w:t>52.</w:t>
      </w:r>
      <w:r w:rsidRPr="00A41C02">
        <w:tab/>
        <w:t xml:space="preserve">konštatuje, že SDEÚ analyzoval možnosti otvorených údajov v rokoch 2022 a 2023 a že </w:t>
      </w:r>
      <w:r w:rsidRPr="00A41C02">
        <w:lastRenderedPageBreak/>
        <w:t>má v úmysle zdieľať všetky uverejnené informácie dostupné na svojom webovom sídle ako otvorené údaje; upozorňuje však, že pred sprístupnením zverejnených informácií ako otvorených údajov musí SDEÚ vykonať kontrolu, pričom musí zohľadniť bezpečnosť, dôvernosť, práva na súkromie a práva duševného vlastníctva;</w:t>
      </w:r>
    </w:p>
    <w:p w:rsidR="00FA0124" w:rsidRPr="00A41C02" w:rsidRDefault="00FA0124" w:rsidP="00FA0124">
      <w:pPr>
        <w:spacing w:after="240"/>
        <w:rPr>
          <w:b/>
          <w:bCs/>
          <w:iCs/>
          <w:szCs w:val="24"/>
        </w:rPr>
      </w:pPr>
      <w:r w:rsidRPr="00A41C02">
        <w:rPr>
          <w:b/>
        </w:rPr>
        <w:t>Budovy</w:t>
      </w:r>
    </w:p>
    <w:p w:rsidR="00FA0124" w:rsidRPr="00A41C02" w:rsidRDefault="00FA0124" w:rsidP="00FA0124">
      <w:pPr>
        <w:pStyle w:val="NormalHanging12a"/>
        <w:rPr>
          <w:szCs w:val="24"/>
        </w:rPr>
      </w:pPr>
      <w:r w:rsidRPr="00A41C02">
        <w:t>53.</w:t>
      </w:r>
      <w:r w:rsidRPr="00A41C02">
        <w:tab/>
        <w:t xml:space="preserve">so záujmom konštatuje, že Súdny dvor zriadil pracovnú skupinu so zástupcami z rôznych častí inštitúcie a výboru zamestnancov s cieľom posúdiť optimalizáciu využívania priestorov Súdneho dvora a že jej závery boli predložené v roku 2023; žiada, aby bol </w:t>
      </w:r>
      <w:r w:rsidR="00954B47" w:rsidRPr="00A41C02">
        <w:t>Európsky p</w:t>
      </w:r>
      <w:r w:rsidRPr="00A41C02">
        <w:t>arlament informovaný o vykonávaní týchto záverov a dôsledkoch pre organizáciu pracovného priestoru;</w:t>
      </w:r>
    </w:p>
    <w:p w:rsidR="00FA0124" w:rsidRPr="00A41C02" w:rsidRDefault="00FA0124" w:rsidP="00FA0124">
      <w:pPr>
        <w:pStyle w:val="NormalHanging12a"/>
        <w:rPr>
          <w:szCs w:val="24"/>
        </w:rPr>
      </w:pPr>
      <w:r w:rsidRPr="00A41C02">
        <w:t>54.</w:t>
      </w:r>
      <w:r w:rsidRPr="00A41C02">
        <w:tab/>
        <w:t xml:space="preserve">so záujmom konštatuje, že sa vykonal vnútorný audit týkajúci sa prístupnosti budov pre osoby so zdravotným postihnutím a že Súdny dvor na základe nových luxemburských právnych predpisov vykonáva vhodné opatrenia; víta skutočnosť, že medzi tieto opatrenia patrí sprístupnenie súdnych siení pre osoby so zníženou pohyblivosťou, ako napríklad pomocou hmatových dlažieb a zábradlí; žiada, aby bol </w:t>
      </w:r>
      <w:r w:rsidR="00954B47" w:rsidRPr="00A41C02">
        <w:t>Európsky p</w:t>
      </w:r>
      <w:r w:rsidRPr="00A41C02">
        <w:t>arlament informovaný o ďalších iniciatívach v tejto oblasti;</w:t>
      </w:r>
    </w:p>
    <w:p w:rsidR="00FA0124" w:rsidRPr="00A41C02" w:rsidRDefault="00FA0124" w:rsidP="00FA0124">
      <w:pPr>
        <w:spacing w:after="240"/>
        <w:rPr>
          <w:b/>
          <w:szCs w:val="24"/>
        </w:rPr>
      </w:pPr>
      <w:r w:rsidRPr="00A41C02">
        <w:rPr>
          <w:b/>
        </w:rPr>
        <w:t>Životné prostredie a udržateľnosť</w:t>
      </w:r>
    </w:p>
    <w:p w:rsidR="00FA0124" w:rsidRPr="00A41C02" w:rsidRDefault="00FA0124" w:rsidP="00FA0124">
      <w:pPr>
        <w:pStyle w:val="NormalHanging12a"/>
        <w:rPr>
          <w:szCs w:val="24"/>
        </w:rPr>
      </w:pPr>
      <w:r w:rsidRPr="00A41C02">
        <w:t>55.</w:t>
      </w:r>
      <w:r w:rsidRPr="00A41C02">
        <w:tab/>
        <w:t>vysoko oceňuje, že SDEÚ vypracúva samostatnú výročnú správu týkajúcu sa environmentálnej stopy inštitúcie, ktorá by mohla slúžiť ako vzor pre iné inštitúcie;</w:t>
      </w:r>
    </w:p>
    <w:p w:rsidR="00FA0124" w:rsidRPr="00A41C02" w:rsidRDefault="00FA0124" w:rsidP="00FA0124">
      <w:pPr>
        <w:pStyle w:val="NormalHanging12a"/>
        <w:rPr>
          <w:szCs w:val="24"/>
        </w:rPr>
      </w:pPr>
      <w:r w:rsidRPr="00A41C02">
        <w:t xml:space="preserve">56. </w:t>
      </w:r>
      <w:r w:rsidRPr="00A41C02">
        <w:tab/>
        <w:t>blahoželá SDEÚ k dosiahnutým výsledkom, pokiaľ ide o výrazné zníženie jeho celkovej spotreby v roku 2022 v porovnaní so základným rokom 2015; považuje za mimoriadne pôsobivé, že vykurovanie sa znížilo o 23,6 %, spotreba papiera o 42,6 %, odpad z jedální o 49,9 % a emisie skleníkových plynov o 31,7 %;</w:t>
      </w:r>
    </w:p>
    <w:p w:rsidR="00FA0124" w:rsidRPr="00A41C02" w:rsidRDefault="00FA0124" w:rsidP="00FA0124">
      <w:pPr>
        <w:pStyle w:val="NormalHanging12a"/>
        <w:rPr>
          <w:szCs w:val="24"/>
        </w:rPr>
      </w:pPr>
      <w:r w:rsidRPr="00A41C02">
        <w:t>57.</w:t>
      </w:r>
      <w:r w:rsidRPr="00A41C02">
        <w:tab/>
        <w:t>konštatuje, že Súdny dvor nainštaloval solárne panely pokrývajúce 3 447,8 m</w:t>
      </w:r>
      <w:r w:rsidRPr="00A41C02">
        <w:rPr>
          <w:vertAlign w:val="superscript"/>
        </w:rPr>
        <w:t>2</w:t>
      </w:r>
      <w:r w:rsidRPr="00A41C02">
        <w:t>, ktoré v roku 2022 vyrobili 452 959 kWh energie; nabáda SDEÚ, aby pokračoval v práci na identifikácii možností týkajúcich sa zníženia celkovej spotreby, recyklácie a výroby energie z obnoviteľných zdrojov;</w:t>
      </w:r>
    </w:p>
    <w:p w:rsidR="00FA0124" w:rsidRPr="00A41C02" w:rsidRDefault="00FA0124" w:rsidP="00FA0124">
      <w:pPr>
        <w:pStyle w:val="NormalHanging12a"/>
        <w:rPr>
          <w:szCs w:val="24"/>
        </w:rPr>
      </w:pPr>
      <w:r w:rsidRPr="00A41C02">
        <w:t>58.</w:t>
      </w:r>
      <w:r w:rsidRPr="00A41C02">
        <w:tab/>
        <w:t>víta skutočnosť, že SDEÚ prijal niekoľko iniciatív na podporu a zvýšenie udržateľnej mobility vrátane dotácií na verejnú dopravu, dotácií na samoobslužné bicykle, zlepšenia parkovacích zariadení pre bicykle a zlepšených zariadení pre hybridné a elektrické vozidlá;</w:t>
      </w:r>
    </w:p>
    <w:p w:rsidR="00FA0124" w:rsidRPr="00A41C02" w:rsidRDefault="00FA0124" w:rsidP="00FA0124">
      <w:pPr>
        <w:spacing w:after="240"/>
        <w:rPr>
          <w:b/>
          <w:szCs w:val="24"/>
        </w:rPr>
      </w:pPr>
      <w:proofErr w:type="spellStart"/>
      <w:r w:rsidRPr="00A41C02">
        <w:rPr>
          <w:b/>
        </w:rPr>
        <w:t>Medziinštitucionálna</w:t>
      </w:r>
      <w:proofErr w:type="spellEnd"/>
      <w:r w:rsidRPr="00A41C02">
        <w:rPr>
          <w:b/>
        </w:rPr>
        <w:t xml:space="preserve"> spolupráca</w:t>
      </w:r>
    </w:p>
    <w:p w:rsidR="00FA0124" w:rsidRPr="00A41C02" w:rsidRDefault="00FA0124" w:rsidP="00FA0124">
      <w:pPr>
        <w:pStyle w:val="NormalHanging12a"/>
        <w:rPr>
          <w:szCs w:val="24"/>
        </w:rPr>
      </w:pPr>
      <w:r w:rsidRPr="00A41C02">
        <w:t>59.</w:t>
      </w:r>
      <w:r w:rsidRPr="00A41C02">
        <w:tab/>
        <w:t xml:space="preserve">víta skutočnosť, že SDEÚ má širokú škálu dohôd o úrovni poskytovaných služieb s inými inštitúciami Únie, čo pomáha znižovať náklady pre zúčastnené inštitúcie a zabezpečuje, aby sa v rámci inštitúcií používali podobné postupy, techniky a pracovné toky; oceňuje najmä dohody o úrovni služieb s Úradom Komisie pre správu a výplatu individuálnych nárokov a dohodu o úrovni služieb s Generálnym riaditeľstvom Komisie pre digitálne služby ako poskytovateľom služieb, ktorý poskytuje </w:t>
      </w:r>
      <w:proofErr w:type="spellStart"/>
      <w:r w:rsidRPr="00A41C02">
        <w:t>hosting</w:t>
      </w:r>
      <w:proofErr w:type="spellEnd"/>
      <w:r w:rsidRPr="00A41C02">
        <w:t xml:space="preserve"> informačných systémov Súdneho dvora EÚ vrátane </w:t>
      </w:r>
      <w:proofErr w:type="spellStart"/>
      <w:r w:rsidRPr="00A41C02">
        <w:t>eCuria</w:t>
      </w:r>
      <w:proofErr w:type="spellEnd"/>
      <w:r w:rsidRPr="00A41C02">
        <w:t xml:space="preserve">, portálu </w:t>
      </w:r>
      <w:proofErr w:type="spellStart"/>
      <w:r w:rsidRPr="00A41C02">
        <w:t>Cvria</w:t>
      </w:r>
      <w:proofErr w:type="spellEnd"/>
      <w:r w:rsidRPr="00A41C02">
        <w:t xml:space="preserve"> a ďalších; oceňuje aj pokračujúcu spoluprácu v rámci </w:t>
      </w:r>
      <w:proofErr w:type="spellStart"/>
      <w:r w:rsidRPr="00A41C02">
        <w:t>Medziinštitucionálneho</w:t>
      </w:r>
      <w:proofErr w:type="spellEnd"/>
      <w:r w:rsidRPr="00A41C02">
        <w:t xml:space="preserve"> výboru pre preklad a tlmočenie; víta, že po rokovaniach, ktoré sa uskutočnili v roku 2022, bola s Úradom pre vydávanie publikácií Európskej únie v roku 2023 podpísaná nová dohoda o úrovni </w:t>
      </w:r>
      <w:r w:rsidRPr="00A41C02">
        <w:lastRenderedPageBreak/>
        <w:t>poskytovaných služieb, ktorá prvýkrát pokrýva všetky aspekty spolupráce;</w:t>
      </w:r>
    </w:p>
    <w:p w:rsidR="00FA0124" w:rsidRPr="00A41C02" w:rsidRDefault="00FA0124" w:rsidP="00FA0124">
      <w:pPr>
        <w:pStyle w:val="NormalHanging12a"/>
        <w:rPr>
          <w:szCs w:val="24"/>
        </w:rPr>
      </w:pPr>
      <w:r w:rsidRPr="00A41C02">
        <w:t>60.</w:t>
      </w:r>
      <w:r w:rsidRPr="00A41C02">
        <w:tab/>
        <w:t>s uznaním konštatuje, že SDEÚ spolu so všetkými ostatnými inštitúciami, orgánmi, úradmi a agentúrami Únie uzatvorili spoločné obstarávanie na poskytovanie úrazového poistenia, ako sa uvádza v článku 73 služobného poriadku;</w:t>
      </w:r>
    </w:p>
    <w:p w:rsidR="00FA0124" w:rsidRPr="00A41C02" w:rsidRDefault="00FA0124" w:rsidP="00FA0124">
      <w:pPr>
        <w:pStyle w:val="NormalHanging12a"/>
        <w:rPr>
          <w:szCs w:val="24"/>
        </w:rPr>
      </w:pPr>
      <w:r w:rsidRPr="00A41C02">
        <w:t>61.</w:t>
      </w:r>
      <w:r w:rsidRPr="00A41C02">
        <w:tab/>
        <w:t>víta skutočnosť, že sa ďalej rozvíja spolupráca s Európskou prokuratúrou (EPPO) a že bolo podpísané memorandum o porozumení s cieľom vytvoriť hĺbkovú spoluprácu v oblasti bibliografických a dokumentačných služieb v prospech oboch inštitúcií; ďalej víta, že prokurátorom Európskej prokuratúry bola navrhnutá osobitná odborná príprava, ktorá im umožní oboznámiť sa s činnosťami SDEÚ;</w:t>
      </w:r>
    </w:p>
    <w:p w:rsidR="00FA0124" w:rsidRPr="00A41C02" w:rsidRDefault="00FA0124" w:rsidP="00FA0124">
      <w:pPr>
        <w:pStyle w:val="NormalHanging12a"/>
        <w:rPr>
          <w:szCs w:val="24"/>
        </w:rPr>
      </w:pPr>
      <w:r w:rsidRPr="00A41C02">
        <w:t>62.</w:t>
      </w:r>
      <w:r w:rsidRPr="00A41C02">
        <w:tab/>
        <w:t>oceňuje, že SDEÚ plne spolupracuje s úradom OLAF, Dvorom audítorov, EDPS a európskou ombudsmankou, a to aj tým, že zabezpečuje aktualizáciu svojich vnútorných rozhodnutí o vyšetrovaniach úradu OLAF s cieľom zabezpečiť súlad s najnovšími požiadavkami;</w:t>
      </w:r>
    </w:p>
    <w:p w:rsidR="00FA0124" w:rsidRPr="00A41C02" w:rsidRDefault="00FA0124" w:rsidP="00FA0124">
      <w:pPr>
        <w:pStyle w:val="NormalHanging12a"/>
        <w:rPr>
          <w:szCs w:val="24"/>
        </w:rPr>
      </w:pPr>
      <w:r w:rsidRPr="00A41C02">
        <w:t>63.</w:t>
      </w:r>
      <w:r w:rsidRPr="00A41C02">
        <w:tab/>
        <w:t>nabáda Súdny dvor EÚ, aby sa podelil s Komisiou a Úradom Európskej únie pre duševné vlastníctvo o počet prípadov duševného vlastníctva a konkrétne sporné body s cieľom preskúmať dôvody, prečo sa 30 % dotknutých žalôb na Všeobecnom súde EÚ v roku 2022 týkalo duševného vlastníctva, s cieľom pomôcť pri identifikácii možných nedostatkov v legislatívnych aktoch Únie; domnieva sa, že rozpočet Únie by sa mohol ušetriť pri riešení týchto prípadov, ak by sa konkrétny sporný bod mohol identifikovať a vyriešiť novým legislatívnym aktom Únie;</w:t>
      </w:r>
    </w:p>
    <w:p w:rsidR="00FA0124" w:rsidRPr="00A41C02" w:rsidRDefault="00FA0124" w:rsidP="00FA0124">
      <w:pPr>
        <w:pStyle w:val="NormalHanging12a"/>
        <w:rPr>
          <w:szCs w:val="24"/>
        </w:rPr>
      </w:pPr>
      <w:r w:rsidRPr="00A41C02">
        <w:t>64.</w:t>
      </w:r>
      <w:r w:rsidRPr="00A41C02">
        <w:tab/>
        <w:t>uznáva činnosti vykonávané justičnou sieťou Európskej únie, ktoré prispievajú k podpore a uľahčovaniu spolupráce medzi Súdnym dvorom a vnútroštátnymi súdmi, najmä v oblasti súdneho monitorovania, právneho výskumu, viacjazyčnej terminológie a vznikajúcich technológií, ako aj k podpore spoločného využívania najefektívnejších postupov pri výkone spravodlivosti;</w:t>
      </w:r>
    </w:p>
    <w:p w:rsidR="00FA0124" w:rsidRPr="00A41C02" w:rsidRDefault="00FA0124" w:rsidP="00FA0124">
      <w:pPr>
        <w:spacing w:after="240"/>
        <w:rPr>
          <w:b/>
          <w:szCs w:val="24"/>
        </w:rPr>
      </w:pPr>
      <w:r w:rsidRPr="00A41C02">
        <w:rPr>
          <w:b/>
        </w:rPr>
        <w:t>Komunikácia</w:t>
      </w:r>
    </w:p>
    <w:p w:rsidR="00FA0124" w:rsidRPr="00A41C02" w:rsidRDefault="00FA0124" w:rsidP="00FA0124">
      <w:pPr>
        <w:pStyle w:val="NormalHanging12a"/>
        <w:rPr>
          <w:szCs w:val="24"/>
        </w:rPr>
      </w:pPr>
      <w:r w:rsidRPr="00A41C02">
        <w:t>65.</w:t>
      </w:r>
      <w:r w:rsidRPr="00A41C02">
        <w:tab/>
        <w:t>konštatuje, že v roku 2022 bol rozpočet na komunikáciu týkajúci sa vypracovania obsahu a tlače interných a externých publikácií 527 500 EUR, čo je zvýšenie o 3,3 % oproti roku 2021;</w:t>
      </w:r>
    </w:p>
    <w:p w:rsidR="00FA0124" w:rsidRPr="00A41C02" w:rsidRDefault="00FA0124" w:rsidP="00FA0124">
      <w:pPr>
        <w:pStyle w:val="NormalHanging12a"/>
        <w:rPr>
          <w:szCs w:val="24"/>
        </w:rPr>
      </w:pPr>
      <w:r w:rsidRPr="00A41C02">
        <w:t>66.</w:t>
      </w:r>
      <w:r w:rsidRPr="00A41C02">
        <w:tab/>
        <w:t>víta skutočnosť, že SDEÚ využil svoje 70. výročie ako príležitosť na posilnenie svojej transparentnosti a komunikácie s občanmi Únie a na usporiadanie dvoch dní otvorených dverí, pričom občania mohli klásť otázky na mieste; nabáda SDEÚ, aby zvážil nadviazanie na tieto iniciatívy aj v nadchádzajúcich rokoch;</w:t>
      </w:r>
    </w:p>
    <w:p w:rsidR="00FA0124" w:rsidRPr="00A41C02" w:rsidRDefault="00FA0124" w:rsidP="00FA0124">
      <w:pPr>
        <w:pStyle w:val="NormalHanging12a"/>
        <w:rPr>
          <w:szCs w:val="24"/>
        </w:rPr>
      </w:pPr>
      <w:r w:rsidRPr="00A41C02">
        <w:t>67.</w:t>
      </w:r>
      <w:r w:rsidRPr="00A41C02">
        <w:tab/>
        <w:t xml:space="preserve">s uznaním konštatuje, že v roku 2022 SDEÚ spustil službu </w:t>
      </w:r>
      <w:proofErr w:type="spellStart"/>
      <w:r w:rsidRPr="00A41C02">
        <w:t>streamovania</w:t>
      </w:r>
      <w:proofErr w:type="spellEnd"/>
      <w:r w:rsidRPr="00A41C02">
        <w:t xml:space="preserve"> pojednávaní vo veciach pridelených veľkej komore, čo verejnosti poskytuje možnosť lepšie pochopiť, ako SDEÚ funguje; nabáda Súdny dvor, aby rozšíril túto iniciatívu s cieľom zabezpečiť väčšiu transparentnosť;</w:t>
      </w:r>
    </w:p>
    <w:p w:rsidR="00FA0124" w:rsidRPr="00A41C02" w:rsidRDefault="00FA0124" w:rsidP="00FA0124">
      <w:pPr>
        <w:pStyle w:val="NormalHanging12a"/>
        <w:rPr>
          <w:szCs w:val="24"/>
        </w:rPr>
      </w:pPr>
      <w:r w:rsidRPr="00A41C02">
        <w:t>68.</w:t>
      </w:r>
      <w:r w:rsidRPr="00A41C02">
        <w:tab/>
        <w:t xml:space="preserve">víta skutočnosť, že SDEÚ sa aktívne zúčastňuje na projekte EU </w:t>
      </w:r>
      <w:proofErr w:type="spellStart"/>
      <w:r w:rsidRPr="00A41C02">
        <w:t>Voice</w:t>
      </w:r>
      <w:proofErr w:type="spellEnd"/>
      <w:r w:rsidRPr="00A41C02">
        <w:t>, ktorý spustil EDPS a ktorého cieľom je nadviazať komunikáciu s verejnosťou a propagovať využívanie decentralizovaných, slobodných sociálnych sietí s otvoreným zdrojovým kódom ako alternatívu k sociálnym sieťam podliehajúcim vlastníckemu právu;</w:t>
      </w:r>
    </w:p>
    <w:p w:rsidR="00FA0124" w:rsidRPr="00A41C02" w:rsidRDefault="00FA0124" w:rsidP="00FA0124">
      <w:pPr>
        <w:pStyle w:val="NormalHanging12a"/>
        <w:rPr>
          <w:szCs w:val="24"/>
        </w:rPr>
      </w:pPr>
      <w:r w:rsidRPr="00A41C02">
        <w:lastRenderedPageBreak/>
        <w:t>69.</w:t>
      </w:r>
      <w:r w:rsidRPr="00A41C02">
        <w:tab/>
        <w:t xml:space="preserve">zastáva názor, že vzhľadom na to, že od Súdneho dvora sa čoraz viac vyžaduje, aby rozhodoval o veciach ústavnej povahy a veciach súvisiacich s ľudskými právami a Chartou základných práv, mala by sa posilniť transparentnosť a otvorenosť súdneho procesu EÚ; v tejto súvislosti víta vytvorenie systému </w:t>
      </w:r>
      <w:proofErr w:type="spellStart"/>
      <w:r w:rsidRPr="00A41C02">
        <w:t>streamovania</w:t>
      </w:r>
      <w:proofErr w:type="spellEnd"/>
      <w:r w:rsidRPr="00A41C02">
        <w:t xml:space="preserve"> pojednávaní Súdneho dvora, ktorý slúži na posilnenie občianskeho rozmeru Súdneho dvora tým, že ho viac sprístupňuje širokej verejnosti; v tejto súvislosti zdôrazňuje, že nový systému </w:t>
      </w:r>
      <w:proofErr w:type="spellStart"/>
      <w:r w:rsidRPr="00A41C02">
        <w:t>streamovania</w:t>
      </w:r>
      <w:proofErr w:type="spellEnd"/>
      <w:r w:rsidRPr="00A41C02">
        <w:t xml:space="preserve"> je potrebné postupne doplniť o ďalšie externé komunikačné prostriedky, ktoré umožnia lepšie zviditeľniť prácu inštitúcie;</w:t>
      </w:r>
    </w:p>
    <w:p w:rsidR="00FA0124" w:rsidRPr="00A41C02" w:rsidRDefault="00FA0124" w:rsidP="00FA0124">
      <w:pPr>
        <w:pStyle w:val="NormalHanging12a"/>
        <w:rPr>
          <w:szCs w:val="24"/>
        </w:rPr>
      </w:pPr>
      <w:r w:rsidRPr="00A41C02">
        <w:t>70.</w:t>
      </w:r>
      <w:r w:rsidRPr="00A41C02">
        <w:tab/>
        <w:t>víta skutočnosť, že iniciatíva ponúkajúca návštevy SDEÚ na diaľku bola spustená v roku 2022 po ukončení pilotnej fázy v roku 2021, vďaka ktorej mladí ľudia vo veku od 15 do 18 rokov môžu pochopiť, ako funguje SDEÚ a ako judikatúra ovplyvňuje ich každodenný život, a lepšie porozumieť svojim právam ako občanov Únie a demokratickým hodnotám Únie; nabáda SDEÚ, aby rozšíril tieto návštevy na diaľku zamerané na mladých ľudí vo veku od 15 do 29 rokov; vyzýva Súdny dvor EÚ, aby ponúkal návštevy na diaľku aj občanom všetkých vekových kategórií a zdôrazňuje, že návštevy na diaľku by mali byť čo najprístupnejšie pre všetkých Európanov;</w:t>
      </w:r>
    </w:p>
    <w:p w:rsidR="00FA0124" w:rsidRPr="00A41C02" w:rsidRDefault="00FA0124" w:rsidP="00FA0124">
      <w:pPr>
        <w:pStyle w:val="NormalHanging12a"/>
        <w:rPr>
          <w:szCs w:val="24"/>
        </w:rPr>
      </w:pPr>
      <w:r w:rsidRPr="00A41C02">
        <w:t>71.</w:t>
      </w:r>
      <w:r w:rsidRPr="00A41C02">
        <w:tab/>
        <w:t xml:space="preserve">konštatuje, že SDEÚ sa spolu s niekoľkými ďalšími inštitúciami Únie aktívne zúčastňuje na projekte, ktorý začal EDPS, s pravidelnými publikáciami na decentralizovanom sociálnom médiu </w:t>
      </w:r>
      <w:proofErr w:type="spellStart"/>
      <w:r w:rsidRPr="00A41C02">
        <w:t>Mastodon</w:t>
      </w:r>
      <w:proofErr w:type="spellEnd"/>
      <w:r w:rsidRPr="00A41C02">
        <w:t xml:space="preserve">, ktoré využíva slobodný softvér a softvér s otvoreným zdrojovým kódom; konštatuje, že SDEÚ využíva aj platformy X (predtým Twitter) a LinkedIn a že pokračoval v predchádzajúcej praxi zverejňovania na platformách X (predtým Twitter) a </w:t>
      </w:r>
      <w:proofErr w:type="spellStart"/>
      <w:r w:rsidRPr="00A41C02">
        <w:t>Mastodon</w:t>
      </w:r>
      <w:proofErr w:type="spellEnd"/>
      <w:r w:rsidRPr="00A41C02">
        <w:t>, keď sa našlo technické riešenie umožňujúce automatizovanú súbežnú publikáciu. nabáda SDEÚ, aby pravidelne zverejňoval príspevky tam, kde je prítomný na platforme sociálnych médií, aby sa vyhol stagnácii účtov na sociálnych sieťach, pretože to môže vyvolať dojem nečinnosti v každodennej práci SDEÚ.</w:t>
      </w:r>
    </w:p>
    <w:sectPr w:rsidR="00FA0124" w:rsidRPr="00A41C02" w:rsidSect="00EA2CD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99E" w:rsidRPr="00EA2CD7" w:rsidRDefault="000C599E">
      <w:r w:rsidRPr="00EA2CD7">
        <w:separator/>
      </w:r>
    </w:p>
  </w:endnote>
  <w:endnote w:type="continuationSeparator" w:id="0">
    <w:p w:rsidR="000C599E" w:rsidRPr="00EA2CD7" w:rsidRDefault="000C599E">
      <w:r w:rsidRPr="00EA2C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124" w:rsidRPr="00EA2CD7" w:rsidRDefault="00FA0124" w:rsidP="00586CDA">
    <w:pPr>
      <w:pStyle w:val="EPFooter"/>
    </w:pPr>
    <w:r w:rsidRPr="00EA2CD7">
      <w:t>PE</w:t>
    </w:r>
    <w:r w:rsidRPr="00EA2CD7">
      <w:rPr>
        <w:rStyle w:val="HideTWBExt"/>
      </w:rPr>
      <w:t>&lt;NoPE&gt;</w:t>
    </w:r>
    <w:r w:rsidRPr="00EA2CD7">
      <w:t>753.480</w:t>
    </w:r>
    <w:r w:rsidRPr="00EA2CD7">
      <w:rPr>
        <w:rStyle w:val="HideTWBExt"/>
      </w:rPr>
      <w:t>&lt;/NoPE&gt;&lt;Version&gt;</w:t>
    </w:r>
    <w:r w:rsidRPr="00EA2CD7">
      <w:t>v02-00</w:t>
    </w:r>
    <w:r w:rsidRPr="00EA2CD7">
      <w:rPr>
        <w:rStyle w:val="HideTWBExt"/>
      </w:rPr>
      <w:t>&lt;/Version&gt;</w:t>
    </w:r>
    <w:r w:rsidRPr="00EA2CD7">
      <w:tab/>
    </w:r>
    <w:r w:rsidRPr="00EA2CD7">
      <w:fldChar w:fldCharType="begin"/>
    </w:r>
    <w:r w:rsidRPr="00EA2CD7">
      <w:instrText xml:space="preserve"> PAGE  \* MERGEFORMAT </w:instrText>
    </w:r>
    <w:r w:rsidRPr="00EA2CD7">
      <w:fldChar w:fldCharType="separate"/>
    </w:r>
    <w:r w:rsidR="00EA2CD7" w:rsidRPr="00EA2CD7">
      <w:rPr>
        <w:noProof/>
      </w:rPr>
      <w:t>2</w:t>
    </w:r>
    <w:r w:rsidRPr="00EA2CD7">
      <w:fldChar w:fldCharType="end"/>
    </w:r>
    <w:r w:rsidRPr="00EA2CD7">
      <w:t>/</w:t>
    </w:r>
    <w:r w:rsidR="001E250E">
      <w:fldChar w:fldCharType="begin"/>
    </w:r>
    <w:r w:rsidR="001E250E">
      <w:instrText xml:space="preserve"> NUMPAGES  \* MERGEFORMAT </w:instrText>
    </w:r>
    <w:r w:rsidR="001E250E">
      <w:fldChar w:fldCharType="separate"/>
    </w:r>
    <w:r w:rsidR="00EA2CD7" w:rsidRPr="00EA2CD7">
      <w:rPr>
        <w:noProof/>
      </w:rPr>
      <w:t>4</w:t>
    </w:r>
    <w:r w:rsidR="001E250E">
      <w:rPr>
        <w:noProof/>
      </w:rPr>
      <w:fldChar w:fldCharType="end"/>
    </w:r>
    <w:r w:rsidRPr="00EA2CD7">
      <w:tab/>
    </w:r>
    <w:r w:rsidRPr="00EA2CD7">
      <w:rPr>
        <w:rStyle w:val="HideTWBExt"/>
      </w:rPr>
      <w:t>&lt;PathFdR&gt;</w:t>
    </w:r>
    <w:r w:rsidRPr="00EA2CD7">
      <w:t>RR\1298529SK.docx</w:t>
    </w:r>
    <w:r w:rsidRPr="00EA2CD7">
      <w:rPr>
        <w:rStyle w:val="HideTWBExt"/>
      </w:rPr>
      <w:t>&lt;/PathFdR&gt;</w:t>
    </w:r>
  </w:p>
  <w:p w:rsidR="00FA0124" w:rsidRPr="00EA2CD7" w:rsidRDefault="00FA0124" w:rsidP="00586CDA">
    <w:pPr>
      <w:pStyle w:val="EPFooter2"/>
    </w:pPr>
    <w:r w:rsidRPr="00EA2CD7">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124" w:rsidRPr="00EA2CD7" w:rsidRDefault="00FA0124" w:rsidP="00586CDA">
    <w:pPr>
      <w:pStyle w:val="EPFooter"/>
    </w:pPr>
    <w:r w:rsidRPr="00EA2CD7">
      <w:rPr>
        <w:rStyle w:val="HideTWBExt"/>
      </w:rPr>
      <w:t>&lt;PathFdR&gt;</w:t>
    </w:r>
    <w:r w:rsidRPr="00EA2CD7">
      <w:t>RR\1298529SK.docx</w:t>
    </w:r>
    <w:r w:rsidRPr="00EA2CD7">
      <w:rPr>
        <w:rStyle w:val="HideTWBExt"/>
      </w:rPr>
      <w:t>&lt;/PathFdR&gt;</w:t>
    </w:r>
    <w:r w:rsidRPr="00EA2CD7">
      <w:tab/>
    </w:r>
    <w:r w:rsidRPr="00EA2CD7">
      <w:tab/>
      <w:t>PE</w:t>
    </w:r>
    <w:r w:rsidRPr="00EA2CD7">
      <w:rPr>
        <w:rStyle w:val="HideTWBExt"/>
      </w:rPr>
      <w:t>&lt;NoPE&gt;</w:t>
    </w:r>
    <w:r w:rsidRPr="00EA2CD7">
      <w:t>753.480</w:t>
    </w:r>
    <w:r w:rsidRPr="00EA2CD7">
      <w:rPr>
        <w:rStyle w:val="HideTWBExt"/>
      </w:rPr>
      <w:t>&lt;/NoPE&gt;&lt;Version&gt;</w:t>
    </w:r>
    <w:r w:rsidRPr="00EA2CD7">
      <w:t>v02-00</w:t>
    </w:r>
    <w:r w:rsidRPr="00EA2CD7">
      <w:rPr>
        <w:rStyle w:val="HideTWBExt"/>
      </w:rPr>
      <w:t>&lt;/Version&gt;</w:t>
    </w:r>
  </w:p>
  <w:p w:rsidR="00FA0124" w:rsidRPr="00EA2CD7" w:rsidRDefault="00FA0124" w:rsidP="00586CDA">
    <w:pPr>
      <w:pStyle w:val="EPFooter2"/>
    </w:pPr>
    <w:r w:rsidRPr="00EA2CD7">
      <w:t>SK</w:t>
    </w:r>
    <w:r w:rsidRPr="00EA2CD7">
      <w:tab/>
    </w:r>
    <w:r w:rsidRPr="00EA2CD7">
      <w:rPr>
        <w:b w:val="0"/>
        <w:i/>
        <w:color w:val="C0C0C0"/>
        <w:sz w:val="22"/>
      </w:rPr>
      <w:t>Zjednotení v rozmanitosti</w:t>
    </w:r>
    <w:r w:rsidRPr="00EA2CD7">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CD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CD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C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99E" w:rsidRPr="00EA2CD7" w:rsidRDefault="000C599E">
      <w:r w:rsidRPr="00EA2CD7">
        <w:separator/>
      </w:r>
    </w:p>
  </w:footnote>
  <w:footnote w:type="continuationSeparator" w:id="0">
    <w:p w:rsidR="000C599E" w:rsidRPr="00EA2CD7" w:rsidRDefault="000C599E">
      <w:r w:rsidRPr="00EA2CD7">
        <w:continuationSeparator/>
      </w:r>
    </w:p>
  </w:footnote>
  <w:footnote w:id="1">
    <w:p w:rsidR="00FA0124" w:rsidRPr="00EA2CD7" w:rsidRDefault="00FA0124" w:rsidP="00EA2CD7">
      <w:pPr>
        <w:pStyle w:val="FootnoteText"/>
        <w:ind w:left="567" w:hanging="567"/>
        <w:rPr>
          <w:sz w:val="24"/>
          <w:lang w:val="sk-SK"/>
        </w:rPr>
      </w:pPr>
      <w:r w:rsidRPr="00EA2CD7">
        <w:rPr>
          <w:rStyle w:val="FootnoteReference"/>
          <w:sz w:val="24"/>
          <w:lang w:val="sk-SK"/>
        </w:rPr>
        <w:footnoteRef/>
      </w:r>
      <w:r w:rsidR="00EA2CD7" w:rsidRPr="00EA2CD7">
        <w:rPr>
          <w:sz w:val="24"/>
          <w:lang w:val="sk-SK"/>
        </w:rPr>
        <w:t xml:space="preserve"> </w:t>
      </w:r>
      <w:r w:rsidR="00EA2CD7" w:rsidRPr="00EA2CD7">
        <w:rPr>
          <w:sz w:val="24"/>
          <w:lang w:val="sk-SK"/>
        </w:rPr>
        <w:tab/>
      </w:r>
      <w:r w:rsidRPr="00EA2CD7">
        <w:rPr>
          <w:sz w:val="24"/>
          <w:lang w:val="sk-SK"/>
        </w:rPr>
        <w:t>Ú. v. EÚ L 45, 24.2.2022.</w:t>
      </w:r>
    </w:p>
  </w:footnote>
  <w:footnote w:id="2">
    <w:p w:rsidR="00FA0124" w:rsidRPr="00EA2CD7" w:rsidRDefault="00FA0124" w:rsidP="00EA2CD7">
      <w:pPr>
        <w:pStyle w:val="FootnoteText"/>
        <w:ind w:left="567" w:hanging="567"/>
        <w:rPr>
          <w:sz w:val="24"/>
          <w:lang w:val="sk-SK"/>
        </w:rPr>
      </w:pPr>
      <w:r w:rsidRPr="00EA2CD7">
        <w:rPr>
          <w:rStyle w:val="FootnoteReference"/>
          <w:sz w:val="24"/>
          <w:lang w:val="sk-SK"/>
        </w:rPr>
        <w:footnoteRef/>
      </w:r>
      <w:r w:rsidR="00EA2CD7" w:rsidRPr="00EA2CD7">
        <w:rPr>
          <w:sz w:val="24"/>
          <w:lang w:val="sk-SK"/>
        </w:rPr>
        <w:t xml:space="preserve"> </w:t>
      </w:r>
      <w:r w:rsidR="00EA2CD7" w:rsidRPr="00EA2CD7">
        <w:rPr>
          <w:sz w:val="24"/>
          <w:lang w:val="sk-SK"/>
        </w:rPr>
        <w:tab/>
      </w:r>
      <w:r w:rsidRPr="00EA2CD7">
        <w:rPr>
          <w:sz w:val="24"/>
          <w:lang w:val="sk-SK"/>
        </w:rPr>
        <w:t xml:space="preserve">Ú. v. </w:t>
      </w:r>
      <w:r w:rsidRPr="00EA2CD7">
        <w:rPr>
          <w:sz w:val="24"/>
          <w:lang w:val="sk-SK"/>
        </w:rPr>
        <w:t xml:space="preserve">EÚ </w:t>
      </w:r>
      <w:r w:rsidR="001E250E">
        <w:rPr>
          <w:sz w:val="24"/>
          <w:lang w:val="sk-SK"/>
        </w:rPr>
        <w:t xml:space="preserve">C, </w:t>
      </w:r>
      <w:r w:rsidRPr="00EA2CD7">
        <w:rPr>
          <w:sz w:val="24"/>
          <w:lang w:val="sk-SK"/>
        </w:rPr>
        <w:t>C/2023/2, 12.10.2023.</w:t>
      </w:r>
    </w:p>
  </w:footnote>
  <w:footnote w:id="3">
    <w:p w:rsidR="00FA0124" w:rsidRPr="00EA2CD7" w:rsidRDefault="00FA0124" w:rsidP="00EA2CD7">
      <w:pPr>
        <w:pStyle w:val="FootnoteText"/>
        <w:ind w:left="567" w:hanging="567"/>
        <w:rPr>
          <w:sz w:val="24"/>
          <w:lang w:val="sk-SK"/>
        </w:rPr>
      </w:pPr>
      <w:r w:rsidRPr="00EA2CD7">
        <w:rPr>
          <w:rStyle w:val="FootnoteReference"/>
          <w:sz w:val="24"/>
          <w:lang w:val="sk-SK"/>
        </w:rPr>
        <w:footnoteRef/>
      </w:r>
      <w:r w:rsidR="00EA2CD7" w:rsidRPr="00EA2CD7">
        <w:rPr>
          <w:sz w:val="24"/>
          <w:lang w:val="sk-SK"/>
        </w:rPr>
        <w:t xml:space="preserve"> </w:t>
      </w:r>
      <w:r w:rsidR="00EA2CD7" w:rsidRPr="00EA2CD7">
        <w:rPr>
          <w:sz w:val="24"/>
          <w:lang w:val="sk-SK"/>
        </w:rPr>
        <w:tab/>
      </w:r>
      <w:r w:rsidRPr="00EA2CD7">
        <w:rPr>
          <w:sz w:val="24"/>
          <w:lang w:val="sk-SK"/>
        </w:rPr>
        <w:t xml:space="preserve">Ú. v. </w:t>
      </w:r>
      <w:r w:rsidRPr="00EA2CD7">
        <w:rPr>
          <w:sz w:val="24"/>
          <w:lang w:val="sk-SK"/>
        </w:rPr>
        <w:t xml:space="preserve">EÚ </w:t>
      </w:r>
      <w:r w:rsidR="001E250E">
        <w:rPr>
          <w:sz w:val="24"/>
          <w:lang w:val="sk-SK"/>
        </w:rPr>
        <w:t xml:space="preserve">C, </w:t>
      </w:r>
      <w:r w:rsidRPr="00EA2CD7">
        <w:rPr>
          <w:sz w:val="24"/>
          <w:lang w:val="sk-SK"/>
        </w:rPr>
        <w:t>C/2023/103, 4.10.2023.</w:t>
      </w:r>
    </w:p>
  </w:footnote>
  <w:footnote w:id="4">
    <w:p w:rsidR="00FA0124" w:rsidRPr="00EA2CD7" w:rsidRDefault="00FA0124" w:rsidP="00EA2CD7">
      <w:pPr>
        <w:pStyle w:val="FootnoteText"/>
        <w:ind w:left="567" w:hanging="567"/>
        <w:rPr>
          <w:sz w:val="24"/>
          <w:lang w:val="sk-SK"/>
        </w:rPr>
      </w:pPr>
      <w:r w:rsidRPr="00EA2CD7">
        <w:rPr>
          <w:rStyle w:val="FootnoteReference"/>
          <w:sz w:val="24"/>
          <w:lang w:val="sk-SK"/>
        </w:rPr>
        <w:footnoteRef/>
      </w:r>
      <w:r w:rsidR="00EA2CD7" w:rsidRPr="00EA2CD7">
        <w:rPr>
          <w:sz w:val="24"/>
          <w:lang w:val="sk-SK"/>
        </w:rPr>
        <w:t xml:space="preserve"> </w:t>
      </w:r>
      <w:r w:rsidR="00EA2CD7" w:rsidRPr="00EA2CD7">
        <w:rPr>
          <w:sz w:val="24"/>
          <w:lang w:val="sk-SK"/>
        </w:rPr>
        <w:tab/>
      </w:r>
      <w:r w:rsidRPr="00EA2CD7">
        <w:rPr>
          <w:sz w:val="24"/>
          <w:lang w:val="sk-SK"/>
        </w:rPr>
        <w:t>Ú. v. EÚ C, C/2023/112, 12.10.2023.</w:t>
      </w:r>
    </w:p>
  </w:footnote>
  <w:footnote w:id="5">
    <w:p w:rsidR="00FA0124" w:rsidRPr="00EA2CD7" w:rsidRDefault="00FA0124" w:rsidP="00EA2CD7">
      <w:pPr>
        <w:pStyle w:val="FootnoteText"/>
        <w:ind w:left="567" w:hanging="567"/>
        <w:rPr>
          <w:sz w:val="24"/>
          <w:szCs w:val="24"/>
          <w:lang w:val="sk-SK"/>
        </w:rPr>
      </w:pPr>
      <w:r w:rsidRPr="00EA2CD7">
        <w:rPr>
          <w:rStyle w:val="FootnoteReference"/>
          <w:sz w:val="24"/>
          <w:lang w:val="sk-SK"/>
        </w:rPr>
        <w:footnoteRef/>
      </w:r>
      <w:r w:rsidR="00EA2CD7" w:rsidRPr="00EA2CD7">
        <w:rPr>
          <w:sz w:val="24"/>
          <w:lang w:val="sk-SK"/>
        </w:rPr>
        <w:t xml:space="preserve"> </w:t>
      </w:r>
      <w:r w:rsidR="00EA2CD7" w:rsidRPr="00EA2CD7">
        <w:rPr>
          <w:sz w:val="24"/>
          <w:lang w:val="sk-SK"/>
        </w:rPr>
        <w:tab/>
      </w:r>
      <w:r w:rsidRPr="00EA2CD7">
        <w:rPr>
          <w:sz w:val="24"/>
          <w:lang w:val="sk-SK"/>
        </w:rPr>
        <w:t>Ú. v. EÚ L 193, 30.7.2018,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C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C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C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SK"/>
    <w:docVar w:name="dvnumam" w:val="0"/>
    <w:docVar w:name="dvpe" w:val="753.480"/>
    <w:docVar w:name="dvrapporteur" w:val="Spravodajca: "/>
    <w:docVar w:name="dvtitre" w:val="Rozhodnutie Európskeho parlamentu z xx. apríla 2024 o absolutóriu za plnenie všeobecného rozpočtu Európskej únie za rozpočtový rok 2022, oddiel IV – Súdny dvor Európskej únie(2023/2132(DEC))"/>
  </w:docVars>
  <w:rsids>
    <w:rsidRoot w:val="000C599E"/>
    <w:rsid w:val="00002272"/>
    <w:rsid w:val="00064002"/>
    <w:rsid w:val="000677B9"/>
    <w:rsid w:val="000831BA"/>
    <w:rsid w:val="000A42CC"/>
    <w:rsid w:val="000B5D43"/>
    <w:rsid w:val="000C599E"/>
    <w:rsid w:val="000D38CA"/>
    <w:rsid w:val="000E7DD9"/>
    <w:rsid w:val="0010095E"/>
    <w:rsid w:val="00125B37"/>
    <w:rsid w:val="00187494"/>
    <w:rsid w:val="001E250E"/>
    <w:rsid w:val="001F32AE"/>
    <w:rsid w:val="002767FF"/>
    <w:rsid w:val="002B18FE"/>
    <w:rsid w:val="002B5493"/>
    <w:rsid w:val="00343214"/>
    <w:rsid w:val="00361C00"/>
    <w:rsid w:val="00395FA1"/>
    <w:rsid w:val="003B7F0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6B8D"/>
    <w:rsid w:val="007C1631"/>
    <w:rsid w:val="007D1690"/>
    <w:rsid w:val="007E22AD"/>
    <w:rsid w:val="00817416"/>
    <w:rsid w:val="00842779"/>
    <w:rsid w:val="00865F67"/>
    <w:rsid w:val="00881A7B"/>
    <w:rsid w:val="008840E5"/>
    <w:rsid w:val="00887B3E"/>
    <w:rsid w:val="008C2AC6"/>
    <w:rsid w:val="00930C23"/>
    <w:rsid w:val="0093193B"/>
    <w:rsid w:val="009509D8"/>
    <w:rsid w:val="00950B64"/>
    <w:rsid w:val="00954B47"/>
    <w:rsid w:val="00981893"/>
    <w:rsid w:val="00A1687D"/>
    <w:rsid w:val="00A22AD7"/>
    <w:rsid w:val="00A41C0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CD7"/>
    <w:rsid w:val="00EB006A"/>
    <w:rsid w:val="00EB4772"/>
    <w:rsid w:val="00ED169E"/>
    <w:rsid w:val="00ED4235"/>
    <w:rsid w:val="00F04346"/>
    <w:rsid w:val="00F075DC"/>
    <w:rsid w:val="00F149E9"/>
    <w:rsid w:val="00F5134D"/>
    <w:rsid w:val="00F74202"/>
    <w:rsid w:val="00F87713"/>
    <w:rsid w:val="00FA012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AA80A"/>
  <w15:chartTrackingRefBased/>
  <w15:docId w15:val="{B4B976DC-0110-4F54-9429-D39A44FEB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012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0124"/>
    <w:pPr>
      <w:spacing w:before="480" w:after="240"/>
    </w:pPr>
  </w:style>
  <w:style w:type="paragraph" w:customStyle="1" w:styleId="PageHeading">
    <w:name w:val="PageHeading"/>
    <w:basedOn w:val="Normal"/>
    <w:rsid w:val="00FA0124"/>
    <w:pPr>
      <w:keepNext/>
      <w:spacing w:after="480"/>
      <w:jc w:val="center"/>
    </w:pPr>
    <w:rPr>
      <w:rFonts w:ascii="Arial" w:hAnsi="Arial" w:cs="Arial"/>
      <w:b/>
    </w:rPr>
  </w:style>
  <w:style w:type="paragraph" w:customStyle="1" w:styleId="NormalBold">
    <w:name w:val="NormalBold"/>
    <w:basedOn w:val="Normal"/>
    <w:rsid w:val="00FA0124"/>
    <w:rPr>
      <w:b/>
    </w:rPr>
  </w:style>
  <w:style w:type="paragraph" w:customStyle="1" w:styleId="NormalHanging12a">
    <w:name w:val="NormalHanging12a"/>
    <w:basedOn w:val="Normal"/>
    <w:link w:val="NormalHanging12aChar"/>
    <w:qFormat/>
    <w:rsid w:val="00FA0124"/>
    <w:pPr>
      <w:spacing w:after="240"/>
      <w:ind w:left="567" w:hanging="567"/>
    </w:pPr>
  </w:style>
  <w:style w:type="paragraph" w:styleId="Header">
    <w:name w:val="header"/>
    <w:basedOn w:val="Normal"/>
    <w:link w:val="HeaderChar"/>
    <w:rsid w:val="00FA0124"/>
    <w:pPr>
      <w:tabs>
        <w:tab w:val="center" w:pos="4513"/>
        <w:tab w:val="right" w:pos="9026"/>
      </w:tabs>
    </w:pPr>
  </w:style>
  <w:style w:type="character" w:customStyle="1" w:styleId="HeaderChar">
    <w:name w:val="Header Char"/>
    <w:basedOn w:val="DefaultParagraphFont"/>
    <w:link w:val="Header"/>
    <w:rsid w:val="00FA0124"/>
    <w:rPr>
      <w:sz w:val="24"/>
      <w:lang w:val="sk-SK"/>
    </w:rPr>
  </w:style>
  <w:style w:type="paragraph" w:customStyle="1" w:styleId="EPFooter">
    <w:name w:val="EPFooter"/>
    <w:basedOn w:val="Normal"/>
    <w:rsid w:val="00FA012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A0124"/>
    <w:rPr>
      <w:sz w:val="24"/>
      <w:lang w:val="sk-SK"/>
    </w:rPr>
  </w:style>
  <w:style w:type="paragraph" w:styleId="Footer">
    <w:name w:val="footer"/>
    <w:basedOn w:val="Normal"/>
    <w:link w:val="FooterChar"/>
    <w:rsid w:val="000D38CA"/>
    <w:pPr>
      <w:tabs>
        <w:tab w:val="center" w:pos="4513"/>
        <w:tab w:val="right" w:pos="9026"/>
      </w:tabs>
    </w:pPr>
  </w:style>
  <w:style w:type="character" w:customStyle="1" w:styleId="FooterChar">
    <w:name w:val="Footer Char"/>
    <w:basedOn w:val="DefaultParagraphFont"/>
    <w:link w:val="Footer"/>
    <w:rsid w:val="000D38CA"/>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D4A3A-08C1-4551-BBFD-7F8400F49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5303</Words>
  <Characters>31000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Karina Pesa</cp:lastModifiedBy>
  <cp:revision>3</cp:revision>
  <cp:lastPrinted>2004-11-19T15:42:00Z</cp:lastPrinted>
  <dcterms:created xsi:type="dcterms:W3CDTF">2024-04-11T10:46:00Z</dcterms:created>
  <dcterms:modified xsi:type="dcterms:W3CDTF">2024-10-31T10:53:00Z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A9-0075/2024</vt:lpwstr>
  </property>
  <property fmtid="{D5CDD505-2E9C-101B-9397-08002B2CF9AE}" pid="4" name="&lt;Type&gt;">
    <vt:lpwstr>RR</vt:lpwstr>
  </property>
</Properties>
</file>