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73752" w:rsidTr="0010095E">
        <w:trPr>
          <w:trHeight w:hRule="exact" w:val="1418"/>
        </w:trPr>
        <w:tc>
          <w:tcPr>
            <w:tcW w:w="6804" w:type="dxa"/>
            <w:shd w:val="clear" w:color="auto" w:fill="auto"/>
            <w:vAlign w:val="center"/>
          </w:tcPr>
          <w:p w:rsidR="00751A4A" w:rsidRPr="00173752" w:rsidRDefault="003B59AC" w:rsidP="0010095E">
            <w:pPr>
              <w:pStyle w:val="EPName"/>
            </w:pPr>
            <w:r w:rsidRPr="00173752">
              <w:t>Evropski parlament</w:t>
            </w:r>
          </w:p>
          <w:p w:rsidR="00751A4A" w:rsidRPr="00173752" w:rsidRDefault="00817416" w:rsidP="00756632">
            <w:pPr>
              <w:pStyle w:val="EPTerm"/>
              <w:rPr>
                <w:rStyle w:val="HideTWBExt"/>
                <w:noProof w:val="0"/>
                <w:vanish w:val="0"/>
                <w:color w:val="auto"/>
              </w:rPr>
            </w:pPr>
            <w:r w:rsidRPr="00173752">
              <w:t>2019-2024</w:t>
            </w:r>
          </w:p>
        </w:tc>
        <w:tc>
          <w:tcPr>
            <w:tcW w:w="2268" w:type="dxa"/>
            <w:shd w:val="clear" w:color="auto" w:fill="auto"/>
          </w:tcPr>
          <w:p w:rsidR="00751A4A" w:rsidRPr="00173752" w:rsidRDefault="00187494" w:rsidP="0010095E">
            <w:pPr>
              <w:pStyle w:val="EPLogo"/>
            </w:pPr>
            <w:r w:rsidRPr="0017375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73752" w:rsidRDefault="00D058B8" w:rsidP="004C5D52">
      <w:pPr>
        <w:pStyle w:val="LineTop"/>
      </w:pPr>
    </w:p>
    <w:p w:rsidR="00680577" w:rsidRPr="00173752" w:rsidRDefault="003B59AC" w:rsidP="00680577">
      <w:pPr>
        <w:pStyle w:val="EPBodyTA1"/>
      </w:pPr>
      <w:r w:rsidRPr="00173752">
        <w:t>SPREJETA BESEDILA</w:t>
      </w:r>
    </w:p>
    <w:p w:rsidR="00D058B8" w:rsidRPr="00173752" w:rsidRDefault="00D058B8" w:rsidP="00D058B8">
      <w:pPr>
        <w:pStyle w:val="LineBottom"/>
      </w:pPr>
    </w:p>
    <w:p w:rsidR="003B59AC" w:rsidRPr="00173752" w:rsidRDefault="003B59AC" w:rsidP="002B0816">
      <w:pPr>
        <w:pStyle w:val="ATHeading1"/>
      </w:pPr>
      <w:bookmarkStart w:id="0" w:name="TANumber"/>
      <w:r w:rsidRPr="00173752">
        <w:t>P9_TA(2024)0</w:t>
      </w:r>
      <w:r w:rsidR="002B0816">
        <w:t>23</w:t>
      </w:r>
      <w:bookmarkEnd w:id="0"/>
      <w:r w:rsidR="00261F83">
        <w:t>0</w:t>
      </w:r>
    </w:p>
    <w:p w:rsidR="003B59AC" w:rsidRPr="00173752" w:rsidRDefault="003B59AC" w:rsidP="003B59AC">
      <w:pPr>
        <w:pStyle w:val="ATHeading2"/>
      </w:pPr>
      <w:bookmarkStart w:id="1" w:name="title"/>
      <w:r w:rsidRPr="00173752">
        <w:t>Razrešnica za leto 2022: splošni proračun EU – Sodišče Evropske unije</w:t>
      </w:r>
      <w:bookmarkEnd w:id="1"/>
    </w:p>
    <w:p w:rsidR="003B59AC" w:rsidRPr="00173752" w:rsidRDefault="003B59AC" w:rsidP="003B59AC">
      <w:pPr>
        <w:rPr>
          <w:i/>
          <w:vanish/>
        </w:rPr>
      </w:pPr>
      <w:r w:rsidRPr="00173752">
        <w:rPr>
          <w:i/>
        </w:rPr>
        <w:fldChar w:fldCharType="begin"/>
      </w:r>
      <w:r w:rsidRPr="00173752">
        <w:rPr>
          <w:i/>
        </w:rPr>
        <w:instrText xml:space="preserve"> TC"(</w:instrText>
      </w:r>
      <w:bookmarkStart w:id="2" w:name="DocNumber"/>
      <w:r w:rsidRPr="00173752">
        <w:rPr>
          <w:i/>
        </w:rPr>
        <w:instrText>A9-0075/2024</w:instrText>
      </w:r>
      <w:bookmarkEnd w:id="2"/>
      <w:r w:rsidRPr="00173752">
        <w:rPr>
          <w:i/>
        </w:rPr>
        <w:instrText xml:space="preserve"> - Poročevalec: Luke Ming Flanagan)"\l3 \n&gt; \* MERGEFORMAT </w:instrText>
      </w:r>
      <w:r w:rsidRPr="00173752">
        <w:rPr>
          <w:i/>
        </w:rPr>
        <w:fldChar w:fldCharType="end"/>
      </w:r>
    </w:p>
    <w:p w:rsidR="003B59AC" w:rsidRPr="00173752" w:rsidRDefault="003B59AC" w:rsidP="003B59AC">
      <w:pPr>
        <w:rPr>
          <w:vanish/>
        </w:rPr>
      </w:pPr>
      <w:bookmarkStart w:id="3" w:name="Commission"/>
      <w:r w:rsidRPr="00173752">
        <w:rPr>
          <w:vanish/>
        </w:rPr>
        <w:t>Odbor za proračunski nadzor</w:t>
      </w:r>
      <w:bookmarkEnd w:id="3"/>
    </w:p>
    <w:p w:rsidR="003B59AC" w:rsidRPr="00173752" w:rsidRDefault="003B59AC" w:rsidP="003B59AC">
      <w:pPr>
        <w:rPr>
          <w:vanish/>
        </w:rPr>
      </w:pPr>
      <w:bookmarkStart w:id="4" w:name="PE"/>
      <w:r w:rsidRPr="00173752">
        <w:rPr>
          <w:vanish/>
        </w:rPr>
        <w:t>PE753.480</w:t>
      </w:r>
      <w:bookmarkEnd w:id="4"/>
    </w:p>
    <w:p w:rsidR="003B59AC" w:rsidRPr="00173752" w:rsidRDefault="003B59AC" w:rsidP="003B59AC">
      <w:pPr>
        <w:pStyle w:val="ATHeading3"/>
      </w:pPr>
      <w:bookmarkStart w:id="5" w:name="Sujet"/>
      <w:r w:rsidRPr="00173752">
        <w:t>1. Sklep Evropskega parlamenta z dne 11. aprila 2024 o razrešnici glede izvrševanja splošnega proračuna Evropske unije za proračunsko leto 2022, oddelek IV – Sodišče Evropske unije</w:t>
      </w:r>
      <w:bookmarkEnd w:id="5"/>
      <w:r w:rsidRPr="00173752">
        <w:t xml:space="preserve"> </w:t>
      </w:r>
      <w:bookmarkStart w:id="6" w:name="References"/>
      <w:r w:rsidRPr="00173752">
        <w:t>(2023/2132(DEC))</w:t>
      </w:r>
      <w:bookmarkEnd w:id="6"/>
    </w:p>
    <w:p w:rsidR="009D73E5" w:rsidRPr="00173752" w:rsidRDefault="009D73E5" w:rsidP="009D73E5">
      <w:pPr>
        <w:pStyle w:val="EPComma"/>
      </w:pPr>
      <w:bookmarkStart w:id="7" w:name="TextBodyBegin"/>
      <w:bookmarkEnd w:id="7"/>
      <w:r w:rsidRPr="00173752">
        <w:rPr>
          <w:i/>
        </w:rPr>
        <w:t>Evropski parlament</w:t>
      </w:r>
      <w:r w:rsidRPr="00173752">
        <w:t>,</w:t>
      </w:r>
    </w:p>
    <w:p w:rsidR="009D73E5" w:rsidRPr="00173752" w:rsidRDefault="009D73E5" w:rsidP="009D73E5">
      <w:pPr>
        <w:pStyle w:val="NormalHanging12a"/>
      </w:pPr>
      <w:r w:rsidRPr="00173752">
        <w:t>–</w:t>
      </w:r>
      <w:r w:rsidRPr="00173752">
        <w:tab/>
        <w:t>ob upoštevanju splošnega proračuna Evropske unije za proračunsko leto 2022</w:t>
      </w:r>
      <w:r w:rsidRPr="00173752">
        <w:rPr>
          <w:rStyle w:val="FootnoteReference"/>
        </w:rPr>
        <w:footnoteReference w:id="1"/>
      </w:r>
      <w:r w:rsidRPr="00173752">
        <w:t>,</w:t>
      </w:r>
    </w:p>
    <w:p w:rsidR="009D73E5" w:rsidRPr="00173752" w:rsidRDefault="009D73E5" w:rsidP="009D73E5">
      <w:pPr>
        <w:pStyle w:val="NormalHanging12a"/>
      </w:pPr>
      <w:r w:rsidRPr="00173752">
        <w:t>–</w:t>
      </w:r>
      <w:r w:rsidRPr="00173752">
        <w:tab/>
        <w:t>ob upoštevanju konsolidiranega zaključnega računa Evropske unije za proračunsko leto 2022 (COM(2023)0391 – C9</w:t>
      </w:r>
      <w:r w:rsidRPr="00173752">
        <w:noBreakHyphen/>
        <w:t>0251/2023)</w:t>
      </w:r>
      <w:r w:rsidRPr="00173752">
        <w:rPr>
          <w:rStyle w:val="FootnoteReference"/>
        </w:rPr>
        <w:footnoteReference w:id="2"/>
      </w:r>
      <w:r w:rsidRPr="00173752">
        <w:t>,</w:t>
      </w:r>
    </w:p>
    <w:p w:rsidR="009D73E5" w:rsidRPr="00173752" w:rsidRDefault="009D73E5" w:rsidP="009D73E5">
      <w:pPr>
        <w:pStyle w:val="NormalHanging12a"/>
      </w:pPr>
      <w:r w:rsidRPr="00173752">
        <w:t>–</w:t>
      </w:r>
      <w:r w:rsidRPr="00173752">
        <w:tab/>
        <w:t>ob upoštevanju letnega poročila Sodišča Evropske unije organu, ki da razrešnico, o notranjih revizijah, opravljenih v letu 2022,</w:t>
      </w:r>
    </w:p>
    <w:p w:rsidR="009D73E5" w:rsidRPr="00173752" w:rsidRDefault="009D73E5" w:rsidP="009D73E5">
      <w:pPr>
        <w:pStyle w:val="NormalHanging12a"/>
      </w:pPr>
      <w:r w:rsidRPr="00173752">
        <w:t>–</w:t>
      </w:r>
      <w:r w:rsidRPr="00173752">
        <w:tab/>
        <w:t>ob upoštevanju letnega poročila Računskega sodišča glede izvrševanja proračuna za proračunsko leto 2022 z odgovori institucij</w:t>
      </w:r>
      <w:r w:rsidRPr="00173752">
        <w:rPr>
          <w:rStyle w:val="FootnoteReference"/>
        </w:rPr>
        <w:footnoteReference w:id="3"/>
      </w:r>
      <w:r w:rsidRPr="00173752">
        <w:t>,</w:t>
      </w:r>
    </w:p>
    <w:p w:rsidR="009D73E5" w:rsidRPr="00173752" w:rsidRDefault="009D73E5" w:rsidP="009D73E5">
      <w:pPr>
        <w:pStyle w:val="NormalHanging12a"/>
      </w:pPr>
      <w:r w:rsidRPr="00173752">
        <w:t>–</w:t>
      </w:r>
      <w:r w:rsidRPr="00173752">
        <w:tab/>
        <w:t>ob upoštevanju izjave o zanesljivosti</w:t>
      </w:r>
      <w:r w:rsidRPr="00173752">
        <w:rPr>
          <w:rStyle w:val="FootnoteReference"/>
        </w:rPr>
        <w:footnoteReference w:id="4"/>
      </w:r>
      <w:r w:rsidRPr="00173752">
        <w:t xml:space="preserve"> računovodskih izkazov ter o zakonitosti in pravilnosti z njimi povezanih transakcij, ki jo je za proračunsko leto 2022 v skladu s členom 287 Pogodbe o delovanju Evropske unije predložilo Računsko sodišče,</w:t>
      </w:r>
    </w:p>
    <w:p w:rsidR="009D73E5" w:rsidRPr="00173752" w:rsidRDefault="009D73E5" w:rsidP="009D73E5">
      <w:pPr>
        <w:pStyle w:val="NormalHanging12a"/>
      </w:pPr>
      <w:r w:rsidRPr="00173752">
        <w:t>–</w:t>
      </w:r>
      <w:r w:rsidRPr="00173752">
        <w:tab/>
        <w:t>ob upoštevanju členov 314(10), 317, 318 in 319 Pogodbe o delovanju Evropske unije,</w:t>
      </w:r>
    </w:p>
    <w:p w:rsidR="009D73E5" w:rsidRPr="00173752" w:rsidRDefault="009D73E5" w:rsidP="009D73E5">
      <w:pPr>
        <w:pStyle w:val="NormalHanging12a"/>
      </w:pPr>
      <w:r w:rsidRPr="00173752">
        <w:t>–</w:t>
      </w:r>
      <w:r w:rsidRPr="00173752">
        <w:tab/>
        <w:t>ob upoštevanju Uredbe (EU, Euratom) 2018/1046 Evropskega parlamenta in Sveta z dne 18. julija 2018 o finančnih pravilih, ki se uporabljajo za splošni proračun Unije, spremembi uredb (EU) št. 1296/2013, (EU) št. 1301/2013, (EU) št. 1303/2013, (EU) št. 1304/2013, (EU) št. 1309/2013, (EU) št. 1316/2013, (EU) št. 223/2014, (EU) št. 283/2014 in Sklepa št. 541/2014/EU ter razveljavitvi Uredbe (EU, Euratom) št. 966/2012</w:t>
      </w:r>
      <w:r w:rsidRPr="00173752">
        <w:rPr>
          <w:rStyle w:val="FootnoteReference"/>
        </w:rPr>
        <w:footnoteReference w:id="5"/>
      </w:r>
      <w:r w:rsidRPr="00173752">
        <w:t xml:space="preserve"> in zlasti členov 59, 118, 260, 261 in 262,</w:t>
      </w:r>
    </w:p>
    <w:p w:rsidR="009D73E5" w:rsidRPr="00173752" w:rsidRDefault="009D73E5" w:rsidP="009D73E5">
      <w:pPr>
        <w:pStyle w:val="NormalHanging12a"/>
      </w:pPr>
      <w:r w:rsidRPr="00173752">
        <w:lastRenderedPageBreak/>
        <w:t>–</w:t>
      </w:r>
      <w:r w:rsidRPr="00173752">
        <w:tab/>
        <w:t>ob upoštevanju člena 100 in Priloge V Poslovnika,</w:t>
      </w:r>
    </w:p>
    <w:p w:rsidR="009D73E5" w:rsidRPr="00173752" w:rsidRDefault="009D73E5" w:rsidP="009D73E5">
      <w:pPr>
        <w:pStyle w:val="NormalHanging12a"/>
      </w:pPr>
      <w:r w:rsidRPr="00173752">
        <w:t>–</w:t>
      </w:r>
      <w:r w:rsidRPr="00173752">
        <w:tab/>
        <w:t>ob upoštevanju mnenja Odbora za pravne zadeve,</w:t>
      </w:r>
    </w:p>
    <w:p w:rsidR="009D73E5" w:rsidRPr="00173752" w:rsidRDefault="009D73E5" w:rsidP="009D73E5">
      <w:pPr>
        <w:pStyle w:val="NormalHanging12a"/>
      </w:pPr>
      <w:r w:rsidRPr="00173752">
        <w:t>–</w:t>
      </w:r>
      <w:r w:rsidRPr="00173752">
        <w:tab/>
        <w:t>ob upoštevanju poročila Odbora za proračunski nadzor (A9</w:t>
      </w:r>
      <w:r w:rsidRPr="00173752">
        <w:noBreakHyphen/>
        <w:t>0075/2024),</w:t>
      </w:r>
    </w:p>
    <w:p w:rsidR="009D73E5" w:rsidRPr="00173752" w:rsidRDefault="009D73E5" w:rsidP="009D73E5">
      <w:pPr>
        <w:pStyle w:val="NormalHanging12a"/>
      </w:pPr>
      <w:r w:rsidRPr="00173752">
        <w:t>1.</w:t>
      </w:r>
      <w:r w:rsidRPr="00173752">
        <w:tab/>
        <w:t>podeli razrešnico sodnemu tajniku Sodišča Evropske unije glede izvrševanja proračuna Sodišča Evropske unije za proračunsko leto 2022;</w:t>
      </w:r>
    </w:p>
    <w:p w:rsidR="009D73E5" w:rsidRPr="00173752" w:rsidRDefault="009D73E5" w:rsidP="00297FD5">
      <w:pPr>
        <w:pStyle w:val="NormalHanging12a"/>
      </w:pPr>
      <w:r w:rsidRPr="00173752">
        <w:t>2.</w:t>
      </w:r>
      <w:r w:rsidRPr="00173752">
        <w:tab/>
        <w:t xml:space="preserve">navaja svoje pripombe v </w:t>
      </w:r>
      <w:r w:rsidR="00297FD5">
        <w:t>spodnji</w:t>
      </w:r>
      <w:r w:rsidR="00297FD5" w:rsidRPr="00173752">
        <w:t xml:space="preserve"> </w:t>
      </w:r>
      <w:r w:rsidRPr="00173752">
        <w:t>resoluciji;</w:t>
      </w:r>
    </w:p>
    <w:p w:rsidR="009D73E5" w:rsidRPr="00173752" w:rsidRDefault="009D73E5" w:rsidP="009D73E5">
      <w:pPr>
        <w:pStyle w:val="NormalHanging12a"/>
      </w:pPr>
      <w:r w:rsidRPr="00173752">
        <w:t>3.</w:t>
      </w:r>
      <w:r w:rsidRPr="00173752">
        <w:tab/>
        <w:t xml:space="preserve">naroči svoji predsednici, naj ta sklep in resolucijo, ki je del sklepa, posreduje Sodišču Evropske unije, Svetu, Komisiji, Računskemu sodišču in poskrbi za objavo v </w:t>
      </w:r>
      <w:r w:rsidRPr="00173752">
        <w:rPr>
          <w:i/>
        </w:rPr>
        <w:t>Uradnem listu Evropske unije</w:t>
      </w:r>
      <w:r w:rsidRPr="00173752">
        <w:t xml:space="preserve"> (serija L).</w:t>
      </w:r>
    </w:p>
    <w:p w:rsidR="009D73E5" w:rsidRPr="00173752" w:rsidRDefault="009D73E5" w:rsidP="009D73E5"/>
    <w:p w:rsidR="009D73E5" w:rsidRPr="00173752" w:rsidRDefault="009D73E5" w:rsidP="009D73E5">
      <w:pPr>
        <w:pStyle w:val="PageHeading"/>
        <w:sectPr w:rsidR="009D73E5" w:rsidRPr="00173752" w:rsidSect="00173752">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D73E5" w:rsidRPr="00173752" w:rsidRDefault="00CA3807" w:rsidP="00CA3807">
      <w:pPr>
        <w:pStyle w:val="ATHeading3"/>
      </w:pPr>
      <w:r w:rsidRPr="00CA3807">
        <w:lastRenderedPageBreak/>
        <w:t xml:space="preserve">2. Resolucija Evropskega parlamenta z dne 11. aprila 2024 </w:t>
      </w:r>
      <w:r w:rsidR="009D73E5" w:rsidRPr="00173752">
        <w:t>s pripombami, ki so del sklepa o razrešnici glede izvrševanja splošnega proračuna Evropske unije za proračunsko leto 2022, oddelek IV – Sodišče Evropske unije</w:t>
      </w:r>
      <w:r>
        <w:t xml:space="preserve"> </w:t>
      </w:r>
      <w:r w:rsidR="009D73E5" w:rsidRPr="00173752">
        <w:t>(2023/2132(DEC))</w:t>
      </w:r>
    </w:p>
    <w:p w:rsidR="009D73E5" w:rsidRPr="00173752" w:rsidRDefault="009D73E5" w:rsidP="009D73E5">
      <w:pPr>
        <w:pStyle w:val="EPComma"/>
      </w:pPr>
      <w:r w:rsidRPr="00173752">
        <w:rPr>
          <w:i/>
        </w:rPr>
        <w:t>Evropski parlament</w:t>
      </w:r>
      <w:r w:rsidRPr="00173752">
        <w:t>,</w:t>
      </w:r>
    </w:p>
    <w:p w:rsidR="009D73E5" w:rsidRPr="00173752" w:rsidRDefault="009D73E5" w:rsidP="009D73E5">
      <w:pPr>
        <w:pStyle w:val="NormalHanging12a"/>
      </w:pPr>
      <w:r w:rsidRPr="00173752">
        <w:t>–</w:t>
      </w:r>
      <w:r w:rsidRPr="00173752">
        <w:tab/>
        <w:t>ob upoštevanju sklepa o razrešnici glede izvrševanja splošnega proračuna Evropske unije za proračunsko leto 2022, oddelek IV – Sodišče Evropske unije,</w:t>
      </w:r>
    </w:p>
    <w:p w:rsidR="009D73E5" w:rsidRPr="00173752" w:rsidRDefault="009D73E5" w:rsidP="009D73E5">
      <w:pPr>
        <w:pStyle w:val="NormalHanging12a"/>
      </w:pPr>
      <w:r w:rsidRPr="00173752">
        <w:t>–</w:t>
      </w:r>
      <w:r w:rsidRPr="00173752">
        <w:tab/>
        <w:t>ob upoštevanju člena 100 in Priloge V Poslovnika,</w:t>
      </w:r>
    </w:p>
    <w:p w:rsidR="009D73E5" w:rsidRPr="00173752" w:rsidRDefault="009D73E5" w:rsidP="009D73E5">
      <w:pPr>
        <w:pStyle w:val="NormalHanging12a"/>
      </w:pPr>
      <w:r w:rsidRPr="00173752">
        <w:t>–</w:t>
      </w:r>
      <w:r w:rsidRPr="00173752">
        <w:tab/>
        <w:t>ob upoštevanju mnenja Odbora za pravne zadeve,</w:t>
      </w:r>
    </w:p>
    <w:p w:rsidR="009D73E5" w:rsidRPr="00173752" w:rsidRDefault="009D73E5" w:rsidP="009D73E5">
      <w:pPr>
        <w:pStyle w:val="NormalHanging12a"/>
      </w:pPr>
      <w:r w:rsidRPr="00173752">
        <w:t>–</w:t>
      </w:r>
      <w:r w:rsidRPr="00173752">
        <w:tab/>
        <w:t>ob upoštevanju poročila Odbora za proračunski nadzor (A9</w:t>
      </w:r>
      <w:r w:rsidRPr="00173752">
        <w:noBreakHyphen/>
        <w:t>0075/2024),</w:t>
      </w:r>
    </w:p>
    <w:p w:rsidR="009D73E5" w:rsidRPr="00173752" w:rsidRDefault="009D73E5" w:rsidP="009D73E5">
      <w:pPr>
        <w:pStyle w:val="NormalHanging12a"/>
        <w:rPr>
          <w:szCs w:val="24"/>
        </w:rPr>
      </w:pPr>
      <w:r w:rsidRPr="00173752">
        <w:t>A.</w:t>
      </w:r>
      <w:r w:rsidRPr="00173752">
        <w:tab/>
        <w:t>ker želi organ za podelitev razrešnice v postopku za podelitev razrešnice poudariti poseben pomen nadaljnje krepitve demokratične legitimnosti institucij Unije z izboljšanjem preglednosti in odgovornosti ter izvajanjem koncepta smotrne priprave proračuna in dobrega upravljanja človeških virov;</w:t>
      </w:r>
    </w:p>
    <w:p w:rsidR="009D73E5" w:rsidRPr="00173752" w:rsidRDefault="009D73E5" w:rsidP="009D73E5">
      <w:pPr>
        <w:pStyle w:val="NormalHanging12a"/>
      </w:pPr>
      <w:r w:rsidRPr="00173752">
        <w:t>B.</w:t>
      </w:r>
      <w:r w:rsidRPr="00173752">
        <w:tab/>
        <w:t>ker je Sodišče Evropske unije sodna institucija Unije, ki nadzira, ali se primarni pogodbi razlagata in uporabljata enotno in ali so ukrepi, ki jih sprejmejo institucije, organi, uradi in agencije Unije, zakoniti, s čimer zagotavlja skladnost s pravom Unije;</w:t>
      </w:r>
    </w:p>
    <w:p w:rsidR="009D73E5" w:rsidRPr="00173752" w:rsidRDefault="009D73E5" w:rsidP="009D73E5">
      <w:pPr>
        <w:pStyle w:val="NormalHanging12a"/>
        <w:rPr>
          <w:szCs w:val="24"/>
        </w:rPr>
      </w:pPr>
      <w:r w:rsidRPr="00173752">
        <w:t>C.</w:t>
      </w:r>
      <w:r w:rsidRPr="00173752">
        <w:tab/>
        <w:t>ker Sodišče Evropske unije prispeva k ohranjanju vrednot Unije in si s svojo sodno prakso prizadeva za gradnjo Evrope;</w:t>
      </w:r>
    </w:p>
    <w:p w:rsidR="009D73E5" w:rsidRPr="00173752" w:rsidRDefault="009D73E5" w:rsidP="009D73E5">
      <w:pPr>
        <w:pStyle w:val="NormalHanging12a"/>
        <w:rPr>
          <w:szCs w:val="24"/>
        </w:rPr>
      </w:pPr>
      <w:r w:rsidRPr="00173752">
        <w:t>D.</w:t>
      </w:r>
      <w:r w:rsidRPr="00173752">
        <w:tab/>
        <w:t>ker Sodišče Evropske unije sestavljata dve sodišči: Sodišče in Splošno sodišče;</w:t>
      </w:r>
    </w:p>
    <w:p w:rsidR="009D73E5" w:rsidRPr="00173752" w:rsidRDefault="009D73E5" w:rsidP="009D73E5">
      <w:pPr>
        <w:pStyle w:val="NormalHanging12a"/>
        <w:rPr>
          <w:szCs w:val="24"/>
        </w:rPr>
      </w:pPr>
      <w:r w:rsidRPr="00173752">
        <w:t>1.</w:t>
      </w:r>
      <w:r w:rsidRPr="00173752">
        <w:tab/>
        <w:t>ugotavlja, da je proračun Sodišča Evropske unije del razdelka 7 večletnega finančnega okvira „Evropska javna uprava“, ki je v letu 2022 skupaj znašal 11,6 milijarde EUR (kar je 5,9 % proračuna Unije); ugotavlja, da je proračun Sodišča Evropske unije v letu 2022 znašal približno 0,5 milijarde EUR, kar je 3,9 % skupnih upravnih odhodkov;</w:t>
      </w:r>
    </w:p>
    <w:p w:rsidR="009D73E5" w:rsidRPr="00173752" w:rsidRDefault="009D73E5" w:rsidP="009D73E5">
      <w:pPr>
        <w:pStyle w:val="NormalHanging12a"/>
        <w:rPr>
          <w:szCs w:val="24"/>
        </w:rPr>
      </w:pPr>
      <w:r w:rsidRPr="00173752">
        <w:t>2.</w:t>
      </w:r>
      <w:r w:rsidRPr="00173752">
        <w:tab/>
        <w:t>ugotavlja, da je Računsko sodišče v letnem poročilu za proračunsko leto 2022 preučilo vzorec 60 transakcij v upravi, kar ustreza število transakcij v letu 2021; ugotavlja tudi, da Računsko sodišče navaja, da upravni odhodki zajemajo odhodke za človeške vire, vključno z odhodki za pokojnine, ki so v letu 2022 predstavljali približno 70 % vseh upravnih odhodkov, ter odhodke za stavbe, opremo, energijo, komunikacije in informacijsko tehnologijo ter da njegovo delo že mnogo let kaže, da je tveganje pri teh odhodkih na splošno majhno;</w:t>
      </w:r>
    </w:p>
    <w:p w:rsidR="009D73E5" w:rsidRPr="00173752" w:rsidRDefault="009D73E5" w:rsidP="009D73E5">
      <w:pPr>
        <w:pStyle w:val="NormalHanging12a"/>
        <w:rPr>
          <w:szCs w:val="24"/>
        </w:rPr>
      </w:pPr>
      <w:r w:rsidRPr="00173752">
        <w:t>3.</w:t>
      </w:r>
      <w:r w:rsidRPr="00173752">
        <w:tab/>
        <w:t xml:space="preserve">ugotavlja, da je Računsko sodišče v okviru revizije za leto 2022 preverilo nadzorne in kontrolne sisteme Sodišča Evropske unije, zlasti izvajanje standardov notranje kontrole, obvladovanje tveganja in delovanje ključnih kontrol, opredeljenih v finančni uredbi, vključno s </w:t>
      </w:r>
      <w:r w:rsidRPr="00173752">
        <w:rPr>
          <w:i/>
        </w:rPr>
        <w:t>predhodnimi</w:t>
      </w:r>
      <w:r w:rsidRPr="00173752">
        <w:t xml:space="preserve"> in </w:t>
      </w:r>
      <w:r w:rsidRPr="00173752">
        <w:rPr>
          <w:i/>
        </w:rPr>
        <w:t>naknadnimi</w:t>
      </w:r>
      <w:r w:rsidRPr="00173752">
        <w:t xml:space="preserve"> kontrolami plačil;</w:t>
      </w:r>
    </w:p>
    <w:p w:rsidR="009D73E5" w:rsidRPr="00173752" w:rsidRDefault="009D73E5" w:rsidP="009D73E5">
      <w:pPr>
        <w:pStyle w:val="NormalHanging12a"/>
        <w:rPr>
          <w:szCs w:val="24"/>
        </w:rPr>
      </w:pPr>
      <w:r w:rsidRPr="00173752">
        <w:t>4.</w:t>
      </w:r>
      <w:r w:rsidRPr="00173752">
        <w:tab/>
        <w:t>ugotavlja, da je 14 (23 %) od 60 transakcij vsebovalo napake, vendar je Računsko sodišče na podlagi petih količinsko opredeljenih napak ocenilo, da je stopnja napake pod pragom pomembnosti;</w:t>
      </w:r>
    </w:p>
    <w:p w:rsidR="009D73E5" w:rsidRPr="00173752" w:rsidRDefault="009D73E5" w:rsidP="009D73E5">
      <w:pPr>
        <w:pStyle w:val="NormalHanging12a"/>
        <w:rPr>
          <w:szCs w:val="24"/>
        </w:rPr>
      </w:pPr>
      <w:r w:rsidRPr="00173752">
        <w:lastRenderedPageBreak/>
        <w:t>5.</w:t>
      </w:r>
      <w:r w:rsidRPr="00173752">
        <w:tab/>
        <w:t>z zadovoljstvom ugotavlja, da Računsko sodišče v letnem poročilu za proračunsko leto 2022 navaja, da ni odkrilo posebnih težav v zvezi s Sodiščem Evropske unije;</w:t>
      </w:r>
    </w:p>
    <w:p w:rsidR="009D73E5" w:rsidRPr="00173752" w:rsidRDefault="009D73E5" w:rsidP="009D73E5">
      <w:pPr>
        <w:pStyle w:val="NormalHanging12a"/>
        <w:rPr>
          <w:b/>
          <w:szCs w:val="24"/>
        </w:rPr>
      </w:pPr>
      <w:r w:rsidRPr="00173752">
        <w:rPr>
          <w:b/>
        </w:rPr>
        <w:t>Upravljanje proračuna in finančno poslovodenje</w:t>
      </w:r>
    </w:p>
    <w:p w:rsidR="009D73E5" w:rsidRPr="00173752" w:rsidRDefault="009D73E5" w:rsidP="009D73E5">
      <w:pPr>
        <w:pStyle w:val="NormalHanging12a"/>
        <w:rPr>
          <w:szCs w:val="24"/>
        </w:rPr>
      </w:pPr>
      <w:r w:rsidRPr="00173752">
        <w:t>6.</w:t>
      </w:r>
      <w:r w:rsidRPr="00173752">
        <w:tab/>
        <w:t>ugotavlja, da je skupni proračun, dodeljen Sodišču Evropske unije za leto 2022, znašal 467.900.000 EUR, kar je več od 444.049.000 EUR v letu 2021 in v letu 2020 ter predstavlja 5,4-odstotno povečanje med letoma 2021 in 2022; ugotavlja tudi, da je bilo 79 % proračuna v letu 2022 porabljenih za člane in uslužbence, 14 % za stavbe, 6 % za informacijsko tehnologijo in 1 % za druge odhodke;</w:t>
      </w:r>
    </w:p>
    <w:p w:rsidR="009D73E5" w:rsidRPr="00173752" w:rsidRDefault="009D73E5" w:rsidP="009D73E5">
      <w:pPr>
        <w:pStyle w:val="NormalHanging12a"/>
        <w:rPr>
          <w:szCs w:val="24"/>
        </w:rPr>
      </w:pPr>
      <w:r w:rsidRPr="00173752">
        <w:t>7.</w:t>
      </w:r>
      <w:r w:rsidRPr="00173752">
        <w:tab/>
        <w:t>je seznanjen, da je Sodišče Evropske unije v letu 2022 v skladu s členom 29 finančne uredbe izvedlo 19 proračunskih prerazporeditev v skupnem znesku 12,7 milijona EUR ali 2,7 % vseh odobrenih sredstev v tem proračunskem letu; ugotavlja tudi, da je stopnja izvrševanja proračuna za leto 2022 znašala 98,43 %, kar je v skladu s prejšnjimi leti;</w:t>
      </w:r>
    </w:p>
    <w:p w:rsidR="009D73E5" w:rsidRPr="00173752" w:rsidRDefault="009D73E5" w:rsidP="009D73E5">
      <w:pPr>
        <w:pStyle w:val="NormalHanging12a"/>
        <w:rPr>
          <w:szCs w:val="24"/>
        </w:rPr>
      </w:pPr>
      <w:r w:rsidRPr="00173752">
        <w:t>8.</w:t>
      </w:r>
      <w:r w:rsidRPr="00173752">
        <w:tab/>
        <w:t>z zadovoljstvom ugotavlja, da je odredbodajalec na podlagi prenosa pooblastil izjavil, da so bila dodeljena sredstva porabljena za predvideni namen in v skladu z načeli dobrega finančnega poslovodenja ter da so vzpostavljeni kontrolni postopki zagotovili potrebna jamstva glede zakonitosti in pravilnosti z izkazi povezanih transakcij;</w:t>
      </w:r>
    </w:p>
    <w:p w:rsidR="009D73E5" w:rsidRPr="00173752" w:rsidRDefault="009D73E5" w:rsidP="009D73E5">
      <w:pPr>
        <w:pStyle w:val="NormalHanging12a"/>
        <w:rPr>
          <w:szCs w:val="24"/>
        </w:rPr>
      </w:pPr>
      <w:r w:rsidRPr="00173752">
        <w:t>9.</w:t>
      </w:r>
      <w:r w:rsidRPr="00173752">
        <w:tab/>
        <w:t>pozdravlja, da se Sodišče Evropske unije ukvarja s širokim naborom informacijskih sistemov, tako interno kot prek sporazumov o ravni storitev, na različnih področjih, zaradi česar bo učinkoviteje izkoriščalo vire;</w:t>
      </w:r>
    </w:p>
    <w:p w:rsidR="009D73E5" w:rsidRPr="00173752" w:rsidRDefault="009D73E5" w:rsidP="009D73E5">
      <w:pPr>
        <w:pStyle w:val="NormalHanging12a"/>
        <w:rPr>
          <w:szCs w:val="24"/>
        </w:rPr>
      </w:pPr>
      <w:r w:rsidRPr="00173752">
        <w:t>10.</w:t>
      </w:r>
      <w:r w:rsidRPr="00173752">
        <w:tab/>
        <w:t>ugotavlja, da je ruska vojaška agresija proti Ukrajini povzročila različne pritiske na proračun Sodišča Evropske unije, med drugim z naraščajočo inflacijo in prilagoditvijo plač, močno naraščajočimi stroški energije in stroški za številne vrste blaga in storitev;</w:t>
      </w:r>
    </w:p>
    <w:p w:rsidR="009D73E5" w:rsidRPr="00173752" w:rsidRDefault="009D73E5" w:rsidP="009D73E5">
      <w:pPr>
        <w:pStyle w:val="NormalHanging12a"/>
        <w:rPr>
          <w:szCs w:val="24"/>
        </w:rPr>
      </w:pPr>
      <w:r w:rsidRPr="00173752">
        <w:t>11.</w:t>
      </w:r>
      <w:r w:rsidRPr="00173752">
        <w:tab/>
        <w:t>ugotavlja, da se je splošni proračun za službena potovanja Sodišča Evropske unije zmanjšal s 405.000 EUR v letu 2021 na 390.000 EUR v letu 2022, kar ustreza 3,7-odstotnemu zmanjšanju, predvsem zaradi sprememb delovnih metod z večjim številom sej na daljavo; ugotavlja tudi, da Sodišče Evropske unije nima posebne proračunske vrstice za službena potovanja in potovanja svojega predsednika; ugotavlja tudi, da se je proračunska vrstica za misije vseh članov Sodišča Evropske unije zmanjšala z 280.000 EUR v letu 2021 na 270.000 EUR v letu 2022, kar ustreza 3,6-odstotnemu zmanjšanju, in je predvsem posledica večje uporabe videokonferenčnih orodij;</w:t>
      </w:r>
    </w:p>
    <w:p w:rsidR="009D73E5" w:rsidRPr="00173752" w:rsidRDefault="009D73E5" w:rsidP="009D73E5">
      <w:pPr>
        <w:pStyle w:val="NormalHanging12a"/>
        <w:rPr>
          <w:b/>
          <w:szCs w:val="24"/>
        </w:rPr>
      </w:pPr>
      <w:r w:rsidRPr="00173752">
        <w:rPr>
          <w:b/>
        </w:rPr>
        <w:t>Notranje upravljanje, uspešnost in notranja kontrola</w:t>
      </w:r>
    </w:p>
    <w:p w:rsidR="009D73E5" w:rsidRPr="00173752" w:rsidRDefault="009D73E5" w:rsidP="009D73E5">
      <w:pPr>
        <w:pStyle w:val="NormalHanging12a"/>
        <w:rPr>
          <w:szCs w:val="24"/>
        </w:rPr>
      </w:pPr>
      <w:r w:rsidRPr="00173752">
        <w:t>12.</w:t>
      </w:r>
      <w:r w:rsidRPr="00173752">
        <w:tab/>
        <w:t>ugotavlja, da so bili izredni ukrepi, povezani s pandemijo covida-19, v letu 2022 postopno odpravljeni, Sodišče Evropske unije pa je začelo normalno delovati; v zvezi s tem ugotavlja, da se je število obiskovalcev v letu 2022 povečalo na 11.653, kar je še vedno manj kot pred pandemijo, ko je v letu 2019 Sodišče Evropske unije obiskalo 17.136 oseb, kar pa je lahko tudi posledica novih možnosti, ki omogočajo virtualni obisk Sodišča Evropske unije;</w:t>
      </w:r>
    </w:p>
    <w:p w:rsidR="009D73E5" w:rsidRPr="00173752" w:rsidRDefault="009D73E5" w:rsidP="009D73E5">
      <w:pPr>
        <w:pStyle w:val="NormalHanging12a"/>
        <w:rPr>
          <w:szCs w:val="24"/>
        </w:rPr>
      </w:pPr>
      <w:r w:rsidRPr="00173752">
        <w:t>13.</w:t>
      </w:r>
      <w:r w:rsidRPr="00173752">
        <w:tab/>
        <w:t>z zadovoljstvom ugotavlja, da je leto 2022 zaznamovala 70. obletnica Sodišča Evropske unije, ki je bila zelo pomembna za celotno Unijo; pozdravlja dejstvo, da je Sodišče Evropske unije izkoristilo priložnost za začetek pobud na temo „Približevanje pravosodja državljanom“, vključno z novo pobudo o ponujanju pretočnih storitev za prenos obravnav na spletnem mestu Curia;</w:t>
      </w:r>
    </w:p>
    <w:p w:rsidR="009D73E5" w:rsidRPr="00173752" w:rsidRDefault="009D73E5" w:rsidP="009D73E5">
      <w:pPr>
        <w:pStyle w:val="NormalHanging12a"/>
        <w:rPr>
          <w:szCs w:val="24"/>
        </w:rPr>
      </w:pPr>
      <w:r w:rsidRPr="00173752">
        <w:lastRenderedPageBreak/>
        <w:t>14.</w:t>
      </w:r>
      <w:r w:rsidRPr="00173752">
        <w:tab/>
        <w:t>ugotavlja, da se je v letu 2022 68 % novih zadev Sodišča nanašalo na področje predhodnega odločanja, 24 % na pritožbe zoper odločbe Splošnega sodišča ter 4 % na tožbe proti državam članicam zaradi neizpolnitve obveznosti; ugotavlja tudi, da se je leta 2022 46 % novih zadev Splošnega sodišča nanašalo na tožbe za razglasitev ničnosti aktov institucij Unije, 30 % na ukrepe v zvezi z intelektualno lastnino, 7 % pa na spore med institucijami Unije in njihovim osebjem;</w:t>
      </w:r>
    </w:p>
    <w:p w:rsidR="009D73E5" w:rsidRPr="00173752" w:rsidRDefault="009D73E5" w:rsidP="009D73E5">
      <w:pPr>
        <w:pStyle w:val="NormalHanging12a"/>
        <w:rPr>
          <w:szCs w:val="24"/>
        </w:rPr>
      </w:pPr>
      <w:r w:rsidRPr="00173752">
        <w:t>15</w:t>
      </w:r>
      <w:r w:rsidR="001E306A">
        <w:t>.</w:t>
      </w:r>
      <w:bookmarkStart w:id="8" w:name="_GoBack"/>
      <w:bookmarkEnd w:id="8"/>
      <w:r w:rsidRPr="00173752">
        <w:tab/>
        <w:t>ugotavlja, da je bilo število zadev, vloženih na obeh sodiščih v letu 2022, primerljivo s številom zadev v prejšnjem letu (1710 zadev v letu 2022 v primerjavi s 1720 v letu 2021), in poudarja, da sta Sodišče in Splošno sodišče v letu 2022 skupaj zaključila 1666 zadev v primerjavi s 1723 v letu 2021, kar ustreza povprečju zadnjih let (1692 zadev na leto med letoma 2018 in 2021); ugotavlja pa, da se skupno število nerešenih zadev povečuje, saj je bilo v letu 2022 nerešenih zadev 2585, medtem ko je bilo leta 2021 takšnih zadev 2541;</w:t>
      </w:r>
    </w:p>
    <w:p w:rsidR="009D73E5" w:rsidRPr="00173752" w:rsidRDefault="009D73E5" w:rsidP="009D73E5">
      <w:pPr>
        <w:pStyle w:val="NormalHanging12a"/>
        <w:rPr>
          <w:szCs w:val="24"/>
        </w:rPr>
      </w:pPr>
      <w:r w:rsidRPr="00173752">
        <w:t>16.</w:t>
      </w:r>
      <w:r w:rsidRPr="00173752">
        <w:tab/>
        <w:t>ugotavlja, da postopki za zadeve, vložene na Sodišču, v povprečju trajajo enako dolgo kot v prejšnjem letu, in sicer 16,4 meseca v letu 2022 v primerjavi s 16,6 meseca v letu 2021; pozdravlja, da se je povprečno trajanje postopkov za zadeve, vložene na Splošnem sodišču, v letu 2022 zmanjšalo na 16,2 meseca v primerjavi s 17,3 meseca v letu 2021;</w:t>
      </w:r>
    </w:p>
    <w:p w:rsidR="009D73E5" w:rsidRPr="00173752" w:rsidRDefault="009D73E5" w:rsidP="009D73E5">
      <w:pPr>
        <w:pStyle w:val="NormalHanging12a"/>
        <w:rPr>
          <w:szCs w:val="24"/>
        </w:rPr>
      </w:pPr>
      <w:r w:rsidRPr="00173752">
        <w:t>17.</w:t>
      </w:r>
      <w:r w:rsidRPr="00173752">
        <w:tab/>
        <w:t>pozdravlja, da je Sodišče Evropske unije predložilo povzetek števila in vrste notranjih revizij, opravljenih na Sodišču Evropske unije, ter povzetek priporočil in ukrepov, sprejetih na podlagi teh priporočil v skladu s členom 118(8) finančne uredbe; ugotavlja, da ima notranji revizor letni delovni program z večletno komponento;</w:t>
      </w:r>
    </w:p>
    <w:p w:rsidR="009D73E5" w:rsidRPr="00173752" w:rsidRDefault="009D73E5" w:rsidP="009D73E5">
      <w:pPr>
        <w:pStyle w:val="NormalHanging12a"/>
        <w:rPr>
          <w:szCs w:val="24"/>
        </w:rPr>
      </w:pPr>
      <w:r w:rsidRPr="00173752">
        <w:t>18.</w:t>
      </w:r>
      <w:r w:rsidRPr="00173752">
        <w:tab/>
        <w:t>ugotavlja, da so bile najpomembnejše notranje revizije v letu 2022 povezane z upravljanjem bančnih računov, zakladništvom in izvrševanjem plačil, zavarovalnimi pogodbami in kritjem tveganj, razširjanjem informacij o trajnostnosti in tokom upravljanja prevodov;</w:t>
      </w:r>
    </w:p>
    <w:p w:rsidR="009D73E5" w:rsidRPr="00173752" w:rsidRDefault="009D73E5" w:rsidP="009D73E5">
      <w:pPr>
        <w:pStyle w:val="NormalHanging12a"/>
        <w:rPr>
          <w:szCs w:val="24"/>
        </w:rPr>
      </w:pPr>
      <w:r w:rsidRPr="00173752">
        <w:t>19.</w:t>
      </w:r>
      <w:r w:rsidRPr="00173752">
        <w:tab/>
        <w:t>ugotavlja, da je Sodišče Evropske unije v odgovorih na vprašalnik Odbora Parlamenta za proračunski nadzor, ki je bil del tega postopka razrešnice, navedlo, da so bile notranje revizije povod za številna priporočila, ki so jih pristojne službe pozdravile; zahteva, da se Parlament obvesti, če posamezne službe ne upoštevajo priporočil notranjega revizorja;</w:t>
      </w:r>
    </w:p>
    <w:p w:rsidR="009D73E5" w:rsidRPr="00173752" w:rsidRDefault="009D73E5" w:rsidP="009D73E5">
      <w:pPr>
        <w:pStyle w:val="NormalHanging12a"/>
        <w:rPr>
          <w:b/>
          <w:szCs w:val="24"/>
        </w:rPr>
      </w:pPr>
      <w:r w:rsidRPr="00173752">
        <w:rPr>
          <w:b/>
        </w:rPr>
        <w:t>Človeški viri, enakost in dobro počutje zaposlenih</w:t>
      </w:r>
    </w:p>
    <w:p w:rsidR="009D73E5" w:rsidRPr="00173752" w:rsidRDefault="009D73E5" w:rsidP="009D73E5">
      <w:pPr>
        <w:pStyle w:val="NormalHanging12a"/>
        <w:rPr>
          <w:szCs w:val="24"/>
        </w:rPr>
      </w:pPr>
      <w:r w:rsidRPr="00173752">
        <w:t>20.</w:t>
      </w:r>
      <w:r w:rsidRPr="00173752">
        <w:tab/>
        <w:t>ugotavlja, da Sodišče sestavlja 27 sodnikov in 11 generalnih pravobranilcev ter da v letu 2022 noben nov sodnik ni nastopil funkcije; ugotavlja tudi, da Splošno sodišče sestavlja 54 sodnikov in da je v letu 2022 nastopilo funkcijo osem novih sodnikov;</w:t>
      </w:r>
    </w:p>
    <w:p w:rsidR="009D73E5" w:rsidRPr="00173752" w:rsidRDefault="009D73E5" w:rsidP="009D73E5">
      <w:pPr>
        <w:pStyle w:val="NormalHanging12a"/>
        <w:rPr>
          <w:szCs w:val="24"/>
        </w:rPr>
      </w:pPr>
      <w:r w:rsidRPr="00173752">
        <w:t>21.</w:t>
      </w:r>
      <w:r w:rsidRPr="00173752">
        <w:tab/>
        <w:t>z zaskrbljenostjo ugotavlja, da imata Sodišče in Splošno sodišče še vedno zelo neuravnoteženo zastopanost spolov in da je bilo med osmimi novimi sodniki, ki so v letu 2022 nastopili funkcijo na Splošnem sodišču, pet moških in tri ženske; ponovno izraža zadovoljstvo, da je predsednik Splošnega sodišča v letu 2021 poslal pismo predsedniku konference predstavnikov vlad držav članic, v katerem je države članice pozval, naj pri imenovanju kandidatov za zamenjavo sodnikov upoštevajo potrebo po uravnoteženi zastopanosti spolov; obžaluje, da je pismo ostalo neodgovorjeno;</w:t>
      </w:r>
    </w:p>
    <w:p w:rsidR="009D73E5" w:rsidRPr="00173752" w:rsidRDefault="009D73E5" w:rsidP="009D73E5">
      <w:pPr>
        <w:pStyle w:val="NormalHanging12a"/>
        <w:rPr>
          <w:szCs w:val="24"/>
        </w:rPr>
      </w:pPr>
      <w:r w:rsidRPr="00173752">
        <w:lastRenderedPageBreak/>
        <w:t>22.</w:t>
      </w:r>
      <w:r w:rsidRPr="00173752">
        <w:tab/>
        <w:t>ceni, da je Sodišče Evropske unije v odgovorih na vprašalnik Odbora Parlamenta za proračunski nadzor ob koncu leta 2022 predložilo zelo podrobne informacije o razporeditvi zaposlenih;</w:t>
      </w:r>
    </w:p>
    <w:p w:rsidR="009D73E5" w:rsidRPr="00173752" w:rsidRDefault="009D73E5" w:rsidP="009D73E5">
      <w:pPr>
        <w:pStyle w:val="NormalHanging12a"/>
        <w:rPr>
          <w:szCs w:val="24"/>
        </w:rPr>
      </w:pPr>
      <w:r w:rsidRPr="00173752">
        <w:t>23.</w:t>
      </w:r>
      <w:r w:rsidRPr="00173752">
        <w:tab/>
        <w:t>ugotavlja, da je Sodišče Evropske unije konec leta 2022 zaposlovalo 2253 uslužbencev, kar je nekoliko več kot ob koncu leta 2021 in 2020, ko jih je zaposlovalo 2247 oziroma 2239; je seznanjen z zastopanostjo spolov med vsemi zaposlenimi, med katerimi je bilo 40 % moških, in sicer 893, ter 60 % žensk, in sicer 1360; je seznanjen tudi s porazdelitvijo med kategorijami uslužbencev, pri čemer je bilo 1300 uradnikov (58 %), 774 začasnih uslužbencev (34 %) in 179 pogodbenih uslužbencev (8 %), kar pomeni, da se je delež uslužbencev s statusom uradnikov v primerjavi z letom 2021 nekoliko zmanjšal, delež začasnih uslužbencev pa nekoliko povečal, medtem ko pri pogodbenih uslužbencih ni bilo sprememb;</w:t>
      </w:r>
    </w:p>
    <w:p w:rsidR="009D73E5" w:rsidRPr="00173752" w:rsidRDefault="009D73E5" w:rsidP="009D73E5">
      <w:pPr>
        <w:pStyle w:val="NormalHanging12a"/>
        <w:rPr>
          <w:szCs w:val="24"/>
        </w:rPr>
      </w:pPr>
      <w:r w:rsidRPr="00173752">
        <w:t>24.</w:t>
      </w:r>
      <w:r w:rsidRPr="00173752">
        <w:tab/>
        <w:t>je seznanjen z zastopanostjo spolov na višjih vodstvenih položajih, na katerih je bilo devet moških in šest žensk, kar je 60 % moških in 40 % žensk; je seznanjen z zastopanostjo spolov na srednjih vodstvenih položajih, na katerih je bilo 36 moških in 24 žensk, kar je prav tako 60 % moških in 40 % žensk;</w:t>
      </w:r>
    </w:p>
    <w:p w:rsidR="009D73E5" w:rsidRPr="00173752" w:rsidRDefault="009D73E5" w:rsidP="009D73E5">
      <w:pPr>
        <w:pStyle w:val="NormalHanging12a"/>
        <w:rPr>
          <w:szCs w:val="24"/>
        </w:rPr>
      </w:pPr>
      <w:r w:rsidRPr="00173752">
        <w:t>25.</w:t>
      </w:r>
      <w:r w:rsidRPr="00173752">
        <w:tab/>
        <w:t>pozdravlja, da so med uslužbenci Sodišča Evropske unije zastopani vsi državljani Unije; vendar z obžalovanjem ugotavlja, da so državljani nekaterih držav članic prekomerno zastopani; glede tega ugotavlja, da ima 22 % zaposlenih, tj. 505 od 2253 zaposlenih, francosko državljanstvo, ter da je prevelika zastopanost še bolj izrazita v razredu AST, kjer ta odstotek znaša 31 % uslužbencev, tj. 223 od 719 uslužbencev; ugotavlja, da so belgijski državljani in Italijani prekomerno zastopani na ravni uslužbencev AD, saj jih je 108 oziroma 97 od 1274 uslužbencev; ugotavlja tudi, da je Ciper najbolj nezadostno zastopana država z le dvema državljanoma na delovnih mestih AD za uradnike in začasne uslužbence ter da na delovnih mestih AST in AST-SC ni ciprskih državljanov; ugotavlja, da bi si moralo Sodišče Evropske unije prizadevati za bolj uravnoteženo zastopanost državljanov Unije na vseh položajih in za ustrezno geografsko porazdelitev;</w:t>
      </w:r>
    </w:p>
    <w:p w:rsidR="009D73E5" w:rsidRPr="00173752" w:rsidRDefault="009D73E5" w:rsidP="009D73E5">
      <w:pPr>
        <w:pStyle w:val="NormalHanging12a"/>
        <w:rPr>
          <w:szCs w:val="24"/>
        </w:rPr>
      </w:pPr>
      <w:r w:rsidRPr="00173752">
        <w:t>26.</w:t>
      </w:r>
      <w:r w:rsidRPr="00173752">
        <w:tab/>
        <w:t>spodbuja Sodišče Evropske unije, naj podpre večjezično delovno okolje; ugotavlja, da je lahko v skladu s členom 36 poglavja 8 Poslovnika Sodišča Evropske unije jezik postopka kateri koli jezik Unije (angleščina, bolgarščina, češčina, danščina, estonščina, finščina, francoščina, grščina, hrvaščina, italijanščina, irščina, latvijščina, litovščina, madžarščina, malteščina, nemščina, nizozemščina, poljščina, portugalščina, romunščina, slovaščina, slovenščina, španščina ali švedščina), vendar se dnevno 90 % upravnega dela opravi v francoščini; spodbuja, naj se pri vsakodnevnem upravnem delu Sodišča Evropske unije pogosteje uporabljata tudi druga dva delovna jezika Evropske unije, in sicer nemščina in angleščina, da bi spodbudili večjezičnost in povečali možnost zaposlitve za državljane vseh držav članic, tudi tistih, v katerih se francoščina v šolah ne poučuje; ugotavlja, da bi to prispevalo tudi k enakopravnejši porazdelitvi narodnosti med uslužbenci Sodišča Evropske unije, in poziva vse institucije, naj zagotovijo večjezičnost;</w:t>
      </w:r>
    </w:p>
    <w:p w:rsidR="009D73E5" w:rsidRPr="00173752" w:rsidRDefault="009D73E5" w:rsidP="009D73E5">
      <w:pPr>
        <w:pStyle w:val="NormalHanging12a"/>
        <w:rPr>
          <w:szCs w:val="24"/>
        </w:rPr>
      </w:pPr>
      <w:r w:rsidRPr="00173752">
        <w:t>27.</w:t>
      </w:r>
      <w:r w:rsidRPr="00173752">
        <w:tab/>
        <w:t xml:space="preserve">pozdravlja delo, ki ga je opravila medinstitucionalna skupina na visoki ravni, da bi se povečala privlačnost Luksemburga za uslužbence; spodbuja Sodišče Evropske unije, naj še naprej sodeluje z drugimi institucijami s sedežem v Luksemburgu pri različnih ukrepih, vključno z zamislijo o uvedbi posebnega stanovanjskega dodatka, s katerim bi izravnali visoko najemnino, ki jo občutijo zlasti zaposleni v nižjih razredih, in da bi uslužbenci Sodišča Evropske unije lahko izkoristili primerne ukrepe, ki se nanašajo na </w:t>
      </w:r>
      <w:r w:rsidRPr="00173752">
        <w:lastRenderedPageBreak/>
        <w:t>pogoje bivanja; poziva, naj se Parlament obvešča o napredku vseh tovrstnih pobud;</w:t>
      </w:r>
    </w:p>
    <w:p w:rsidR="009D73E5" w:rsidRPr="00173752" w:rsidRDefault="009D73E5" w:rsidP="009D73E5">
      <w:pPr>
        <w:pStyle w:val="NormalHanging12a"/>
        <w:rPr>
          <w:szCs w:val="24"/>
        </w:rPr>
      </w:pPr>
      <w:r w:rsidRPr="00173752">
        <w:t>28.</w:t>
      </w:r>
      <w:r w:rsidRPr="00173752">
        <w:tab/>
        <w:t>z zadovoljstvom ugotavlja, da je Sodišče Evropske unije 1. maja 2022 uvedlo novo shemo dela na daljavo, ki omogoča delo od doma dva dni na teden; ugotavlja tudi, da lahko zaposleni do 10 dni na leto delajo zunaj kraja zaposlitve, in da je raziskava med vodstvenimi delavci pokazala splošno zadovoljstvo s to možnostjo, ki se je izkazala za združljivo s pravilnim delovanjem služb;</w:t>
      </w:r>
    </w:p>
    <w:p w:rsidR="009D73E5" w:rsidRPr="00173752" w:rsidRDefault="009D73E5" w:rsidP="009D73E5">
      <w:pPr>
        <w:pStyle w:val="NormalHanging12a"/>
        <w:rPr>
          <w:szCs w:val="24"/>
        </w:rPr>
      </w:pPr>
      <w:r w:rsidRPr="00173752">
        <w:t>29.</w:t>
      </w:r>
      <w:r w:rsidRPr="00173752">
        <w:tab/>
        <w:t>z zaskrbljenostjo ugotavlja, da je bilo leta 2022 na Sodišču Evropske unije 23.702 dni bolniškega dopusta, kar je 38 % več kot leta 2021, ko je število dni bolniškega dopusta znašalo 17.138; hkrati ugotavlja, da je bilo v letu 2019 25.629 dni bolniškega dopusta in da je razmeroma nizko število v letu 2021 morda povezano s pandemijo covida-19;</w:t>
      </w:r>
    </w:p>
    <w:p w:rsidR="009D73E5" w:rsidRPr="00173752" w:rsidRDefault="009D73E5" w:rsidP="009D73E5">
      <w:pPr>
        <w:pStyle w:val="NormalHanging12a"/>
        <w:rPr>
          <w:szCs w:val="24"/>
        </w:rPr>
      </w:pPr>
      <w:r w:rsidRPr="00173752">
        <w:t>30.</w:t>
      </w:r>
      <w:r w:rsidRPr="00173752">
        <w:tab/>
        <w:t>z zaskrbljenostjo ugotavlja, da je 46 zaposlenih poročalo o izčrpanju iz razlogov, povezanih z delom, medtem ko zdravstvene službe Sodišča Evropske unije ocenjujejo, da je bilo leta 2022 23 primerov, v katerih so uslužbenci kazali simptome, ki bi jih bilo mogoče povezati z diagnozo izgorelosti; ugotavlja, da je Sodišče Evropske unije ponudilo usposabljanje za vodstvene delavce, da bi se povečala ozaveščenost o različnih tveganjih, povezanih z izgorelostjo, in o dobrem počutju zaposlenih; poziva Sodišče Evropske unije, naj se še naprej osredotoča na to težavo in nadalje preuči, kako bi lahko preprečili izgorelost, in sprejme vse potrebne ukrepe za dobro počutje zaposlenih, da bi zmanjšali število primerov, povezanih z izgorelostjo; predlaga, naj Sodišče Evropske unije in druge institucije pripravijo rubriko za pripombe, v kateri lahko uslužbenci podajo pripombe ne da bi jim grozili povračilni ukrepi; poziva, naj se vsebina te rubrike jemlje resno in analizira, da bi lažje opredelili in odpravili vzroke izgorelosti;</w:t>
      </w:r>
    </w:p>
    <w:p w:rsidR="009D73E5" w:rsidRPr="00173752" w:rsidRDefault="009D73E5" w:rsidP="009D73E5">
      <w:pPr>
        <w:pStyle w:val="NormalHanging12a"/>
        <w:rPr>
          <w:szCs w:val="24"/>
        </w:rPr>
      </w:pPr>
      <w:r w:rsidRPr="00173752">
        <w:t>31.</w:t>
      </w:r>
      <w:r w:rsidRPr="00173752">
        <w:tab/>
        <w:t>spodbuja kadrovsko službo, naj bo bolj pozorna na posledice in simptome dolgega covida, drugih virusnih bolezni in avtoimunskih bolezni; poziva, naj zdravstveno zavarovanje, ki ga zagotavlja Sodišče Evropske unije in vse druge institucije Unije, finančno krije terapije, potrebne za zdravljenje teh bolezni;</w:t>
      </w:r>
    </w:p>
    <w:p w:rsidR="009D73E5" w:rsidRPr="00173752" w:rsidRDefault="009D73E5" w:rsidP="009D73E5">
      <w:pPr>
        <w:pStyle w:val="NormalHanging12a"/>
        <w:rPr>
          <w:szCs w:val="24"/>
        </w:rPr>
      </w:pPr>
      <w:r w:rsidRPr="00173752">
        <w:t>32.</w:t>
      </w:r>
      <w:r w:rsidRPr="00173752">
        <w:tab/>
        <w:t>ugotavlja, da trenutno poteka v letu 2023 začeta upravna preiskava primera v zvezi z dogajanjem iz leta 2022, ki bi lahko pomenilo spolno nadlegovanje;</w:t>
      </w:r>
    </w:p>
    <w:p w:rsidR="009D73E5" w:rsidRPr="00173752" w:rsidRDefault="009D73E5" w:rsidP="009D73E5">
      <w:pPr>
        <w:pStyle w:val="NormalHanging12a"/>
        <w:rPr>
          <w:szCs w:val="24"/>
        </w:rPr>
      </w:pPr>
      <w:r w:rsidRPr="00173752">
        <w:t>33.</w:t>
      </w:r>
      <w:r w:rsidRPr="00173752">
        <w:tab/>
        <w:t>z zadovoljstvom ugotavlja, da Sodišče Evropske unije ponuja usposabljanje, s katerim želi povečati in spodbujati raznolikost v okviru svojih storitev; ugotavlja tudi, da ima Sodišče Evropske unije 27 invalidnih uslužbencev, od katerih jih ima 14 hudo obliko invalidnosti; ceni, da so bili v letu 2022 na podlagi notranje revizije v letu 2021 sprejeti pomembni nadaljnji ukrepi, da bi zagotovili pravice invalidov;</w:t>
      </w:r>
    </w:p>
    <w:p w:rsidR="009D73E5" w:rsidRPr="00173752" w:rsidRDefault="009D73E5" w:rsidP="009D73E5">
      <w:pPr>
        <w:pStyle w:val="NormalHanging12a"/>
        <w:rPr>
          <w:szCs w:val="24"/>
        </w:rPr>
      </w:pPr>
      <w:r w:rsidRPr="00173752">
        <w:t>34.</w:t>
      </w:r>
      <w:r w:rsidRPr="00173752">
        <w:tab/>
        <w:t>ugotavlja, da je Sodišče Evropske unije v letu 2022 sprejelo 267 pripravnikov; z zadovoljstvom ugotavlja, da se je Sodišče Evropske unije jeseni 2022 na podlagi priporočila Parlamenta odločilo, da bo plačalo vse pripravnike, razen tistih, ki prejemajo nepovratna sredstva iz drugih virov; spodbuja Sodišče Evropske unije, naj preuči, ali praktikanti sorazmerno zastopajo vse države članice;</w:t>
      </w:r>
    </w:p>
    <w:p w:rsidR="009D73E5" w:rsidRPr="00173752" w:rsidRDefault="009D73E5" w:rsidP="009D73E5">
      <w:pPr>
        <w:pStyle w:val="NormalHanging12a"/>
        <w:rPr>
          <w:szCs w:val="24"/>
        </w:rPr>
      </w:pPr>
      <w:r w:rsidRPr="00173752">
        <w:t>35.</w:t>
      </w:r>
      <w:r w:rsidRPr="00173752">
        <w:tab/>
        <w:t xml:space="preserve">obžaluje, da je Sodišče Evropske unije leta 2022 sprejelo neplačane pripravnike, bodisi v prehodnem obdobju po sprejetju novega sklepa o pripravništvih novembra 2021 bodisi zaradi alternativnih virov financiranja; poudarja razliko med Sodiščem Evropske unije, ki nima politike o plačanih pripravništvih, in drugimi evropskimi institucijami, ki te politike podpirajo; Sodišče Evropske unije poziva, naj zagotovi preglednost zunanjih </w:t>
      </w:r>
      <w:r w:rsidRPr="00173752">
        <w:lastRenderedPageBreak/>
        <w:t>finančnih virov neplačanih pripravnikov in pojasni razloge za ohranitev te politike;</w:t>
      </w:r>
    </w:p>
    <w:p w:rsidR="009D73E5" w:rsidRPr="00173752" w:rsidRDefault="009D73E5" w:rsidP="009D73E5">
      <w:pPr>
        <w:pStyle w:val="NormalHanging12a"/>
        <w:rPr>
          <w:b/>
          <w:szCs w:val="24"/>
        </w:rPr>
      </w:pPr>
      <w:r w:rsidRPr="00173752">
        <w:rPr>
          <w:b/>
        </w:rPr>
        <w:t>Etični okvir in preglednost</w:t>
      </w:r>
    </w:p>
    <w:p w:rsidR="009D73E5" w:rsidRPr="00173752" w:rsidRDefault="009D73E5" w:rsidP="009D73E5">
      <w:pPr>
        <w:pStyle w:val="NormalHanging12a"/>
        <w:rPr>
          <w:szCs w:val="24"/>
        </w:rPr>
      </w:pPr>
      <w:r w:rsidRPr="00173752">
        <w:t>36.</w:t>
      </w:r>
      <w:r w:rsidRPr="00173752">
        <w:tab/>
        <w:t>še naprej ceni reforme, izvedene v letu 2021, v zvezi s člani Sodišča in Splošnega sodišča in njihovim kodeksom ravnanja in izjavami o interesih, ki skupaj z novimi zahtevami za življenjepis članov izboljšujejo preglednost Sodišča Evropske unije; kljub temu meni, da bi se veljavnost in uporabnost izjav o interesih izboljšala z določenim preverjanjem in nadzorom kakovosti;</w:t>
      </w:r>
    </w:p>
    <w:p w:rsidR="009D73E5" w:rsidRPr="00173752" w:rsidRDefault="009D73E5" w:rsidP="009D73E5">
      <w:pPr>
        <w:pStyle w:val="NormalHanging12a"/>
        <w:rPr>
          <w:szCs w:val="24"/>
        </w:rPr>
      </w:pPr>
      <w:r w:rsidRPr="00173752">
        <w:t>37.</w:t>
      </w:r>
      <w:r w:rsidRPr="00173752">
        <w:tab/>
        <w:t>pozdravlja, da Sodišče Evropske unije od leta 2018 objavlja seznam zunanjih dejavnosti, ki jih opravljajo člani Sodišča in Splošnega sodišča; ugotavlja, da je seznam za širšo javnost težko berljiv in priporoča, naj se z vključitvijo informacij o naravi zunanje dejavnosti preoblikuje, da bo bolj informativen; poudarja, da se od članov pričakuje, da se bodo v celoti posvetili opravljanju svojih nalog na Sodišču Evropske unije, in da lahko zunanje dejavnosti opravljajo le, če so povezane z njihovim delom in če so prej zaprosili za dovoljenje, ki se izda samo, če so te dejavnosti skladne s kodeksom ravnanja in ne ovirajo sodnih dejavnosti člana;</w:t>
      </w:r>
    </w:p>
    <w:p w:rsidR="009D73E5" w:rsidRPr="00173752" w:rsidRDefault="009D73E5" w:rsidP="009D73E5">
      <w:pPr>
        <w:pStyle w:val="NormalHanging12a"/>
        <w:rPr>
          <w:szCs w:val="24"/>
        </w:rPr>
      </w:pPr>
      <w:r w:rsidRPr="00173752">
        <w:t>38.</w:t>
      </w:r>
      <w:r w:rsidRPr="00173752">
        <w:tab/>
        <w:t>je seznanjen s sklepom iz leta 2021 o potovanjih, službenih potovanjih in uporabi voznikov in avtomobilov članov, kar pomeni, da bodo morali člani kriti vse tekoče stroške za uporabo vozila, ki ni krito z nalogom za službena potovanja nad 10.000 km; meni, da se voznega parka v nobenem primeru ne sme uporabljati, če ne gre za strogo opravljanje dolžnosti članov Sodišča Evropske unije; poziva vse institucije Unije, naj se dogovorijo o enotnem sistemu, ki bi se uporabljal horizontalno, kar bi zmanjšalo zmedo ter povečalo preglednost in učinkovitost porabe javnega denarja;</w:t>
      </w:r>
    </w:p>
    <w:p w:rsidR="009D73E5" w:rsidRPr="00173752" w:rsidRDefault="009D73E5" w:rsidP="009D73E5">
      <w:pPr>
        <w:pStyle w:val="NormalHanging12a"/>
        <w:rPr>
          <w:szCs w:val="24"/>
        </w:rPr>
      </w:pPr>
      <w:r w:rsidRPr="00173752">
        <w:t>39.</w:t>
      </w:r>
      <w:r w:rsidRPr="00173752">
        <w:tab/>
        <w:t>pozdravlja dejstvo, da Sodišče Evropske unije vse novince usposablja o vseh etičnih vidikih, pa tudi o pravicah in obveznostih uradnikov in uslužbencev, kot so določene v kadrovskih predpisih, vključno s prijavljanjem nepravilnosti, prepovedjo nadlegovanja, preprečevanjem nasprotij interesov in drugimi etičnimi vprašanji; pozdravlja tudi organizacijo šestih usposabljanj z naslovom „Pravila dobrega ravnanja“, ki se jih je udeležilo 70 uslužbencev, in 11 usposabljanj z naslovom „Notranji nadzor“, ki se jih je udeležilo 80 uslužbencev; spodbuja Sodišče Evropske unije, naj postane tečaj usposabljanja o pravilih dobrega ravnanja obvezen za vse zaposlene, tako za dolgoletne uslužbence kot za prišleke, da bi spodbudilo varno in produktivno delovno okolje ter etično obravnavo zadev;</w:t>
      </w:r>
    </w:p>
    <w:p w:rsidR="009D73E5" w:rsidRPr="00173752" w:rsidRDefault="009D73E5" w:rsidP="009D73E5">
      <w:pPr>
        <w:pStyle w:val="NormalHanging12a"/>
        <w:rPr>
          <w:szCs w:val="24"/>
        </w:rPr>
      </w:pPr>
      <w:r w:rsidRPr="00173752">
        <w:t>40.</w:t>
      </w:r>
      <w:r w:rsidRPr="00173752">
        <w:tab/>
        <w:t>z zadovoljstvom sicer ugotavlja, da Evropski urad za boj proti goljufijam (OLAF) v letu 2022 ni začel novih preiskav v zvezi s Sodiščem Evropske unije, vendar pa da še vedno poteka ena preiskava o ravnanju osebja, ki bi lahko pomenila resno kršitev obveznosti, in da v štirih primerih, ki jih je v zvezi s Sodiščem Evropske unije obravnavala evropska varuhinja človekovih pravic, ni bilo ugotovljenih nepravilnosti, kar pomeni, da v letu 2022 ni izdala priporočil v zvezi s Sodiščem Evropske unije; ugotavlja, da leta 2022 na Sodišču Evropske unije ni bilo primerov žvižgaštva;</w:t>
      </w:r>
    </w:p>
    <w:p w:rsidR="009D73E5" w:rsidRPr="00173752" w:rsidRDefault="009D73E5" w:rsidP="009D73E5">
      <w:pPr>
        <w:pStyle w:val="NormalHanging12a"/>
        <w:rPr>
          <w:szCs w:val="24"/>
        </w:rPr>
      </w:pPr>
      <w:r w:rsidRPr="00173752">
        <w:t>41.</w:t>
      </w:r>
      <w:r w:rsidRPr="00173752">
        <w:tab/>
        <w:t xml:space="preserve">močno obžaluje, da novi kodeks ravnanja za uslužbence, ki naj bi bil prvotno pripravljen do konca leta 2021, konec leta 2022 še vedno ni bil dokončan; ugotavlja, da naj bi bil novi kodeks ravnanja sprejet do konca leta 2023, vendar je še vedno v postopku sprejemanja; poziva Sodišče, naj dokončno oblikuje in sprejme novi kodeks ravnanja v skladu s pozivi iz prejšnjih krogov razrešnic in ga prosi, naj se Parlament </w:t>
      </w:r>
      <w:r w:rsidRPr="00173752">
        <w:lastRenderedPageBreak/>
        <w:t>čim prej obvesti o njegovem sprejetju in njegovi vsebini;</w:t>
      </w:r>
    </w:p>
    <w:p w:rsidR="009D73E5" w:rsidRPr="00173752" w:rsidRDefault="009D73E5" w:rsidP="009D73E5">
      <w:pPr>
        <w:pStyle w:val="NormalHanging12a"/>
        <w:rPr>
          <w:szCs w:val="24"/>
        </w:rPr>
      </w:pPr>
      <w:r w:rsidRPr="00173752">
        <w:t>42.</w:t>
      </w:r>
      <w:r w:rsidRPr="00173752">
        <w:tab/>
        <w:t>ugotavlja, da v letu 2022 ni bil odkrit noben primer nasprotij interesov; ugotavlja, da je bilo v skladu s členom 16 kadrovskih predpisov preučenih 112 zahtev v zvezi s poklicnimi dejavnostmi po prenehanju delovnega razmerja in da so bile vse odobrene; ugotavlja tudi, da je bilo prijavljenih devet primerov zunanje dejavnosti med dopustom iz osebnih razlogov in da so bili vsi odobreni; meni, da bi to področje lahko preučil notranji revizor ali predlagan organ EU za etiko;</w:t>
      </w:r>
    </w:p>
    <w:p w:rsidR="009D73E5" w:rsidRPr="00173752" w:rsidRDefault="009D73E5" w:rsidP="009D73E5">
      <w:pPr>
        <w:pStyle w:val="NormalHanging12a"/>
        <w:rPr>
          <w:b/>
          <w:szCs w:val="24"/>
        </w:rPr>
      </w:pPr>
      <w:r w:rsidRPr="00173752">
        <w:rPr>
          <w:b/>
        </w:rPr>
        <w:t>Digitalizacija, kibernetska varnost in varstvo podatkov</w:t>
      </w:r>
    </w:p>
    <w:p w:rsidR="009D73E5" w:rsidRPr="00173752" w:rsidRDefault="009D73E5" w:rsidP="009D73E5">
      <w:pPr>
        <w:pStyle w:val="NormalHanging12a"/>
        <w:rPr>
          <w:szCs w:val="24"/>
        </w:rPr>
      </w:pPr>
      <w:r w:rsidRPr="00173752">
        <w:t>43.</w:t>
      </w:r>
      <w:r w:rsidRPr="00173752">
        <w:tab/>
        <w:t>pozdravlja, da je Sodišče Evropske unije pospešilo izvajanje integriranega sistema vodenja zadev (SIGA), zaradi česar bo lahko delalo po popolnoma digitalnem, varnem in integriranem delovnem postopku, in pozdravlja napredek pri izvajanju programa HAN/Ares v zvezi z vsemi upravnimi službami Sodišča Evropske unije; poziva Sodišče Evropske unije, naj Parlament obvešča o tem izvajanju v okviru letnega postopka razrešnice;</w:t>
      </w:r>
    </w:p>
    <w:p w:rsidR="009D73E5" w:rsidRPr="00173752" w:rsidRDefault="009D73E5" w:rsidP="009D73E5">
      <w:pPr>
        <w:pStyle w:val="NormalHanging12a"/>
        <w:rPr>
          <w:szCs w:val="24"/>
        </w:rPr>
      </w:pPr>
      <w:r w:rsidRPr="00173752">
        <w:t>44.</w:t>
      </w:r>
      <w:r w:rsidRPr="00173752">
        <w:tab/>
        <w:t>ceni, da se je Sodišče Evropske unije odločilo, da ne bo več uporabljalo platform v oblaku za občutljive pravosodne podatke, ki se obdelujejo, da bi zaščitilo podatke in lastništvo sistema in vse svoje podatke gostilo na kraju samem in preprečilo za poslovanje kritično odvisnost od zunanjih sistemov; pozdravlja tudi politiko Sodišča Evropske unije, da se pri obravnavi nejavnih informacij izogne uporabi katerega koli orodja ali infrastrukture, ki gostuje v oblaku, da bi zavarovalo osebne podatke in ohranilo popoln nadzor nad svojimi sistemi in podatki;</w:t>
      </w:r>
    </w:p>
    <w:p w:rsidR="009D73E5" w:rsidRPr="00173752" w:rsidRDefault="009D73E5" w:rsidP="009D73E5">
      <w:pPr>
        <w:pStyle w:val="NormalHanging12a"/>
        <w:rPr>
          <w:szCs w:val="24"/>
        </w:rPr>
      </w:pPr>
      <w:r w:rsidRPr="00173752">
        <w:t>45.</w:t>
      </w:r>
      <w:r w:rsidRPr="00173752">
        <w:tab/>
        <w:t>z zadovoljstvom ugotavlja povečanje uporabe aplikacije e-Curia, saj je bilo leta 2022 94 % vlog na Splošnem sodišču vloženih prek te aplikacije (v primerjavi s 93 % leta 2021), stopnja uporabe te aplikacije pri vlaganju vlog v letu 2022 na Sodišču pa je znašala približno 87 % (v primerjavi s 85 % leta 2021);</w:t>
      </w:r>
    </w:p>
    <w:p w:rsidR="009D73E5" w:rsidRPr="00173752" w:rsidRDefault="009D73E5" w:rsidP="009D73E5">
      <w:pPr>
        <w:pStyle w:val="NormalHanging12a"/>
        <w:rPr>
          <w:szCs w:val="24"/>
        </w:rPr>
      </w:pPr>
      <w:r w:rsidRPr="00173752">
        <w:t>46.</w:t>
      </w:r>
      <w:r w:rsidRPr="00173752">
        <w:tab/>
        <w:t>ugotavlja, da Evropski nadzornik za varstvo podatkov v letu 2022 ni posredoval nobenih nadaljnjih poizvedb; z zanimanjem pričakuje odločitev o preiskavi iz začetka leta 2021 o uporabi spletnih storitev tretjih oseb in o obveznosti, da se predloži povzetek sporazuma o skupnem upravljavcu; prav tako z zanimanjem pričakuje odločitev o preiskavi v zvezi z uporabo storitev v oblaku, ki jih zagotavljata Amazon Web Services in Microsoft na podlagi pogodb Cloud II s strani institucij, organov in agencij Unije;</w:t>
      </w:r>
    </w:p>
    <w:p w:rsidR="009D73E5" w:rsidRPr="00173752" w:rsidRDefault="009D73E5" w:rsidP="009D73E5">
      <w:pPr>
        <w:pStyle w:val="NormalHanging12a"/>
        <w:rPr>
          <w:szCs w:val="24"/>
        </w:rPr>
      </w:pPr>
      <w:r w:rsidRPr="00173752">
        <w:t>47.</w:t>
      </w:r>
      <w:r w:rsidRPr="00173752">
        <w:tab/>
        <w:t>pozdravlja, da Sodišče Evropske unije preučuje, kako in v kakšnem obsegu bi se morale pri njegovem delu uporabljati digitalne tehnologije, na primer za ugotavljanje podobnosti med zadevami, prevajanje, pretvorbo govora v besedilo in avtomatizirane povzetke dolgih dokumentov; poudarja, da bo treba zlasti v primeru pravne institucije, kot je Sodišče Evropske unije, pri dostopu do avtomatiziranih postopkov vedno upoštevati etične vidike in postopke dopolniti s človeškim nadzorom in kontrolo; poudarja, kako pomembno je, da se lahko primeri navzkrižno primerjajo s ključnimi izrazi in ključnimi kazalniki, da bi našli prekrivanja ali vzorce vsebine primerov; Sodišče Evropske unije spodbuja tudi, naj preuči možnosti za boljše posredovanje informacij sodnikom in njihovim ekipam;</w:t>
      </w:r>
    </w:p>
    <w:p w:rsidR="009D73E5" w:rsidRPr="00173752" w:rsidRDefault="009D73E5" w:rsidP="009D73E5">
      <w:pPr>
        <w:pStyle w:val="NormalHanging12a"/>
        <w:rPr>
          <w:szCs w:val="24"/>
        </w:rPr>
      </w:pPr>
      <w:r w:rsidRPr="00173752">
        <w:t>48.</w:t>
      </w:r>
      <w:r w:rsidRPr="00173752">
        <w:tab/>
        <w:t xml:space="preserve">pozdravlja, da Sodišče Evropske unije uporablja odprtokodne operacijske sisteme za približno tretjino svoje strežniške baze in da je njegova prva izbira, da se zanaša na </w:t>
      </w:r>
      <w:r w:rsidRPr="00173752">
        <w:lastRenderedPageBreak/>
        <w:t>notranje gostujoče sisteme, ki temeljijo na odprtokodni tehnologiji, saj mu omogoča, da ohrani tehnični nadzor nad svojimi sistemi ter nadzoruje shranjevanje in pretok podatkov, s čimer zagotavlja boljše varstvo podatkov in zasebnost; spodbuja Sodišče Evropske unije, naj se pridruži odprtokodni pobudi Evropskega nadzornika za varstvo podatkov z izvajanjem odprtokodnih rešitev Nextcloud;</w:t>
      </w:r>
    </w:p>
    <w:p w:rsidR="009D73E5" w:rsidRPr="00173752" w:rsidRDefault="009D73E5" w:rsidP="009D73E5">
      <w:pPr>
        <w:pStyle w:val="NormalHanging12a"/>
        <w:rPr>
          <w:szCs w:val="24"/>
        </w:rPr>
      </w:pPr>
      <w:r w:rsidRPr="00173752">
        <w:t>49.</w:t>
      </w:r>
      <w:r w:rsidRPr="00173752">
        <w:tab/>
        <w:t>poziva ga, naj na svojem spletnem mestu objavi vse spise v zvezi z zadevo po objavi sodbe, pri čemer naj za zaščito osebnih podatkov poskrbi za to, da ne bodo razkriti zasebni ali občutljivi podatki;</w:t>
      </w:r>
    </w:p>
    <w:p w:rsidR="009D73E5" w:rsidRPr="00173752" w:rsidRDefault="009D73E5" w:rsidP="009D73E5">
      <w:pPr>
        <w:pStyle w:val="NormalHanging12a"/>
        <w:rPr>
          <w:szCs w:val="24"/>
        </w:rPr>
      </w:pPr>
      <w:r w:rsidRPr="00173752">
        <w:t>50.</w:t>
      </w:r>
      <w:r w:rsidRPr="00173752">
        <w:tab/>
        <w:t>pozdravlja, da si Sodišče Evropske unije prizadeva za vključevanje orodij umetne inteligence v svoje delo in da je bila julija 2023 sprejeta celovita strategija glede umetne inteligence; poudarja, da je bistvenega pomena, da se umetna inteligenca uporablja na način, ki v celoti ohranja neodvisnost, kakovost in trdnost pravnih postopkov ter da se pri tem v celoti upoštevajo etična vprašanja in da se uporablja pod človeškim nadzorom ter omogoča človekovo posredovanje, da bi se izognili negativnim posledicam ali tveganjem ali ustavili sistem, če ne deluje, kot je bilo predvideno; pozdravlja, da je Sodišče Evropske unije ustanovilo odbor za umetno inteligenco, ki je pristojen za obravnavanje etičnih vidikov in določitev jasnih meja za uporabo umetne inteligence; opozarja, da bi moralo sodišče zagotoviti popoln nadzor uporabnikov v skladu z evropsko etično listino o uporabi umetne inteligence v pravosodnih sistemih in njihovem okolju; pričakuje, da bodo smernice za zaposlene o uporabi umetne inteligence sprejete do konca jeseni 2023 kot je bilo navedeno, in poziva, naj se Parlament obvesti o vsebini teh smernic;</w:t>
      </w:r>
    </w:p>
    <w:p w:rsidR="009D73E5" w:rsidRPr="00173752" w:rsidRDefault="009D73E5" w:rsidP="009D73E5">
      <w:pPr>
        <w:pStyle w:val="NormalHanging12a"/>
        <w:rPr>
          <w:b/>
          <w:i/>
          <w:szCs w:val="24"/>
        </w:rPr>
      </w:pPr>
      <w:r w:rsidRPr="00173752">
        <w:t>51.</w:t>
      </w:r>
      <w:r w:rsidRPr="00173752">
        <w:tab/>
        <w:t>z zaskrbljenostjo ugotavlja, da Sodišče Evropske unije poroča, da se je število kibernetskih napadov v letu 2022 še naprej povečevalo; je pomirjen, da so kljub raznolikosti in obsegu vse napade obravnavali vzpostavljeni zaščitni sistemi ali namenska skupina za odzivanje na incidente na Sodišču Evropske unije, kot je razvidno iz odgovorov, ki jih je Sodišče Evropske unije prejelo na vprašanja, ki jih je oktobra 2023 zastavil parlamentarni odbor za proračunski nadzor; hkrati pozdravlja, da Sodišče Evropske unije dejavno sodeluje v ustreznih medinstitucionalnih strukturah Unije, da bi okrepilo splošno kibernetsko varnost institucij Unije; odločno poziva vodstvo Sodišča Evropske unije, naj še naprej prednostno krepi kibernetsko varnost; poziva vodstvo, naj proaktivno preuči, kateri vidik informacijske infrastrukture je izpostavljen napadom, in naj to čim prej popravi ter zagotovi redne revizije in preskuse svoje kibernetske obrambe;</w:t>
      </w:r>
    </w:p>
    <w:p w:rsidR="009D73E5" w:rsidRPr="00173752" w:rsidRDefault="009D73E5" w:rsidP="009D73E5">
      <w:pPr>
        <w:pStyle w:val="NormalHanging12a"/>
        <w:rPr>
          <w:szCs w:val="24"/>
        </w:rPr>
      </w:pPr>
      <w:r w:rsidRPr="00173752">
        <w:t>52.</w:t>
      </w:r>
      <w:r w:rsidRPr="00173752">
        <w:tab/>
        <w:t>ugotavlja, da je Sodišče Evropske unije v letih 2022 in 2023 analiziralo možnosti odprtih podatkov in da namerava vse objavljene informacije, ki so na voljo na njegovem spletišču, deliti kot odprte podatke; vendar Sodišče Evropske unije opozarja, da morajo pred objavo informacij kot odprtih podatkov te informacije pregledati za to zadolžene osebe, pri čemer se upoštevajo varnost, zaupnost, pravica do zasebnosti in pravice intelektualne lastnine;</w:t>
      </w:r>
    </w:p>
    <w:p w:rsidR="009D73E5" w:rsidRPr="00173752" w:rsidRDefault="009D73E5" w:rsidP="009D73E5">
      <w:pPr>
        <w:spacing w:after="240"/>
        <w:rPr>
          <w:b/>
          <w:bCs/>
          <w:iCs/>
          <w:szCs w:val="24"/>
        </w:rPr>
      </w:pPr>
      <w:r w:rsidRPr="00173752">
        <w:rPr>
          <w:b/>
        </w:rPr>
        <w:t>Nepremičnine</w:t>
      </w:r>
    </w:p>
    <w:p w:rsidR="009D73E5" w:rsidRPr="00173752" w:rsidRDefault="009D73E5" w:rsidP="009D73E5">
      <w:pPr>
        <w:pStyle w:val="NormalHanging12a"/>
        <w:rPr>
          <w:szCs w:val="24"/>
        </w:rPr>
      </w:pPr>
      <w:r w:rsidRPr="00173752">
        <w:t>53.</w:t>
      </w:r>
      <w:r w:rsidRPr="00173752">
        <w:tab/>
        <w:t xml:space="preserve">z zanimanjem ugotavlja, da je Sodišče Evropske unije ustanovilo delovno skupino s predstavniki različnih delov Sodišča Evropske unije in odbora uslužbencev, da bi razmislili o optimizaciji zasedenosti prostorov Sodišča Evropske unije, in da je skupina svoje sklepe sprejela v letu 2023; poziva, naj se Parlament obvešča o izvajanju teh </w:t>
      </w:r>
      <w:r w:rsidRPr="00173752">
        <w:lastRenderedPageBreak/>
        <w:t>sklepov in posledicah za organizacijo delovnega prostora;</w:t>
      </w:r>
    </w:p>
    <w:p w:rsidR="009D73E5" w:rsidRPr="00173752" w:rsidRDefault="009D73E5" w:rsidP="009D73E5">
      <w:pPr>
        <w:pStyle w:val="NormalHanging12a"/>
        <w:rPr>
          <w:szCs w:val="24"/>
        </w:rPr>
      </w:pPr>
      <w:r w:rsidRPr="00173752">
        <w:t>54.</w:t>
      </w:r>
      <w:r w:rsidRPr="00173752">
        <w:tab/>
        <w:t>z zanimanjem ugotavlja, da je bila opravljena notranja revizija dostopnosti stavb za invalide in da Sodišče Evropske unije v skladu z novo luksemburško zakonodajo izvaja ustrezne ukrepe; pozdravlja, da ti ukrepi zajemajo omogočanje dostopa do sodnih dvoran za osebe z omejeno mobilnostjo, kot so taktilno tlakovanje in oprijemala; poziva, naj se Parlament obvešča o nadaljnjih pobudah na tem področju;</w:t>
      </w:r>
    </w:p>
    <w:p w:rsidR="009D73E5" w:rsidRPr="00173752" w:rsidRDefault="009D73E5" w:rsidP="009D73E5">
      <w:pPr>
        <w:spacing w:after="240"/>
        <w:rPr>
          <w:b/>
          <w:szCs w:val="24"/>
        </w:rPr>
      </w:pPr>
      <w:r w:rsidRPr="00173752">
        <w:rPr>
          <w:b/>
        </w:rPr>
        <w:t>Okolje in trajnostnost</w:t>
      </w:r>
    </w:p>
    <w:p w:rsidR="009D73E5" w:rsidRPr="00173752" w:rsidRDefault="009D73E5" w:rsidP="009D73E5">
      <w:pPr>
        <w:pStyle w:val="NormalHanging12a"/>
        <w:rPr>
          <w:szCs w:val="24"/>
        </w:rPr>
      </w:pPr>
      <w:r w:rsidRPr="00173752">
        <w:t>55.</w:t>
      </w:r>
      <w:r w:rsidRPr="00173752">
        <w:tab/>
        <w:t>zelo ceni, da Sodišče Evropske unije pripravlja ločeno letno poročilo o okoljskem odtisu institucije, ki bi lahko služilo kot model za druge institucije;</w:t>
      </w:r>
    </w:p>
    <w:p w:rsidR="009D73E5" w:rsidRPr="00173752" w:rsidRDefault="009D73E5" w:rsidP="009D73E5">
      <w:pPr>
        <w:pStyle w:val="NormalHanging12a"/>
        <w:rPr>
          <w:szCs w:val="24"/>
        </w:rPr>
      </w:pPr>
      <w:r w:rsidRPr="00173752">
        <w:t xml:space="preserve">56. </w:t>
      </w:r>
      <w:r w:rsidRPr="00173752">
        <w:tab/>
        <w:t>čestita Sodišču Evropske, ker mu je v letu 2022 uspelo znatno zmanjšati splošno porabo v primerjavi z izhodiščnim letom 2015; meni, da je izjemen uspeh, da so se stroški ogrevanja zmanjšali za 23,6 %, poraba papirja za 42,6 %, količina odpadkov v menzah za 49,9 % in emisije toplogrednih plinov za 31,7 %;</w:t>
      </w:r>
    </w:p>
    <w:p w:rsidR="009D73E5" w:rsidRPr="00173752" w:rsidRDefault="009D73E5" w:rsidP="009D73E5">
      <w:pPr>
        <w:pStyle w:val="NormalHanging12a"/>
        <w:rPr>
          <w:szCs w:val="24"/>
        </w:rPr>
      </w:pPr>
      <w:r w:rsidRPr="00173752">
        <w:t>57.</w:t>
      </w:r>
      <w:r w:rsidRPr="00173752">
        <w:tab/>
        <w:t>ugotavlja, da je Sodišče Evropske unije namestilo sončne panele s površino 3.447,8 m2</w:t>
      </w:r>
      <w:r w:rsidRPr="00173752">
        <w:rPr>
          <w:vertAlign w:val="superscript"/>
        </w:rPr>
        <w:t>2</w:t>
      </w:r>
      <w:r w:rsidRPr="00173752">
        <w:t>, ki so v letu 2022 proizvedli 452.959 kWh; spodbuja Sodišče Evropske unije, naj si še naprej prizadeva za opredelitev možnosti za zmanjšanje splošne porabe, recikliranje in proizvodnjo energije iz obnovljivih virov;</w:t>
      </w:r>
    </w:p>
    <w:p w:rsidR="009D73E5" w:rsidRPr="00173752" w:rsidRDefault="009D73E5" w:rsidP="009D73E5">
      <w:pPr>
        <w:pStyle w:val="NormalHanging12a"/>
        <w:rPr>
          <w:szCs w:val="24"/>
        </w:rPr>
      </w:pPr>
      <w:r w:rsidRPr="00173752">
        <w:t>58.</w:t>
      </w:r>
      <w:r w:rsidRPr="00173752">
        <w:tab/>
        <w:t>pozdravlja, da je Sodišče Evropske unije sprejelo več pobud za podporo in povečanje trajnostne mobilnosti, vključno s subvencijami za javni prevoz, subvencijami za samopostrežna kolesa, izboljšanimi parkirišči za kolesa ter boljšo infrastrukturo za hibridne in električne avtomobile;</w:t>
      </w:r>
    </w:p>
    <w:p w:rsidR="009D73E5" w:rsidRPr="00173752" w:rsidRDefault="009D73E5" w:rsidP="009D73E5">
      <w:pPr>
        <w:spacing w:after="240"/>
        <w:rPr>
          <w:b/>
          <w:szCs w:val="24"/>
        </w:rPr>
      </w:pPr>
      <w:r w:rsidRPr="00173752">
        <w:rPr>
          <w:b/>
        </w:rPr>
        <w:t>Medinstitucionalno sodelovanje</w:t>
      </w:r>
    </w:p>
    <w:p w:rsidR="009D73E5" w:rsidRPr="00173752" w:rsidRDefault="009D73E5" w:rsidP="009D73E5">
      <w:pPr>
        <w:pStyle w:val="NormalHanging12a"/>
        <w:rPr>
          <w:szCs w:val="24"/>
        </w:rPr>
      </w:pPr>
      <w:r w:rsidRPr="00173752">
        <w:t>59.</w:t>
      </w:r>
      <w:r w:rsidRPr="00173752">
        <w:tab/>
        <w:t>pozdravlja, da ima Sodišče Evropske unije številne sporazume o ravni storitev z drugimi institucijami Unije, kar prispeva k zmanjšanju stroškov za udeležene institucije in zagotavlja, da se v institucijah uporabljajo podobni postopki, tehnike in delovni tokovi; ceni zlasti sporazume o ravni storitve z Uradom Komisije za vodenje in plačevanje posameznih pravic ter sporazum o ravni storitve z generalnim direktoratom Komisije za digitalne storitve kot ponudnikom storitev, ki gosti informacijske sisteme Sodišča Evropske unije, vključno z eCurio, portalom Cvria in drugimi; je seznanjen tudi s stalnim sodelovanjem v Medinstitucionalnem odboru za prevajanje in tolmačenje; nazadnje pozdravlja, da je bil leta 2023 po pogajanjih, ki so se odvijala leta 2022, z Uradom za publikacije Evropske unije podpisan nov sporazum o ravni storitev, ki prvič zajema vse vidike sodelovanja;</w:t>
      </w:r>
    </w:p>
    <w:p w:rsidR="009D73E5" w:rsidRPr="00173752" w:rsidRDefault="009D73E5" w:rsidP="009D73E5">
      <w:pPr>
        <w:pStyle w:val="NormalHanging12a"/>
        <w:rPr>
          <w:szCs w:val="24"/>
        </w:rPr>
      </w:pPr>
      <w:r w:rsidRPr="00173752">
        <w:t>60.</w:t>
      </w:r>
      <w:r w:rsidRPr="00173752">
        <w:tab/>
        <w:t>z zadovoljstvom ugotavlja, da se je Sodišče Evropske unije tako kot vse druge institucije, organi, uradi in agencije Unije pridružilo skupnemu javnemu naročilu za zagotavljanje nezgodnega zavarovanja, kot je navedeno v členu 73 kadrovskih predpisov;</w:t>
      </w:r>
    </w:p>
    <w:p w:rsidR="009D73E5" w:rsidRPr="00173752" w:rsidRDefault="009D73E5" w:rsidP="009D73E5">
      <w:pPr>
        <w:pStyle w:val="NormalHanging12a"/>
        <w:rPr>
          <w:szCs w:val="24"/>
        </w:rPr>
      </w:pPr>
      <w:r w:rsidRPr="00173752">
        <w:t>61.</w:t>
      </w:r>
      <w:r w:rsidRPr="00173752">
        <w:tab/>
        <w:t>pozdravlja nadgradnjo sodelovanja z Evropskim javnim tožilstvom in podpis memoranduma o soglasju, da bi se vzpostavilo poglobljeno sodelovanje na področju bibliografskih in dokumentarnih storitev v korist obeh institucij; pozdravlja tudi, da je bilo tožilcem Evropskega javnega tožilstva predlagano posebno usposabljanje, na katerem bi se lahko seznanili z dejavnostmi Sodišča Evropske unije;</w:t>
      </w:r>
    </w:p>
    <w:p w:rsidR="009D73E5" w:rsidRPr="00173752" w:rsidRDefault="009D73E5" w:rsidP="009D73E5">
      <w:pPr>
        <w:pStyle w:val="NormalHanging12a"/>
        <w:rPr>
          <w:szCs w:val="24"/>
        </w:rPr>
      </w:pPr>
      <w:r w:rsidRPr="00173752">
        <w:lastRenderedPageBreak/>
        <w:t>62.</w:t>
      </w:r>
      <w:r w:rsidRPr="00173752">
        <w:tab/>
        <w:t>ceni, da Sodišče Evropske unije v celoti sodeluje z uradom OLAF, Računskim sodiščem, Evropskim nadzornikom za varstvo podatkov in Evropsko varuhinjo človekovih pravic, tudi s posodabljanjem svojih notranjih odločitev o preiskavah urada OLAF, kar je v skladu z najnovejšimi zahtevami;</w:t>
      </w:r>
    </w:p>
    <w:p w:rsidR="009D73E5" w:rsidRPr="00173752" w:rsidRDefault="009D73E5" w:rsidP="009D73E5">
      <w:pPr>
        <w:pStyle w:val="NormalHanging12a"/>
        <w:rPr>
          <w:szCs w:val="24"/>
        </w:rPr>
      </w:pPr>
      <w:r w:rsidRPr="00173752">
        <w:t>63.</w:t>
      </w:r>
      <w:r w:rsidRPr="00173752">
        <w:tab/>
        <w:t>spodbuja Sodišče Evropske unije, naj s Komisijo in Uradom Evropske unije za intelektualno lastnino deli število zadev v zvezi z intelektualno lastnino in specifične sporne točke, da bi ugotovili, zakaj je bilo leta 2022 30 % zadevnih ukrepov na Splošnem sodišču povezanih z intelektualno lastnino, kar bi pomagalo pri odkrivanju morebitnih vrzeli v zakonodajnih aktih Unije; meni, da bi lahko prihranili proračunska sredstva Unije za obravnavo teh primerov, če bi se določena sporna točka lahko rešila z novim zakonodajnim aktom Unije;</w:t>
      </w:r>
    </w:p>
    <w:p w:rsidR="009D73E5" w:rsidRPr="00173752" w:rsidRDefault="009D73E5" w:rsidP="009D73E5">
      <w:pPr>
        <w:pStyle w:val="NormalHanging12a"/>
        <w:rPr>
          <w:szCs w:val="24"/>
        </w:rPr>
      </w:pPr>
      <w:r w:rsidRPr="00173752">
        <w:t>64.</w:t>
      </w:r>
      <w:r w:rsidRPr="00173752">
        <w:tab/>
        <w:t>se zaveda, da pravosodna mreža Evropske unije izvaja dejavnosti, ki prispevajo k spodbujanju in olajševanju sodelovanja med Sodiščem Evropske unije in nacionalnimi sodišči, zlasti na področju sodnega nadzora, pravnih raziskav, večjezične terminologije in nastajajočih tehnologij, pa tudi k spodbujanju združevanja najučinkovitejših praks na področju pravosodja;</w:t>
      </w:r>
    </w:p>
    <w:p w:rsidR="009D73E5" w:rsidRPr="00173752" w:rsidRDefault="009D73E5" w:rsidP="009D73E5">
      <w:pPr>
        <w:spacing w:after="240"/>
        <w:rPr>
          <w:b/>
          <w:szCs w:val="24"/>
        </w:rPr>
      </w:pPr>
      <w:r w:rsidRPr="00173752">
        <w:rPr>
          <w:b/>
        </w:rPr>
        <w:t>Komunikacija</w:t>
      </w:r>
    </w:p>
    <w:p w:rsidR="009D73E5" w:rsidRPr="00173752" w:rsidRDefault="009D73E5" w:rsidP="009D73E5">
      <w:pPr>
        <w:pStyle w:val="NormalHanging12a"/>
        <w:rPr>
          <w:szCs w:val="24"/>
        </w:rPr>
      </w:pPr>
      <w:r w:rsidRPr="00173752">
        <w:t>65.</w:t>
      </w:r>
      <w:r w:rsidRPr="00173752">
        <w:tab/>
        <w:t>ugotavlja, da je proračun za komunikacije, ki zajema pripravo vsebine in tiskanje notranjih in zunanjih publikacij, v letu 2022 znašal 527.500 EUR, kar je 3,3 % več kot leta 2021;</w:t>
      </w:r>
    </w:p>
    <w:p w:rsidR="009D73E5" w:rsidRPr="00173752" w:rsidRDefault="009D73E5" w:rsidP="009D73E5">
      <w:pPr>
        <w:pStyle w:val="NormalHanging12a"/>
        <w:rPr>
          <w:szCs w:val="24"/>
        </w:rPr>
      </w:pPr>
      <w:r w:rsidRPr="00173752">
        <w:t>66.</w:t>
      </w:r>
      <w:r w:rsidRPr="00173752">
        <w:tab/>
        <w:t>pozdravlja, da je Sodišče Evropske unije svojo 70. obletnico izkoristilo za utrjevanje preglednosti delovanja in komunikacije z državljani Unije ter za organizacijo dveh dnevov odprtih vrat, ko so državljani lahko postavljali vprašanja na kraju samem; spodbuja Sodišče Evropske unije, naj razmisli o nadaljnjem ukrepanju na podlagi teh pobud tudi v prihodnjih letih;</w:t>
      </w:r>
    </w:p>
    <w:p w:rsidR="009D73E5" w:rsidRPr="00173752" w:rsidRDefault="009D73E5" w:rsidP="009D73E5">
      <w:pPr>
        <w:pStyle w:val="NormalHanging12a"/>
        <w:rPr>
          <w:szCs w:val="24"/>
        </w:rPr>
      </w:pPr>
      <w:r w:rsidRPr="00173752">
        <w:t>67.</w:t>
      </w:r>
      <w:r w:rsidRPr="00173752">
        <w:tab/>
        <w:t>z zadovoljstvom ugotavlja, da je Sodišče Evropske unije v letu 2022 uvedlo pretočno predvajanje za prenos obravnav pred velikim senatom, s čimer javnosti omogoča boljše razumevanje svojega delovanja; spodbuja ga, naj to ponudno razširi in s tem poveča preglednost;</w:t>
      </w:r>
    </w:p>
    <w:p w:rsidR="009D73E5" w:rsidRPr="00173752" w:rsidRDefault="009D73E5" w:rsidP="009D73E5">
      <w:pPr>
        <w:pStyle w:val="NormalHanging12a"/>
        <w:rPr>
          <w:szCs w:val="24"/>
        </w:rPr>
      </w:pPr>
      <w:r w:rsidRPr="00173752">
        <w:t>68.</w:t>
      </w:r>
      <w:r w:rsidRPr="00173752">
        <w:tab/>
        <w:t>pozdravlja dejstvo, da Sodišče Evropske unije dejavno sodeluje v projektu za stike z javnostjo EU Voice, ki ga je začel Evropski nadzornik za varstvo podatkov in katerega namen je spodbujati uporabo decentraliziranih, brezplačnih in odprtokodnih družbenih omrežij kot alternativo komercialnim;</w:t>
      </w:r>
    </w:p>
    <w:p w:rsidR="009D73E5" w:rsidRPr="00173752" w:rsidRDefault="009D73E5" w:rsidP="009D73E5">
      <w:pPr>
        <w:pStyle w:val="NormalHanging12a"/>
        <w:rPr>
          <w:szCs w:val="24"/>
        </w:rPr>
      </w:pPr>
      <w:r w:rsidRPr="00173752">
        <w:t>69.</w:t>
      </w:r>
      <w:r w:rsidRPr="00173752">
        <w:tab/>
        <w:t>meni, da bi bilo treba izboljšati preglednost in odprtost sodnega procesa Unije, saj mora Sodišče Evropske unije vse pogosteje odločati o zadevah ustavne narave, povezanih s človekovimi pravicami in Listino Evropske Unije o temeljnih pravicah; zato pozdravlja vzpostavitev sistema za predvajanje obravnav Sodišča Evropske unije, saj se bo zaradi večje dostopnosti širši javnosti okrepila njegova vloga „državljanskega sodišča“; v zvezi s tem poudarja, da je treba novi sistem pretakanja postopoma dopolniti z dodatnimi zunanjimi komunikacijskimi sredstvi, ki bodo omogočila večjo prepoznavnost dela institucije;</w:t>
      </w:r>
    </w:p>
    <w:p w:rsidR="009D73E5" w:rsidRPr="00173752" w:rsidRDefault="009D73E5" w:rsidP="009D73E5">
      <w:pPr>
        <w:pStyle w:val="NormalHanging12a"/>
        <w:rPr>
          <w:szCs w:val="24"/>
        </w:rPr>
      </w:pPr>
      <w:r w:rsidRPr="00173752">
        <w:t>70.</w:t>
      </w:r>
      <w:r w:rsidRPr="00173752">
        <w:tab/>
        <w:t xml:space="preserve">pozdravlja, da se je leta 2022 po zaključku pilotne faze v letu 2021 začela izvajati </w:t>
      </w:r>
      <w:r w:rsidRPr="00173752">
        <w:lastRenderedPageBreak/>
        <w:t>pobuda za obiske na daljavo na Sodišču Evropske unije, da se bodo lahko mladi, stari od 15 do 18 let, seznanili z vlogo Sodišča Evropske unije in vpliv sodne prakse na njihovo vsakdanje življenje ter se bolj zavedali pravic, ki jih imajo kot državljani Unije, in demokratičnih vrednot Unije; spodbuja Sodišče Evropske unije, naj ponudbo obiskov na daljavo za mlade razširi na starostno skupino od 15 do 29 let; ga nadalje spodbuja, naj obiske na daljavo ponudi državljanom vseh starosti in poudarja, da bi morali tovrstne obiske v največji možni meri omogočiti vsem Evropejcem;</w:t>
      </w:r>
    </w:p>
    <w:p w:rsidR="00E365E1" w:rsidRPr="00173752" w:rsidRDefault="009D73E5" w:rsidP="00CA3807">
      <w:pPr>
        <w:ind w:left="567" w:hanging="567"/>
      </w:pPr>
      <w:r w:rsidRPr="00173752">
        <w:t>71.</w:t>
      </w:r>
      <w:r w:rsidRPr="00173752">
        <w:tab/>
        <w:t>ugotavlja, da Sodišče Evropske unije skupaj z več drugimi institucijami Unije dejavno sodeluje pri projektu, ki ga je začel Evropski nadzornik za varstvo podatkov, in sicer z rednimi objavami na decentraliziranih družbenih medijih Mastodon z uporabo proste in odprtokodne programske opreme; ugotavlja, da Sodišče Evropske unije uporablja tudi platformi X (prej Twitter) in LinkedIn ter da je nadaljevalo prakso objavljanja na platformah X (prej Twitter) in Mastodon, takoj ko je bila na voljo tehnična rešitev, ki je omogočala avtomatizirano vzporedno objavo; spodbuja Sodišče Evropske unije, naj redno objavlja vsebino na obstoječih platformah družbenih medijev, da ne bi zaradi pomanjkljive prisotnosti v družbenih medijih nastal vtis, da je pri svojem vsakodnevnem delu nedejavno.</w:t>
      </w:r>
      <w:bookmarkStart w:id="9" w:name="TextBodyEnd"/>
      <w:bookmarkEnd w:id="9"/>
    </w:p>
    <w:sectPr w:rsidR="00E365E1" w:rsidRPr="00173752" w:rsidSect="00173752">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59AC" w:rsidRPr="00173752" w:rsidRDefault="003B59AC">
      <w:r w:rsidRPr="00173752">
        <w:separator/>
      </w:r>
    </w:p>
  </w:endnote>
  <w:endnote w:type="continuationSeparator" w:id="0">
    <w:p w:rsidR="003B59AC" w:rsidRPr="00173752" w:rsidRDefault="003B59AC">
      <w:r w:rsidRPr="001737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3E5" w:rsidRPr="002B0816" w:rsidRDefault="009D73E5" w:rsidP="002B081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D73E5" w:rsidRPr="00173752" w:rsidRDefault="009D73E5" w:rsidP="003C6024">
    <w:pPr>
      <w:pStyle w:val="EPFooter"/>
    </w:pPr>
    <w:r w:rsidRPr="00173752">
      <w:rPr>
        <w:rStyle w:val="HideTWBExt"/>
      </w:rPr>
      <w:t>&lt;PathFdR&gt;</w:t>
    </w:r>
    <w:r w:rsidRPr="00173752">
      <w:t>RR\1298529SL.docx</w:t>
    </w:r>
    <w:r w:rsidRPr="00173752">
      <w:rPr>
        <w:rStyle w:val="HideTWBExt"/>
      </w:rPr>
      <w:t>&lt;/PathFdR&gt;</w:t>
    </w:r>
    <w:r w:rsidRPr="00173752">
      <w:tab/>
    </w:r>
    <w:r w:rsidRPr="00173752">
      <w:tab/>
      <w:t>PE</w:t>
    </w:r>
    <w:r w:rsidRPr="00173752">
      <w:rPr>
        <w:rStyle w:val="HideTWBExt"/>
      </w:rPr>
      <w:t>&lt;NoPE&gt;</w:t>
    </w:r>
    <w:r w:rsidRPr="00173752">
      <w:t>753.480</w:t>
    </w:r>
    <w:r w:rsidRPr="00173752">
      <w:rPr>
        <w:rStyle w:val="HideTWBExt"/>
      </w:rPr>
      <w:t>&lt;/NoPE&gt;&lt;Version&gt;</w:t>
    </w:r>
    <w:r w:rsidRPr="00173752">
      <w:t>v02-00</w:t>
    </w:r>
    <w:r w:rsidRPr="00173752">
      <w:rPr>
        <w:rStyle w:val="HideTWBExt"/>
      </w:rPr>
      <w:t>&lt;/Version&gt;</w:t>
    </w:r>
  </w:p>
  <w:p w:rsidR="009D73E5" w:rsidRPr="00173752" w:rsidRDefault="009D73E5" w:rsidP="003C6024">
    <w:pPr>
      <w:pStyle w:val="EPFooter2"/>
    </w:pPr>
    <w:r w:rsidRPr="00173752">
      <w:t>SL</w:t>
    </w:r>
    <w:r w:rsidRPr="00173752">
      <w:tab/>
    </w:r>
    <w:r w:rsidRPr="00173752">
      <w:rPr>
        <w:b w:val="0"/>
        <w:i/>
        <w:color w:val="C0C0C0"/>
        <w:sz w:val="22"/>
      </w:rPr>
      <w:t>Združena v raznolikosti</w:t>
    </w:r>
    <w:r w:rsidRPr="00173752">
      <w:tab/>
      <w:t>SL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752"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752"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7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59AC" w:rsidRPr="00173752" w:rsidRDefault="003B59AC">
      <w:r w:rsidRPr="00173752">
        <w:separator/>
      </w:r>
    </w:p>
  </w:footnote>
  <w:footnote w:type="continuationSeparator" w:id="0">
    <w:p w:rsidR="003B59AC" w:rsidRPr="00173752" w:rsidRDefault="003B59AC">
      <w:r w:rsidRPr="00173752">
        <w:continuationSeparator/>
      </w:r>
    </w:p>
  </w:footnote>
  <w:footnote w:id="1">
    <w:p w:rsidR="009D73E5" w:rsidRPr="00173752" w:rsidRDefault="009D73E5" w:rsidP="00173752">
      <w:pPr>
        <w:pStyle w:val="FootnoteText"/>
        <w:ind w:left="567" w:hanging="567"/>
        <w:rPr>
          <w:sz w:val="24"/>
          <w:lang w:val="sl-SI"/>
        </w:rPr>
      </w:pPr>
      <w:r w:rsidRPr="00173752">
        <w:rPr>
          <w:rStyle w:val="FootnoteReference"/>
          <w:sz w:val="24"/>
          <w:lang w:val="sl-SI"/>
        </w:rPr>
        <w:footnoteRef/>
      </w:r>
      <w:r w:rsidR="00173752" w:rsidRPr="00173752">
        <w:rPr>
          <w:sz w:val="24"/>
          <w:lang w:val="sl-SI"/>
        </w:rPr>
        <w:t xml:space="preserve"> </w:t>
      </w:r>
      <w:r w:rsidR="00173752" w:rsidRPr="00173752">
        <w:rPr>
          <w:sz w:val="24"/>
          <w:lang w:val="sl-SI"/>
        </w:rPr>
        <w:tab/>
      </w:r>
      <w:r w:rsidRPr="00173752">
        <w:rPr>
          <w:sz w:val="24"/>
          <w:lang w:val="sl-SI"/>
        </w:rPr>
        <w:t>UL L 45, 24.2.2022.</w:t>
      </w:r>
    </w:p>
  </w:footnote>
  <w:footnote w:id="2">
    <w:p w:rsidR="009D73E5" w:rsidRPr="00173752" w:rsidRDefault="009D73E5" w:rsidP="00173752">
      <w:pPr>
        <w:pStyle w:val="FootnoteText"/>
        <w:ind w:left="567" w:hanging="567"/>
        <w:rPr>
          <w:sz w:val="24"/>
          <w:lang w:val="sl-SI"/>
        </w:rPr>
      </w:pPr>
      <w:r w:rsidRPr="00173752">
        <w:rPr>
          <w:rStyle w:val="FootnoteReference"/>
          <w:sz w:val="24"/>
          <w:lang w:val="sl-SI"/>
        </w:rPr>
        <w:footnoteRef/>
      </w:r>
      <w:r w:rsidR="00173752" w:rsidRPr="00173752">
        <w:rPr>
          <w:sz w:val="24"/>
          <w:lang w:val="sl-SI"/>
        </w:rPr>
        <w:t xml:space="preserve"> </w:t>
      </w:r>
      <w:r w:rsidR="00173752" w:rsidRPr="00173752">
        <w:rPr>
          <w:sz w:val="24"/>
          <w:lang w:val="sl-SI"/>
        </w:rPr>
        <w:tab/>
      </w:r>
      <w:r w:rsidRPr="00173752">
        <w:rPr>
          <w:sz w:val="24"/>
          <w:lang w:val="sl-SI"/>
        </w:rPr>
        <w:t>UL C, C/2023/2, 12.10.2023.</w:t>
      </w:r>
    </w:p>
  </w:footnote>
  <w:footnote w:id="3">
    <w:p w:rsidR="009D73E5" w:rsidRPr="00173752" w:rsidRDefault="009D73E5" w:rsidP="00173752">
      <w:pPr>
        <w:pStyle w:val="FootnoteText"/>
        <w:ind w:left="567" w:hanging="567"/>
        <w:rPr>
          <w:sz w:val="24"/>
          <w:lang w:val="sl-SI"/>
        </w:rPr>
      </w:pPr>
      <w:r w:rsidRPr="00173752">
        <w:rPr>
          <w:rStyle w:val="FootnoteReference"/>
          <w:sz w:val="24"/>
          <w:lang w:val="sl-SI"/>
        </w:rPr>
        <w:footnoteRef/>
      </w:r>
      <w:r w:rsidR="00173752" w:rsidRPr="00173752">
        <w:rPr>
          <w:sz w:val="24"/>
          <w:lang w:val="sl-SI"/>
        </w:rPr>
        <w:t xml:space="preserve"> </w:t>
      </w:r>
      <w:r w:rsidR="00173752" w:rsidRPr="00173752">
        <w:rPr>
          <w:sz w:val="24"/>
          <w:lang w:val="sl-SI"/>
        </w:rPr>
        <w:tab/>
      </w:r>
      <w:r w:rsidRPr="00173752">
        <w:rPr>
          <w:sz w:val="24"/>
          <w:lang w:val="sl-SI"/>
        </w:rPr>
        <w:t>UL C, C/2023/103, 4.10.2023.</w:t>
      </w:r>
    </w:p>
  </w:footnote>
  <w:footnote w:id="4">
    <w:p w:rsidR="009D73E5" w:rsidRPr="00173752" w:rsidRDefault="009D73E5" w:rsidP="00173752">
      <w:pPr>
        <w:pStyle w:val="FootnoteText"/>
        <w:ind w:left="567" w:hanging="567"/>
        <w:rPr>
          <w:sz w:val="24"/>
          <w:lang w:val="sl-SI"/>
        </w:rPr>
      </w:pPr>
      <w:r w:rsidRPr="00173752">
        <w:rPr>
          <w:rStyle w:val="FootnoteReference"/>
          <w:sz w:val="24"/>
          <w:lang w:val="sl-SI"/>
        </w:rPr>
        <w:footnoteRef/>
      </w:r>
      <w:r w:rsidR="00173752" w:rsidRPr="00173752">
        <w:rPr>
          <w:sz w:val="24"/>
          <w:lang w:val="sl-SI"/>
        </w:rPr>
        <w:t xml:space="preserve"> </w:t>
      </w:r>
      <w:r w:rsidR="00173752" w:rsidRPr="00173752">
        <w:rPr>
          <w:sz w:val="24"/>
          <w:lang w:val="sl-SI"/>
        </w:rPr>
        <w:tab/>
      </w:r>
      <w:r w:rsidRPr="00173752">
        <w:rPr>
          <w:sz w:val="24"/>
          <w:lang w:val="sl-SI"/>
        </w:rPr>
        <w:t>UL C, C/2023/112, 12.10.2023.</w:t>
      </w:r>
    </w:p>
  </w:footnote>
  <w:footnote w:id="5">
    <w:p w:rsidR="009D73E5" w:rsidRPr="00173752" w:rsidRDefault="009D73E5" w:rsidP="00173752">
      <w:pPr>
        <w:pStyle w:val="FootnoteText"/>
        <w:ind w:left="567" w:hanging="567"/>
        <w:rPr>
          <w:sz w:val="24"/>
          <w:lang w:val="sl-SI"/>
        </w:rPr>
      </w:pPr>
      <w:r w:rsidRPr="00173752">
        <w:rPr>
          <w:rStyle w:val="FootnoteReference"/>
          <w:sz w:val="24"/>
          <w:lang w:val="sl-SI"/>
        </w:rPr>
        <w:footnoteRef/>
      </w:r>
      <w:r w:rsidR="00173752" w:rsidRPr="00173752">
        <w:rPr>
          <w:sz w:val="24"/>
          <w:lang w:val="sl-SI"/>
        </w:rPr>
        <w:t xml:space="preserve"> </w:t>
      </w:r>
      <w:r w:rsidR="00173752" w:rsidRPr="00173752">
        <w:rPr>
          <w:sz w:val="24"/>
          <w:lang w:val="sl-SI"/>
        </w:rPr>
        <w:tab/>
      </w:r>
      <w:r w:rsidRPr="00173752">
        <w:rPr>
          <w:sz w:val="24"/>
          <w:lang w:val="sl-SI"/>
        </w:rPr>
        <w:t>UL L 193, 30.7.2018, str.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75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75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737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5/2024"/>
    <w:docVar w:name="dvlangue" w:val="SL"/>
    <w:docVar w:name="dvnumam" w:val="0"/>
    <w:docVar w:name="dvpe" w:val="753.480"/>
    <w:docVar w:name="dvrapporteur" w:val="Poročevalec: "/>
    <w:docVar w:name="dvtitre" w:val="1. Sklep Evropskega parlamenta z dne 11. aprila 2024 o razrešnici glede izvrševanja splošnega proračuna Evropske unije za proračunsko leto 2022, oddelek IV – Sodišče Evropske unije(2023/2132(DEC))"/>
  </w:docVars>
  <w:rsids>
    <w:rsidRoot w:val="003B59AC"/>
    <w:rsid w:val="00002272"/>
    <w:rsid w:val="00064002"/>
    <w:rsid w:val="000677B9"/>
    <w:rsid w:val="000831BA"/>
    <w:rsid w:val="000A42CC"/>
    <w:rsid w:val="000E7DD9"/>
    <w:rsid w:val="0010095E"/>
    <w:rsid w:val="00125B37"/>
    <w:rsid w:val="00173752"/>
    <w:rsid w:val="00187494"/>
    <w:rsid w:val="001E306A"/>
    <w:rsid w:val="001F32AE"/>
    <w:rsid w:val="00261F83"/>
    <w:rsid w:val="002767FF"/>
    <w:rsid w:val="00297FD5"/>
    <w:rsid w:val="002B0816"/>
    <w:rsid w:val="002B18FE"/>
    <w:rsid w:val="002B5493"/>
    <w:rsid w:val="00343214"/>
    <w:rsid w:val="00361C00"/>
    <w:rsid w:val="00395FA1"/>
    <w:rsid w:val="003B59AC"/>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73E5"/>
    <w:rsid w:val="00A1687D"/>
    <w:rsid w:val="00A43E52"/>
    <w:rsid w:val="00A4678D"/>
    <w:rsid w:val="00A778C7"/>
    <w:rsid w:val="00AB441E"/>
    <w:rsid w:val="00AB6293"/>
    <w:rsid w:val="00AE0928"/>
    <w:rsid w:val="00AF3B82"/>
    <w:rsid w:val="00B12E95"/>
    <w:rsid w:val="00B22876"/>
    <w:rsid w:val="00B51D5D"/>
    <w:rsid w:val="00B558F0"/>
    <w:rsid w:val="00BD48FE"/>
    <w:rsid w:val="00BD7BD8"/>
    <w:rsid w:val="00BE6ADC"/>
    <w:rsid w:val="00C05BFE"/>
    <w:rsid w:val="00C23CD4"/>
    <w:rsid w:val="00C61C0C"/>
    <w:rsid w:val="00C941CB"/>
    <w:rsid w:val="00CA3807"/>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07E5A4"/>
  <w15:chartTrackingRefBased/>
  <w15:docId w15:val="{703558D5-4808-4E91-9A85-079254495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D73E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D73E5"/>
    <w:pPr>
      <w:spacing w:before="480" w:after="240"/>
    </w:pPr>
  </w:style>
  <w:style w:type="paragraph" w:customStyle="1" w:styleId="PageHeading">
    <w:name w:val="PageHeading"/>
    <w:basedOn w:val="Normal"/>
    <w:rsid w:val="009D73E5"/>
    <w:pPr>
      <w:keepNext/>
      <w:spacing w:after="480"/>
      <w:jc w:val="center"/>
    </w:pPr>
    <w:rPr>
      <w:rFonts w:ascii="Arial" w:hAnsi="Arial" w:cs="Arial"/>
      <w:b/>
    </w:rPr>
  </w:style>
  <w:style w:type="paragraph" w:customStyle="1" w:styleId="NormalBold">
    <w:name w:val="NormalBold"/>
    <w:basedOn w:val="Normal"/>
    <w:rsid w:val="009D73E5"/>
    <w:rPr>
      <w:b/>
    </w:rPr>
  </w:style>
  <w:style w:type="paragraph" w:customStyle="1" w:styleId="NormalHanging12a">
    <w:name w:val="NormalHanging12a"/>
    <w:basedOn w:val="Normal"/>
    <w:link w:val="NormalHanging12aChar"/>
    <w:qFormat/>
    <w:rsid w:val="009D73E5"/>
    <w:pPr>
      <w:spacing w:after="240"/>
      <w:ind w:left="567" w:hanging="567"/>
    </w:pPr>
  </w:style>
  <w:style w:type="paragraph" w:styleId="Header">
    <w:name w:val="header"/>
    <w:basedOn w:val="Normal"/>
    <w:link w:val="HeaderChar"/>
    <w:rsid w:val="009D73E5"/>
    <w:pPr>
      <w:tabs>
        <w:tab w:val="center" w:pos="4513"/>
        <w:tab w:val="right" w:pos="9026"/>
      </w:tabs>
    </w:pPr>
  </w:style>
  <w:style w:type="character" w:customStyle="1" w:styleId="HeaderChar">
    <w:name w:val="Header Char"/>
    <w:basedOn w:val="DefaultParagraphFont"/>
    <w:link w:val="Header"/>
    <w:rsid w:val="009D73E5"/>
    <w:rPr>
      <w:sz w:val="24"/>
      <w:lang w:val="sl-SI"/>
    </w:rPr>
  </w:style>
  <w:style w:type="paragraph" w:customStyle="1" w:styleId="EPFooter">
    <w:name w:val="EPFooter"/>
    <w:basedOn w:val="Normal"/>
    <w:rsid w:val="009D73E5"/>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9D73E5"/>
    <w:rPr>
      <w:sz w:val="24"/>
      <w:lang w:val="sl-SI"/>
    </w:rPr>
  </w:style>
  <w:style w:type="paragraph" w:styleId="Footer">
    <w:name w:val="footer"/>
    <w:basedOn w:val="Normal"/>
    <w:link w:val="FooterChar"/>
    <w:rsid w:val="00CA3807"/>
    <w:pPr>
      <w:tabs>
        <w:tab w:val="center" w:pos="4513"/>
        <w:tab w:val="right" w:pos="9026"/>
      </w:tabs>
    </w:pPr>
  </w:style>
  <w:style w:type="character" w:customStyle="1" w:styleId="FooterChar">
    <w:name w:val="Footer Char"/>
    <w:basedOn w:val="DefaultParagraphFont"/>
    <w:link w:val="Footer"/>
    <w:rsid w:val="00CA3807"/>
    <w:rPr>
      <w:sz w:val="24"/>
      <w:lang w:val="sl-SI"/>
    </w:rPr>
  </w:style>
  <w:style w:type="paragraph" w:styleId="BalloonText">
    <w:name w:val="Balloon Text"/>
    <w:basedOn w:val="Normal"/>
    <w:link w:val="BalloonTextChar"/>
    <w:rsid w:val="00297FD5"/>
    <w:rPr>
      <w:rFonts w:ascii="Segoe UI" w:hAnsi="Segoe UI" w:cs="Segoe UI"/>
      <w:sz w:val="18"/>
      <w:szCs w:val="18"/>
    </w:rPr>
  </w:style>
  <w:style w:type="character" w:customStyle="1" w:styleId="BalloonTextChar">
    <w:name w:val="Balloon Text Char"/>
    <w:basedOn w:val="DefaultParagraphFont"/>
    <w:link w:val="BalloonText"/>
    <w:rsid w:val="00297FD5"/>
    <w:rPr>
      <w:rFonts w:ascii="Segoe UI" w:hAnsi="Segoe UI" w:cs="Segoe UI"/>
      <w:sz w:val="18"/>
      <w:szCs w:val="18"/>
      <w:lang w:val="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69413-EBF3-4AF7-B0FE-28EBEA7442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5438</Words>
  <Characters>31262</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36627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GOROPECNIK Tina</cp:lastModifiedBy>
  <cp:revision>2</cp:revision>
  <cp:lastPrinted>2004-11-19T15:42:00Z</cp:lastPrinted>
  <dcterms:created xsi:type="dcterms:W3CDTF">2024-05-21T12:02:00Z</dcterms:created>
  <dcterms:modified xsi:type="dcterms:W3CDTF">2024-05-21T12:02:00Z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P9_TA(2024)0230_</vt:lpwstr>
  </property>
  <property fmtid="{D5CDD505-2E9C-101B-9397-08002B2CF9AE}" pid="4" name="&lt;Type&gt;">
    <vt:lpwstr>RR</vt:lpwstr>
  </property>
</Properties>
</file>