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3409" w:rsidTr="0010095E">
        <w:trPr>
          <w:trHeight w:hRule="exact" w:val="1418"/>
        </w:trPr>
        <w:tc>
          <w:tcPr>
            <w:tcW w:w="6804" w:type="dxa"/>
            <w:shd w:val="clear" w:color="auto" w:fill="auto"/>
            <w:vAlign w:val="center"/>
          </w:tcPr>
          <w:p w:rsidR="00751A4A" w:rsidRPr="00D23409" w:rsidRDefault="00EE4F74" w:rsidP="0010095E">
            <w:pPr>
              <w:pStyle w:val="EPName"/>
            </w:pPr>
            <w:r w:rsidRPr="00D23409">
              <w:t>Европейски</w:t>
            </w:r>
            <w:r w:rsidR="00620AAB" w:rsidRPr="00D23409">
              <w:t xml:space="preserve"> парламент</w:t>
            </w:r>
          </w:p>
          <w:p w:rsidR="00751A4A" w:rsidRPr="00D23409" w:rsidRDefault="00817416" w:rsidP="00756632">
            <w:pPr>
              <w:pStyle w:val="EPTerm"/>
              <w:rPr>
                <w:rStyle w:val="HideTWBExt"/>
                <w:noProof w:val="0"/>
                <w:vanish w:val="0"/>
                <w:color w:val="auto"/>
              </w:rPr>
            </w:pPr>
            <w:r w:rsidRPr="00D23409">
              <w:t>2019</w:t>
            </w:r>
            <w:r w:rsidR="00EE4F74">
              <w:t> – </w:t>
            </w:r>
            <w:r w:rsidRPr="00D23409">
              <w:t>2024</w:t>
            </w:r>
          </w:p>
        </w:tc>
        <w:tc>
          <w:tcPr>
            <w:tcW w:w="2268" w:type="dxa"/>
            <w:shd w:val="clear" w:color="auto" w:fill="auto"/>
          </w:tcPr>
          <w:p w:rsidR="00751A4A" w:rsidRPr="00D23409" w:rsidRDefault="00187494" w:rsidP="0010095E">
            <w:pPr>
              <w:pStyle w:val="EPLogo"/>
            </w:pPr>
            <w:r w:rsidRPr="00D234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3409" w:rsidRDefault="00D058B8" w:rsidP="004C5D52">
      <w:pPr>
        <w:pStyle w:val="LineTop"/>
      </w:pPr>
    </w:p>
    <w:p w:rsidR="00680577" w:rsidRPr="00D23409" w:rsidRDefault="00620AAB" w:rsidP="00680577">
      <w:pPr>
        <w:pStyle w:val="EPBodyTA1"/>
      </w:pPr>
      <w:r w:rsidRPr="00D23409">
        <w:t>ПРИЕТИ ТЕКСТОВЕ</w:t>
      </w:r>
    </w:p>
    <w:p w:rsidR="00D058B8" w:rsidRPr="00D23409" w:rsidRDefault="00D058B8" w:rsidP="00D058B8">
      <w:pPr>
        <w:pStyle w:val="LineBottom"/>
      </w:pPr>
    </w:p>
    <w:p w:rsidR="00620AAB" w:rsidRPr="00D23409" w:rsidRDefault="00620AAB" w:rsidP="00620AAB">
      <w:pPr>
        <w:pStyle w:val="ATHeading1"/>
      </w:pPr>
      <w:bookmarkStart w:id="0" w:name="TANumber"/>
      <w:r w:rsidRPr="00D23409">
        <w:t>P9_TA(2024)0</w:t>
      </w:r>
      <w:r w:rsidR="0011797F">
        <w:rPr>
          <w:lang w:val="en-GB"/>
        </w:rPr>
        <w:t>231</w:t>
      </w:r>
      <w:bookmarkEnd w:id="0"/>
    </w:p>
    <w:p w:rsidR="00620AAB" w:rsidRPr="00D23409" w:rsidRDefault="00620AAB" w:rsidP="00620AAB">
      <w:pPr>
        <w:pStyle w:val="ATHeading2"/>
      </w:pPr>
      <w:bookmarkStart w:id="1" w:name="title"/>
      <w:r w:rsidRPr="00D23409">
        <w:t>Освобождаване от отговорност във връзка с изпълнението на бюджета за 2022 г.: Общ бюджет на ЕС – Сметна палата</w:t>
      </w:r>
      <w:bookmarkEnd w:id="1"/>
    </w:p>
    <w:p w:rsidR="00620AAB" w:rsidRPr="00D23409" w:rsidRDefault="00620AAB" w:rsidP="00620AAB">
      <w:pPr>
        <w:rPr>
          <w:i/>
          <w:vanish/>
        </w:rPr>
      </w:pPr>
      <w:r w:rsidRPr="00D23409">
        <w:rPr>
          <w:i/>
        </w:rPr>
        <w:fldChar w:fldCharType="begin"/>
      </w:r>
      <w:r w:rsidRPr="00D23409">
        <w:rPr>
          <w:i/>
        </w:rPr>
        <w:instrText xml:space="preserve"> TC"(</w:instrText>
      </w:r>
      <w:bookmarkStart w:id="2" w:name="DocNumber"/>
      <w:r w:rsidRPr="00D23409">
        <w:rPr>
          <w:i/>
        </w:rPr>
        <w:instrText>A9-0074/2024</w:instrText>
      </w:r>
      <w:bookmarkEnd w:id="2"/>
      <w:r w:rsidRPr="00D23409">
        <w:rPr>
          <w:i/>
        </w:rPr>
        <w:instrText xml:space="preserve"> - Докладчик: Люк </w:instrText>
      </w:r>
      <w:proofErr w:type="spellStart"/>
      <w:r w:rsidRPr="00D23409">
        <w:rPr>
          <w:i/>
        </w:rPr>
        <w:instrText>Минг</w:instrText>
      </w:r>
      <w:proofErr w:type="spellEnd"/>
      <w:r w:rsidRPr="00D23409">
        <w:rPr>
          <w:i/>
        </w:rPr>
        <w:instrText xml:space="preserve"> </w:instrText>
      </w:r>
      <w:proofErr w:type="spellStart"/>
      <w:r w:rsidRPr="00D23409">
        <w:rPr>
          <w:i/>
        </w:rPr>
        <w:instrText>Фланаган</w:instrText>
      </w:r>
      <w:proofErr w:type="spellEnd"/>
      <w:r w:rsidRPr="00D23409">
        <w:rPr>
          <w:i/>
        </w:rPr>
        <w:instrText xml:space="preserve">)"\l3 \n&gt; \* MERGEFORMAT </w:instrText>
      </w:r>
      <w:r w:rsidRPr="00D23409">
        <w:rPr>
          <w:i/>
        </w:rPr>
        <w:fldChar w:fldCharType="end"/>
      </w:r>
    </w:p>
    <w:p w:rsidR="00620AAB" w:rsidRPr="00D23409" w:rsidRDefault="00620AAB" w:rsidP="00620AAB">
      <w:pPr>
        <w:rPr>
          <w:vanish/>
        </w:rPr>
      </w:pPr>
      <w:bookmarkStart w:id="3" w:name="Commission"/>
      <w:r w:rsidRPr="00D23409">
        <w:rPr>
          <w:vanish/>
        </w:rPr>
        <w:t>Комисия по бюджетен контрол</w:t>
      </w:r>
      <w:bookmarkEnd w:id="3"/>
    </w:p>
    <w:p w:rsidR="00620AAB" w:rsidRPr="00D23409" w:rsidRDefault="00620AAB" w:rsidP="00620AAB">
      <w:pPr>
        <w:rPr>
          <w:vanish/>
        </w:rPr>
      </w:pPr>
      <w:bookmarkStart w:id="4" w:name="PE"/>
      <w:r w:rsidRPr="00D23409">
        <w:rPr>
          <w:vanish/>
        </w:rPr>
        <w:t>PE753.481</w:t>
      </w:r>
      <w:bookmarkEnd w:id="4"/>
    </w:p>
    <w:p w:rsidR="00620AAB" w:rsidRPr="00D23409" w:rsidRDefault="00EE4F74" w:rsidP="00EE4F74">
      <w:pPr>
        <w:pStyle w:val="ATHeading3"/>
      </w:pPr>
      <w:bookmarkStart w:id="5" w:name="Sujet"/>
      <w:r>
        <w:t xml:space="preserve">1. </w:t>
      </w:r>
      <w:r w:rsidR="00620AAB" w:rsidRPr="00D23409">
        <w:t xml:space="preserve">Решение на Европейския парламент от </w:t>
      </w:r>
      <w:r>
        <w:t>11 април</w:t>
      </w:r>
      <w:r w:rsidR="00620AAB" w:rsidRPr="00D23409">
        <w:t xml:space="preserve"> 2024 г. относно освобождаването от отговорн</w:t>
      </w:r>
      <w:bookmarkStart w:id="6" w:name="_GoBack"/>
      <w:bookmarkEnd w:id="6"/>
      <w:r w:rsidR="00620AAB" w:rsidRPr="00D23409">
        <w:t>ост във връзка с изпълнението на общия бюджет на Европейския съюз за финансовата 2022 година, раздел V ‒ Сметна палата</w:t>
      </w:r>
      <w:bookmarkEnd w:id="5"/>
      <w:r w:rsidR="00620AAB" w:rsidRPr="00D23409">
        <w:t xml:space="preserve"> </w:t>
      </w:r>
      <w:bookmarkStart w:id="7" w:name="References"/>
      <w:r w:rsidR="00620AAB" w:rsidRPr="00D23409">
        <w:t>(2023/2133(DEC))</w:t>
      </w:r>
      <w:bookmarkEnd w:id="7"/>
    </w:p>
    <w:p w:rsidR="00D44BDD" w:rsidRPr="00D23409" w:rsidRDefault="00D44BDD" w:rsidP="00D44BDD">
      <w:pPr>
        <w:pStyle w:val="EPComma"/>
      </w:pPr>
      <w:bookmarkStart w:id="8" w:name="TextBodyBegin"/>
      <w:bookmarkEnd w:id="8"/>
      <w:r w:rsidRPr="00D23409">
        <w:rPr>
          <w:i/>
        </w:rPr>
        <w:t>Европейският парламент</w:t>
      </w:r>
      <w:r w:rsidRPr="00D23409">
        <w:t>,</w:t>
      </w:r>
    </w:p>
    <w:p w:rsidR="00D44BDD" w:rsidRPr="00D23409" w:rsidRDefault="00D44BDD" w:rsidP="00D44BDD">
      <w:pPr>
        <w:pStyle w:val="NormalHanging12a"/>
      </w:pPr>
      <w:r w:rsidRPr="00D23409">
        <w:t>–</w:t>
      </w:r>
      <w:r w:rsidRPr="00D23409">
        <w:tab/>
        <w:t>като взе предвид общия бюджет на Европейския съюз за финансовата 2022 година</w:t>
      </w:r>
      <w:r w:rsidRPr="00D23409">
        <w:rPr>
          <w:rStyle w:val="FootnoteReference"/>
        </w:rPr>
        <w:footnoteReference w:id="1"/>
      </w:r>
      <w:r w:rsidRPr="00D23409">
        <w:t>,</w:t>
      </w:r>
    </w:p>
    <w:p w:rsidR="00D44BDD" w:rsidRPr="00D23409" w:rsidRDefault="00D44BDD" w:rsidP="00D44BDD">
      <w:pPr>
        <w:pStyle w:val="NormalHanging12a"/>
      </w:pPr>
      <w:r w:rsidRPr="00D23409">
        <w:t>–</w:t>
      </w:r>
      <w:r w:rsidRPr="00D23409">
        <w:tab/>
        <w:t>като взе предвид консолидираните годишни отчети на Европейския съюз за финансовата 2022 година (COM(2023)0391 – C9</w:t>
      </w:r>
      <w:r w:rsidRPr="00D23409">
        <w:noBreakHyphen/>
        <w:t>0252/2023)</w:t>
      </w:r>
      <w:r w:rsidRPr="00D23409">
        <w:rPr>
          <w:rStyle w:val="FootnoteReference"/>
        </w:rPr>
        <w:footnoteReference w:id="2"/>
      </w:r>
      <w:r w:rsidRPr="00D23409">
        <w:t>,</w:t>
      </w:r>
    </w:p>
    <w:p w:rsidR="00D44BDD" w:rsidRPr="00D23409" w:rsidRDefault="00D44BDD" w:rsidP="00D44BDD">
      <w:pPr>
        <w:pStyle w:val="NormalHanging12a"/>
      </w:pPr>
      <w:r w:rsidRPr="00D23409">
        <w:t>–</w:t>
      </w:r>
      <w:r w:rsidRPr="00D23409">
        <w:tab/>
        <w:t>като взе предвид годишния доклад на Сметната палата пред органа по освобождаване от отговорност относно вътрешните одити, осъществени през 2022 г.,</w:t>
      </w:r>
    </w:p>
    <w:p w:rsidR="00D44BDD" w:rsidRPr="00D23409" w:rsidRDefault="00D44BDD" w:rsidP="00D44BDD">
      <w:pPr>
        <w:pStyle w:val="NormalHanging12a"/>
      </w:pPr>
      <w:r w:rsidRPr="00D23409">
        <w:t>–</w:t>
      </w:r>
      <w:r w:rsidRPr="00D23409">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D23409">
        <w:rPr>
          <w:rStyle w:val="FootnoteReference"/>
        </w:rPr>
        <w:footnoteReference w:id="3"/>
      </w:r>
      <w:r w:rsidRPr="00D23409">
        <w:t>,</w:t>
      </w:r>
    </w:p>
    <w:p w:rsidR="00D44BDD" w:rsidRPr="00D23409" w:rsidRDefault="00D44BDD" w:rsidP="00D44BDD">
      <w:pPr>
        <w:pStyle w:val="NormalHanging12a"/>
      </w:pPr>
      <w:r w:rsidRPr="00D23409">
        <w:t>–</w:t>
      </w:r>
      <w:r w:rsidRPr="00D23409">
        <w:tab/>
        <w:t>като взе предвид декларацията за достоверност</w:t>
      </w:r>
      <w:r w:rsidRPr="00D23409">
        <w:rPr>
          <w:rStyle w:val="FootnoteReference"/>
        </w:rPr>
        <w:footnoteReference w:id="4"/>
      </w:r>
      <w:r w:rsidRPr="00D23409">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44BDD" w:rsidRPr="00D23409" w:rsidRDefault="00D44BDD" w:rsidP="00D44BDD">
      <w:pPr>
        <w:pStyle w:val="NormalHanging12a"/>
      </w:pPr>
      <w:r w:rsidRPr="00D23409">
        <w:t>–</w:t>
      </w:r>
      <w:r w:rsidRPr="00D23409">
        <w:tab/>
        <w:t>като взе предвид член 314, параграф 10 и членове 317, 318 и 319 от Договора за функционирането на Европейския съюз,</w:t>
      </w:r>
    </w:p>
    <w:p w:rsidR="00D44BDD" w:rsidRPr="00D23409" w:rsidRDefault="00D44BDD" w:rsidP="00D44BDD">
      <w:pPr>
        <w:pStyle w:val="NormalHanging12a"/>
      </w:pPr>
      <w:r w:rsidRPr="00D23409">
        <w:t>–</w:t>
      </w:r>
      <w:r w:rsidRPr="00D23409">
        <w:tab/>
        <w:t xml:space="preserve">като взе предвид Регламент (ЕС, Евратом) 2018/1046 на Европейския парламент и </w:t>
      </w:r>
      <w:r w:rsidRPr="00D23409">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23409">
        <w:rPr>
          <w:rStyle w:val="FootnoteReference"/>
        </w:rPr>
        <w:footnoteReference w:id="5"/>
      </w:r>
      <w:r w:rsidRPr="00D23409">
        <w:t>, и по-специално членове 59, 118, 260, 261 и 262 от него,</w:t>
      </w:r>
    </w:p>
    <w:p w:rsidR="00D44BDD" w:rsidRPr="00D23409" w:rsidRDefault="00D44BDD" w:rsidP="00D44BDD">
      <w:pPr>
        <w:pStyle w:val="NormalHanging12a"/>
      </w:pPr>
      <w:r w:rsidRPr="00D23409">
        <w:t>–</w:t>
      </w:r>
      <w:r w:rsidRPr="00D23409">
        <w:tab/>
        <w:t>като взе предвид член 100 и приложение V към своя Правилник за дейността,</w:t>
      </w:r>
    </w:p>
    <w:p w:rsidR="00D44BDD" w:rsidRPr="00D23409" w:rsidRDefault="00D44BDD" w:rsidP="00D44BDD">
      <w:pPr>
        <w:pStyle w:val="NormalHanging12a"/>
      </w:pPr>
      <w:r w:rsidRPr="00D23409">
        <w:t>–</w:t>
      </w:r>
      <w:r w:rsidRPr="00D23409">
        <w:tab/>
        <w:t>като взе предвид доклада на комисията по бюджетен контрол (A9-0074/2024),</w:t>
      </w:r>
    </w:p>
    <w:p w:rsidR="00D44BDD" w:rsidRPr="00D23409" w:rsidRDefault="00D44BDD" w:rsidP="00D44BDD">
      <w:pPr>
        <w:pStyle w:val="NormalHanging12a"/>
      </w:pPr>
      <w:r w:rsidRPr="00D23409">
        <w:t>1.</w:t>
      </w:r>
      <w:r w:rsidRPr="00D23409">
        <w:tab/>
        <w:t>освобождава от отговорност генералния секретар на Сметната палата във връзка с изпълнението на бюджета на Сметната палата за финансовата 2022 година;</w:t>
      </w:r>
    </w:p>
    <w:p w:rsidR="00D44BDD" w:rsidRPr="00D23409" w:rsidRDefault="00D44BDD" w:rsidP="00D44BDD">
      <w:pPr>
        <w:pStyle w:val="NormalHanging12a"/>
      </w:pPr>
      <w:r w:rsidRPr="00D23409">
        <w:t>2.</w:t>
      </w:r>
      <w:r w:rsidRPr="00D23409">
        <w:tab/>
        <w:t>представя своите забележки в резолюцията по-долу;</w:t>
      </w:r>
    </w:p>
    <w:p w:rsidR="00D44BDD" w:rsidRPr="00D23409" w:rsidRDefault="00D44BDD" w:rsidP="00D44BDD">
      <w:pPr>
        <w:pStyle w:val="NormalHanging12a"/>
      </w:pPr>
      <w:r w:rsidRPr="00D23409">
        <w:t>3.</w:t>
      </w:r>
      <w:r w:rsidRPr="00D23409">
        <w:tab/>
        <w:t xml:space="preserve">възлага на своя председател да предаде настоящото решение, както и резолюцията, която е неразделна част от него, на Съвета, Комисията и Сметната палата и да осигури публикуването им в </w:t>
      </w:r>
      <w:r w:rsidRPr="00D23409">
        <w:rPr>
          <w:i/>
        </w:rPr>
        <w:t>Официален вестник на Европейския съюз</w:t>
      </w:r>
      <w:r w:rsidRPr="00D23409">
        <w:t xml:space="preserve"> (серия L).</w:t>
      </w:r>
    </w:p>
    <w:p w:rsidR="00D44BDD" w:rsidRPr="00D23409" w:rsidRDefault="00D44BDD" w:rsidP="00D44BDD"/>
    <w:p w:rsidR="00D44BDD" w:rsidRPr="00D23409" w:rsidRDefault="00D44BDD" w:rsidP="00D44BDD">
      <w:pPr>
        <w:pStyle w:val="PageHeading"/>
        <w:sectPr w:rsidR="00D44BDD" w:rsidRPr="00D23409" w:rsidSect="00D234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44BDD" w:rsidRPr="00D23409" w:rsidRDefault="00D44BDD" w:rsidP="00EE4F74">
      <w:pPr>
        <w:pStyle w:val="ATHeading3"/>
      </w:pPr>
      <w:bookmarkStart w:id="9" w:name="_Toc161331824"/>
      <w:r w:rsidRPr="00D23409">
        <w:lastRenderedPageBreak/>
        <w:t xml:space="preserve">2. </w:t>
      </w:r>
      <w:r w:rsidR="00EE4F74" w:rsidRPr="00D23409">
        <w:t>Резолюция на Европейския парламент</w:t>
      </w:r>
      <w:r w:rsidR="00EE4F74">
        <w:t xml:space="preserve"> от 11 април 2024 г.</w:t>
      </w:r>
      <w:r w:rsidRPr="00D23409">
        <w:t>,</w:t>
      </w:r>
      <w:bookmarkEnd w:id="9"/>
      <w:r w:rsidR="00EE4F74">
        <w:t xml:space="preserve"> </w:t>
      </w:r>
      <w:r w:rsidRPr="00D23409">
        <w:t>съдържащ</w:t>
      </w:r>
      <w:r w:rsidR="00EE4F74">
        <w:t>а</w:t>
      </w:r>
      <w:r w:rsidRPr="00D23409">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V – Сметна палата</w:t>
      </w:r>
      <w:r w:rsidR="00EE4F74">
        <w:t xml:space="preserve"> </w:t>
      </w:r>
      <w:r w:rsidRPr="00D23409">
        <w:t>(2023/2133(DEC))</w:t>
      </w:r>
    </w:p>
    <w:p w:rsidR="00D44BDD" w:rsidRPr="00D23409" w:rsidRDefault="00D44BDD" w:rsidP="00D44BDD">
      <w:pPr>
        <w:pStyle w:val="EPComma"/>
      </w:pPr>
      <w:r w:rsidRPr="00D23409">
        <w:rPr>
          <w:i/>
        </w:rPr>
        <w:t>Европейският парламент</w:t>
      </w:r>
      <w:r w:rsidRPr="00D23409">
        <w:t>,</w:t>
      </w:r>
    </w:p>
    <w:p w:rsidR="00D44BDD" w:rsidRPr="00D23409" w:rsidRDefault="00D44BDD" w:rsidP="00D44BDD">
      <w:pPr>
        <w:pStyle w:val="NormalHanging12a"/>
        <w:rPr>
          <w:szCs w:val="24"/>
        </w:rPr>
      </w:pPr>
      <w:r w:rsidRPr="00D23409">
        <w:t>–</w:t>
      </w:r>
      <w:r w:rsidRPr="00D23409">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V ‒ Сметна палата,</w:t>
      </w:r>
    </w:p>
    <w:p w:rsidR="00D44BDD" w:rsidRPr="00D23409" w:rsidRDefault="00D44BDD" w:rsidP="00D44BDD">
      <w:pPr>
        <w:pStyle w:val="NormalHanging12a"/>
        <w:rPr>
          <w:szCs w:val="24"/>
        </w:rPr>
      </w:pPr>
      <w:r w:rsidRPr="00D23409">
        <w:t>–</w:t>
      </w:r>
      <w:r w:rsidRPr="00D23409">
        <w:tab/>
        <w:t>като взе предвид член 100 и приложение V към своя Правилник за дейността,</w:t>
      </w:r>
    </w:p>
    <w:p w:rsidR="00D44BDD" w:rsidRPr="00D23409" w:rsidRDefault="00D44BDD" w:rsidP="00D44BDD">
      <w:pPr>
        <w:pStyle w:val="NormalHanging12a"/>
        <w:rPr>
          <w:szCs w:val="24"/>
        </w:rPr>
      </w:pPr>
      <w:r w:rsidRPr="00D23409">
        <w:t>–</w:t>
      </w:r>
      <w:r w:rsidRPr="00D23409">
        <w:tab/>
        <w:t>като взе предвид доклада на комисията по бюджетен контрол (A9-0074/2024),</w:t>
      </w:r>
    </w:p>
    <w:p w:rsidR="00D44BDD" w:rsidRPr="00D23409" w:rsidRDefault="00D44BDD" w:rsidP="00D44BDD">
      <w:pPr>
        <w:pStyle w:val="NormalHanging12a"/>
        <w:rPr>
          <w:szCs w:val="24"/>
        </w:rPr>
      </w:pPr>
      <w:r w:rsidRPr="00D23409">
        <w:t>А.</w:t>
      </w:r>
      <w:r w:rsidRPr="00D23409">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rsidR="00D44BDD" w:rsidRPr="00D23409" w:rsidRDefault="00D44BDD" w:rsidP="00D44BDD">
      <w:pPr>
        <w:pStyle w:val="NormalHanging12a"/>
        <w:rPr>
          <w:szCs w:val="24"/>
        </w:rPr>
      </w:pPr>
      <w:r w:rsidRPr="00D23409">
        <w:t>Б.</w:t>
      </w:r>
      <w:r w:rsidRPr="00D23409">
        <w:tab/>
        <w:t>като има предвид, че Сметната палата („Палатата“) е външният одитор на Съюза, на който е поверена задачата чрез независима, професионална и имаща въздействие одитна дейност да оценява икономичността, ефективността, ефикасността, законосъобразността и редовността на действията на Съюза с цел подобряване на отчетността, прозрачността и финансовото управление, като по този начин се повишава доверието на гражданите и се реагира ефективно на настоящите и бъдещите предизвикателства, пред които е изправен и ще се изправя Съюзът;</w:t>
      </w:r>
    </w:p>
    <w:p w:rsidR="00D44BDD" w:rsidRPr="00D23409" w:rsidRDefault="00D44BDD" w:rsidP="00D44BDD">
      <w:pPr>
        <w:pStyle w:val="NormalHanging12a"/>
        <w:rPr>
          <w:szCs w:val="24"/>
        </w:rPr>
      </w:pPr>
      <w:r w:rsidRPr="00D23409">
        <w:t>В.</w:t>
      </w:r>
      <w:r w:rsidRPr="00D23409">
        <w:tab/>
        <w:t xml:space="preserve">като има предвид, че без да се засягат разпоредбите на членове 287 и 319 от Договора за функционирането на Европейския съюз (ДФЕС), от приключването на финансовата 1987 година отчетите на Палатата за приходите и разходите се одитират ежегодно от независим външен одитор и че от доклада за финансовата 1992 година докладите на външния одитор се публикуват в </w:t>
      </w:r>
      <w:r w:rsidRPr="00D23409">
        <w:rPr>
          <w:i/>
        </w:rPr>
        <w:t>Официален вестник на Европейския съюз</w:t>
      </w:r>
      <w:r w:rsidRPr="00D23409">
        <w:t>;</w:t>
      </w:r>
    </w:p>
    <w:p w:rsidR="00D44BDD" w:rsidRPr="00D23409" w:rsidRDefault="00D44BDD" w:rsidP="00D44BDD">
      <w:pPr>
        <w:pStyle w:val="NormalHanging12a"/>
        <w:rPr>
          <w:szCs w:val="24"/>
        </w:rPr>
      </w:pPr>
      <w:r w:rsidRPr="00D23409">
        <w:t>Г.</w:t>
      </w:r>
      <w:r w:rsidRPr="00D23409">
        <w:tab/>
        <w:t>като има предвид, че управленската отчетност пред бюджетните органи се осигурява чрез годишния отчет за дейността на генералния секретар на Палатата, чиято цел, в съответствие с член 74, параграф 9 от Финансовия регламент, е да предоставя информация относно управлението на ресурсите, включително системите, и относно ефикасността и ефективността на системите за вътрешен контрол на Палатата;</w:t>
      </w:r>
    </w:p>
    <w:p w:rsidR="00D44BDD" w:rsidRPr="00D23409" w:rsidRDefault="00D44BDD" w:rsidP="00D44BDD">
      <w:pPr>
        <w:pStyle w:val="NormalHanging12a"/>
        <w:rPr>
          <w:szCs w:val="24"/>
        </w:rPr>
      </w:pPr>
      <w:r w:rsidRPr="00D23409">
        <w:t>Д.</w:t>
      </w:r>
      <w:r w:rsidRPr="00D23409">
        <w:tab/>
        <w:t>като има предвид, че като изпълнява задачите си по прозрачен и независим начин, Палатата допринася за демократичния контрол, обществения дебат и доброто финансово управление на Съюза;</w:t>
      </w:r>
    </w:p>
    <w:p w:rsidR="00D44BDD" w:rsidRPr="00D23409" w:rsidRDefault="00D44BDD" w:rsidP="00D44BDD">
      <w:pPr>
        <w:pStyle w:val="NormalHanging12a"/>
        <w:rPr>
          <w:szCs w:val="24"/>
        </w:rPr>
      </w:pPr>
      <w:r w:rsidRPr="00D23409">
        <w:t>Е.</w:t>
      </w:r>
      <w:r w:rsidRPr="00D23409">
        <w:tab/>
        <w:t xml:space="preserve">като има предвид, че съгласно позицията на Палатата, за да се оценят управлението на Съюза, неговата отчетност и прозрачност, както и качеството и </w:t>
      </w:r>
      <w:r w:rsidRPr="00D23409">
        <w:lastRenderedPageBreak/>
        <w:t>надеждността на докладваните информация и данни относно прилагането на политиките на Съюза, най-доброто решение е на Палатата да бъде възложено да извършва одит на всички институции, органи, служби и агенции на Съюза, създадени с Договорите или съгласно тях, и на всички междуправителствени структури от основно значение за функционирането на Съюза; като има предвид, че Парламентът решително подкрепя Палатата в това отношение и ще приветства всяка инициатива за възлагане на по-широк мандат на Палатата;</w:t>
      </w:r>
    </w:p>
    <w:p w:rsidR="00D44BDD" w:rsidRPr="00D23409" w:rsidRDefault="00D44BDD" w:rsidP="00D44BDD">
      <w:pPr>
        <w:pStyle w:val="NormalHanging12a"/>
        <w:rPr>
          <w:szCs w:val="24"/>
        </w:rPr>
      </w:pPr>
      <w:r w:rsidRPr="00D23409">
        <w:t>1.</w:t>
      </w:r>
      <w:r w:rsidRPr="00D23409">
        <w:tab/>
        <w:t>отбелязва, че бюджетът на Палатата попада в обхвата на функция 7 от МФР „Европейска публична администрация“, възлизаща на 11,6 милиарда евро през 2022 г. (което представлява 5,9% от общия бюджет на Съюза); отбелязва, че през 2022 г. бюджетът на Палатата в размер на приблизително 0,2 милиарда евро съставлява 1,4% от общите административни разходи;</w:t>
      </w:r>
    </w:p>
    <w:p w:rsidR="00D44BDD" w:rsidRPr="00D23409" w:rsidRDefault="00D44BDD" w:rsidP="00D44BDD">
      <w:pPr>
        <w:pStyle w:val="NormalHanging12a"/>
        <w:rPr>
          <w:szCs w:val="24"/>
        </w:rPr>
      </w:pPr>
      <w:r w:rsidRPr="00D23409">
        <w:t>2.</w:t>
      </w:r>
      <w:r w:rsidRPr="00D23409">
        <w:tab/>
        <w:t>отбелязва, че в своя годишен доклад за финансовата 2022 година Палатата е проверила извадка от 60 операции в обхвата на функция „Администрация“, което е същият брой като този на проверените през 2021 г. операции; отбелязва освен това, че Палатата посочва, че административните разходи включват разходи за човешки ресурси, в т.ч. разходи за пенсии, които през 2022 г. съставляват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като цяло разходите в тази област се характеризират с ниско ниво на риск;</w:t>
      </w:r>
    </w:p>
    <w:p w:rsidR="00D44BDD" w:rsidRPr="00D23409" w:rsidRDefault="00D44BDD" w:rsidP="0011797F">
      <w:pPr>
        <w:pStyle w:val="NormalHanging12a"/>
        <w:rPr>
          <w:szCs w:val="24"/>
        </w:rPr>
      </w:pPr>
      <w:r w:rsidRPr="00D23409">
        <w:t>3.</w:t>
      </w:r>
      <w:r w:rsidRPr="00D23409">
        <w:tab/>
        <w:t xml:space="preserve">призовава Палатата да увеличи броя на операциите в обхвата на функция „Администрация“, които трябва да бъдат проверени, за всички подлежащи на одит институции, за да може Парламентът да изпълнява по-добре ролята си на орган по освобождаване от отговорност във връзка с изпълнението на бюджета за другите институции; </w:t>
      </w:r>
      <w:r w:rsidR="0011797F" w:rsidRPr="0011797F">
        <w:t>изразява съжаление, че план за изготвянето на специален доклад относно административните разходи на институциите, различни от Комисията, е бил преразгледан с цел извършване на одит на публичната служба на ЕС, който вероятно ще разгледа само ограничена част от административните разходи; отново подчертава значението на едно по-задълбочено разследване на административните разходи и повтаря призива си за включване в нейната работа на изчерпателни данни за всички институции, за да се осигури съгласувана основа за последователна процедура по освобождаване от отговорност във връзка с изпълнението на бюджета;</w:t>
      </w:r>
    </w:p>
    <w:p w:rsidR="00D44BDD" w:rsidRPr="00D23409" w:rsidRDefault="00D44BDD" w:rsidP="00D44BDD">
      <w:pPr>
        <w:pStyle w:val="NormalHanging12a"/>
        <w:rPr>
          <w:szCs w:val="24"/>
        </w:rPr>
      </w:pPr>
      <w:r w:rsidRPr="00D23409">
        <w:t>4.</w:t>
      </w:r>
      <w:r w:rsidRPr="00D23409">
        <w:tab/>
        <w:t>отбелязва, че годишните отчети на Палатата са проверени от независим външен одитор с цел да се осигури прилагането на същите принципи на прозрачност, отчетност и независимост на одитора на Палатата, като прилаганите от Палатата спрямо одитираните от нея субекти; отбелязва със задоволство, че външният одитор не е докладвал за конкретни проблеми след одита си на Палатата;</w:t>
      </w:r>
    </w:p>
    <w:p w:rsidR="00D44BDD" w:rsidRPr="00794E92" w:rsidRDefault="00D44BDD" w:rsidP="00D44BDD">
      <w:pPr>
        <w:pStyle w:val="NormalHanging12a"/>
        <w:rPr>
          <w:b/>
          <w:i/>
          <w:iCs/>
          <w:szCs w:val="24"/>
        </w:rPr>
      </w:pPr>
      <w:r w:rsidRPr="00794E92">
        <w:rPr>
          <w:b/>
          <w:i/>
          <w:iCs/>
        </w:rPr>
        <w:t>Бюджетно и финансово управление</w:t>
      </w:r>
    </w:p>
    <w:p w:rsidR="00D44BDD" w:rsidRPr="00D23409" w:rsidRDefault="00D44BDD" w:rsidP="00D44BDD">
      <w:pPr>
        <w:pStyle w:val="NormalHanging12a"/>
        <w:rPr>
          <w:szCs w:val="24"/>
        </w:rPr>
      </w:pPr>
      <w:r w:rsidRPr="00D23409">
        <w:t>5.</w:t>
      </w:r>
      <w:r w:rsidRPr="00D23409">
        <w:tab/>
        <w:t>отбелязва, че общият бюджет на Палатата за 2022 г. възлиза на 162 141 175 EUR, което се равнява на увеличение с 5,5% спрямо предоставените ѝ през 2021 г. 153 721 727 EUR; отбелязва, че увеличението се дължи главно на корекцията на заплатите и на 20-те нови временни длъжности, свързани с Инструмента на Европейския съюз за възстановяване (</w:t>
      </w:r>
      <w:proofErr w:type="spellStart"/>
      <w:r w:rsidRPr="00D23409">
        <w:t>Next</w:t>
      </w:r>
      <w:proofErr w:type="spellEnd"/>
      <w:r w:rsidRPr="00D23409">
        <w:t xml:space="preserve"> </w:t>
      </w:r>
      <w:proofErr w:type="spellStart"/>
      <w:r w:rsidRPr="00D23409">
        <w:t>Generation</w:t>
      </w:r>
      <w:proofErr w:type="spellEnd"/>
      <w:r w:rsidRPr="00D23409">
        <w:t xml:space="preserve"> EU); отбелязва, че за 2022 г. </w:t>
      </w:r>
      <w:r w:rsidRPr="00D23409">
        <w:lastRenderedPageBreak/>
        <w:t>90% от бюджетните кредити са за нейните членове и служители, а 10% — за сгради, оборудване и различни разходи;</w:t>
      </w:r>
    </w:p>
    <w:p w:rsidR="00D44BDD" w:rsidRPr="00D23409" w:rsidRDefault="00D44BDD" w:rsidP="00D44BDD">
      <w:pPr>
        <w:pStyle w:val="NormalHanging12a"/>
        <w:rPr>
          <w:szCs w:val="24"/>
        </w:rPr>
      </w:pPr>
      <w:r w:rsidRPr="00D23409">
        <w:t>6.</w:t>
      </w:r>
      <w:r w:rsidRPr="00D23409">
        <w:tab/>
        <w:t>освен това отново подчертава, че е важно да се гарантира, че на Палатата са осигурени подходящи служители, за да изпълнява адекватно своя мандат, както и новите задачи, свързани с влизането в сила на нови инструменти за финансиране, като Механизма за възстановяване и устойчивост;</w:t>
      </w:r>
    </w:p>
    <w:p w:rsidR="00D44BDD" w:rsidRPr="00D23409" w:rsidRDefault="00D44BDD" w:rsidP="00D44BDD">
      <w:pPr>
        <w:pStyle w:val="NormalHanging12a"/>
        <w:rPr>
          <w:szCs w:val="24"/>
        </w:rPr>
      </w:pPr>
      <w:r w:rsidRPr="00D23409">
        <w:t>7.</w:t>
      </w:r>
      <w:r w:rsidRPr="00D23409">
        <w:tab/>
        <w:t>отбелязва, че през 2022 г. Палатата е извършила 26 бюджетни трансфера съгласно член 29 от Финансовия регламент, представляващи общо 3,4 милиона евро или 2,1% от бюджетните кредити за тази финансова година, което е означавало главно намаление на разходите за командировки, публикации, устни преводи и правна служба, както и увеличение на разходите за оборудване на помещенията, включително обновяване на покрива, разходи за енергия, договорно наети служители и ИТ оборудване; отбелязва също така, че степента на изпълнение на бюджета за 2022 г. е 98,5%, което представлява слабо увеличение спрямо предходните две години; приветства факта, че средният срок за плащане през 2022 г. е намален на 9,8 дни спрямо 10,7 дни през 2021 г., най-вероятно благодарение на увеличението на дела на електронните фактури, който е 24% спрямо 19% през 2021 г.;</w:t>
      </w:r>
    </w:p>
    <w:p w:rsidR="00D44BDD" w:rsidRPr="00D23409" w:rsidRDefault="00D44BDD" w:rsidP="00D44BDD">
      <w:pPr>
        <w:pStyle w:val="NormalHanging12a"/>
        <w:rPr>
          <w:szCs w:val="24"/>
        </w:rPr>
      </w:pPr>
      <w:r w:rsidRPr="00D23409">
        <w:t>8.</w:t>
      </w:r>
      <w:r w:rsidRPr="00D23409">
        <w:tab/>
        <w:t>отбелязва със задоволство, че външният одитор декларира, че разпределените ресурси са използвани по предназначение и че процедурите за контрол, въведени от разпоредителите с бюджетни кредити, са осигурили необходимите гаранции, за да се гарантира, че финансовите операции са в съответствие с приложимите правила и разпоредби;</w:t>
      </w:r>
    </w:p>
    <w:p w:rsidR="00D44BDD" w:rsidRPr="00D23409" w:rsidRDefault="00D44BDD" w:rsidP="00D44BDD">
      <w:pPr>
        <w:pStyle w:val="NormalHanging12a"/>
        <w:rPr>
          <w:szCs w:val="24"/>
        </w:rPr>
      </w:pPr>
      <w:r w:rsidRPr="00D23409">
        <w:t>9.</w:t>
      </w:r>
      <w:r w:rsidRPr="00D23409">
        <w:tab/>
        <w:t>отбелязва, че незаконната и неоправдана агресивна война на Русия срещу Украйна по различни начини оказва натиск върху бюджета на Палатата, включително чрез нарастваща инфлация и корекции на заплатите и силно увеличаващите се разходи за електроенергия и отопление;</w:t>
      </w:r>
    </w:p>
    <w:p w:rsidR="00D44BDD" w:rsidRPr="00D23409" w:rsidRDefault="00D44BDD" w:rsidP="00D44BDD">
      <w:pPr>
        <w:pStyle w:val="NormalHanging12a"/>
        <w:rPr>
          <w:szCs w:val="24"/>
        </w:rPr>
      </w:pPr>
      <w:r w:rsidRPr="00D23409">
        <w:t>10.</w:t>
      </w:r>
      <w:r w:rsidRPr="00D23409">
        <w:tab/>
        <w:t>отбелязва, че общият бюджет за командировки на Палатата е намалял от 2 988 000 EUR през 2021 г. на 2 452 000 EUR през 2022 г., равно на намаление с 18%, което се дължи на прилагани все още ограничения на пътуванията в началото на 2022 г. и на промени в методите на работа с по-голям брой дистанционни заседания; отбелязва освен това, че Палатата няма специален бюджетен ред за командировки и пътувания на своя председател; отбелязва накрая, че по бюджетния ред за командировки за всички членове на Палатата са записани 290 000 EUR както през 2021, така и през 2022 г.;</w:t>
      </w:r>
    </w:p>
    <w:p w:rsidR="00D44BDD" w:rsidRPr="00D23409" w:rsidRDefault="00D44BDD" w:rsidP="00D44BDD">
      <w:pPr>
        <w:pStyle w:val="NormalHanging12a"/>
        <w:rPr>
          <w:szCs w:val="24"/>
        </w:rPr>
      </w:pPr>
      <w:r w:rsidRPr="00D23409">
        <w:t>11.</w:t>
      </w:r>
      <w:r w:rsidRPr="00D23409">
        <w:tab/>
        <w:t>приветства факта, че от 2022 г. насам Палатата разполага с подробна методика за контрол на разходите за командировки както при предварителните, така и при последващите проверки;</w:t>
      </w:r>
    </w:p>
    <w:p w:rsidR="00D44BDD" w:rsidRPr="00794E92" w:rsidRDefault="00D44BDD" w:rsidP="00D44BDD">
      <w:pPr>
        <w:pStyle w:val="NormalHanging12a"/>
        <w:rPr>
          <w:b/>
          <w:i/>
          <w:iCs/>
          <w:szCs w:val="24"/>
        </w:rPr>
      </w:pPr>
      <w:r w:rsidRPr="00794E92">
        <w:rPr>
          <w:b/>
          <w:i/>
          <w:iCs/>
        </w:rPr>
        <w:t>Вътрешно управление, резултати от дейността и вътрешен контрол</w:t>
      </w:r>
    </w:p>
    <w:p w:rsidR="00D44BDD" w:rsidRPr="00D23409" w:rsidRDefault="00D44BDD" w:rsidP="00D44BDD">
      <w:pPr>
        <w:pStyle w:val="NormalHanging12a"/>
        <w:rPr>
          <w:szCs w:val="24"/>
        </w:rPr>
      </w:pPr>
      <w:r w:rsidRPr="00D23409">
        <w:t>12.</w:t>
      </w:r>
      <w:r w:rsidRPr="00D23409">
        <w:tab/>
        <w:t xml:space="preserve">отбелязва, че 2022 г. е втората година от изпълнението на стратегията на Палатата за периода 2021 — 2025 г. и че в края на 2022 г. от общо 29 стратегически мерки 18 са изцяло изпълнени или рамката за мярката е установена и са били в ход допълнителни действия, докато 11 мерки са били в ход или са повтарящи се </w:t>
      </w:r>
      <w:r w:rsidRPr="00D23409">
        <w:lastRenderedPageBreak/>
        <w:t>мерки;</w:t>
      </w:r>
    </w:p>
    <w:p w:rsidR="00D44BDD" w:rsidRPr="00D23409" w:rsidRDefault="00D44BDD" w:rsidP="00D44BDD">
      <w:pPr>
        <w:pStyle w:val="NormalHanging12a"/>
        <w:rPr>
          <w:szCs w:val="24"/>
        </w:rPr>
      </w:pPr>
      <w:r w:rsidRPr="00D23409">
        <w:t>13.</w:t>
      </w:r>
      <w:r w:rsidRPr="00D23409">
        <w:tab/>
        <w:t>отбелязва, че през 2022 г. Палатата представи седем годишни доклада, осем становища, 28 специални доклада и един преглед, което е много сходно с броя на докладите, становищата, специалните доклади и прегледите, представени през 2020 и 2021 г.;</w:t>
      </w:r>
    </w:p>
    <w:p w:rsidR="00D44BDD" w:rsidRPr="00D23409" w:rsidRDefault="00D44BDD" w:rsidP="00D44BDD">
      <w:pPr>
        <w:pStyle w:val="NormalHanging12a"/>
        <w:rPr>
          <w:szCs w:val="24"/>
        </w:rPr>
      </w:pPr>
      <w:r w:rsidRPr="00D23409">
        <w:t>14.</w:t>
      </w:r>
      <w:r w:rsidRPr="00D23409">
        <w:tab/>
        <w:t>отбелязва, че Палатата определя работната си програма напълно независимо, включително кои специални доклади следва да бъдат изготвени; отново отправя съвет към Палатата, че специалните доклади, които са съсредоточени върху текущото положение на Съюза и предизвикателствата, пред които е изправен той, с ясна бюджетна насоченост и значимост, ще привлекат най-голямо внимание от страна на основните заинтересовани лица в Парламента и извън него; приветства във връзка с това преразглеждането през 2022 г. на нейния процес на програмиране, при което е въведена по-голяма гъвкавост на действията във връзка с неотложните предизвикателства, за да се обслужват по-добре интересите на заинтересованите лица;</w:t>
      </w:r>
    </w:p>
    <w:p w:rsidR="00D44BDD" w:rsidRPr="00D23409" w:rsidRDefault="00D44BDD" w:rsidP="00D44BDD">
      <w:pPr>
        <w:pStyle w:val="NormalHanging12a"/>
        <w:rPr>
          <w:szCs w:val="24"/>
        </w:rPr>
      </w:pPr>
      <w:r w:rsidRPr="00D23409">
        <w:t>15.</w:t>
      </w:r>
      <w:r w:rsidRPr="00D23409">
        <w:tab/>
        <w:t>оценява факта, че както беше поискано от Парламента, Палатата съсредоточи одитната си дейност върху настоящите европейски предизвикателства, пример за което е много бързото изготвяне на Становище 03/2023 относно механизма за Украйна и вниманието, отделено на мониторинга на неговото изпълнение; изразява загриженост, че за одитната дейност във връзка с Механизма за възстановяване и устойчивост Палатата все още няма пълен достъп до новия инструмент за докладване относно Механизма за възстановяване и устойчивост — FENIX, и че информацията в този нов инструмент не се актуализира своевременно: подкрепя становището на Палатата, че член 257 от Финансовия регламент предвижда пълни и незабавни права на достъп за Палатата; призовава освен това Комисията да предоставя на Палатата достъп до други видове имаща отношение информация, за да изпълнява Палатата своята функция;</w:t>
      </w:r>
    </w:p>
    <w:p w:rsidR="00D44BDD" w:rsidRPr="00D23409" w:rsidRDefault="00D44BDD" w:rsidP="00D44BDD">
      <w:pPr>
        <w:pStyle w:val="NormalHanging12a"/>
        <w:rPr>
          <w:szCs w:val="24"/>
        </w:rPr>
      </w:pPr>
      <w:r w:rsidRPr="00D23409">
        <w:t>16.</w:t>
      </w:r>
      <w:r w:rsidRPr="00D23409">
        <w:tab/>
        <w:t>оценява навременните и уместни специални доклади относно прилагането на Механизма за възстановяване и устойчивост, които дават възможност на органа по освобождаване от отговорност да упражнява правомощията си и да отправя препоръки към Комисията за подобрения на функционирането на този инструмент;</w:t>
      </w:r>
    </w:p>
    <w:p w:rsidR="00D44BDD" w:rsidRPr="00D23409" w:rsidRDefault="00D44BDD" w:rsidP="00D44BDD">
      <w:pPr>
        <w:pStyle w:val="NormalHanging12a"/>
        <w:rPr>
          <w:szCs w:val="24"/>
        </w:rPr>
      </w:pPr>
      <w:r w:rsidRPr="00D23409">
        <w:t>17.</w:t>
      </w:r>
      <w:r w:rsidRPr="00D23409">
        <w:tab/>
        <w:t>приветства факта, че Палатата предоставя обобщение на броя и вида на вътрешните одити, осъществени в Палатата, и обобщение на препоръките и на действията, предприети по тези препоръки, в съответствие с член 118, параграф 8 от Финансовия регламент; отбелязва, че годишната работна програма на вътрешния одитор включва повтарящи се задачи, избрани задачи и други задачи, изпълнени през годината; отбелязва, че някои действия, предвидени за изпълнение през 2022 г., са били отложени за 2023 г., и изисква от Палатата да докладва на Парламента относно тяхното изпълнение;</w:t>
      </w:r>
    </w:p>
    <w:p w:rsidR="00D44BDD" w:rsidRPr="00D23409" w:rsidRDefault="00D44BDD" w:rsidP="00D44BDD">
      <w:pPr>
        <w:pStyle w:val="NormalHanging12a"/>
        <w:rPr>
          <w:szCs w:val="24"/>
        </w:rPr>
      </w:pPr>
      <w:r w:rsidRPr="00D23409">
        <w:t>18.</w:t>
      </w:r>
      <w:r w:rsidRPr="00D23409">
        <w:tab/>
        <w:t xml:space="preserve">насърчава Палатата да увеличи своя принос за борба с измамите в бюджета на Съюза не само чрез установяване и докладване на слабостите, които правят финансираните от Съюза програми податливи на измами, но и като вземе предвид текущия дебат между компонентите на структурата за борба с измамите и засили одитната дейност в сътрудничество с органите, отговарящи за разкриването на </w:t>
      </w:r>
      <w:r w:rsidRPr="00D23409">
        <w:lastRenderedPageBreak/>
        <w:t>измами, редовно оценява техните дейности и предоставя на органа по освобождаване от отговорност обратна информация от значение за неговия анализ;</w:t>
      </w:r>
    </w:p>
    <w:p w:rsidR="00D44BDD" w:rsidRPr="00D23409" w:rsidRDefault="00D44BDD" w:rsidP="00D44BDD">
      <w:pPr>
        <w:pStyle w:val="NormalHanging12a"/>
        <w:rPr>
          <w:szCs w:val="24"/>
        </w:rPr>
      </w:pPr>
      <w:r w:rsidRPr="00D23409">
        <w:t>19.</w:t>
      </w:r>
      <w:r w:rsidRPr="00D23409">
        <w:tab/>
        <w:t>приветства факта, че стратегията на Палатата за периода 2021 — 2025 г. се позовава на формулирането на икономически ефективни препоръки, които да допринесат за намаляването на бюрокрацията в институциите на Съюза; посочва, че по-специално препоръките на Палатата относно повишаването на ефективността на процедурите, използването на най-добри практики, подобряването на координацията, установяването на стандартни процеси, предотвратяването на свръхрегулирането и опростяването и цифровизацията служат на тази цел;</w:t>
      </w:r>
    </w:p>
    <w:p w:rsidR="00D44BDD" w:rsidRPr="00D23409" w:rsidRDefault="00D44BDD" w:rsidP="00D44BDD">
      <w:pPr>
        <w:pStyle w:val="NormalHanging12a"/>
        <w:rPr>
          <w:szCs w:val="24"/>
        </w:rPr>
      </w:pPr>
      <w:r w:rsidRPr="00D23409">
        <w:t>20.</w:t>
      </w:r>
      <w:r w:rsidRPr="00D23409">
        <w:tab/>
        <w:t>насърчава Палатата да продължи да препоръчва създаването и поддръжката на бази данни на равнището на Съюза и усилията за изграждане на ефективен капацитет за извличане на данни с цел извършване на анализ на данни на равнището на Съюза и установяване на рисковете, които са от значение за Съюза; призовава Палатата да работи по набелязването на изискванията, необходими за събиране, обработване и съхранение на данни, необходими за лесния и оперативно съвместим одит на разходването на публични средства от страна на държавите членки;</w:t>
      </w:r>
    </w:p>
    <w:p w:rsidR="00D44BDD" w:rsidRPr="00794E92" w:rsidRDefault="00D44BDD" w:rsidP="00D44BDD">
      <w:pPr>
        <w:pStyle w:val="NormalHanging12a"/>
        <w:rPr>
          <w:b/>
          <w:i/>
          <w:iCs/>
          <w:szCs w:val="24"/>
        </w:rPr>
      </w:pPr>
      <w:r w:rsidRPr="00794E92">
        <w:rPr>
          <w:b/>
          <w:i/>
          <w:iCs/>
        </w:rPr>
        <w:t>Човешки ресурси, равенство и благосъстояние на служителите</w:t>
      </w:r>
    </w:p>
    <w:p w:rsidR="00D44BDD" w:rsidRPr="00D23409" w:rsidRDefault="00D44BDD" w:rsidP="00D44BDD">
      <w:pPr>
        <w:pStyle w:val="NormalHanging12a"/>
        <w:rPr>
          <w:szCs w:val="24"/>
        </w:rPr>
      </w:pPr>
      <w:r w:rsidRPr="00D23409">
        <w:t>21.</w:t>
      </w:r>
      <w:r w:rsidRPr="00D23409">
        <w:tab/>
        <w:t>отбелязва, че в края на 2022 г. в Палатата са работили 921 служители, което представлява леко увеличение спрямо 917 в края на 2021 г. и 910 в края на 2020 г.; отбелязва, че общото разпределение по пол в края на 2022 г. е 434 мъже, или 47,1%, и 487 жени, или 52,9%; призовава Палатата да продължи усилията си за насърчаване на баланса между половете на равнище средно и висше ръководство; отбелязва освен това, че общото разпределение между категориите служители е 830 длъжностни лица (90%), от които 620 администратори (AD), 210 асистенти и секретари (AST/SC) и 91 договорно наети служители (10%);</w:t>
      </w:r>
    </w:p>
    <w:p w:rsidR="00D44BDD" w:rsidRPr="00D23409" w:rsidRDefault="00D44BDD" w:rsidP="00D44BDD">
      <w:pPr>
        <w:pStyle w:val="NormalHanging12a"/>
        <w:rPr>
          <w:szCs w:val="24"/>
        </w:rPr>
      </w:pPr>
      <w:r w:rsidRPr="00D23409">
        <w:t>22.</w:t>
      </w:r>
      <w:r w:rsidRPr="00D23409">
        <w:tab/>
        <w:t>отбелязва, че броят на лицата със степени AD 13 — 16 е 79, от които 49 мъже и 30 жени, или 62% мъже и 38% жени, което представлява леко увеличение на дела на жените в тези категории спрямо 37,5% през 2021 г. и 34,5% през 2020 г.;</w:t>
      </w:r>
    </w:p>
    <w:p w:rsidR="00D44BDD" w:rsidRPr="00D23409" w:rsidRDefault="00D44BDD" w:rsidP="00D44BDD">
      <w:pPr>
        <w:pStyle w:val="NormalHanging12a"/>
        <w:rPr>
          <w:szCs w:val="24"/>
        </w:rPr>
      </w:pPr>
      <w:r w:rsidRPr="00D23409">
        <w:t>23.</w:t>
      </w:r>
      <w:r w:rsidRPr="00D23409">
        <w:tab/>
        <w:t>изразява дълбоко съжаление относно липсата на баланс между половете в колегиума на Палатата: само 10 от 25 членове са жени в настоящия му състав, като се има предвид, че все още не са назначени членове от Португалия и България; разбира, че процедурата по номиниране на неговите членове е предизвикателство от гледна точка на постигането на баланс между половете, тъй като номинирането на национално равнище е отговорност единствено на държавите членки; призовава въпреки това Палатата да анализира цялостния си състав, за да информира Съвета и участващите държави членки, така че балансът между половете да бъде вземан предвид при решенията за номиниране;</w:t>
      </w:r>
    </w:p>
    <w:p w:rsidR="00D44BDD" w:rsidRPr="00D23409" w:rsidRDefault="00D44BDD" w:rsidP="00D44BDD">
      <w:pPr>
        <w:pStyle w:val="NormalHanging12a"/>
        <w:rPr>
          <w:szCs w:val="24"/>
        </w:rPr>
      </w:pPr>
      <w:r w:rsidRPr="00D23409">
        <w:t>24.</w:t>
      </w:r>
      <w:r w:rsidRPr="00D23409">
        <w:tab/>
        <w:t xml:space="preserve">изразява съжаление, че през годините Съветът многократно пристъпва към номинирането на членове на Палатата, независимо от това, че съответните кандидати са били отхвърлени от Парламента; подчертава, че Парламентът следва да има обвързваща роля при оценяването на пригодността на кандидатите за </w:t>
      </w:r>
      <w:r w:rsidRPr="00D23409">
        <w:lastRenderedPageBreak/>
        <w:t>Палатата;</w:t>
      </w:r>
    </w:p>
    <w:p w:rsidR="00D44BDD" w:rsidRPr="00D23409" w:rsidRDefault="00D44BDD" w:rsidP="00D44BDD">
      <w:pPr>
        <w:pStyle w:val="NormalHanging12a"/>
        <w:rPr>
          <w:szCs w:val="24"/>
        </w:rPr>
      </w:pPr>
      <w:r w:rsidRPr="00D23409">
        <w:t>25.</w:t>
      </w:r>
      <w:r w:rsidRPr="00D23409">
        <w:tab/>
        <w:t>приветства факта, че всички националности на Съюза са представени сред служителите на Палатата, както в категорията AD, така и в категорията AST/SC; отбелязва със съжаление обаче, че някои националности са недостатъчно представени, и приветства факта, че Палатата публикувала информация пряко в някои държави членки (Дания, Естония и Латвия); приветства ефективното използване на нови начини за публикуване на процедурите за подбор с цел привличане на разнообразни кандидати от различни държави членки;</w:t>
      </w:r>
    </w:p>
    <w:p w:rsidR="00D44BDD" w:rsidRPr="00D23409" w:rsidRDefault="00D44BDD" w:rsidP="00D44BDD">
      <w:pPr>
        <w:pStyle w:val="NormalHanging12a"/>
        <w:rPr>
          <w:szCs w:val="24"/>
        </w:rPr>
      </w:pPr>
      <w:r w:rsidRPr="00D23409">
        <w:t>26.</w:t>
      </w:r>
      <w:r w:rsidRPr="00D23409">
        <w:tab/>
        <w:t>отбелязва, че Палатата е приела решение относно хибридния модел на работа, което е влязло в сила на 1 януари 2022 г.; отбелязва, че Палатата има схема за работа от разстояние, която предоставя възможност за работа от вкъщи до десет дни месечно и до десет последователни дни; отбелязва освен това, че схемата позволява на служителите да работят до пет дни месечно и до 30 работни дни годишно извън основното си място на пребиваване; отбелязва накрая, че проучване сред служителите, проведено през октомври 2022 г., показва, че 95% подкрепят схемите за работа от разстояние и че 88% считат, че това е оказало положително въздействие върху равновесието между професионалния и личния им живот;</w:t>
      </w:r>
    </w:p>
    <w:p w:rsidR="00D44BDD" w:rsidRPr="00D23409" w:rsidRDefault="00D44BDD" w:rsidP="00D44BDD">
      <w:pPr>
        <w:pStyle w:val="NormalHanging12a"/>
        <w:rPr>
          <w:szCs w:val="24"/>
        </w:rPr>
      </w:pPr>
      <w:r w:rsidRPr="00D23409">
        <w:t>27.</w:t>
      </w:r>
      <w:r w:rsidRPr="00D23409">
        <w:tab/>
        <w:t>приветства мерките, предприети от Палатата през 2022 г., за да се осигури физическото и психичното благосъстояние на служителите;</w:t>
      </w:r>
    </w:p>
    <w:p w:rsidR="00D44BDD" w:rsidRPr="00D23409" w:rsidRDefault="00D44BDD" w:rsidP="00D44BDD">
      <w:pPr>
        <w:pStyle w:val="NormalHanging12a"/>
        <w:rPr>
          <w:szCs w:val="24"/>
        </w:rPr>
      </w:pPr>
      <w:r w:rsidRPr="00D23409">
        <w:t>28.</w:t>
      </w:r>
      <w:r w:rsidRPr="00D23409">
        <w:tab/>
        <w:t>признава предизвикателствата, свързани с привличането на служители за работа в Люксембург, и насърчава Палатата да работи заедно с другите институции, установени в Люксембург, в рамките на междуинституционалната група на високо равнище за повишаване на привлекателността на Люксембург за служителите и по различните установени възможни действия, включително идеята за специална жилищна надбавка за борба с високите разходи за наем, особено осезаеми за служителите с по-ниски степени, и възможността за предлагане на временни жилища на разумни цени в случаите на краткосрочен престой;</w:t>
      </w:r>
    </w:p>
    <w:p w:rsidR="00D44BDD" w:rsidRPr="00D23409" w:rsidRDefault="00D44BDD" w:rsidP="00D44BDD">
      <w:pPr>
        <w:pStyle w:val="NormalHanging12a"/>
        <w:rPr>
          <w:szCs w:val="24"/>
        </w:rPr>
      </w:pPr>
      <w:r w:rsidRPr="00D23409">
        <w:t>29.</w:t>
      </w:r>
      <w:r w:rsidRPr="00D23409">
        <w:tab/>
        <w:t>отбелязва със загриженост, че броят на дните отпуск по болест през 2022 г. е 11 622, което се равнява на увеличение с 54% спрямо 2021 г., когато броят на дните отпуск по болест е бил 7 524; същевременно отбелязва, че през 2018 г. са регистрирани 10 255 дни отпуск по болест в Палатата и че относително ниският брой през 2021 г. може да е свързан с положението във връзка с COVID-19;</w:t>
      </w:r>
    </w:p>
    <w:p w:rsidR="00D44BDD" w:rsidRPr="00D23409" w:rsidRDefault="00D44BDD" w:rsidP="00D44BDD">
      <w:pPr>
        <w:pStyle w:val="NormalHanging12a"/>
        <w:rPr>
          <w:szCs w:val="24"/>
        </w:rPr>
      </w:pPr>
      <w:r w:rsidRPr="00D23409">
        <w:t>30.</w:t>
      </w:r>
      <w:r w:rsidRPr="00D23409">
        <w:tab/>
        <w:t xml:space="preserve">отбелязва със загриженост, че през 2022 г. Палатата е докладвала за седем случая на професионално изчерпване; отбелязва освен това, че и седемте служители са били </w:t>
      </w:r>
      <w:proofErr w:type="spellStart"/>
      <w:r w:rsidRPr="00D23409">
        <w:t>реинтегрирани</w:t>
      </w:r>
      <w:proofErr w:type="spellEnd"/>
      <w:r w:rsidRPr="00D23409">
        <w:t xml:space="preserve"> постепенно на работното място съобразно процедура за възстановяване на работа на непълен работен ден, одобрена от лекар; оценява в това отношение факта, че през 2022 г. Палатата е започнала да подготвя насоки за връщане на работа след продължителен отпуск по болест; отбелязва, че Палатата заявява, че наличието на ресурси се взема предвид при изготвянето на годишната работна програма и че директорите и ръководният екип на равнище дирекция оценяват работното натоварване, за да се осигури равномерно разпределение на работата; насърчава все пак Палатата да продължи да отделя внимание на този въпрос и да предприеме всички необходими мерки, за да осигури </w:t>
      </w:r>
      <w:r w:rsidRPr="00D23409">
        <w:lastRenderedPageBreak/>
        <w:t>благосъстоянието на служителите, така че да намалее броят на случаите, свързани с професионално изчерпване;</w:t>
      </w:r>
    </w:p>
    <w:p w:rsidR="00D44BDD" w:rsidRPr="00D23409" w:rsidRDefault="00D44BDD" w:rsidP="00D44BDD">
      <w:pPr>
        <w:pStyle w:val="NormalHanging12a"/>
        <w:rPr>
          <w:szCs w:val="24"/>
        </w:rPr>
      </w:pPr>
      <w:r w:rsidRPr="00D23409">
        <w:t>31.</w:t>
      </w:r>
      <w:r w:rsidRPr="00D23409">
        <w:tab/>
        <w:t xml:space="preserve">приветства факта, че след </w:t>
      </w:r>
      <w:proofErr w:type="spellStart"/>
      <w:r w:rsidRPr="00D23409">
        <w:t>широкообхватен</w:t>
      </w:r>
      <w:proofErr w:type="spellEnd"/>
      <w:r w:rsidRPr="00D23409">
        <w:t xml:space="preserve"> подход на сътрудничество през декември 2022 г. са приети решение и политика за осигуряване на атмосфера на уважение и липса на тормоз на работното място, с ясен акцент върху превенцията, повишаването на осведомеността и ранното откриване, като същевременно се определя набор от мерки, които да се използват (поверително консултиране, медиация и официални жалби), в случай че възникне усещане за тормоз;</w:t>
      </w:r>
    </w:p>
    <w:p w:rsidR="00D44BDD" w:rsidRPr="00D23409" w:rsidRDefault="00D44BDD" w:rsidP="00D44BDD">
      <w:pPr>
        <w:pStyle w:val="NormalHanging12a"/>
        <w:rPr>
          <w:szCs w:val="24"/>
        </w:rPr>
      </w:pPr>
      <w:r w:rsidRPr="00D23409">
        <w:t xml:space="preserve">32. </w:t>
      </w:r>
      <w:r w:rsidRPr="00D23409">
        <w:tab/>
        <w:t>приветства Плана за действие на Палатата във връзка с многообразието и приобщаването за периода 2021 — 2025 г. и приветства стъпките, предприети през 2022 г. за повишаване на осведомеността относно плана и постигнатите през 2022 г. резултати по отношение на десетте приоритета, определени в него; отбелязва, че през 2022 г. в Палатата е работило само едно лице с обявено увреждане, като то е било на срочен трудов договор;</w:t>
      </w:r>
    </w:p>
    <w:p w:rsidR="00D44BDD" w:rsidRPr="00D23409" w:rsidRDefault="00D44BDD" w:rsidP="00D44BDD">
      <w:pPr>
        <w:pStyle w:val="NormalHanging12a"/>
        <w:rPr>
          <w:szCs w:val="24"/>
        </w:rPr>
      </w:pPr>
      <w:r w:rsidRPr="00D23409">
        <w:t>33.</w:t>
      </w:r>
      <w:r w:rsidRPr="00D23409">
        <w:tab/>
        <w:t>отбелязва, че през 2022 г. в Палатата са постъпили 54 стажанти; отбелязва със задоволство, че всички те са получавали заплата от Палатата или от националните органи;</w:t>
      </w:r>
    </w:p>
    <w:p w:rsidR="00D44BDD" w:rsidRPr="00794E92" w:rsidRDefault="00D44BDD" w:rsidP="00D44BDD">
      <w:pPr>
        <w:pStyle w:val="NormalHanging12a"/>
        <w:rPr>
          <w:b/>
          <w:i/>
          <w:iCs/>
          <w:szCs w:val="24"/>
        </w:rPr>
      </w:pPr>
      <w:r w:rsidRPr="00794E92">
        <w:rPr>
          <w:b/>
          <w:i/>
          <w:iCs/>
        </w:rPr>
        <w:t>Етична рамка и прозрачност</w:t>
      </w:r>
    </w:p>
    <w:p w:rsidR="00D44BDD" w:rsidRPr="00D23409" w:rsidRDefault="00D44BDD" w:rsidP="00D44BDD">
      <w:pPr>
        <w:pStyle w:val="NormalHanging12a"/>
        <w:rPr>
          <w:szCs w:val="24"/>
        </w:rPr>
      </w:pPr>
      <w:r w:rsidRPr="00D23409">
        <w:t>34.</w:t>
      </w:r>
      <w:r w:rsidRPr="00D23409">
        <w:tab/>
        <w:t>подчертава ролята и значението на Палатата като независим външен одитор на Съюза и пазител на неговите финанси, което изисква от Палатата да се придържа към възможно най-високите стандарти и да действа като организация, която служи за пример, за да вдъхва доверие и надеждност; отбелязва, че съгласно член 285 от ДФЕС членовете на Палатата са напълно независими;</w:t>
      </w:r>
    </w:p>
    <w:p w:rsidR="00D44BDD" w:rsidRPr="00D23409" w:rsidRDefault="00D44BDD" w:rsidP="00D44BDD">
      <w:pPr>
        <w:pStyle w:val="NormalHanging12a"/>
        <w:rPr>
          <w:szCs w:val="24"/>
        </w:rPr>
      </w:pPr>
      <w:r w:rsidRPr="00D23409">
        <w:t>35.</w:t>
      </w:r>
      <w:r w:rsidRPr="00D23409">
        <w:tab/>
        <w:t>приветства преразгледания по препоръка на Парламента кодекс за поведение от май 2022 г. за членовете и бившите членове на Палатата, който установява, наред с другото, задължението членовете на Палатата да пребивават там, където се намира Палатата, ограничава възможностите за участие на членовете на Палатата в политиката, урежда договорните отношения между членовете и служителите на Палатата и определя задължение за членовете на Палатата да представят годишна декларация за интереси; припомня, че членовете на Палатата следва винаги да прилагат най-високите етични принципи и ценности, за да демонстрират пълната си почтеност, независимост, обективност, професионално поведение, достойнство, ангажираност и лоялност;</w:t>
      </w:r>
    </w:p>
    <w:p w:rsidR="00D44BDD" w:rsidRPr="00D23409" w:rsidRDefault="00D44BDD" w:rsidP="00D44BDD">
      <w:pPr>
        <w:pStyle w:val="NormalHanging12a"/>
        <w:rPr>
          <w:szCs w:val="24"/>
        </w:rPr>
      </w:pPr>
      <w:r w:rsidRPr="00D23409">
        <w:t>36.</w:t>
      </w:r>
      <w:r w:rsidRPr="00D23409">
        <w:tab/>
        <w:t>подчертава, че Парламентът продължава да счита, че информацията относно командировките на членовете на Палатата следва да се публикува за целия период, през който даден член на Палатата заема длъжността, и че членовете на Палатата не следва да имат официални политически връзки, включително почетни функции в политически партии или организации; освен това отново отправя искане към Палатата да промени своите правила относно своята вътрешна комисия по етика, за да не бъде повече изключителен прерогатив на председателя на Палатата да предлага отговарящи на условията кандидати; отново отправя искане също така да бъде информиран от комисията по етика на Палатата за основните констатации в доклада за вътрешен одит относно етиката, който вътрешен одит се провежда от 2020 г. насам;</w:t>
      </w:r>
    </w:p>
    <w:p w:rsidR="00D44BDD" w:rsidRPr="00D23409" w:rsidRDefault="00D44BDD" w:rsidP="00D44BDD">
      <w:pPr>
        <w:pStyle w:val="NormalHanging12a"/>
        <w:rPr>
          <w:szCs w:val="24"/>
        </w:rPr>
      </w:pPr>
      <w:r w:rsidRPr="00D23409">
        <w:lastRenderedPageBreak/>
        <w:t>37.</w:t>
      </w:r>
      <w:r w:rsidRPr="00D23409">
        <w:tab/>
        <w:t>отбелязва със задоволство, че всички членове на Палатата са обявили адрес пред люксембургските органи и по този начин изпълняват изискването членовете на Палатата да пребивават на мястото, където се намира седалището на Палатата;</w:t>
      </w:r>
    </w:p>
    <w:p w:rsidR="00D44BDD" w:rsidRPr="00D23409" w:rsidRDefault="00D44BDD" w:rsidP="00D44BDD">
      <w:pPr>
        <w:pStyle w:val="NormalHanging12a"/>
        <w:rPr>
          <w:szCs w:val="24"/>
        </w:rPr>
      </w:pPr>
      <w:r w:rsidRPr="00D23409">
        <w:t>38.</w:t>
      </w:r>
      <w:r w:rsidRPr="00D23409">
        <w:tab/>
        <w:t>отбелязва решението от 2022 г. относно пътуванията, командировките и използването на шофьори и автомобили от членовете на Палатата, което предполага, че членовете на Палатата трябва да покриват всички текущи разходи, включително за наемане на автомобил, свързани с използването на автомобил за пътуване на разстояние над 10 000 км, което не е обхванато от командировъчна заповед; счита обаче, че 10 000 км са твърде голямо разстояние и отново изразява загрижеността, изразена в предходни резолюции за освобождаване от отговорност, че въведената система е объркваща; отново изразява становището, посочено в предходни резолюции относно освобождаването от отговорност във връзка с изпълнението на бюджета, че автомобилният парк не следва при никакви обстоятелства да се използва за други цели освен стриктно за изпълнението на задълженията на членовете на Палатата; приканва всички институции на Съюза да се споразумеят за единна система, която да се прилага хоризонтално, което би намалило объркването и би увеличило прозрачността и ефикасността при използването на публични финансови средства;</w:t>
      </w:r>
    </w:p>
    <w:p w:rsidR="00D44BDD" w:rsidRPr="00D23409" w:rsidRDefault="00D44BDD" w:rsidP="00D44BDD">
      <w:pPr>
        <w:pStyle w:val="NormalHanging12a"/>
        <w:rPr>
          <w:szCs w:val="24"/>
        </w:rPr>
      </w:pPr>
      <w:r w:rsidRPr="00D23409">
        <w:t>39.</w:t>
      </w:r>
      <w:r w:rsidRPr="00D23409">
        <w:tab/>
        <w:t>приветства факта, че през последните години Палатата започна процес на актуализиране на своята етична рамка, вследствие на което до момента са актуализирани етичните насоки на Палатата през октомври 2022 г., политиката за осигуряване на атмосфера на уважение и липса на тормоз на работното място през 2022 г. и правилата относно подаването на сигнали за нередности през юли 2023 г.; приветства също така факта, че са организирани семинари, курсове за обучение и сесии относно етиката за служителите, включително служителите в кабинетите на членовете на Палатата; изисква от Палатата да информира Парламента относно всички по-нататъшни планове относно етичната рамка;</w:t>
      </w:r>
    </w:p>
    <w:p w:rsidR="00D44BDD" w:rsidRPr="00D23409" w:rsidRDefault="00D44BDD" w:rsidP="00D44BDD">
      <w:pPr>
        <w:pStyle w:val="NormalHanging12a"/>
        <w:rPr>
          <w:szCs w:val="24"/>
        </w:rPr>
      </w:pPr>
      <w:r w:rsidRPr="00D23409">
        <w:t>40.</w:t>
      </w:r>
      <w:r w:rsidRPr="00D23409">
        <w:tab/>
        <w:t>подчертава, че през 2021 г. службата за вътрешен одит на Палатата е стигнала до заключението, че няма документ, който да консолидира политиката на Палатата за борба с измамите, и че не съществува стратегия за борба с измамите за Палатата като цяло; насърчава Палатата да разгледа този въпрос с приоритет, за да гарантира консолидирането на настоящия децентрализиран и фрагментиран подход и да направи по-ясно как Палатата разглежда тези въпроси;</w:t>
      </w:r>
    </w:p>
    <w:p w:rsidR="00D44BDD" w:rsidRPr="00D23409" w:rsidRDefault="00D44BDD" w:rsidP="00D44BDD">
      <w:pPr>
        <w:pStyle w:val="NormalHanging12a"/>
        <w:rPr>
          <w:szCs w:val="24"/>
        </w:rPr>
      </w:pPr>
      <w:r w:rsidRPr="00D23409">
        <w:t>41.</w:t>
      </w:r>
      <w:r w:rsidRPr="00D23409">
        <w:tab/>
        <w:t>отново отхвърля оценката и решението на Палатата да не се присъедини към регистъра на ЕС за прозрачност, създаден с Междуинституционалното споразумение от 20 май 2021 г. между Европейския парламент, Съвета на Европейския съюз и Европейската комисия за задължителен регистър за прозрачност</w:t>
      </w:r>
      <w:r w:rsidRPr="00D23409">
        <w:rPr>
          <w:rStyle w:val="FootnoteReference"/>
          <w:szCs w:val="24"/>
        </w:rPr>
        <w:footnoteReference w:id="6"/>
      </w:r>
      <w:r w:rsidRPr="00D23409">
        <w:t>, и насърчава Палатата да обмисли отново въпроса, като отново отправя категоричен призив към Палатата да се присъедини към Регистъра за прозрачност на ЕС, за да се придържа към основните принципи на прозрачност, като същевременно не се създават пречки пред пълната независимост на Палатата;</w:t>
      </w:r>
    </w:p>
    <w:p w:rsidR="00D44BDD" w:rsidRPr="00D23409" w:rsidRDefault="00D44BDD" w:rsidP="00D44BDD">
      <w:pPr>
        <w:pStyle w:val="NormalHanging12a"/>
        <w:rPr>
          <w:szCs w:val="24"/>
        </w:rPr>
      </w:pPr>
      <w:r w:rsidRPr="00D23409">
        <w:t>42.</w:t>
      </w:r>
      <w:r w:rsidRPr="00D23409">
        <w:tab/>
        <w:t xml:space="preserve">отбелязва, че Европейската служба за борба с измамите (OLAF) е започнала едно разследване във връзка с процедура на Палатата за подбор през 2022 г., като е </w:t>
      </w:r>
      <w:r w:rsidRPr="00D23409">
        <w:lastRenderedPageBreak/>
        <w:t>стигнала до заключението, че поведението на засегнатото лице не е повлияло на резултата от процедурата;</w:t>
      </w:r>
    </w:p>
    <w:p w:rsidR="00D44BDD" w:rsidRPr="00D23409" w:rsidRDefault="00D44BDD" w:rsidP="00D44BDD">
      <w:pPr>
        <w:pStyle w:val="NormalHanging12a"/>
        <w:rPr>
          <w:szCs w:val="24"/>
        </w:rPr>
      </w:pPr>
      <w:r w:rsidRPr="00D23409">
        <w:t>43.</w:t>
      </w:r>
      <w:r w:rsidRPr="00D23409">
        <w:tab/>
        <w:t>отбелязва, че Европейският омбудсман е провел една проверка вследствие на жалба през 2022 г., която е била приключена, след като Палатата е отговорила на жалбоподателя;</w:t>
      </w:r>
    </w:p>
    <w:p w:rsidR="00D44BDD" w:rsidRPr="00D23409" w:rsidRDefault="00D44BDD" w:rsidP="00D44BDD">
      <w:pPr>
        <w:pStyle w:val="NormalHanging12a"/>
        <w:rPr>
          <w:szCs w:val="24"/>
        </w:rPr>
      </w:pPr>
      <w:r w:rsidRPr="00D23409">
        <w:t>44.</w:t>
      </w:r>
      <w:r w:rsidRPr="00D23409">
        <w:tab/>
        <w:t>отново изразява задоволство, че през 2022 г. Палатата създаде присъствен регистър за отразяване на присъствието на членовете на Палатата на заседания, след като Парламентът отправи на няколко пъти искания в този смисъл; приветства факта, че при поискване регистърът беше предоставен на докладчика на Парламента по процедурата по освобождаване от отговорност като част от процедурата по освобождаване от отговорност във връзка с изпълнението на бюджета; приканва Палатата да продължи да прилага практики, които повишават прозрачността и отчетността, например публично оповестяван график на заседанията;</w:t>
      </w:r>
    </w:p>
    <w:p w:rsidR="00D44BDD" w:rsidRPr="00D23409" w:rsidRDefault="00D44BDD" w:rsidP="00D44BDD">
      <w:pPr>
        <w:pStyle w:val="NormalHanging12a"/>
        <w:rPr>
          <w:szCs w:val="24"/>
        </w:rPr>
      </w:pPr>
      <w:r w:rsidRPr="00D23409">
        <w:t>45.</w:t>
      </w:r>
      <w:r w:rsidRPr="00D23409">
        <w:tab/>
        <w:t>приветства факта, че през 2022 г. не са открити конфликти на интереси; отбелязва освен това, че нито един служител, напускащ Палатата поради изтичане на договора си или по друга причина, не е информирал Палатата, че желае да постъпи на работа в частно дружество, нито е уведомил Палатата за започването на дейности, свързани с работа извън Палатата, през последните три години от службата си; отбелязва накрая, че няма бивши членове на Парламента, на Комисията или високопоставени длъжностни лица, които да са получавали възнаграждения от Палатата;</w:t>
      </w:r>
    </w:p>
    <w:p w:rsidR="00D44BDD" w:rsidRPr="00D23409" w:rsidRDefault="00D44BDD" w:rsidP="00D44BDD">
      <w:pPr>
        <w:pStyle w:val="NormalHanging12a"/>
        <w:rPr>
          <w:szCs w:val="24"/>
        </w:rPr>
      </w:pPr>
      <w:r w:rsidRPr="00D23409">
        <w:t>46.</w:t>
      </w:r>
      <w:r w:rsidRPr="00D23409">
        <w:tab/>
        <w:t>отбелязва, че през 2022 г. в Палатата не е имало случаи на подаване на сигнали за нередности;</w:t>
      </w:r>
    </w:p>
    <w:p w:rsidR="00D44BDD" w:rsidRPr="00D23409" w:rsidRDefault="00D44BDD" w:rsidP="00D44BDD">
      <w:pPr>
        <w:pStyle w:val="NormalHanging12a"/>
        <w:rPr>
          <w:szCs w:val="24"/>
        </w:rPr>
      </w:pPr>
      <w:r w:rsidRPr="00D23409">
        <w:t>47.</w:t>
      </w:r>
      <w:r w:rsidRPr="00D23409">
        <w:tab/>
        <w:t>изразява съжаление, че годишният списък на договорите, включително договорите на стойност между 15 000 и 60 000 EUR, сключени през 2022 г. чрез процедура на договаряне, не е достъпен на уебсайта на Палатата, както е посочено в доклада на оправомощения разпоредител с бюджетни кредити; призовава Палатата да публикува този списък в отделен документ и да осигури лесен достъп до него;</w:t>
      </w:r>
    </w:p>
    <w:p w:rsidR="00D44BDD" w:rsidRPr="00794E92" w:rsidRDefault="00D44BDD" w:rsidP="00D44BDD">
      <w:pPr>
        <w:spacing w:after="240"/>
        <w:rPr>
          <w:b/>
          <w:i/>
          <w:iCs/>
          <w:szCs w:val="24"/>
        </w:rPr>
      </w:pPr>
      <w:r w:rsidRPr="00794E92">
        <w:rPr>
          <w:b/>
          <w:i/>
          <w:iCs/>
        </w:rPr>
        <w:t>Цифровизация, киберсигурност и защита на данните</w:t>
      </w:r>
    </w:p>
    <w:p w:rsidR="00D44BDD" w:rsidRPr="00D23409" w:rsidRDefault="00D44BDD" w:rsidP="00D44BDD">
      <w:pPr>
        <w:pStyle w:val="NormalHanging12a"/>
        <w:rPr>
          <w:szCs w:val="24"/>
        </w:rPr>
      </w:pPr>
      <w:r w:rsidRPr="00D23409">
        <w:t>48.</w:t>
      </w:r>
      <w:r w:rsidRPr="00D23409">
        <w:tab/>
        <w:t xml:space="preserve">приветства факта, че Палатата има </w:t>
      </w:r>
      <w:proofErr w:type="spellStart"/>
      <w:r w:rsidRPr="00D23409">
        <w:t>широкообхватен</w:t>
      </w:r>
      <w:proofErr w:type="spellEnd"/>
      <w:r w:rsidRPr="00D23409">
        <w:t xml:space="preserve"> план за киберсигурност за периода 2022 — 2024 г. и планира да преразгледа своята рамка за киберсигурност към края на 2023 г., за да осигури пълно съответствие с предстоящия регламент за определяне на мерки за високо общо ниво на киберсигурност в институциите, органите, службите и агенциите на Съюза; оценява освен това факта, че Палатата е прекратила договор с доставчик, който е бил закупен от дружество от Съединените американски щати, тъй като придобиването е възможно да доведе до промени в начина, по който ще се обработват личните данни;</w:t>
      </w:r>
    </w:p>
    <w:p w:rsidR="00D44BDD" w:rsidRPr="00D23409" w:rsidRDefault="00D44BDD" w:rsidP="00D44BDD">
      <w:pPr>
        <w:pStyle w:val="NormalHanging12a"/>
        <w:rPr>
          <w:szCs w:val="24"/>
        </w:rPr>
      </w:pPr>
      <w:r w:rsidRPr="00D23409">
        <w:t>49.</w:t>
      </w:r>
      <w:r w:rsidRPr="00D23409">
        <w:tab/>
        <w:t xml:space="preserve">приветства факта, че Палатата не е претърпяла сериозни </w:t>
      </w:r>
      <w:proofErr w:type="spellStart"/>
      <w:r w:rsidRPr="00D23409">
        <w:t>кибератаки</w:t>
      </w:r>
      <w:proofErr w:type="spellEnd"/>
      <w:r w:rsidRPr="00D23409">
        <w:t xml:space="preserve"> през 2022 г. и че електронните съобщения с цел </w:t>
      </w:r>
      <w:proofErr w:type="spellStart"/>
      <w:r w:rsidRPr="00D23409">
        <w:t>фишинг</w:t>
      </w:r>
      <w:proofErr w:type="spellEnd"/>
      <w:r w:rsidRPr="00D23409">
        <w:t xml:space="preserve"> продължават да бъдат най-опасната заплаха; насърчава все пак Палатата да запази бдителността си и да започне диалог с компетентните междуинституционални органи на Съюза с цел укрепване </w:t>
      </w:r>
      <w:r w:rsidRPr="00D23409">
        <w:lastRenderedPageBreak/>
        <w:t>на цялостната киберсигурност на институциите на Съюза;</w:t>
      </w:r>
    </w:p>
    <w:p w:rsidR="00D44BDD" w:rsidRPr="00D23409" w:rsidRDefault="00D44BDD" w:rsidP="00D44BDD">
      <w:pPr>
        <w:pStyle w:val="NormalHanging12a"/>
        <w:rPr>
          <w:szCs w:val="24"/>
        </w:rPr>
      </w:pPr>
      <w:r w:rsidRPr="00D23409">
        <w:t>50.</w:t>
      </w:r>
      <w:r w:rsidRPr="00D23409">
        <w:tab/>
        <w:t>отбелязва, че през 2022 г. Европейският надзорен орган по защита на данните (ЕНОЗД) не е започнал, продължил или приключил никакви разследвания относно Палатата;</w:t>
      </w:r>
    </w:p>
    <w:p w:rsidR="00D44BDD" w:rsidRPr="00D23409" w:rsidRDefault="00D44BDD" w:rsidP="00D44BDD">
      <w:pPr>
        <w:pStyle w:val="NormalHanging12a"/>
        <w:rPr>
          <w:szCs w:val="24"/>
        </w:rPr>
      </w:pPr>
      <w:r w:rsidRPr="00D23409">
        <w:t>51.</w:t>
      </w:r>
      <w:r w:rsidRPr="00D23409">
        <w:tab/>
        <w:t>приветства всички усилия за подобряване на цифровизацията на одитната дейност, като по този начин се повишават ефикасността и точността на тази дейност; приветства по-специално стартирането на модела „хранилище за данни като услуга“ през октомври 2022 г., което дава възможност на потребителите да обработват и анализират структурирани данни с различна степен на автономност; отбелязва, че цифровизацията на одитната дейност зависи не само от самата Палата, но и до голяма степен от данните, които одитираните субекти предоставят, и че все още съществуват ограничения по отношение на формàта на данните и разнообразието от използвани системи; оценява освен това факта, че броят на дните за одит на място е 2 984 през 2022 г., значително повече спрямо 2021 и 2020 г., които години бяха силно засегнати от ограниченията, наложени в резултат на пандемията от COVID-19, и че добавената стойност и ефективността на посещенията на място са били подобрени чрез съчетаването им с работа от разстояние;</w:t>
      </w:r>
    </w:p>
    <w:p w:rsidR="00D44BDD" w:rsidRPr="00D23409" w:rsidRDefault="00D44BDD" w:rsidP="00D44BDD">
      <w:pPr>
        <w:pStyle w:val="NormalHanging12a"/>
        <w:rPr>
          <w:szCs w:val="24"/>
        </w:rPr>
      </w:pPr>
      <w:r w:rsidRPr="00D23409">
        <w:t>52.</w:t>
      </w:r>
      <w:r w:rsidRPr="00D23409">
        <w:tab/>
        <w:t xml:space="preserve">отбелязва, че Палатата е въвела няколко елемента на софтуер с отворен код като част от своите системи, включително </w:t>
      </w:r>
      <w:proofErr w:type="spellStart"/>
      <w:r w:rsidRPr="00D23409">
        <w:rPr>
          <w:i/>
          <w:iCs/>
        </w:rPr>
        <w:t>Linux</w:t>
      </w:r>
      <w:proofErr w:type="spellEnd"/>
      <w:r w:rsidRPr="00D23409">
        <w:t xml:space="preserve">, </w:t>
      </w:r>
      <w:proofErr w:type="spellStart"/>
      <w:r w:rsidRPr="00D23409">
        <w:rPr>
          <w:i/>
          <w:iCs/>
        </w:rPr>
        <w:t>Belenios</w:t>
      </w:r>
      <w:proofErr w:type="spellEnd"/>
      <w:r w:rsidRPr="00D23409">
        <w:t xml:space="preserve"> и </w:t>
      </w:r>
      <w:proofErr w:type="spellStart"/>
      <w:r w:rsidRPr="00D23409">
        <w:rPr>
          <w:i/>
          <w:iCs/>
        </w:rPr>
        <w:t>Nagios</w:t>
      </w:r>
      <w:proofErr w:type="spellEnd"/>
      <w:r w:rsidRPr="00D23409">
        <w:t>; насърчава Палатата да продължи да използва софтуер с отворен код, когато това е възможно;</w:t>
      </w:r>
    </w:p>
    <w:p w:rsidR="00D44BDD" w:rsidRPr="00794E92" w:rsidRDefault="00D44BDD" w:rsidP="00D44BDD">
      <w:pPr>
        <w:spacing w:after="240"/>
        <w:rPr>
          <w:b/>
          <w:bCs/>
          <w:i/>
          <w:iCs/>
          <w:szCs w:val="24"/>
        </w:rPr>
      </w:pPr>
      <w:r w:rsidRPr="00794E92">
        <w:rPr>
          <w:b/>
          <w:i/>
          <w:iCs/>
        </w:rPr>
        <w:t>Сгради</w:t>
      </w:r>
    </w:p>
    <w:p w:rsidR="00D44BDD" w:rsidRPr="00D23409" w:rsidRDefault="00D44BDD" w:rsidP="00D44BDD">
      <w:pPr>
        <w:pStyle w:val="NormalHanging12a"/>
        <w:rPr>
          <w:szCs w:val="24"/>
        </w:rPr>
      </w:pPr>
      <w:r w:rsidRPr="00D23409">
        <w:t>53.</w:t>
      </w:r>
      <w:r w:rsidRPr="00D23409">
        <w:tab/>
        <w:t>отбелязва, че през 2022 г. Палатата е осъществила значителни ремонтни работи в сградата „K2“, които са приключили в началото на 2023 г. и са довели до обновяването на четири етажа с цел да се осигури модерно работно място, което се цени от служителите и е по-екологосъобразно;</w:t>
      </w:r>
    </w:p>
    <w:p w:rsidR="00D44BDD" w:rsidRPr="00D23409" w:rsidRDefault="00D44BDD" w:rsidP="00D44BDD">
      <w:pPr>
        <w:pStyle w:val="NormalHanging12a"/>
        <w:rPr>
          <w:szCs w:val="24"/>
        </w:rPr>
      </w:pPr>
      <w:r w:rsidRPr="00D23409">
        <w:t>54.</w:t>
      </w:r>
      <w:r w:rsidRPr="00D23409">
        <w:tab/>
        <w:t>оценява факта, че през 2022 г. Палатата започна одит на достъпността на всички сгради на Палатата с цел да се подобри достъпността и да се отговори на потребностите на хората с намалена подвижност или други увреждания, като одитът е завършен в началото на 2023 г.; изисква от Палатата да информира Парламента относно конкретни инициативи за изпълнение на действията, предложени като част от одита;</w:t>
      </w:r>
    </w:p>
    <w:p w:rsidR="00D44BDD" w:rsidRPr="00794E92" w:rsidRDefault="00D44BDD" w:rsidP="00D44BDD">
      <w:pPr>
        <w:spacing w:after="240"/>
        <w:rPr>
          <w:b/>
          <w:i/>
          <w:iCs/>
          <w:szCs w:val="24"/>
        </w:rPr>
      </w:pPr>
      <w:r w:rsidRPr="00794E92">
        <w:rPr>
          <w:b/>
          <w:i/>
          <w:iCs/>
        </w:rPr>
        <w:t>Околна среда и устойчивост</w:t>
      </w:r>
    </w:p>
    <w:p w:rsidR="00D44BDD" w:rsidRPr="00D23409" w:rsidRDefault="00D44BDD" w:rsidP="00D44BDD">
      <w:pPr>
        <w:pStyle w:val="NormalHanging12a"/>
        <w:rPr>
          <w:szCs w:val="24"/>
        </w:rPr>
      </w:pPr>
      <w:r w:rsidRPr="00D23409">
        <w:t>55.</w:t>
      </w:r>
      <w:r w:rsidRPr="00D23409">
        <w:tab/>
        <w:t>приветства факта, че през 2022 г. Палатата представи втория си годишен доклад относно екологичната устойчивост на своите операции в съответствие с международно приетите стандарти за докладване;</w:t>
      </w:r>
    </w:p>
    <w:p w:rsidR="00D44BDD" w:rsidRPr="00D23409" w:rsidRDefault="00D44BDD" w:rsidP="00D44BDD">
      <w:pPr>
        <w:pStyle w:val="NormalHanging12a"/>
        <w:rPr>
          <w:szCs w:val="24"/>
        </w:rPr>
      </w:pPr>
      <w:r w:rsidRPr="00D23409">
        <w:t>56.</w:t>
      </w:r>
      <w:r w:rsidRPr="00D23409">
        <w:tab/>
        <w:t xml:space="preserve">отбелязва, че Палатата е постигнала впечатляващи резултати в няколко области по отношение на намаляването на общото си потребление от 2014 г. насам, като потреблението на електроенергия е намалено с 34,5%, на отопление — с 22,2%, на хартия — с 83,5%, на вода — с 45,3%, емисиите на парникови газове — с 29,5%, а отпадъците — с 33,7%; насърчава Палатата да продължи да полага усилия за допълнително намаляване на потреблението на тези ресурси и приветства факта, </w:t>
      </w:r>
      <w:r w:rsidRPr="00D23409">
        <w:lastRenderedPageBreak/>
        <w:t>че през 2023 г. Палатата е започнала проучване относно сградата „K2“ с цел обновяване на покрива и инсталиране на слънчеви панели;</w:t>
      </w:r>
    </w:p>
    <w:p w:rsidR="00D44BDD" w:rsidRPr="00D23409" w:rsidRDefault="00D44BDD" w:rsidP="00D44BDD">
      <w:pPr>
        <w:pStyle w:val="NormalHanging12a"/>
        <w:rPr>
          <w:szCs w:val="24"/>
        </w:rPr>
      </w:pPr>
      <w:r w:rsidRPr="00D23409">
        <w:t>57.</w:t>
      </w:r>
      <w:r w:rsidRPr="00D23409">
        <w:tab/>
        <w:t>приветства факта, че Палатата предприе няколко инициативи в подкрепа на устойчивата мобилност, включително подсилване на совалковия превоз, предлаган от Палатата, предоставянето на безплатен абонамент на служителите за велосипедната услуга на град Люксембург, увеличаването на броя на местата за паркиране на велосипеди, включително места за електрически велосипеди, и инсталирането на зарядни устройства за хибридни и електрически автомобили; призовава Палатата да продължи да подкрепя устойчивата мобилност, включително чрез обмен на най-добри практики с други институции и чрез информиране на Парламента относно по-нататъшни инициативи;</w:t>
      </w:r>
    </w:p>
    <w:p w:rsidR="00D44BDD" w:rsidRPr="00D23409" w:rsidRDefault="00D44BDD" w:rsidP="00D44BDD">
      <w:pPr>
        <w:pStyle w:val="NormalHanging12a"/>
        <w:rPr>
          <w:szCs w:val="24"/>
        </w:rPr>
      </w:pPr>
      <w:r w:rsidRPr="00D23409">
        <w:t>58.</w:t>
      </w:r>
      <w:r w:rsidRPr="00D23409">
        <w:tab/>
        <w:t>отбелязва, че Палатата ще анализира начините за интегриране на свързаните с околната среда аспекти на командировките в актуализирано ръководство за командировките; отбелязва освен това, че е предложено намаляване на служебните пътувания за еквивалент на пълно работно време с 5% за периода 2023 — 2025 г.; призовава Палатата да се опита да изпълни тази цел, като същевременно осигури осъществяването на необходимите одитни мисии;</w:t>
      </w:r>
    </w:p>
    <w:p w:rsidR="00D44BDD" w:rsidRPr="00794E92" w:rsidRDefault="00D44BDD" w:rsidP="00D44BDD">
      <w:pPr>
        <w:spacing w:after="240"/>
        <w:rPr>
          <w:b/>
          <w:i/>
          <w:iCs/>
          <w:szCs w:val="24"/>
        </w:rPr>
      </w:pPr>
      <w:r w:rsidRPr="00794E92">
        <w:rPr>
          <w:b/>
          <w:i/>
          <w:iCs/>
        </w:rPr>
        <w:t>Междуинституционално сътрудничество</w:t>
      </w:r>
    </w:p>
    <w:p w:rsidR="00D44BDD" w:rsidRPr="00D23409" w:rsidRDefault="00D44BDD" w:rsidP="00D44BDD">
      <w:pPr>
        <w:pStyle w:val="NormalHanging12a"/>
        <w:rPr>
          <w:szCs w:val="24"/>
        </w:rPr>
      </w:pPr>
      <w:r w:rsidRPr="00D23409">
        <w:t>59.</w:t>
      </w:r>
      <w:r w:rsidRPr="00D23409">
        <w:tab/>
        <w:t>отбелязва, че няколко споразумения за нивото на обслужване и други споразумения за междуинституционално сътрудничество са актуализирани през 2022 г., включително споразумения със Службата за разследвания и дисциплинарни въпроси на Комисията и с Центъра за преводи за органите на Европейския съюз;</w:t>
      </w:r>
    </w:p>
    <w:p w:rsidR="00D44BDD" w:rsidRPr="00D23409" w:rsidRDefault="00D44BDD" w:rsidP="00D44BDD">
      <w:pPr>
        <w:pStyle w:val="NormalHanging12a"/>
        <w:rPr>
          <w:szCs w:val="24"/>
        </w:rPr>
      </w:pPr>
      <w:r w:rsidRPr="00D23409">
        <w:t>60.</w:t>
      </w:r>
      <w:r w:rsidRPr="00D23409">
        <w:tab/>
        <w:t>отбелязва тристранното споразумение между Палатата, Комисията и Европейската инвестиционна банка („ЕИБ“) от ноември 2021 г.; приветства становището на Палатата, че това споразумение е изяснило и рационализирало някои процеси и че Палатата е получила по-добър достъп до информация, свързана с операции, които са финансирани или гарантирани от бюджета на Съюза; изразява въпреки това съжаление, че това споразумение не гарантира като минимум, че Палатата може да извършва одит на свързаните с изпълнението аспекти на дейностите, осъществявани при прилагането на политиките на Съюза;</w:t>
      </w:r>
    </w:p>
    <w:p w:rsidR="00D44BDD" w:rsidRPr="00D23409" w:rsidRDefault="00D44BDD" w:rsidP="00D44BDD">
      <w:pPr>
        <w:pStyle w:val="NormalHanging12a"/>
        <w:rPr>
          <w:szCs w:val="24"/>
        </w:rPr>
      </w:pPr>
      <w:r w:rsidRPr="00D23409">
        <w:t>61.</w:t>
      </w:r>
      <w:r w:rsidRPr="00D23409">
        <w:tab/>
        <w:t>подчертава, че по принцип Парламентът счита, че настоящите ограничения на ролята на Палатата като одитор на ЕИБ създават пропуски в регулирането и надзора и че Палатата следва да има възможност да одитира всички операции на групата на ЕИБ; подчертава същевременно, че на Парламента, като демократично избран орган, следва да бъде възложено освобождаването от отговорност на ЕИБ с цел укрепване на демократичната легитимност на тази важна институция на Съюза, и по този начин — повишаване на прозрачността и отчетността и доброто управление на финансовите и човешките ресурси;</w:t>
      </w:r>
    </w:p>
    <w:p w:rsidR="00D44BDD" w:rsidRPr="00D23409" w:rsidRDefault="00D44BDD" w:rsidP="00D44BDD">
      <w:pPr>
        <w:pStyle w:val="NormalHanging12a"/>
        <w:rPr>
          <w:szCs w:val="24"/>
        </w:rPr>
      </w:pPr>
      <w:r w:rsidRPr="00D23409">
        <w:t>62.</w:t>
      </w:r>
      <w:r w:rsidRPr="00D23409">
        <w:tab/>
        <w:t xml:space="preserve">приветства факта, че Палатата си сътрудничи тясно както с OLAF, така и с Европейската прокуратура, включително чрез организиране на семинари, мероприятия за повишаване на осведомеността и обмен на знания и опит; освен това отбелязва със задоволство, че през 2022 г. Палатата е препратила 14 случая на предполагаема измама на OLAF и шест случая на Европейската прокуратура; </w:t>
      </w:r>
      <w:r w:rsidRPr="00D23409">
        <w:lastRenderedPageBreak/>
        <w:t>подчертава своето становище, че съмненията за измама следва винаги да се предават на OLAF и на Европейската прокуратура за задълбочено разследване;</w:t>
      </w:r>
    </w:p>
    <w:p w:rsidR="00D44BDD" w:rsidRPr="00D23409" w:rsidRDefault="00D44BDD" w:rsidP="00D44BDD">
      <w:pPr>
        <w:pStyle w:val="NormalHanging12a"/>
        <w:rPr>
          <w:szCs w:val="24"/>
        </w:rPr>
      </w:pPr>
      <w:r w:rsidRPr="00D23409">
        <w:t>63.</w:t>
      </w:r>
      <w:r w:rsidRPr="00D23409">
        <w:tab/>
        <w:t>отбелязва, че Палатата си сътрудничи с ЕНОЗД чрез своето длъжностно лице по защита на данните и се консултира с ЕНОЗД по въпроси, свързани със защитата на данните, както и че случай, свързан с нарушение на сигурността на личните данни, е приключен през 2022 г. с няколко препоръки; приветства факта, че длъжностното лице по защита на данните на Палатата участва в мрежа от длъжностни лица по защита на данните, която работи по повтарящи се проблеми, споделя примери за най-добри практики и помага за организирането на провежданите два пъти в годината заседания на длъжностните лица по защита на данните;</w:t>
      </w:r>
    </w:p>
    <w:p w:rsidR="00D44BDD" w:rsidRPr="00D23409" w:rsidRDefault="00D44BDD" w:rsidP="00D44BDD">
      <w:pPr>
        <w:pStyle w:val="NormalHanging12a"/>
        <w:rPr>
          <w:szCs w:val="24"/>
        </w:rPr>
      </w:pPr>
      <w:r w:rsidRPr="00D23409">
        <w:t>64.</w:t>
      </w:r>
      <w:r w:rsidRPr="00D23409">
        <w:tab/>
        <w:t>отбелязва, че Палатата си сътрудничи с Европейския омбудсман и е предоставила цялата поискана информация в рамките на разследвания, започнати от Европейския омбудсман; приветства факта, че Палатата е участвала в междуинституционалните дискусии относно съвременната комуникация, включително съобщенията в реално време, и че Палатата използва насоките на Европейския омбудсман в тази област като показател;</w:t>
      </w:r>
    </w:p>
    <w:p w:rsidR="00D44BDD" w:rsidRPr="00794E92" w:rsidRDefault="00D44BDD" w:rsidP="00D44BDD">
      <w:pPr>
        <w:spacing w:after="240"/>
        <w:rPr>
          <w:b/>
          <w:i/>
          <w:iCs/>
          <w:szCs w:val="24"/>
        </w:rPr>
      </w:pPr>
      <w:r w:rsidRPr="00794E92">
        <w:rPr>
          <w:b/>
          <w:i/>
          <w:iCs/>
        </w:rPr>
        <w:t>Комуникация</w:t>
      </w:r>
    </w:p>
    <w:p w:rsidR="00D44BDD" w:rsidRPr="00D23409" w:rsidRDefault="00D44BDD" w:rsidP="00EE4F74">
      <w:pPr>
        <w:ind w:left="567" w:hanging="567"/>
      </w:pPr>
      <w:r w:rsidRPr="00D23409">
        <w:t>65.</w:t>
      </w:r>
      <w:r w:rsidRPr="00D23409">
        <w:tab/>
        <w:t xml:space="preserve">приветства факта, че през януари 2022 г. Палатата прие нова комуникационна стратегия, която поставя широката общественост в центъра на комуникационните ѝ усилия, и изразява задоволство, че Палатата вече е в състояние да провежда </w:t>
      </w:r>
      <w:proofErr w:type="spellStart"/>
      <w:r w:rsidRPr="00D23409">
        <w:t>пресбрифинги</w:t>
      </w:r>
      <w:proofErr w:type="spellEnd"/>
      <w:r w:rsidRPr="00D23409">
        <w:t xml:space="preserve"> и излъчвани по интернет конференции с добър технически стандарт; приветства освен това факта, че Палатата актуализира своя уебсайт през 2023 г., за да осигури по-висока удовлетвореност на потребителите, и създаде портал, който може да направи данните, свързани с одитите, по-достъпни за широка публика, включително студенти, представители на академичните среди и широката общественост.</w:t>
      </w:r>
    </w:p>
    <w:p w:rsidR="00E365E1" w:rsidRPr="00D23409" w:rsidRDefault="00E365E1" w:rsidP="00D44BDD">
      <w:bookmarkStart w:id="10" w:name="TextBodyEnd"/>
      <w:bookmarkEnd w:id="10"/>
    </w:p>
    <w:sectPr w:rsidR="00E365E1" w:rsidRPr="00D23409" w:rsidSect="00D2340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AAB" w:rsidRPr="00D23409" w:rsidRDefault="00620AAB">
      <w:r w:rsidRPr="00D23409">
        <w:separator/>
      </w:r>
    </w:p>
  </w:endnote>
  <w:endnote w:type="continuationSeparator" w:id="0">
    <w:p w:rsidR="00620AAB" w:rsidRPr="00D23409" w:rsidRDefault="00620AAB">
      <w:r w:rsidRPr="00D23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rsidP="00FC525C">
    <w:pPr>
      <w:pStyle w:val="EPFooter"/>
    </w:pPr>
    <w:r w:rsidRPr="00D23409">
      <w:t>PE</w:t>
    </w:r>
    <w:r w:rsidRPr="00D23409">
      <w:rPr>
        <w:rStyle w:val="HideTWBExt"/>
      </w:rPr>
      <w:t>&lt;</w:t>
    </w:r>
    <w:proofErr w:type="spellStart"/>
    <w:r w:rsidRPr="00D23409">
      <w:rPr>
        <w:rStyle w:val="HideTWBExt"/>
      </w:rPr>
      <w:t>NoPE</w:t>
    </w:r>
    <w:proofErr w:type="spellEnd"/>
    <w:r w:rsidRPr="00D23409">
      <w:rPr>
        <w:rStyle w:val="HideTWBExt"/>
      </w:rPr>
      <w:t>&gt;</w:t>
    </w:r>
    <w:r w:rsidRPr="00D23409">
      <w:t>753.481</w:t>
    </w:r>
    <w:r w:rsidRPr="00D23409">
      <w:rPr>
        <w:rStyle w:val="HideTWBExt"/>
      </w:rPr>
      <w:t>&lt;/</w:t>
    </w:r>
    <w:proofErr w:type="spellStart"/>
    <w:r w:rsidRPr="00D23409">
      <w:rPr>
        <w:rStyle w:val="HideTWBExt"/>
      </w:rPr>
      <w:t>NoPE</w:t>
    </w:r>
    <w:proofErr w:type="spellEnd"/>
    <w:r w:rsidRPr="00D23409">
      <w:rPr>
        <w:rStyle w:val="HideTWBExt"/>
      </w:rPr>
      <w:t>&gt;&lt;Version&gt;</w:t>
    </w:r>
    <w:r w:rsidRPr="00D23409">
      <w:t>v02-00</w:t>
    </w:r>
    <w:r w:rsidRPr="00D23409">
      <w:rPr>
        <w:rStyle w:val="HideTWBExt"/>
      </w:rPr>
      <w:t>&lt;/</w:t>
    </w:r>
    <w:proofErr w:type="spellStart"/>
    <w:r w:rsidRPr="00D23409">
      <w:rPr>
        <w:rStyle w:val="HideTWBExt"/>
      </w:rPr>
      <w:t>Version</w:t>
    </w:r>
    <w:proofErr w:type="spellEnd"/>
    <w:r w:rsidRPr="00D23409">
      <w:rPr>
        <w:rStyle w:val="HideTWBExt"/>
      </w:rPr>
      <w:t>&gt;</w:t>
    </w:r>
    <w:r w:rsidRPr="00D23409">
      <w:tab/>
    </w:r>
    <w:r w:rsidRPr="00D23409">
      <w:fldChar w:fldCharType="begin"/>
    </w:r>
    <w:r w:rsidRPr="00D23409">
      <w:instrText xml:space="preserve"> PAGE  \* MERGEFORMAT </w:instrText>
    </w:r>
    <w:r w:rsidRPr="00D23409">
      <w:fldChar w:fldCharType="separate"/>
    </w:r>
    <w:r w:rsidR="00D23409" w:rsidRPr="00D23409">
      <w:rPr>
        <w:noProof/>
      </w:rPr>
      <w:t>2</w:t>
    </w:r>
    <w:r w:rsidRPr="00D23409">
      <w:fldChar w:fldCharType="end"/>
    </w:r>
    <w:r w:rsidRPr="00D23409">
      <w:t>/</w:t>
    </w:r>
    <w:r w:rsidR="00794E92">
      <w:fldChar w:fldCharType="begin"/>
    </w:r>
    <w:r w:rsidR="00794E92">
      <w:instrText xml:space="preserve"> NUMPAGES  \* MERGEFORMAT </w:instrText>
    </w:r>
    <w:r w:rsidR="00794E92">
      <w:fldChar w:fldCharType="separate"/>
    </w:r>
    <w:r w:rsidR="00D23409" w:rsidRPr="00D23409">
      <w:rPr>
        <w:noProof/>
      </w:rPr>
      <w:t>10</w:t>
    </w:r>
    <w:r w:rsidR="00794E92">
      <w:rPr>
        <w:noProof/>
      </w:rPr>
      <w:fldChar w:fldCharType="end"/>
    </w:r>
    <w:r w:rsidRPr="00D23409">
      <w:tab/>
    </w:r>
    <w:r w:rsidRPr="00D23409">
      <w:rPr>
        <w:rStyle w:val="HideTWBExt"/>
      </w:rPr>
      <w:t>&lt;PathFdR&gt;</w:t>
    </w:r>
    <w:r w:rsidRPr="00D23409">
      <w:t>RR\1298500BG.docx</w:t>
    </w:r>
    <w:r w:rsidRPr="00D23409">
      <w:rPr>
        <w:rStyle w:val="HideTWBExt"/>
      </w:rPr>
      <w:t>&lt;/</w:t>
    </w:r>
    <w:proofErr w:type="spellStart"/>
    <w:r w:rsidRPr="00D23409">
      <w:rPr>
        <w:rStyle w:val="HideTWBExt"/>
      </w:rPr>
      <w:t>PathFdR</w:t>
    </w:r>
    <w:proofErr w:type="spellEnd"/>
    <w:r w:rsidRPr="00D23409">
      <w:rPr>
        <w:rStyle w:val="HideTWBExt"/>
      </w:rPr>
      <w:t>&gt;</w:t>
    </w:r>
  </w:p>
  <w:p w:rsidR="00D44BDD" w:rsidRPr="00D23409" w:rsidRDefault="00D44BDD" w:rsidP="00FC525C">
    <w:pPr>
      <w:pStyle w:val="EPFooter2"/>
    </w:pPr>
    <w:r w:rsidRPr="00D23409">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rsidP="00FC525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rsidP="00FC525C">
    <w:pPr>
      <w:pStyle w:val="EPFooter"/>
    </w:pPr>
    <w:r w:rsidRPr="00D23409">
      <w:rPr>
        <w:rStyle w:val="HideTWBExt"/>
      </w:rPr>
      <w:t>&lt;PathFdR&gt;</w:t>
    </w:r>
    <w:r w:rsidRPr="00D23409">
      <w:t>RR\1298500BG.docx</w:t>
    </w:r>
    <w:r w:rsidRPr="00D23409">
      <w:rPr>
        <w:rStyle w:val="HideTWBExt"/>
      </w:rPr>
      <w:t>&lt;/</w:t>
    </w:r>
    <w:proofErr w:type="spellStart"/>
    <w:r w:rsidRPr="00D23409">
      <w:rPr>
        <w:rStyle w:val="HideTWBExt"/>
      </w:rPr>
      <w:t>PathFdR</w:t>
    </w:r>
    <w:proofErr w:type="spellEnd"/>
    <w:r w:rsidRPr="00D23409">
      <w:rPr>
        <w:rStyle w:val="HideTWBExt"/>
      </w:rPr>
      <w:t>&gt;</w:t>
    </w:r>
    <w:r w:rsidRPr="00D23409">
      <w:tab/>
    </w:r>
    <w:r w:rsidRPr="00D23409">
      <w:tab/>
      <w:t>PE</w:t>
    </w:r>
    <w:r w:rsidRPr="00D23409">
      <w:rPr>
        <w:rStyle w:val="HideTWBExt"/>
      </w:rPr>
      <w:t>&lt;</w:t>
    </w:r>
    <w:proofErr w:type="spellStart"/>
    <w:r w:rsidRPr="00D23409">
      <w:rPr>
        <w:rStyle w:val="HideTWBExt"/>
      </w:rPr>
      <w:t>NoPE</w:t>
    </w:r>
    <w:proofErr w:type="spellEnd"/>
    <w:r w:rsidRPr="00D23409">
      <w:rPr>
        <w:rStyle w:val="HideTWBExt"/>
      </w:rPr>
      <w:t>&gt;</w:t>
    </w:r>
    <w:r w:rsidRPr="00D23409">
      <w:t>753.481</w:t>
    </w:r>
    <w:r w:rsidRPr="00D23409">
      <w:rPr>
        <w:rStyle w:val="HideTWBExt"/>
      </w:rPr>
      <w:t>&lt;/</w:t>
    </w:r>
    <w:proofErr w:type="spellStart"/>
    <w:r w:rsidRPr="00D23409">
      <w:rPr>
        <w:rStyle w:val="HideTWBExt"/>
      </w:rPr>
      <w:t>NoPE</w:t>
    </w:r>
    <w:proofErr w:type="spellEnd"/>
    <w:r w:rsidRPr="00D23409">
      <w:rPr>
        <w:rStyle w:val="HideTWBExt"/>
      </w:rPr>
      <w:t>&gt;&lt;Version&gt;</w:t>
    </w:r>
    <w:r w:rsidRPr="00D23409">
      <w:t>v02-00</w:t>
    </w:r>
    <w:r w:rsidRPr="00D23409">
      <w:rPr>
        <w:rStyle w:val="HideTWBExt"/>
      </w:rPr>
      <w:t>&lt;/</w:t>
    </w:r>
    <w:proofErr w:type="spellStart"/>
    <w:r w:rsidRPr="00D23409">
      <w:rPr>
        <w:rStyle w:val="HideTWBExt"/>
      </w:rPr>
      <w:t>Version</w:t>
    </w:r>
    <w:proofErr w:type="spellEnd"/>
    <w:r w:rsidRPr="00D23409">
      <w:rPr>
        <w:rStyle w:val="HideTWBExt"/>
      </w:rPr>
      <w:t>&gt;</w:t>
    </w:r>
  </w:p>
  <w:p w:rsidR="00D44BDD" w:rsidRPr="00D23409" w:rsidRDefault="00D44BDD" w:rsidP="00FC525C">
    <w:pPr>
      <w:pStyle w:val="EPFooter2"/>
    </w:pPr>
    <w:r w:rsidRPr="00D23409">
      <w:t>BG</w:t>
    </w:r>
    <w:r w:rsidRPr="00D23409">
      <w:tab/>
    </w:r>
    <w:r w:rsidRPr="00D23409">
      <w:rPr>
        <w:b w:val="0"/>
        <w:i/>
        <w:color w:val="C0C0C0"/>
        <w:sz w:val="22"/>
      </w:rPr>
      <w:t>Единство в многообразието</w:t>
    </w:r>
    <w:r w:rsidRPr="00D23409">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AAB" w:rsidRPr="00D23409" w:rsidRDefault="00620AAB">
      <w:r w:rsidRPr="00D23409">
        <w:separator/>
      </w:r>
    </w:p>
  </w:footnote>
  <w:footnote w:type="continuationSeparator" w:id="0">
    <w:p w:rsidR="00620AAB" w:rsidRPr="00D23409" w:rsidRDefault="00620AAB">
      <w:r w:rsidRPr="00D23409">
        <w:continuationSeparator/>
      </w:r>
    </w:p>
  </w:footnote>
  <w:footnote w:id="1">
    <w:p w:rsidR="00D44BDD" w:rsidRPr="00D23409" w:rsidRDefault="00D44BDD" w:rsidP="00D23409">
      <w:pPr>
        <w:pStyle w:val="FootnoteText"/>
        <w:ind w:left="567" w:hanging="567"/>
        <w:rPr>
          <w:sz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L 45, 24.2.2022 г.</w:t>
      </w:r>
    </w:p>
  </w:footnote>
  <w:footnote w:id="2">
    <w:p w:rsidR="00D44BDD" w:rsidRPr="00D23409" w:rsidRDefault="00D44BDD" w:rsidP="00D23409">
      <w:pPr>
        <w:pStyle w:val="FootnoteText"/>
        <w:ind w:left="567" w:hanging="567"/>
        <w:rPr>
          <w:sz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C, C/2023/2, 12.10.2023 г.</w:t>
      </w:r>
    </w:p>
  </w:footnote>
  <w:footnote w:id="3">
    <w:p w:rsidR="00D44BDD" w:rsidRPr="00D23409" w:rsidRDefault="00D44BDD" w:rsidP="00D23409">
      <w:pPr>
        <w:pStyle w:val="FootnoteText"/>
        <w:ind w:left="567" w:hanging="567"/>
        <w:rPr>
          <w:sz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C, C/2023/103, 4.10.2023 г.</w:t>
      </w:r>
    </w:p>
  </w:footnote>
  <w:footnote w:id="4">
    <w:p w:rsidR="00D44BDD" w:rsidRPr="00D23409" w:rsidRDefault="00D44BDD" w:rsidP="00D23409">
      <w:pPr>
        <w:pStyle w:val="FootnoteText"/>
        <w:ind w:left="567" w:hanging="567"/>
        <w:rPr>
          <w:sz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C, C/2023/112, 12.10.2023 г.</w:t>
      </w:r>
    </w:p>
  </w:footnote>
  <w:footnote w:id="5">
    <w:p w:rsidR="00D44BDD" w:rsidRPr="00D23409" w:rsidRDefault="00D44BDD" w:rsidP="00D23409">
      <w:pPr>
        <w:pStyle w:val="FootnoteText"/>
        <w:ind w:left="567" w:hanging="567"/>
        <w:rPr>
          <w:sz w:val="24"/>
          <w:szCs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L 193, 30.7.2018 г., стр. 1.</w:t>
      </w:r>
    </w:p>
  </w:footnote>
  <w:footnote w:id="6">
    <w:p w:rsidR="00D44BDD" w:rsidRPr="00D23409" w:rsidRDefault="00D44BDD" w:rsidP="00D23409">
      <w:pPr>
        <w:pStyle w:val="FootnoteText"/>
        <w:ind w:left="567" w:hanging="567"/>
        <w:rPr>
          <w:sz w:val="24"/>
          <w:lang w:val="bg-BG"/>
        </w:rPr>
      </w:pPr>
      <w:r w:rsidRPr="00D23409">
        <w:rPr>
          <w:rStyle w:val="FootnoteReference"/>
          <w:sz w:val="24"/>
          <w:lang w:val="bg-BG"/>
        </w:rPr>
        <w:footnoteRef/>
      </w:r>
      <w:r w:rsidR="00D23409" w:rsidRPr="00D23409">
        <w:rPr>
          <w:sz w:val="24"/>
          <w:lang w:val="bg-BG"/>
        </w:rPr>
        <w:t xml:space="preserve"> </w:t>
      </w:r>
      <w:r w:rsidR="00D23409" w:rsidRPr="00D23409">
        <w:rPr>
          <w:sz w:val="24"/>
          <w:lang w:val="bg-BG"/>
        </w:rPr>
        <w:tab/>
      </w:r>
      <w:r w:rsidRPr="00D23409">
        <w:rPr>
          <w:sz w:val="24"/>
          <w:lang w:val="bg-BG"/>
        </w:rPr>
        <w:t>ОВ L 207, 11.6.2021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DD" w:rsidRPr="00D23409" w:rsidRDefault="00D44B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4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BG"/>
    <w:docVar w:name="dvnumam" w:val="0"/>
    <w:docVar w:name="dvpe" w:val="753.481"/>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V ‒ Сметна палата(2023/2133(DEC))"/>
  </w:docVars>
  <w:rsids>
    <w:rsidRoot w:val="00620AAB"/>
    <w:rsid w:val="00002272"/>
    <w:rsid w:val="00064002"/>
    <w:rsid w:val="000677B9"/>
    <w:rsid w:val="000831BA"/>
    <w:rsid w:val="000A42CC"/>
    <w:rsid w:val="000E7DD9"/>
    <w:rsid w:val="0010095E"/>
    <w:rsid w:val="0011797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AAB"/>
    <w:rsid w:val="006631B6"/>
    <w:rsid w:val="00680577"/>
    <w:rsid w:val="006F74FA"/>
    <w:rsid w:val="00731ADD"/>
    <w:rsid w:val="00734777"/>
    <w:rsid w:val="00747932"/>
    <w:rsid w:val="00751A4A"/>
    <w:rsid w:val="00756632"/>
    <w:rsid w:val="00762C74"/>
    <w:rsid w:val="00786EC0"/>
    <w:rsid w:val="00794E9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409"/>
    <w:rsid w:val="00D44BDD"/>
    <w:rsid w:val="00D56C11"/>
    <w:rsid w:val="00D834A0"/>
    <w:rsid w:val="00D872DF"/>
    <w:rsid w:val="00D91E21"/>
    <w:rsid w:val="00DA7FCD"/>
    <w:rsid w:val="00E365E1"/>
    <w:rsid w:val="00E820A4"/>
    <w:rsid w:val="00EB006A"/>
    <w:rsid w:val="00EB4772"/>
    <w:rsid w:val="00ED169E"/>
    <w:rsid w:val="00ED4235"/>
    <w:rsid w:val="00EE4F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76B4E4-05CC-4203-BDAF-C15CB1AE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4B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4BDD"/>
    <w:pPr>
      <w:spacing w:before="480" w:after="240"/>
    </w:pPr>
  </w:style>
  <w:style w:type="paragraph" w:customStyle="1" w:styleId="PageHeading">
    <w:name w:val="PageHeading"/>
    <w:basedOn w:val="Normal"/>
    <w:rsid w:val="00D44BDD"/>
    <w:pPr>
      <w:keepNext/>
      <w:spacing w:after="480"/>
      <w:jc w:val="center"/>
    </w:pPr>
    <w:rPr>
      <w:rFonts w:ascii="Arial" w:hAnsi="Arial" w:cs="Arial"/>
      <w:b/>
    </w:rPr>
  </w:style>
  <w:style w:type="paragraph" w:customStyle="1" w:styleId="NormalBold">
    <w:name w:val="NormalBold"/>
    <w:basedOn w:val="Normal"/>
    <w:rsid w:val="00D44BDD"/>
    <w:rPr>
      <w:b/>
    </w:rPr>
  </w:style>
  <w:style w:type="paragraph" w:customStyle="1" w:styleId="NormalHanging12a">
    <w:name w:val="NormalHanging12a"/>
    <w:basedOn w:val="Normal"/>
    <w:link w:val="NormalHanging12aChar"/>
    <w:qFormat/>
    <w:rsid w:val="00D44BDD"/>
    <w:pPr>
      <w:spacing w:after="240"/>
      <w:ind w:left="567" w:hanging="567"/>
    </w:pPr>
  </w:style>
  <w:style w:type="paragraph" w:styleId="Header">
    <w:name w:val="header"/>
    <w:basedOn w:val="Normal"/>
    <w:link w:val="HeaderChar"/>
    <w:rsid w:val="00D44BDD"/>
    <w:pPr>
      <w:tabs>
        <w:tab w:val="center" w:pos="4513"/>
        <w:tab w:val="right" w:pos="9026"/>
      </w:tabs>
    </w:pPr>
  </w:style>
  <w:style w:type="character" w:customStyle="1" w:styleId="HeaderChar">
    <w:name w:val="Header Char"/>
    <w:basedOn w:val="DefaultParagraphFont"/>
    <w:link w:val="Header"/>
    <w:rsid w:val="00D44BDD"/>
    <w:rPr>
      <w:sz w:val="24"/>
      <w:lang w:val="bg-BG"/>
    </w:rPr>
  </w:style>
  <w:style w:type="paragraph" w:customStyle="1" w:styleId="EPFooter">
    <w:name w:val="EPFooter"/>
    <w:basedOn w:val="Normal"/>
    <w:rsid w:val="00D44BD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44BDD"/>
    <w:rPr>
      <w:sz w:val="24"/>
      <w:lang w:val="bg-BG"/>
    </w:rPr>
  </w:style>
  <w:style w:type="paragraph" w:styleId="BalloonText">
    <w:name w:val="Balloon Text"/>
    <w:basedOn w:val="Normal"/>
    <w:link w:val="BalloonTextChar"/>
    <w:rsid w:val="00EE4F74"/>
    <w:rPr>
      <w:rFonts w:ascii="Segoe UI" w:hAnsi="Segoe UI" w:cs="Segoe UI"/>
      <w:sz w:val="18"/>
      <w:szCs w:val="18"/>
    </w:rPr>
  </w:style>
  <w:style w:type="character" w:customStyle="1" w:styleId="BalloonTextChar">
    <w:name w:val="Balloon Text Char"/>
    <w:basedOn w:val="DefaultParagraphFont"/>
    <w:link w:val="BalloonText"/>
    <w:rsid w:val="00EE4F7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91873-3528-4BBC-9CDD-D09B89356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5594</Words>
  <Characters>32021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2024-04-11T14:02:00Z</dcterms:created>
  <dcterms:modified xsi:type="dcterms:W3CDTF">2024-04-11T14:02:00Z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A9-0074/2024</vt:lpwstr>
  </property>
  <property fmtid="{D5CDD505-2E9C-101B-9397-08002B2CF9AE}" pid="4" name="&lt;Type&gt;">
    <vt:lpwstr>RR</vt:lpwstr>
  </property>
</Properties>
</file>