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81385" w:rsidTr="0010095E">
        <w:trPr>
          <w:trHeight w:hRule="exact" w:val="1418"/>
        </w:trPr>
        <w:tc>
          <w:tcPr>
            <w:tcW w:w="6804" w:type="dxa"/>
            <w:shd w:val="clear" w:color="auto" w:fill="auto"/>
            <w:vAlign w:val="center"/>
          </w:tcPr>
          <w:p w:rsidR="00751A4A" w:rsidRPr="00181385" w:rsidRDefault="00EB07A4" w:rsidP="0010095E">
            <w:pPr>
              <w:pStyle w:val="EPName"/>
            </w:pPr>
            <w:r w:rsidRPr="00181385">
              <w:t>Evropský parlament</w:t>
            </w:r>
          </w:p>
          <w:p w:rsidR="00751A4A" w:rsidRPr="00181385" w:rsidRDefault="00817416" w:rsidP="00756632">
            <w:pPr>
              <w:pStyle w:val="EPTerm"/>
              <w:rPr>
                <w:rStyle w:val="HideTWBExt"/>
                <w:noProof w:val="0"/>
                <w:vanish w:val="0"/>
                <w:color w:val="auto"/>
              </w:rPr>
            </w:pPr>
            <w:r w:rsidRPr="00181385">
              <w:t>2019-2024</w:t>
            </w:r>
          </w:p>
        </w:tc>
        <w:tc>
          <w:tcPr>
            <w:tcW w:w="2268" w:type="dxa"/>
            <w:shd w:val="clear" w:color="auto" w:fill="auto"/>
          </w:tcPr>
          <w:p w:rsidR="00751A4A" w:rsidRPr="00181385" w:rsidRDefault="00187494" w:rsidP="0010095E">
            <w:pPr>
              <w:pStyle w:val="EPLogo"/>
            </w:pPr>
            <w:r w:rsidRPr="0018138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81385" w:rsidRDefault="00D058B8" w:rsidP="004C5D52">
      <w:pPr>
        <w:pStyle w:val="LineTop"/>
      </w:pPr>
    </w:p>
    <w:p w:rsidR="00680577" w:rsidRPr="00181385" w:rsidRDefault="00EB07A4" w:rsidP="00680577">
      <w:pPr>
        <w:pStyle w:val="EPBodyTA1"/>
      </w:pPr>
      <w:r w:rsidRPr="00181385">
        <w:t>PŘIJATÉ TEXTY</w:t>
      </w:r>
    </w:p>
    <w:p w:rsidR="00D058B8" w:rsidRPr="00181385" w:rsidRDefault="00D058B8" w:rsidP="00D058B8">
      <w:pPr>
        <w:pStyle w:val="LineBottom"/>
      </w:pPr>
    </w:p>
    <w:p w:rsidR="00EB07A4" w:rsidRPr="00181385" w:rsidRDefault="00EB07A4" w:rsidP="00EB07A4">
      <w:pPr>
        <w:pStyle w:val="ATHeading1"/>
      </w:pPr>
      <w:bookmarkStart w:id="0" w:name="TANumber"/>
      <w:r w:rsidRPr="00181385">
        <w:t>P9_TA(2024)0</w:t>
      </w:r>
      <w:r w:rsidR="00924D0B">
        <w:t>231</w:t>
      </w:r>
      <w:bookmarkEnd w:id="0"/>
    </w:p>
    <w:p w:rsidR="00EB07A4" w:rsidRPr="00181385" w:rsidRDefault="00EB07A4" w:rsidP="00EB07A4">
      <w:pPr>
        <w:pStyle w:val="ATHeading2"/>
      </w:pPr>
      <w:bookmarkStart w:id="1" w:name="title"/>
      <w:r w:rsidRPr="00181385">
        <w:t>Udělení absolutoria za rok 2022: souhrnný rozpočet EU – Účetní dvůr</w:t>
      </w:r>
      <w:bookmarkEnd w:id="1"/>
    </w:p>
    <w:p w:rsidR="00EB07A4" w:rsidRPr="00181385" w:rsidRDefault="00EB07A4" w:rsidP="00EB07A4">
      <w:pPr>
        <w:rPr>
          <w:i/>
          <w:vanish/>
        </w:rPr>
      </w:pPr>
      <w:r w:rsidRPr="00181385">
        <w:rPr>
          <w:i/>
        </w:rPr>
        <w:fldChar w:fldCharType="begin"/>
      </w:r>
      <w:r w:rsidRPr="00181385">
        <w:rPr>
          <w:i/>
        </w:rPr>
        <w:instrText xml:space="preserve"> TC"(</w:instrText>
      </w:r>
      <w:bookmarkStart w:id="2" w:name="DocNumber"/>
      <w:r w:rsidRPr="00181385">
        <w:rPr>
          <w:i/>
        </w:rPr>
        <w:instrText>A9-0074/2024</w:instrText>
      </w:r>
      <w:bookmarkEnd w:id="2"/>
      <w:r w:rsidRPr="00181385">
        <w:rPr>
          <w:i/>
        </w:rPr>
        <w:instrText xml:space="preserve"> - Zpravodaj: Luke Ming </w:instrText>
      </w:r>
      <w:proofErr w:type="spellStart"/>
      <w:r w:rsidRPr="00181385">
        <w:rPr>
          <w:i/>
        </w:rPr>
        <w:instrText>Flanagan</w:instrText>
      </w:r>
      <w:proofErr w:type="spellEnd"/>
      <w:r w:rsidRPr="00181385">
        <w:rPr>
          <w:i/>
        </w:rPr>
        <w:instrText xml:space="preserve">)"\l3 \n&gt; \* MERGEFORMAT </w:instrText>
      </w:r>
      <w:r w:rsidRPr="00181385">
        <w:rPr>
          <w:i/>
        </w:rPr>
        <w:fldChar w:fldCharType="end"/>
      </w:r>
    </w:p>
    <w:p w:rsidR="00EB07A4" w:rsidRPr="00181385" w:rsidRDefault="00EB07A4" w:rsidP="00EB07A4">
      <w:pPr>
        <w:rPr>
          <w:vanish/>
        </w:rPr>
      </w:pPr>
      <w:bookmarkStart w:id="3" w:name="Commission"/>
      <w:r w:rsidRPr="00181385">
        <w:rPr>
          <w:vanish/>
        </w:rPr>
        <w:t>Výbor pro rozpočtovou kontrolu</w:t>
      </w:r>
      <w:bookmarkEnd w:id="3"/>
    </w:p>
    <w:p w:rsidR="00EB07A4" w:rsidRPr="00181385" w:rsidRDefault="00EB07A4" w:rsidP="00EB07A4">
      <w:pPr>
        <w:rPr>
          <w:vanish/>
        </w:rPr>
      </w:pPr>
      <w:bookmarkStart w:id="4" w:name="PE"/>
      <w:r w:rsidRPr="00181385">
        <w:rPr>
          <w:vanish/>
        </w:rPr>
        <w:t>PE753.481</w:t>
      </w:r>
      <w:bookmarkEnd w:id="4"/>
    </w:p>
    <w:p w:rsidR="00EB07A4" w:rsidRPr="00181385" w:rsidRDefault="00EB07A4" w:rsidP="00EB07A4">
      <w:pPr>
        <w:pStyle w:val="ATHeading3"/>
      </w:pPr>
      <w:bookmarkStart w:id="5" w:name="Sujet"/>
      <w:r w:rsidRPr="00181385">
        <w:t xml:space="preserve">1. Rozhodnutí </w:t>
      </w:r>
      <w:r w:rsidR="006D33F1">
        <w:t>Evrop</w:t>
      </w:r>
      <w:bookmarkStart w:id="6" w:name="_GoBack"/>
      <w:bookmarkEnd w:id="6"/>
      <w:r w:rsidR="006D33F1">
        <w:t>ského parlam</w:t>
      </w:r>
      <w:r w:rsidR="00B90EF7">
        <w:t>entu ze dne 11</w:t>
      </w:r>
      <w:r w:rsidR="006D33F1">
        <w:t>. dubna</w:t>
      </w:r>
      <w:r w:rsidRPr="00181385">
        <w:t xml:space="preserve"> 2024 o udělení absolutoria za plnění souhrnného rozpočtu Evropské unie na rozpočtový rok 2022, oddíl V – Účetní dvůr</w:t>
      </w:r>
      <w:bookmarkEnd w:id="5"/>
      <w:r w:rsidRPr="00181385">
        <w:t xml:space="preserve"> </w:t>
      </w:r>
      <w:bookmarkStart w:id="7" w:name="References"/>
      <w:r w:rsidRPr="00181385">
        <w:t>(2023/2133(DEC))</w:t>
      </w:r>
      <w:bookmarkEnd w:id="7"/>
    </w:p>
    <w:p w:rsidR="004A4719" w:rsidRPr="00181385" w:rsidRDefault="004A4719" w:rsidP="004A4719">
      <w:pPr>
        <w:pStyle w:val="EPComma"/>
      </w:pPr>
      <w:bookmarkStart w:id="8" w:name="TextBodyBegin"/>
      <w:bookmarkEnd w:id="8"/>
      <w:r w:rsidRPr="00181385">
        <w:rPr>
          <w:i/>
        </w:rPr>
        <w:t>Evropský parlament</w:t>
      </w:r>
      <w:r w:rsidRPr="00181385">
        <w:t>,</w:t>
      </w:r>
    </w:p>
    <w:p w:rsidR="004A4719" w:rsidRPr="00181385" w:rsidRDefault="004A4719" w:rsidP="004A4719">
      <w:pPr>
        <w:pStyle w:val="NormalHanging12a"/>
      </w:pPr>
      <w:r w:rsidRPr="00181385">
        <w:t>–</w:t>
      </w:r>
      <w:r w:rsidRPr="00181385">
        <w:tab/>
        <w:t>s ohledem na souhrnný rozpočet Evropské unie na rozpočtový rok 2022</w:t>
      </w:r>
      <w:r w:rsidRPr="00181385">
        <w:rPr>
          <w:rStyle w:val="FootnoteReference"/>
        </w:rPr>
        <w:footnoteReference w:id="1"/>
      </w:r>
      <w:r w:rsidRPr="00181385">
        <w:t>,</w:t>
      </w:r>
    </w:p>
    <w:p w:rsidR="004A4719" w:rsidRPr="00181385" w:rsidRDefault="004A4719" w:rsidP="004A4719">
      <w:pPr>
        <w:pStyle w:val="NormalHanging12a"/>
      </w:pPr>
      <w:r w:rsidRPr="00181385">
        <w:t>–</w:t>
      </w:r>
      <w:r w:rsidRPr="00181385">
        <w:tab/>
        <w:t>s ohledem na konsolidovanou účetní závěrku Evropské unie za rozpočtový rok 2022 (</w:t>
      </w:r>
      <w:proofErr w:type="gramStart"/>
      <w:r w:rsidRPr="00181385">
        <w:t>COM(2023</w:t>
      </w:r>
      <w:proofErr w:type="gramEnd"/>
      <w:r w:rsidRPr="00181385">
        <w:t>)0391 – C9</w:t>
      </w:r>
      <w:r w:rsidRPr="00181385">
        <w:noBreakHyphen/>
        <w:t>0252/2023)</w:t>
      </w:r>
      <w:r w:rsidRPr="00181385">
        <w:rPr>
          <w:rStyle w:val="FootnoteReference"/>
        </w:rPr>
        <w:footnoteReference w:id="2"/>
      </w:r>
      <w:r w:rsidRPr="00181385">
        <w:t>,</w:t>
      </w:r>
    </w:p>
    <w:p w:rsidR="004A4719" w:rsidRPr="00181385" w:rsidRDefault="004A4719" w:rsidP="004A4719">
      <w:pPr>
        <w:pStyle w:val="NormalHanging12a"/>
      </w:pPr>
      <w:r w:rsidRPr="00181385">
        <w:t>–</w:t>
      </w:r>
      <w:r w:rsidRPr="00181385">
        <w:tab/>
        <w:t>s ohledem na výroční zprávu Účetního dvora orgánu příslušnému pro udělení absolutoria o provedených interních auditech v roce 2022,</w:t>
      </w:r>
    </w:p>
    <w:p w:rsidR="004A4719" w:rsidRPr="00181385" w:rsidRDefault="004A4719" w:rsidP="004A4719">
      <w:pPr>
        <w:pStyle w:val="NormalHanging12a"/>
      </w:pPr>
      <w:r w:rsidRPr="00181385">
        <w:t>–</w:t>
      </w:r>
      <w:r w:rsidRPr="00181385">
        <w:tab/>
        <w:t>s ohledem na výroční zprávu Účetního dvora o plnění rozpočtu na rozpočtový rok 2022 spolu s odpověďmi orgánů</w:t>
      </w:r>
      <w:r w:rsidRPr="00181385">
        <w:rPr>
          <w:rStyle w:val="FootnoteReference"/>
        </w:rPr>
        <w:footnoteReference w:id="3"/>
      </w:r>
      <w:r w:rsidRPr="00181385">
        <w:t>,</w:t>
      </w:r>
    </w:p>
    <w:p w:rsidR="004A4719" w:rsidRPr="00181385" w:rsidRDefault="004A4719" w:rsidP="004A4719">
      <w:pPr>
        <w:pStyle w:val="NormalHanging12a"/>
      </w:pPr>
      <w:r w:rsidRPr="00181385">
        <w:t>–</w:t>
      </w:r>
      <w:r w:rsidRPr="00181385">
        <w:tab/>
        <w:t>s ohledem na prohlášení o věrohodnosti</w:t>
      </w:r>
      <w:r w:rsidRPr="00181385">
        <w:rPr>
          <w:rStyle w:val="FootnoteReference"/>
        </w:rPr>
        <w:footnoteReference w:id="4"/>
      </w:r>
      <w:r w:rsidRPr="00181385">
        <w:t xml:space="preserve"> účetnictví a o legalitě a správnosti uskutečněných operací, které předložil Účetní dvůr za rozpočtový rok 2022 podle článku 287 Smlouvy o fungování Evropské unie,</w:t>
      </w:r>
    </w:p>
    <w:p w:rsidR="004A4719" w:rsidRPr="00181385" w:rsidRDefault="004A4719" w:rsidP="004A4719">
      <w:pPr>
        <w:pStyle w:val="NormalHanging12a"/>
      </w:pPr>
      <w:r w:rsidRPr="00181385">
        <w:t>–</w:t>
      </w:r>
      <w:r w:rsidRPr="00181385">
        <w:tab/>
        <w:t>s ohledem na čl. 314 odst. 10 a články 317, 318 a 319 Smlouvy o fungování Evropské unie,</w:t>
      </w:r>
    </w:p>
    <w:p w:rsidR="004A4719" w:rsidRPr="00181385" w:rsidRDefault="004A4719" w:rsidP="004A4719">
      <w:pPr>
        <w:pStyle w:val="NormalHanging12a"/>
      </w:pPr>
      <w:r w:rsidRPr="00181385">
        <w:t>–</w:t>
      </w:r>
      <w:r w:rsidRPr="00181385">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a (EU) č. 283/2014 a rozhodnutí č. 541/2014/EU a zrušuje nařízení (EU, Euratom) č. 966/2012</w:t>
      </w:r>
      <w:r w:rsidRPr="00181385">
        <w:rPr>
          <w:rStyle w:val="FootnoteReference"/>
        </w:rPr>
        <w:footnoteReference w:id="5"/>
      </w:r>
      <w:r w:rsidRPr="00181385">
        <w:t xml:space="preserve">, a </w:t>
      </w:r>
      <w:r w:rsidRPr="00181385">
        <w:lastRenderedPageBreak/>
        <w:t>zejména na články 59, 118, 260, 261 a 262 tohoto nařízení,</w:t>
      </w:r>
    </w:p>
    <w:p w:rsidR="004A4719" w:rsidRPr="00181385" w:rsidRDefault="004A4719" w:rsidP="004A4719">
      <w:pPr>
        <w:pStyle w:val="NormalHanging12a"/>
      </w:pPr>
      <w:r w:rsidRPr="00181385">
        <w:t>–</w:t>
      </w:r>
      <w:r w:rsidRPr="00181385">
        <w:tab/>
        <w:t>s ohledem na článek 100 a přílohu V jednacího řádu,</w:t>
      </w:r>
    </w:p>
    <w:p w:rsidR="004A4719" w:rsidRPr="00181385" w:rsidRDefault="004A4719" w:rsidP="004A4719">
      <w:pPr>
        <w:pStyle w:val="NormalHanging12a"/>
      </w:pPr>
      <w:r w:rsidRPr="00181385">
        <w:t>–</w:t>
      </w:r>
      <w:r w:rsidRPr="00181385">
        <w:tab/>
        <w:t>s ohledem na zprávu Výboru pro rozpočtovou kontrolu (A9</w:t>
      </w:r>
      <w:r w:rsidRPr="00181385">
        <w:noBreakHyphen/>
        <w:t>0074/2024),</w:t>
      </w:r>
    </w:p>
    <w:p w:rsidR="004A4719" w:rsidRPr="00181385" w:rsidRDefault="004A4719" w:rsidP="004A4719">
      <w:pPr>
        <w:pStyle w:val="NormalHanging12a"/>
      </w:pPr>
      <w:r w:rsidRPr="00181385">
        <w:t>1.</w:t>
      </w:r>
      <w:r w:rsidRPr="00181385">
        <w:tab/>
        <w:t>uděluje generálnímu tajemníkovi Účetního dvora absolutorium za plnění rozpočtu Účetního dvora na rozpočtový rok 2022;</w:t>
      </w:r>
    </w:p>
    <w:p w:rsidR="004A4719" w:rsidRPr="00181385" w:rsidRDefault="004A4719" w:rsidP="004A4719">
      <w:pPr>
        <w:pStyle w:val="NormalHanging12a"/>
      </w:pPr>
      <w:r w:rsidRPr="00181385">
        <w:t>2.</w:t>
      </w:r>
      <w:r w:rsidRPr="00181385">
        <w:tab/>
        <w:t>předkládá své připomínky v dále uvedeném usnesení;</w:t>
      </w:r>
    </w:p>
    <w:p w:rsidR="004A4719" w:rsidRPr="00181385" w:rsidRDefault="004A4719" w:rsidP="004A4719">
      <w:pPr>
        <w:pStyle w:val="NormalHanging12a"/>
      </w:pPr>
      <w:r w:rsidRPr="00181385">
        <w:t>3.</w:t>
      </w:r>
      <w:r w:rsidRPr="00181385">
        <w:tab/>
        <w:t>pověřuje svou předsedkyni, aby předala toto rozhodnutí a usnesení, které je jeho nedílnou součástí, Radě, Komisi a Účetnímu dvoru, a aby zajistila jeho zveřejnění v </w:t>
      </w:r>
      <w:r w:rsidRPr="00181385">
        <w:rPr>
          <w:i/>
        </w:rPr>
        <w:t>Úředním věstníku Evropské unie</w:t>
      </w:r>
      <w:r w:rsidRPr="00181385">
        <w:t xml:space="preserve"> (řada L).</w:t>
      </w:r>
    </w:p>
    <w:p w:rsidR="004A4719" w:rsidRPr="00181385" w:rsidRDefault="004A4719" w:rsidP="004A4719"/>
    <w:p w:rsidR="004A4719" w:rsidRPr="00181385" w:rsidRDefault="004A4719" w:rsidP="004A4719">
      <w:pPr>
        <w:pStyle w:val="PageHeading"/>
        <w:sectPr w:rsidR="004A4719" w:rsidRPr="00181385" w:rsidSect="00181385">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4A4719" w:rsidRPr="006D33F1" w:rsidRDefault="004A4719" w:rsidP="006D33F1">
      <w:pPr>
        <w:pStyle w:val="PageHeading"/>
        <w:jc w:val="left"/>
        <w:rPr>
          <w:rFonts w:ascii="Times New Roman" w:hAnsi="Times New Roman" w:cs="Times New Roman"/>
        </w:rPr>
      </w:pPr>
      <w:bookmarkStart w:id="9" w:name="_Toc161762217"/>
      <w:r w:rsidRPr="006D33F1">
        <w:rPr>
          <w:rFonts w:ascii="Times New Roman" w:hAnsi="Times New Roman" w:cs="Times New Roman"/>
        </w:rPr>
        <w:lastRenderedPageBreak/>
        <w:t xml:space="preserve">2. </w:t>
      </w:r>
      <w:r w:rsidR="006D33F1">
        <w:rPr>
          <w:rFonts w:ascii="Times New Roman" w:hAnsi="Times New Roman" w:cs="Times New Roman"/>
        </w:rPr>
        <w:t>Usnesení E</w:t>
      </w:r>
      <w:r w:rsidR="006D33F1" w:rsidRPr="006D33F1">
        <w:rPr>
          <w:rFonts w:ascii="Times New Roman" w:hAnsi="Times New Roman" w:cs="Times New Roman"/>
        </w:rPr>
        <w:t>vropského parlamentu</w:t>
      </w:r>
      <w:bookmarkEnd w:id="9"/>
      <w:r w:rsidR="006D33F1" w:rsidRPr="006D33F1">
        <w:rPr>
          <w:rFonts w:ascii="Times New Roman" w:hAnsi="Times New Roman" w:cs="Times New Roman"/>
        </w:rPr>
        <w:t xml:space="preserve"> </w:t>
      </w:r>
      <w:r w:rsidR="00B90EF7">
        <w:rPr>
          <w:rFonts w:ascii="Times New Roman" w:hAnsi="Times New Roman" w:cs="Times New Roman"/>
        </w:rPr>
        <w:t>ze dne 11</w:t>
      </w:r>
      <w:r w:rsidR="006D33F1">
        <w:rPr>
          <w:rFonts w:ascii="Times New Roman" w:hAnsi="Times New Roman" w:cs="Times New Roman"/>
        </w:rPr>
        <w:t>. dubna 2024 obsahující</w:t>
      </w:r>
      <w:r w:rsidRPr="006D33F1">
        <w:rPr>
          <w:rFonts w:ascii="Times New Roman" w:hAnsi="Times New Roman" w:cs="Times New Roman"/>
        </w:rPr>
        <w:t xml:space="preserve"> připomínky, které jsou nedílnou součástí rozhodnutí o plnění souhrnného rozpočtu Evropské unie na rozpočtový rok 2022, oddíl V – Účetní dvůr</w:t>
      </w:r>
      <w:r w:rsidR="006D33F1" w:rsidRPr="006D33F1">
        <w:rPr>
          <w:rFonts w:ascii="Times New Roman" w:hAnsi="Times New Roman" w:cs="Times New Roman"/>
        </w:rPr>
        <w:t xml:space="preserve"> </w:t>
      </w:r>
      <w:r w:rsidRPr="006D33F1">
        <w:rPr>
          <w:rFonts w:ascii="Times New Roman" w:hAnsi="Times New Roman" w:cs="Times New Roman"/>
        </w:rPr>
        <w:t>(2023/2133(DEC))</w:t>
      </w:r>
    </w:p>
    <w:p w:rsidR="004A4719" w:rsidRPr="00181385" w:rsidRDefault="004A4719" w:rsidP="004A4719">
      <w:pPr>
        <w:pStyle w:val="EPComma"/>
      </w:pPr>
      <w:r w:rsidRPr="00181385">
        <w:rPr>
          <w:i/>
        </w:rPr>
        <w:t>Evropský parlament</w:t>
      </w:r>
      <w:r w:rsidRPr="00181385">
        <w:t>,</w:t>
      </w:r>
    </w:p>
    <w:p w:rsidR="004A4719" w:rsidRPr="00181385" w:rsidRDefault="004A4719" w:rsidP="004A4719">
      <w:pPr>
        <w:pStyle w:val="NormalHanging12a"/>
      </w:pPr>
      <w:r w:rsidRPr="00181385">
        <w:t>–</w:t>
      </w:r>
      <w:r w:rsidRPr="00181385">
        <w:tab/>
        <w:t>s ohledem na své rozhodnutí o udělení absolutoria za plnění souhrnného rozpočtu Evropské unie na rozpočtový rok 2022, oddíl V – Účetní dvůr,</w:t>
      </w:r>
    </w:p>
    <w:p w:rsidR="004A4719" w:rsidRPr="00181385" w:rsidRDefault="004A4719" w:rsidP="004A4719">
      <w:pPr>
        <w:pStyle w:val="NormalHanging12a"/>
      </w:pPr>
      <w:r w:rsidRPr="00181385">
        <w:t>–</w:t>
      </w:r>
      <w:r w:rsidRPr="00181385">
        <w:tab/>
        <w:t>s ohledem na článek 100 a přílohu V jednacího řádu,</w:t>
      </w:r>
    </w:p>
    <w:p w:rsidR="004A4719" w:rsidRPr="00181385" w:rsidRDefault="004A4719" w:rsidP="004A4719">
      <w:pPr>
        <w:pStyle w:val="NormalHanging12a"/>
      </w:pPr>
      <w:r w:rsidRPr="00181385">
        <w:t>–</w:t>
      </w:r>
      <w:r w:rsidRPr="00181385">
        <w:tab/>
        <w:t>s ohledem na zprávu Výboru pro rozpočtovou kontrolu (A9</w:t>
      </w:r>
      <w:r w:rsidRPr="00181385">
        <w:noBreakHyphen/>
        <w:t>0074/2024),</w:t>
      </w:r>
    </w:p>
    <w:p w:rsidR="004A4719" w:rsidRPr="00181385" w:rsidRDefault="004A4719" w:rsidP="004A4719">
      <w:pPr>
        <w:pStyle w:val="NormalHanging12a"/>
        <w:rPr>
          <w:szCs w:val="24"/>
        </w:rPr>
      </w:pPr>
      <w:r w:rsidRPr="00181385">
        <w:t>A.</w:t>
      </w:r>
      <w:r w:rsidRPr="00181385">
        <w:tab/>
        <w:t>vzhledem k tomu, že v souvislosti s postupem udělování absolutoria chce orgán příslušný k udělení absolutoria zdůraznit zvláštní význam dalšího posilování demokratické legitimity orgánů Unie zlepšením transparentnosti a odpovědnosti a prováděním koncepce sestavování rozpočtu podle výkonnosti a řádné správy lidských zdrojů;</w:t>
      </w:r>
    </w:p>
    <w:p w:rsidR="004A4719" w:rsidRPr="00181385" w:rsidRDefault="004A4719" w:rsidP="004A4719">
      <w:pPr>
        <w:pStyle w:val="NormalHanging12a"/>
        <w:rPr>
          <w:szCs w:val="24"/>
        </w:rPr>
      </w:pPr>
      <w:r w:rsidRPr="00181385">
        <w:t>B.</w:t>
      </w:r>
      <w:r w:rsidRPr="00181385">
        <w:tab/>
        <w:t>vzhledem k tomu, že Evropský účetní dvůr (dále jen „Účetní dvůr“) je externím auditorem Unie pověřeným tím, aby pomocí nezávislé a profesionální auditní práce s významným dopadem hodnotil hospodárnost, účinnost, efektivnost, legalitu a správnost opatření Unie s cílem zlepšit odpovědnost, transparentnost a finanční řízení, a tím posílit důvěru občanů a účinně reagovat na současné a budoucí výzvy, kterým Unie čelí;</w:t>
      </w:r>
    </w:p>
    <w:p w:rsidR="004A4719" w:rsidRPr="00181385" w:rsidRDefault="004A4719" w:rsidP="004A4719">
      <w:pPr>
        <w:pStyle w:val="NormalHanging12a"/>
        <w:rPr>
          <w:szCs w:val="24"/>
        </w:rPr>
      </w:pPr>
      <w:r w:rsidRPr="00181385">
        <w:t>C.</w:t>
      </w:r>
      <w:r w:rsidRPr="00181385">
        <w:tab/>
        <w:t>vzhledem k tomu, že aniž jsou dotčena ustanovení článků 287 a 319 Smlouvy o fungování Evropské unie (</w:t>
      </w:r>
      <w:r w:rsidR="00466870">
        <w:t>dále jen „</w:t>
      </w:r>
      <w:r w:rsidRPr="00181385">
        <w:t>S</w:t>
      </w:r>
      <w:r w:rsidR="00466870">
        <w:t xml:space="preserve">mlouva o fungování </w:t>
      </w:r>
      <w:r w:rsidRPr="00181385">
        <w:t>EU</w:t>
      </w:r>
      <w:r w:rsidR="00466870">
        <w:t>“</w:t>
      </w:r>
      <w:r w:rsidRPr="00181385">
        <w:t>), nechává Účetní dvůr od konce rozpočtového roku 1987 každoročně provádět audit svých příjmů a výdajů nezávislým externím auditorem a od zprávy za rozpočtový rok 1992 jsou zprávy externího auditora zveřejňovány v </w:t>
      </w:r>
      <w:r w:rsidRPr="00181385">
        <w:rPr>
          <w:i/>
        </w:rPr>
        <w:t>Úředním věstníku Evropské unie</w:t>
      </w:r>
      <w:r w:rsidRPr="00181385">
        <w:t>;</w:t>
      </w:r>
    </w:p>
    <w:p w:rsidR="004A4719" w:rsidRPr="00181385" w:rsidRDefault="004A4719" w:rsidP="004A4719">
      <w:pPr>
        <w:pStyle w:val="NormalHanging12a"/>
        <w:rPr>
          <w:szCs w:val="24"/>
        </w:rPr>
      </w:pPr>
      <w:r w:rsidRPr="00181385">
        <w:t>D.</w:t>
      </w:r>
      <w:r w:rsidRPr="00181385">
        <w:tab/>
        <w:t>vzhledem k tomu, že odpovědnost za řízení vůči rozpočtovým orgánům je zajištěna prostřednictvím výroční zprávy o činnosti generálního tajemníka Účetního dvora, jejímž účelem je v souladu s čl. 74 odst. 9 finančního nařízení poskytovat informace o řízení zdrojů včetně systémů a o efektivnosti a účinnosti systémů vnitřní kontroly Účetního dvora;</w:t>
      </w:r>
    </w:p>
    <w:p w:rsidR="004A4719" w:rsidRPr="00181385" w:rsidRDefault="004A4719" w:rsidP="004A4719">
      <w:pPr>
        <w:pStyle w:val="NormalHanging12a"/>
        <w:rPr>
          <w:szCs w:val="24"/>
        </w:rPr>
      </w:pPr>
      <w:r w:rsidRPr="00181385">
        <w:t>E.</w:t>
      </w:r>
      <w:r w:rsidRPr="00181385">
        <w:tab/>
        <w:t>vzhledem k tomu, že Účetní dvůr tím, že vykonává svou činnost transparentním a nezávislým způsobem, přispívá k demokratickému dohledu, veřejné debatě a řádnému finančnímu řízení Unie;</w:t>
      </w:r>
    </w:p>
    <w:p w:rsidR="004A4719" w:rsidRPr="00181385" w:rsidRDefault="004A4719" w:rsidP="004A4719">
      <w:pPr>
        <w:pStyle w:val="NormalHanging12a"/>
        <w:rPr>
          <w:szCs w:val="24"/>
        </w:rPr>
      </w:pPr>
      <w:r w:rsidRPr="00181385">
        <w:t>F.</w:t>
      </w:r>
      <w:r w:rsidRPr="00181385">
        <w:tab/>
        <w:t>vzhledem k tomu, že Účetní dvůr zaujal postoj, podle něhož by nejlepším řešením pro posouzení správy Unie, její odpovědnosti a transparentnosti a kvality a spolehlivosti vykázaných informací a údajů o provádění politik Unie bylo pověřit Účetní dvůr auditem všech orgánů, institucí a jiných subjektů Unie zřízených Smlouvami nebo podle Smluv a všech mezivládních struktur, jež mají klíčový význam pro fungování Unie; vzhledem k tomu, že Parlament Účetní dvůr v tomto ohledu silně podporuje a uvítal by jakoukoliv iniciativu, která by Účetnímu dvoru svěřila rozsáhlejší pravomoci;</w:t>
      </w:r>
    </w:p>
    <w:p w:rsidR="004A4719" w:rsidRPr="00181385" w:rsidRDefault="004A4719" w:rsidP="004A4719">
      <w:pPr>
        <w:pStyle w:val="NormalHanging12a"/>
        <w:rPr>
          <w:szCs w:val="24"/>
        </w:rPr>
      </w:pPr>
      <w:r w:rsidRPr="00181385">
        <w:t>1.</w:t>
      </w:r>
      <w:r w:rsidRPr="00181385">
        <w:tab/>
        <w:t>konstatuje, že rozpočet Účetního dvora spadá do okruhu 7 VFR „Evropská veřejná správa“, který v roce 2022 činil 11,6 miliardy EUR (což představuje 5,9 % celkového rozpočtu Unie); konstatuje, že v roce 2022 představoval rozpočet Účetního dvora ve výši přibližně 0,2 miliardy EUR 1,4 % celkových správních výdajů;</w:t>
      </w:r>
    </w:p>
    <w:p w:rsidR="004A4719" w:rsidRPr="00181385" w:rsidRDefault="004A4719" w:rsidP="004A4719">
      <w:pPr>
        <w:pStyle w:val="NormalHanging12a"/>
        <w:rPr>
          <w:szCs w:val="24"/>
        </w:rPr>
      </w:pPr>
      <w:r w:rsidRPr="00181385">
        <w:t>2.</w:t>
      </w:r>
      <w:r w:rsidRPr="00181385">
        <w:tab/>
        <w:t>konstatuje, že Účetní dvůr ve své výroční zprávě za rozpočtový rok 2022 zkoumal vzorek 60 transakcí v oddílu Správa, což je stejný počet jako v roce 2021; dále uvádí, že Účetní dvůr píše, že správní výdaje zahrnují výdaje na lidské zdroje, včetně výdajů na důchody, které v roce 2022 představovaly přibližně 70 % celkových správních výdajů, a výdaje na budovy, vybavení, energie a komunikační a informační technologie a že z jeho dlouholeté práce vyplývá, že tyto výdaje celkově vykazují nízké riziko;</w:t>
      </w:r>
    </w:p>
    <w:p w:rsidR="004A4719" w:rsidRPr="00E1562A" w:rsidRDefault="004A4719" w:rsidP="004A4719">
      <w:pPr>
        <w:pStyle w:val="NormalHanging12a"/>
        <w:rPr>
          <w:szCs w:val="24"/>
        </w:rPr>
      </w:pPr>
      <w:r w:rsidRPr="00181385">
        <w:t>3.</w:t>
      </w:r>
      <w:r w:rsidRPr="00181385">
        <w:tab/>
      </w:r>
      <w:r w:rsidR="00924D0B" w:rsidRPr="00E1562A">
        <w:t xml:space="preserve">vyzývá Účetní dvůr, aby </w:t>
      </w:r>
      <w:proofErr w:type="gramStart"/>
      <w:r w:rsidR="00924D0B" w:rsidRPr="00E1562A">
        <w:t>zvýšil</w:t>
      </w:r>
      <w:proofErr w:type="gramEnd"/>
      <w:r w:rsidR="00924D0B" w:rsidRPr="00E1562A">
        <w:t xml:space="preserve"> počet transakcí v oddílu Správa, které mají být prověřeny u všech kontrolovaných orgánů, aby Parlament mohl lépe plnit svou úlohu orgánu udělujícího absolutorium ostatním orgánům; </w:t>
      </w:r>
      <w:r w:rsidR="00924D0B" w:rsidRPr="00AB2DB7">
        <w:t>vyjadřuje politování nad tím</w:t>
      </w:r>
      <w:r w:rsidR="00924D0B" w:rsidRPr="00E1562A">
        <w:t xml:space="preserve">, že </w:t>
      </w:r>
      <w:r w:rsidR="00924D0B" w:rsidRPr="00AB2DB7">
        <w:t>byl revidován plán ohledně vypracování zvláštní zprávy o správních výdajích</w:t>
      </w:r>
      <w:r w:rsidR="00924D0B" w:rsidRPr="00E1562A">
        <w:t xml:space="preserve"> jiných orgánů než Komise</w:t>
      </w:r>
      <w:r w:rsidR="00924D0B" w:rsidRPr="00AB2DB7">
        <w:t xml:space="preserve"> s tím, že bude proveden audit veřejné služby EU, který se však bude pravděpodobně zabývat pouze omezenou částí správních výdajů;</w:t>
      </w:r>
      <w:r w:rsidR="00924D0B" w:rsidRPr="00E1562A">
        <w:t xml:space="preserve"> </w:t>
      </w:r>
      <w:r w:rsidR="00924D0B" w:rsidRPr="00AB2DB7">
        <w:t>opakuje, že správní výdaje je důležité důkladněji prošetřit, a opakuje svou výzvu, aby do této činnosti byly zahrnuty komplexní údaje o všech orgánech a institucích s cílem poskytnout soudržný základ pro jednotný postup udělování absolutoria;</w:t>
      </w:r>
    </w:p>
    <w:p w:rsidR="004A4719" w:rsidRPr="00181385" w:rsidRDefault="004A4719" w:rsidP="004A4719">
      <w:pPr>
        <w:pStyle w:val="NormalHanging12a"/>
        <w:rPr>
          <w:szCs w:val="24"/>
        </w:rPr>
      </w:pPr>
      <w:r w:rsidRPr="00181385">
        <w:t>4.</w:t>
      </w:r>
      <w:r w:rsidRPr="00181385">
        <w:tab/>
        <w:t>bere na vědomí, že roční účetní závěrku Účetního dvora kontroluje nezávislý externí auditor, aby bylo zajištěno dodržování stejných zásad transparentnosti, odpovědnosti a nezávislosti auditora Účetního dvora, jaké Účetní dvůr uplatňuje na jím kontrolované subjekty; s uspokojením konstatuje, že externí auditor na základě svého auditu Účetního dvora neuvedl žádný konkrétní problém;</w:t>
      </w:r>
    </w:p>
    <w:p w:rsidR="004A4719" w:rsidRPr="00AB2DB7" w:rsidRDefault="004A4719" w:rsidP="004A4719">
      <w:pPr>
        <w:pStyle w:val="NormalHanging12a"/>
        <w:rPr>
          <w:b/>
          <w:i/>
          <w:szCs w:val="24"/>
        </w:rPr>
      </w:pPr>
      <w:r w:rsidRPr="00AB2DB7">
        <w:rPr>
          <w:b/>
          <w:i/>
        </w:rPr>
        <w:t>Rozpočtové a finanční řízení</w:t>
      </w:r>
    </w:p>
    <w:p w:rsidR="004A4719" w:rsidRPr="00181385" w:rsidRDefault="004A4719" w:rsidP="004A4719">
      <w:pPr>
        <w:pStyle w:val="NormalHanging12a"/>
        <w:rPr>
          <w:szCs w:val="24"/>
        </w:rPr>
      </w:pPr>
      <w:r w:rsidRPr="00181385">
        <w:t>5.</w:t>
      </w:r>
      <w:r w:rsidRPr="00181385">
        <w:tab/>
        <w:t xml:space="preserve">konstatuje, že celkový rozpočet Účetního dvora na rok 2022 činil 162 141 175 EUR, což odpovídá nárůstu o 5,5 % oproti </w:t>
      </w:r>
      <w:proofErr w:type="gramStart"/>
      <w:r w:rsidRPr="00181385">
        <w:t>153 721 727</w:t>
      </w:r>
      <w:proofErr w:type="gramEnd"/>
      <w:r w:rsidRPr="00181385">
        <w:t xml:space="preserve"> EUR v roce 2021; konstatuje, že nárůst byl způsoben především úpravami platů a dvaceti novými dočasnými pracovními místy v souvislosti s nástrojem </w:t>
      </w:r>
      <w:proofErr w:type="spellStart"/>
      <w:r w:rsidRPr="00181385">
        <w:t>NextGenerationEU</w:t>
      </w:r>
      <w:proofErr w:type="spellEnd"/>
      <w:r w:rsidRPr="00181385">
        <w:t>; konstatuje, že v roce 2022 bylo 90 % prostředků určeno pro jeho členy a zaměstnance, zatímco 10 % bylo určeno na budovy, vybavení a různé výdaje;</w:t>
      </w:r>
    </w:p>
    <w:p w:rsidR="004A4719" w:rsidRPr="00181385" w:rsidRDefault="004A4719" w:rsidP="004A4719">
      <w:pPr>
        <w:pStyle w:val="NormalHanging12a"/>
        <w:rPr>
          <w:szCs w:val="24"/>
        </w:rPr>
      </w:pPr>
      <w:r w:rsidRPr="00181385">
        <w:t>6.</w:t>
      </w:r>
      <w:r w:rsidRPr="00181385">
        <w:tab/>
        <w:t>dále opakuje, že je důležité zajistit, aby měl Účetní dvůr k dispozici odpovídající personál, aby mohl náležitě plnit svůj mandát, jakož i nové úkoly související se vstupem nových finančních nástrojů v platnost, jako je např. Nástroj pro oživení a odolnost (RRF);</w:t>
      </w:r>
    </w:p>
    <w:p w:rsidR="004A4719" w:rsidRPr="00181385" w:rsidRDefault="004A4719" w:rsidP="004A4719">
      <w:pPr>
        <w:pStyle w:val="NormalHanging12a"/>
        <w:rPr>
          <w:szCs w:val="24"/>
        </w:rPr>
      </w:pPr>
      <w:r w:rsidRPr="00181385">
        <w:t>7.</w:t>
      </w:r>
      <w:r w:rsidRPr="00181385">
        <w:tab/>
        <w:t>konstatuje, že v průběhu roku 2022 provedl Účetní dvůr 26 rozpočtových převodů podle článku 29 finančního nařízení, což představuje celkem 3,4 milionu EUR, tj. 2,1 % rozpočtových prostředků na uvedený rozpočtový rok, což znamenalo především snížení výdajů na služební cesty, publikace, tlumočení a právní službu a zvýšení výdajů na vybavení prostor včetně renovace střechy, nákladů na energie, smluvní zaměstnance a vybavení výpočetní technikou; rovněž konstatuje, že míra plnění rozpočtu v roce 2022 činila 98,5 %, což představuje mírný nárůst oproti předchozím dvěma letům; vítá skutečnost, že průměrná lhůta úhrady plateb v roce 2022 byla ve srovnání s 10,7 dne v roce 2021 zkrácena na 9,8 dne, s největší pravděpodobností díky navýšení podílu elektronických faktur, který se oproti 19 % v roce 2021 zvýšil na 24 %;</w:t>
      </w:r>
    </w:p>
    <w:p w:rsidR="004A4719" w:rsidRPr="00181385" w:rsidRDefault="004A4719" w:rsidP="004A4719">
      <w:pPr>
        <w:pStyle w:val="NormalHanging12a"/>
        <w:rPr>
          <w:szCs w:val="24"/>
        </w:rPr>
      </w:pPr>
      <w:r w:rsidRPr="00181385">
        <w:t>8.</w:t>
      </w:r>
      <w:r w:rsidRPr="00181385">
        <w:tab/>
        <w:t>s uspokojením konstatuje, že externí auditor prohlásil, že přidělené prostředky byly použity k určenému účelu a že kontrolní postupy zavedené schvalujícími osobami poskytují nezbytné záruky, že finanční operace jsou v souladu s platnými pravidly a předpisy;</w:t>
      </w:r>
    </w:p>
    <w:p w:rsidR="004A4719" w:rsidRPr="00181385" w:rsidRDefault="004A4719" w:rsidP="004A4719">
      <w:pPr>
        <w:pStyle w:val="NormalHanging12a"/>
        <w:rPr>
          <w:szCs w:val="24"/>
        </w:rPr>
      </w:pPr>
      <w:r w:rsidRPr="00181385">
        <w:t>9.</w:t>
      </w:r>
      <w:r w:rsidRPr="00181385">
        <w:tab/>
        <w:t>konstatuje, že ruská nezákonná a neoprávněná útočná válka proti Ukrajině vytvářela různými způsoby rozpočtový tlak na Účetní dvůr, mimo jiné v důsledku rostoucí inflace a úpravy platů a výrazného zvýšení nákladů na elektřinu a vytápění;</w:t>
      </w:r>
    </w:p>
    <w:p w:rsidR="004A4719" w:rsidRPr="00181385" w:rsidRDefault="004A4719" w:rsidP="004A4719">
      <w:pPr>
        <w:pStyle w:val="NormalHanging12a"/>
        <w:rPr>
          <w:szCs w:val="24"/>
        </w:rPr>
      </w:pPr>
      <w:r w:rsidRPr="00181385">
        <w:t>10.</w:t>
      </w:r>
      <w:r w:rsidRPr="00181385">
        <w:tab/>
        <w:t>konstatuje, že rozpočet Účetního dvora na všeobecné mise se snížil z 2 988 000 EUR v roce 2021 na 2 452 000 EUR v roce 2022, což odpovídá snížení o 18 %, které bylo důsledkem pokračujících omezení cestování na začátku roku 2022 a změn v pracovních metodách s větším počtem jednání na dálku; dále poznamenává, že Účetní dvůr nemá zvláštní rozpočtovou položku pro služební cesty a cesty svého předsedy; v neposlední řadě konstatuje, že rozpočtová položka pro služební cesty všech členů Účetního dvora činila v letech 2021 a 2022 290 000 EUR;</w:t>
      </w:r>
    </w:p>
    <w:p w:rsidR="004A4719" w:rsidRPr="00181385" w:rsidRDefault="004A4719" w:rsidP="004A4719">
      <w:pPr>
        <w:pStyle w:val="NormalHanging12a"/>
        <w:rPr>
          <w:szCs w:val="24"/>
        </w:rPr>
      </w:pPr>
      <w:r w:rsidRPr="00181385">
        <w:t>11.</w:t>
      </w:r>
      <w:r w:rsidRPr="00181385">
        <w:tab/>
        <w:t xml:space="preserve">vítá, že Účetní dvůr má od roku 2022 zavedenou podrobnou metodiku kontroly nákladů na služební cesty s kontrolami </w:t>
      </w:r>
      <w:r w:rsidRPr="00181385">
        <w:rPr>
          <w:i/>
        </w:rPr>
        <w:t>ex ante</w:t>
      </w:r>
      <w:r w:rsidRPr="00181385">
        <w:t xml:space="preserve"> i </w:t>
      </w:r>
      <w:r w:rsidRPr="00181385">
        <w:rPr>
          <w:i/>
        </w:rPr>
        <w:t>ex post</w:t>
      </w:r>
      <w:r w:rsidRPr="00181385">
        <w:t>;</w:t>
      </w:r>
    </w:p>
    <w:p w:rsidR="004A4719" w:rsidRPr="00AB2DB7" w:rsidRDefault="004A4719" w:rsidP="004A4719">
      <w:pPr>
        <w:pStyle w:val="NormalHanging12a"/>
        <w:rPr>
          <w:b/>
          <w:i/>
          <w:szCs w:val="24"/>
        </w:rPr>
      </w:pPr>
      <w:r w:rsidRPr="00AB2DB7">
        <w:rPr>
          <w:b/>
          <w:i/>
        </w:rPr>
        <w:t>Vnitřní řízení, výkonnost a vnitřní kontrola</w:t>
      </w:r>
    </w:p>
    <w:p w:rsidR="004A4719" w:rsidRPr="00181385" w:rsidRDefault="004A4719" w:rsidP="004A4719">
      <w:pPr>
        <w:pStyle w:val="NormalHanging12a"/>
        <w:rPr>
          <w:szCs w:val="24"/>
        </w:rPr>
      </w:pPr>
      <w:r w:rsidRPr="00181385">
        <w:t>12.</w:t>
      </w:r>
      <w:r w:rsidRPr="00181385">
        <w:tab/>
        <w:t>konstatuje, že rok 2022 byl druhým rokem provádění strategie Účetního dvora na období 2021–2025 a že na konci roku 2022 bylo z 29 strategických opatření 18 plně provedeno nebo byl pro opatření stanoven rámec a probíhaly další kroky, zatímco 11 opatření bylo průběžných nebo opakovaných;</w:t>
      </w:r>
    </w:p>
    <w:p w:rsidR="004A4719" w:rsidRPr="00181385" w:rsidRDefault="004A4719" w:rsidP="004A4719">
      <w:pPr>
        <w:pStyle w:val="NormalHanging12a"/>
        <w:rPr>
          <w:szCs w:val="24"/>
        </w:rPr>
      </w:pPr>
      <w:r w:rsidRPr="00181385">
        <w:t>13.</w:t>
      </w:r>
      <w:r w:rsidRPr="00181385">
        <w:tab/>
        <w:t>konstatuje, že v roce 2022 předložil Účetní dvůr 7 výročních zpráv, 8 stanovisek, 28 zvláštních zpráv a 1 přezkum, což je velmi podobné počtu zpráv, stanovisek, zvláštních zpráv a přezkumů předložených v letech 2020 a 2021;</w:t>
      </w:r>
    </w:p>
    <w:p w:rsidR="004A4719" w:rsidRPr="00181385" w:rsidRDefault="004A4719" w:rsidP="004A4719">
      <w:pPr>
        <w:pStyle w:val="NormalHanging12a"/>
        <w:rPr>
          <w:szCs w:val="24"/>
        </w:rPr>
      </w:pPr>
      <w:r w:rsidRPr="00181385">
        <w:t>14.</w:t>
      </w:r>
      <w:r w:rsidRPr="00181385">
        <w:tab/>
        <w:t>konstatuje, že Účetní dvůr sestavuje svůj pracovní program zcela nezávisle, včetně toho, které zvláštní zprávy by měly být vypracovány; i nadále upozorňuje Účetní dvůr, že zvláštní zprávy, které se zaměřují na současnou situaci a výzvy Unie s jasným rozpočtovým zaměřením a významem, budou přitahovat největší pozornost klíčových zúčastněných stran v Parlamentu i jinde; v této souvislosti vítá revizi jeho programového procesu v roce 2022, která zavádí větší flexibilitu při řešení naléhavých problémů, aby lépe sloužil zájmům zúčastněných stran;</w:t>
      </w:r>
    </w:p>
    <w:p w:rsidR="004A4719" w:rsidRPr="00181385" w:rsidRDefault="004A4719" w:rsidP="004A4719">
      <w:pPr>
        <w:pStyle w:val="NormalHanging12a"/>
        <w:rPr>
          <w:szCs w:val="24"/>
        </w:rPr>
      </w:pPr>
      <w:r w:rsidRPr="00181385">
        <w:t>15.</w:t>
      </w:r>
      <w:r w:rsidRPr="00181385">
        <w:tab/>
        <w:t>oceňuje, že Účetní dvůr na žádost Parlamentu zaměřil svou kontrolní činnost na aktuální evropské výzvy, což dokládá velmi rychlé vypracování stanoviska 3/2023 k Nástroji pro Ukrajinu a pozornost věnovaná sledování jeho provádění; je znepokojen tím, že pokud jde o kontrolní činnost týkající se Nástroje pro oživení a odolnost (RRF), Účetní dvůr stále nemá plný přístup do nového nástroje pro podávání zpráv ohledně RRF, nazvaného FENIX, a že informace v tomto novém nástroji nejsou včas aktualizovány: podporuje názor Účetního dvora, že článek 257 finančního nařízení poskytuje Účetnímu dvoru plné a okamžité právo na přístup; dále vyzývá Komisi, aby Účetnímu dvoru umožnila přístup k jiným typům relevantních informací, aby mohl plnit svou úlohu;</w:t>
      </w:r>
    </w:p>
    <w:p w:rsidR="004A4719" w:rsidRPr="00181385" w:rsidRDefault="004A4719" w:rsidP="004A4719">
      <w:pPr>
        <w:pStyle w:val="NormalHanging12a"/>
        <w:rPr>
          <w:szCs w:val="24"/>
        </w:rPr>
      </w:pPr>
      <w:r w:rsidRPr="00181385">
        <w:t>16.</w:t>
      </w:r>
      <w:r w:rsidRPr="00181385">
        <w:tab/>
        <w:t>oceňuje včasné a relevantní zvláštní zprávy o provádění RRF, které orgánu příslušnému k udělení absolutoria umožňují vykonávat jeho výsady a předkládat Komisi doporučení ohledně zlepšení fungování tohoto nástroje;</w:t>
      </w:r>
    </w:p>
    <w:p w:rsidR="004A4719" w:rsidRPr="00181385" w:rsidRDefault="004A4719" w:rsidP="004A4719">
      <w:pPr>
        <w:pStyle w:val="NormalHanging12a"/>
        <w:rPr>
          <w:szCs w:val="24"/>
        </w:rPr>
      </w:pPr>
      <w:r w:rsidRPr="00181385">
        <w:t>17.</w:t>
      </w:r>
      <w:r w:rsidRPr="00181385">
        <w:tab/>
        <w:t>vítá, že Účetní dvůr poskytl přehled o počtu a druhu interních auditů provedených v Účetním dvoře a souhrn doporučení a opatření přijatých na základě těchto doporučení v souladu s čl. 118 odst. 8 finančního nařízení; bere na vědomí, že roční pracovní program interního auditora zahrnoval opakující se úkoly, vybrané úkoly a další úkoly, které byly v průběhu roku splněny; konstatuje, že některé činnosti, jejichž realizace byla plánována na rok 2022, byly odloženy na rok 2023, a žádá Účetní dvůr, aby o jejich realizaci informoval Parlament;</w:t>
      </w:r>
    </w:p>
    <w:p w:rsidR="004A4719" w:rsidRPr="00181385" w:rsidRDefault="004A4719" w:rsidP="004A4719">
      <w:pPr>
        <w:pStyle w:val="NormalHanging12a"/>
        <w:rPr>
          <w:szCs w:val="24"/>
        </w:rPr>
      </w:pPr>
      <w:r w:rsidRPr="00181385">
        <w:t>18.</w:t>
      </w:r>
      <w:r w:rsidRPr="00181385">
        <w:tab/>
        <w:t>vybízí Účetní dvůr, aby posílil svůj příspěvek v boji proti podvodům ohledně rozpočtu Unie, nejen tím, že určí slabé stránky, v jejichž důsledku jsou programy financované Unií náchylné k podvodům, a bude o nich podávat zprávy, ale také tím, že zohlední debatu, jež probíhá mezi složkami struktury pro boj proti podvodům, a zintenzivní auditní činnost ve spolupráci s orgány pověřenými odhalováním podvodů, přičemž bude pravidelně posuzovat jejich aktivity a poskytovat orgánu příslušnému k udělení absolutoria zpětnou vazbu podstatnou pro jeho analýzu;</w:t>
      </w:r>
    </w:p>
    <w:p w:rsidR="004A4719" w:rsidRPr="00181385" w:rsidRDefault="004A4719" w:rsidP="004A4719">
      <w:pPr>
        <w:pStyle w:val="NormalHanging12a"/>
        <w:rPr>
          <w:szCs w:val="24"/>
        </w:rPr>
      </w:pPr>
      <w:r w:rsidRPr="00181385">
        <w:t>19.</w:t>
      </w:r>
      <w:r w:rsidRPr="00181385">
        <w:tab/>
        <w:t xml:space="preserve">vítá, že strategie Účetního dvora na období 2021–2025 odkazuje na formulaci nákladově efektivních doporučení, která přispějí ke snížení byrokracie u orgánů Unie; poukazuje na to, že doporučení Účetního dvora týkající se zvýšení efektivnosti postupů, využívání osvědčených postupů, zlepšení koordinace, vytvoření standardních procesů, zabránění tzv. </w:t>
      </w:r>
      <w:proofErr w:type="spellStart"/>
      <w:r w:rsidRPr="00181385">
        <w:t>gold-platingu</w:t>
      </w:r>
      <w:proofErr w:type="spellEnd"/>
      <w:r w:rsidRPr="00181385">
        <w:t xml:space="preserve"> a zejména zjednodušení a digitalizace slouží tomuto cíli;</w:t>
      </w:r>
    </w:p>
    <w:p w:rsidR="004A4719" w:rsidRPr="00181385" w:rsidRDefault="004A4719" w:rsidP="004A4719">
      <w:pPr>
        <w:pStyle w:val="NormalHanging12a"/>
        <w:rPr>
          <w:szCs w:val="24"/>
        </w:rPr>
      </w:pPr>
      <w:r w:rsidRPr="00181385">
        <w:t>20.</w:t>
      </w:r>
      <w:r w:rsidRPr="00181385">
        <w:tab/>
        <w:t>vybízí Účetní dvůr, aby i nadále doporučoval rozvoj a údržbu databází pro celou Unii a úsilí o efektivní využití kapacit pro vytěžování údajů za účelem provádění analýzy údajů na úrovni Unie a identifikace rizik relevantních pro Unii; vyzývá Účetní dvůr, aby pracoval na stanovení nezbytných požadavků na shromažďování, zpracování a uchovávání údajů, které jsou nezbytné pro snadnou a interoperabilní kontrolu využívání veřejných prostředků členskými státy;</w:t>
      </w:r>
    </w:p>
    <w:p w:rsidR="004A4719" w:rsidRPr="00AB2DB7" w:rsidRDefault="004A4719" w:rsidP="004A4719">
      <w:pPr>
        <w:pStyle w:val="NormalHanging12a"/>
        <w:rPr>
          <w:b/>
          <w:i/>
          <w:szCs w:val="24"/>
        </w:rPr>
      </w:pPr>
      <w:r w:rsidRPr="00AB2DB7">
        <w:rPr>
          <w:b/>
          <w:i/>
        </w:rPr>
        <w:t>Lidské zdroje, rovnost a pracovní podmínky zaměstnanců</w:t>
      </w:r>
    </w:p>
    <w:p w:rsidR="004A4719" w:rsidRPr="00181385" w:rsidRDefault="004A4719" w:rsidP="004A4719">
      <w:pPr>
        <w:pStyle w:val="NormalHanging12a"/>
        <w:rPr>
          <w:szCs w:val="24"/>
        </w:rPr>
      </w:pPr>
      <w:r w:rsidRPr="00181385">
        <w:t>21.</w:t>
      </w:r>
      <w:r w:rsidRPr="00181385">
        <w:tab/>
        <w:t>konstatuje, že na konci roku 2022 měl Účetní dvůr 921 zaměstnanců, což představuje mírný nárůst oproti 917 zaměstnancům na konci roku 2021 a 910 na konci roku 2020; konstatuje, že celkové rozdělení podle pohlaví na konci roku 2022 bylo 434 mužů, což odpovídá 47,1 %, a 487 žen, což odpovídá 52,9 %; vyzývá Účetní dvůr, aby pokračoval ve svém úsilí o podporu vyváženého zastoupení žen a mužů ve středním a vrcholném vedení; dále uvádí, že celkové rozdělení podle kategorií zaměstnanců bylo 830 úředníků (90 %), z toho 620 administrátorů (AD) a 210 administrativních pracovníků (AST/SC) a 91 smluvních zaměstnanců (10 %);</w:t>
      </w:r>
    </w:p>
    <w:p w:rsidR="004A4719" w:rsidRPr="00181385" w:rsidRDefault="004A4719" w:rsidP="004A4719">
      <w:pPr>
        <w:pStyle w:val="NormalHanging12a"/>
        <w:rPr>
          <w:szCs w:val="24"/>
        </w:rPr>
      </w:pPr>
      <w:r w:rsidRPr="00181385">
        <w:t>22.</w:t>
      </w:r>
      <w:r w:rsidRPr="00181385">
        <w:tab/>
        <w:t>konstatuje, že počet osob v platových třídách AD 13–16 činil 79, z toho 49 mužů a 30 žen, což odpovídá 62 % mužů a 38 % žen a představuje to mírné zvýšení procenta žen v těchto kategoriích z 37,5 % v roce 2021 a 34,5 % v roce 2020;</w:t>
      </w:r>
    </w:p>
    <w:p w:rsidR="004A4719" w:rsidRPr="00181385" w:rsidRDefault="004A4719" w:rsidP="004A4719">
      <w:pPr>
        <w:pStyle w:val="NormalHanging12a"/>
        <w:rPr>
          <w:szCs w:val="24"/>
        </w:rPr>
      </w:pPr>
      <w:r w:rsidRPr="00181385">
        <w:t>23.</w:t>
      </w:r>
      <w:r w:rsidRPr="00181385">
        <w:tab/>
        <w:t>vyjadřuje hluboké politování nad nedostatečnou genderovou vyvážeností v kolegiu Účetního dvora: v současném složení 25 členů je pouze 10 žen, s přihlédnutím k tomu, že dosud nebyli jmenováni členové z Portugalska a Bulharska; chápe, že postup jmenování jeho členů je z hlediska dosažení vyváženého zastoupení žen a mužů náročný, protože nominace na vnitrostátní úrovni je výhradně odpovědností členských států; vyzývá nicméně Účetní dvůr, aby analyzoval své celkové složení s cílem informovat Radu a zúčastněné členské státy, aby bylo při rozhodování o jmenování zohledněno vyvážené zastoupení žen a mužů;</w:t>
      </w:r>
    </w:p>
    <w:p w:rsidR="004A4719" w:rsidRPr="00181385" w:rsidRDefault="004A4719" w:rsidP="004A4719">
      <w:pPr>
        <w:pStyle w:val="NormalHanging12a"/>
        <w:rPr>
          <w:szCs w:val="24"/>
        </w:rPr>
      </w:pPr>
      <w:r w:rsidRPr="00181385">
        <w:t>24.</w:t>
      </w:r>
      <w:r w:rsidRPr="00181385">
        <w:tab/>
        <w:t>vyjadřuje politování nad tím, že Rada v průběhu let opakovaně jmenovala členy Účetního dvora, přestože je Parlament odmítl; zdůrazňuje, že při posuzování vhodnosti kandidátů na členy Účetního dvora by Parlament měl plnit závaznou úlohu;</w:t>
      </w:r>
    </w:p>
    <w:p w:rsidR="004A4719" w:rsidRPr="00181385" w:rsidRDefault="004A4719" w:rsidP="004A4719">
      <w:pPr>
        <w:pStyle w:val="NormalHanging12a"/>
        <w:rPr>
          <w:szCs w:val="24"/>
        </w:rPr>
      </w:pPr>
      <w:r w:rsidRPr="00181385">
        <w:t>25.</w:t>
      </w:r>
      <w:r w:rsidRPr="00181385">
        <w:tab/>
        <w:t>vítá, že mezi zaměstnanci Účetního dvora jsou zastoupeny všechny státní příslušnosti Unie, a to jak v kategorii AD, tak v kategorii AST/SC; s politováním však konstatuje, že některé státní příslušnosti jsou zastoupeny nedostatečně, a proto oceňuje, že Účetní dvůr přistoupil v některých členských státech (Dánsko, Estonsko a Lotyšsko) k přímé inzerci; vítá účinné využívání nových způsobů zveřejňování výběrových řízení s cílem oslovit různorodé publikum z různých členských států;</w:t>
      </w:r>
    </w:p>
    <w:p w:rsidR="004A4719" w:rsidRPr="00181385" w:rsidRDefault="004A4719" w:rsidP="004A4719">
      <w:pPr>
        <w:pStyle w:val="NormalHanging12a"/>
        <w:rPr>
          <w:szCs w:val="24"/>
        </w:rPr>
      </w:pPr>
      <w:r w:rsidRPr="00181385">
        <w:t>26.</w:t>
      </w:r>
      <w:r w:rsidRPr="00181385">
        <w:tab/>
        <w:t>konstatuje, že Účetní dvůr přijal rozhodnutí o hybridním způsobu práce, které vstoupilo v platnost dne 1. ledna 2022; konstatuje, že Účetní dvůr má režim práce na dálku, který umožňuje pracovat z domova až 10 dní v měsíci, a to až 10 dní po sobě; dále konstatuje, že tento režim umožňuje zaměstnancům pracovat až 5 dní v měsíci a 30 pracovních dní v roce mimo jejich hlavní bydliště; v neposlední řadě konstatuje, že průzkum mezi zaměstnanci z října 2022 ukázal, že 95 % z nich režim práce na dálku podporuje a 88 % se domnívá, že má pozitivní dopad na rovnováhu mezi pracovním a soukromým životem;</w:t>
      </w:r>
    </w:p>
    <w:p w:rsidR="004A4719" w:rsidRPr="00181385" w:rsidRDefault="004A4719" w:rsidP="004A4719">
      <w:pPr>
        <w:pStyle w:val="NormalHanging12a"/>
        <w:rPr>
          <w:szCs w:val="24"/>
        </w:rPr>
      </w:pPr>
      <w:r w:rsidRPr="00181385">
        <w:t>27.</w:t>
      </w:r>
      <w:r w:rsidRPr="00181385">
        <w:tab/>
        <w:t>vítá opatření, která Účetní dvůr přijal v roce 2022 s cílem zajistit fyzickou a duševní pohodu zaměstnanců;</w:t>
      </w:r>
    </w:p>
    <w:p w:rsidR="004A4719" w:rsidRPr="00181385" w:rsidRDefault="004A4719" w:rsidP="004A4719">
      <w:pPr>
        <w:pStyle w:val="NormalHanging12a"/>
        <w:rPr>
          <w:szCs w:val="24"/>
        </w:rPr>
      </w:pPr>
      <w:r w:rsidRPr="00181385">
        <w:t>28.</w:t>
      </w:r>
      <w:r w:rsidRPr="00181385">
        <w:tab/>
        <w:t>uznává problémy spojené s přilákáním zaměstnanců k práci v Lucemburku a vybízí Účetní dvůr, aby spolupracoval s ostatními lucemburskými institucemi v rámci interinstitucionální skupiny na vysoké úrovni na zvýšení atraktivity Lucemburku pro zaměstnance a na různých zjištěných možných opatřeních, včetně myšlenky zvláštního příspěvku na bydlení, který by bojoval proti vysokým nákladům na nájemné, jež pociťují zejména zaměstnanci nižších platových tříd, a možnosti nabídnout dočasné bydlení za rozumnou cenu pro krátkodobé pobyty;</w:t>
      </w:r>
    </w:p>
    <w:p w:rsidR="004A4719" w:rsidRPr="00181385" w:rsidRDefault="004A4719" w:rsidP="004A4719">
      <w:pPr>
        <w:pStyle w:val="NormalHanging12a"/>
        <w:rPr>
          <w:szCs w:val="24"/>
        </w:rPr>
      </w:pPr>
      <w:r w:rsidRPr="00181385">
        <w:t>29.</w:t>
      </w:r>
      <w:r w:rsidRPr="00181385">
        <w:tab/>
        <w:t>se znepokojením konstatuje, že počet dnů pracovní neschopnosti v roce 2022 činil 11 622, což odpovídá nárůstu o 54 % oproti roku 2021, kdy počet dnů pracovní neschopnosti činil 7 524; zároveň konstatuje, že v roce 2018 vykázal Účetní dvůr 10 255 dnů pracovní neschopnosti a že relativně nízký počet v roce 2021 mohl souviset se situací ohledně onemocnění COVID-19;</w:t>
      </w:r>
    </w:p>
    <w:p w:rsidR="004A4719" w:rsidRPr="00181385" w:rsidRDefault="004A4719" w:rsidP="004A4719">
      <w:pPr>
        <w:pStyle w:val="NormalHanging12a"/>
        <w:rPr>
          <w:szCs w:val="24"/>
        </w:rPr>
      </w:pPr>
      <w:r w:rsidRPr="00181385">
        <w:t>30.</w:t>
      </w:r>
      <w:r w:rsidRPr="00181385">
        <w:tab/>
        <w:t>se znepokojením konstatuje, že v roce 2022 Účetní dvůr zaznamenal sedm případů vyhoření; dále konstatuje, že všech sedm zaměstnanců bylo znovu začleněno do pracovního procesu a v rámci postupu pro návrat na pracovní místo se postupně vracejí do zaměstnání na částečný úvazek, který byl schválen z lékařského hlediska; v této souvislosti oceňuje, že v roce 2022 začal Účetní dvůr připravovat pokyny pro návrat do práce po dlouhodobé pracovní neschopnosti; konstatuje, že Účetní dvůr uvádí, že při sestavování ročního pracovního programu se přihlíží k dostupnosti zdrojů a že ředitelé a řídící tým na úrovni ředitelství posuzují pracovní zátěž, aby bylo zajištěno rovnoměrné rozdělení práce; vybízí však Účetní dvůr, aby se na tento problém i nadále zaměřoval a přijal veškerá nezbytná opatření k zajištění dobrých pracovních podmínek zaměstnanců s cílem snížit počet případů spojených s vyhořením;</w:t>
      </w:r>
    </w:p>
    <w:p w:rsidR="004A4719" w:rsidRPr="00181385" w:rsidRDefault="004A4719" w:rsidP="004A4719">
      <w:pPr>
        <w:pStyle w:val="NormalHanging12a"/>
        <w:rPr>
          <w:szCs w:val="24"/>
        </w:rPr>
      </w:pPr>
      <w:r w:rsidRPr="00181385">
        <w:t>31.</w:t>
      </w:r>
      <w:r w:rsidRPr="00181385">
        <w:tab/>
        <w:t>vítá, že po rozsáhlé spolupráci bylo v prosinci 2022 přijato rozhodnutí a politika týkající se zajištění respektujícího pracoviště bez obtěžování s jasným zaměřením na prevenci, zvyšování povědomí a včasné odhalení, přičemž byla stanovena řada opatření, která mají být použita (důvěrné poradenství, mediace a formální stížnosti) v případě, že vyvstane situace, která je vnímána jako obtěžování;</w:t>
      </w:r>
    </w:p>
    <w:p w:rsidR="004A4719" w:rsidRPr="00181385" w:rsidRDefault="004A4719" w:rsidP="004A4719">
      <w:pPr>
        <w:pStyle w:val="NormalHanging12a"/>
        <w:rPr>
          <w:szCs w:val="24"/>
        </w:rPr>
      </w:pPr>
      <w:r w:rsidRPr="00181385">
        <w:t xml:space="preserve">32. </w:t>
      </w:r>
      <w:r w:rsidRPr="00181385">
        <w:tab/>
        <w:t>vítá akční plán Účetního dvora pro integraci a začleňování na období 2021–2025 a oceňuje kroky podniknuté v průběhu roku 2022 s cílem zvýšit povědomí o tomto plánu a výsledky dosažené v průběhu roku 2022, pokud jde o 10 priorit v něm stanovených; konstatuje, že v roce 2022 byla u Účetního dvora zaměstnána pouze jedna osoba s přiznaným zdravotním postižením, a to na dobu určitou;</w:t>
      </w:r>
    </w:p>
    <w:p w:rsidR="004A4719" w:rsidRPr="00181385" w:rsidRDefault="004A4719" w:rsidP="004A4719">
      <w:pPr>
        <w:pStyle w:val="NormalHanging12a"/>
        <w:rPr>
          <w:szCs w:val="24"/>
        </w:rPr>
      </w:pPr>
      <w:r w:rsidRPr="00181385">
        <w:t>33.</w:t>
      </w:r>
      <w:r w:rsidRPr="00181385">
        <w:tab/>
        <w:t>konstatuje, že Účetní dvůr v roce 2022 přijal 54 stážistů; s uznáním konstatuje, že všichni byli placeni Účetním dvorem nebo vnitrostátními orgány;</w:t>
      </w:r>
    </w:p>
    <w:p w:rsidR="004A4719" w:rsidRPr="00AB2DB7" w:rsidRDefault="004A4719" w:rsidP="004A4719">
      <w:pPr>
        <w:pStyle w:val="NormalHanging12a"/>
        <w:rPr>
          <w:b/>
          <w:i/>
          <w:szCs w:val="24"/>
        </w:rPr>
      </w:pPr>
      <w:r w:rsidRPr="00AB2DB7">
        <w:rPr>
          <w:b/>
          <w:i/>
        </w:rPr>
        <w:t>Etický rámec a transparentnost</w:t>
      </w:r>
    </w:p>
    <w:p w:rsidR="004A4719" w:rsidRPr="00181385" w:rsidRDefault="004A4719" w:rsidP="004A4719">
      <w:pPr>
        <w:pStyle w:val="NormalHanging12a"/>
        <w:rPr>
          <w:szCs w:val="24"/>
        </w:rPr>
      </w:pPr>
      <w:r w:rsidRPr="00181385">
        <w:t>34.</w:t>
      </w:r>
      <w:r w:rsidRPr="00181385">
        <w:tab/>
        <w:t xml:space="preserve">zdůrazňuje úlohu a význam Účetního dvora jako nezávislého externího auditora Unie a strážce jejích financí, což vyžaduje, aby Účetní dvůr dodržoval nejvyšší možné standardy a působil jako vzorová organizace, která vzbuzuje důvěru a důvěryhodnost; připomíná, že podle článku 285 </w:t>
      </w:r>
      <w:r w:rsidR="00466870">
        <w:t>Smlouvy o fungování EU</w:t>
      </w:r>
      <w:r w:rsidRPr="00181385">
        <w:t xml:space="preserve"> jsou členové Účetního dvora zcela nezávislí;</w:t>
      </w:r>
    </w:p>
    <w:p w:rsidR="004A4719" w:rsidRPr="00181385" w:rsidRDefault="004A4719" w:rsidP="004A4719">
      <w:pPr>
        <w:pStyle w:val="NormalHanging12a"/>
        <w:rPr>
          <w:szCs w:val="24"/>
        </w:rPr>
      </w:pPr>
      <w:r w:rsidRPr="00181385">
        <w:t>35.</w:t>
      </w:r>
      <w:r w:rsidRPr="00181385">
        <w:tab/>
        <w:t>vítá revidovaný kodex chování z května 2022 pro členy a bývalé členy Účetního dvora, který byl vypracován na základě doporučení Parlamentu a který mimo jiné stanoví povinnost členů bydlet v místě sídla Účetního dvora, omezuje možnosti členů zapojit se do politiky, upravuje smluvní vztahy mezi členy a zaměstnanci a stanoví povinnost členů předkládat každoroční prohlášení o zájmech; připomíná, že členové Účetního dvora by měli vždy uplatňovat nejvyšší etické zásady a hodnoty, aby prokázali svou plnou integritu, nezávislost, objektivitu, profesionální chování, důstojnost, oddanost a loajalitu;</w:t>
      </w:r>
    </w:p>
    <w:p w:rsidR="004A4719" w:rsidRPr="00181385" w:rsidRDefault="004A4719" w:rsidP="004A4719">
      <w:pPr>
        <w:pStyle w:val="NormalHanging12a"/>
        <w:rPr>
          <w:szCs w:val="24"/>
        </w:rPr>
      </w:pPr>
      <w:r w:rsidRPr="00181385">
        <w:t>36.</w:t>
      </w:r>
      <w:r w:rsidRPr="00181385">
        <w:tab/>
        <w:t>zdůrazňuje, že Parlament je i nadále toho názoru, že informace o pracovních cestách členů Účetního dvora by měly být zveřejňovány po celou dobu výkonu funkce a že členové Účetního dvora by neměli mít žádné formální politické vazby, včetně čestných funkcí v politických stranách nebo organizacích; dále znovu žádá Účetní dvůr, aby změnil svá pravidla týkající se interní etické komise, aby navrhování vhodných kandidátů již nebylo výlučnou pravomocí předsedy Účetního dvora; opakuje rovněž svůj požadavek, aby byl etickým výborem Účetního dvora informován o hlavních zjištěních zprávy o interním auditu v oblasti etiky, kdy tento audit probíhá již od roku 2020;</w:t>
      </w:r>
    </w:p>
    <w:p w:rsidR="004A4719" w:rsidRPr="00181385" w:rsidRDefault="004A4719" w:rsidP="004A4719">
      <w:pPr>
        <w:pStyle w:val="NormalHanging12a"/>
        <w:rPr>
          <w:szCs w:val="24"/>
        </w:rPr>
      </w:pPr>
      <w:r w:rsidRPr="00181385">
        <w:t>37.</w:t>
      </w:r>
      <w:r w:rsidRPr="00181385">
        <w:tab/>
        <w:t>s uspokojením konstatuje, že všichni členové Účetního dvora nahlásili lucemburským orgánům adresu, a splňují tak požadavek, aby členové měli bydliště v místě sídla Účetního dvora;</w:t>
      </w:r>
    </w:p>
    <w:p w:rsidR="004A4719" w:rsidRPr="00181385" w:rsidRDefault="004A4719" w:rsidP="004A4719">
      <w:pPr>
        <w:pStyle w:val="NormalHanging12a"/>
        <w:rPr>
          <w:szCs w:val="24"/>
        </w:rPr>
      </w:pPr>
      <w:r w:rsidRPr="00181385">
        <w:t>38.</w:t>
      </w:r>
      <w:r w:rsidRPr="00181385">
        <w:tab/>
        <w:t>bere na vědomí rozhodnutí z roku 2022 týkající se cestování členů, služebních cest a používání řidičů a automobilů, z něhož vyplývá, že členové budou muset hradit veškeré provozní náklady, včetně nákladů na pronájem automobilu, spojené s používáním automobilu při cestách delších než 10 000 km, na které se nevztahuje služební příkaz; je však toho názoru, že 10 000 km je příliš mnoho, a opakuje obavy vyjádřené v předchozích usneseních o udělení absolutoria, že zavedený systém je matoucí; znovu opakuje svůj názor vyjádřený v předcházejících rozhodnutích o udělení absolutoria, že k využívání vozového parku mimo striktní plnění povinností členů Účetního dvora by za žádných okolností nemělo docházet; vyzývá všechny orgány Unie, aby se dohodly na jednotném systému, který by se uplatňoval horizontálně a který by snížil zmatek a zvýšil transparentnost a efektivnost při využívání veřejných prostředků;</w:t>
      </w:r>
    </w:p>
    <w:p w:rsidR="004A4719" w:rsidRPr="00181385" w:rsidRDefault="004A4719" w:rsidP="004A4719">
      <w:pPr>
        <w:pStyle w:val="NormalHanging12a"/>
        <w:rPr>
          <w:szCs w:val="24"/>
        </w:rPr>
      </w:pPr>
      <w:r w:rsidRPr="00181385">
        <w:t>39.</w:t>
      </w:r>
      <w:r w:rsidRPr="00181385">
        <w:tab/>
        <w:t xml:space="preserve">vítá, že se Účetní dvůr v posledních letech zapojil do procesu aktualizace svého etického rámce, jehož výsledkem je zatím aktualizace etických pokynů Účetního dvora z října 2022, aktualizace opatření zajišťujících vzájemný respekt a absenci obtěžování na pracovišti z roku 2022 a aktualizace pravidel pro </w:t>
      </w:r>
      <w:proofErr w:type="spellStart"/>
      <w:r w:rsidRPr="00181385">
        <w:t>whistleblowing</w:t>
      </w:r>
      <w:proofErr w:type="spellEnd"/>
      <w:r w:rsidRPr="00181385">
        <w:t xml:space="preserve"> z července 2023; rovněž vítá, že pro zaměstnance, včetně zaměstnanců v soukromých kancelářích poslanců, byly uspořádány semináře, školení a kurzy o etice; žádá Účetní dvůr, aby Parlament průběžně informoval o dalších plánech týkajících se etického rámce;</w:t>
      </w:r>
    </w:p>
    <w:p w:rsidR="004A4719" w:rsidRPr="00181385" w:rsidRDefault="004A4719" w:rsidP="004A4719">
      <w:pPr>
        <w:pStyle w:val="NormalHanging12a"/>
        <w:rPr>
          <w:szCs w:val="24"/>
        </w:rPr>
      </w:pPr>
      <w:r w:rsidRPr="00181385">
        <w:t>40.</w:t>
      </w:r>
      <w:r w:rsidRPr="00181385">
        <w:tab/>
        <w:t>zdůrazňuje, že v roce 2021 dospěl útvar interního auditu Účetního dvora k závěru, že neexistuje dokument, který by politiku Účetního dvora pro boj proti podvodům sjednocoval, a že neexistuje strategie pro boj proti podvodům na úrovni celého Účetního dvora; vybízí Účetní dvůr, aby se touto otázkou přednostně zabýval, a zajistil tak konsolidaci současného decentralizovaného a roztříštěného přístupu a zpřehlednil způsob, jakým Účetní dvůr tyto otázky řeší;</w:t>
      </w:r>
    </w:p>
    <w:p w:rsidR="004A4719" w:rsidRPr="00181385" w:rsidRDefault="004A4719" w:rsidP="004A4719">
      <w:pPr>
        <w:pStyle w:val="NormalHanging12a"/>
        <w:rPr>
          <w:szCs w:val="24"/>
        </w:rPr>
      </w:pPr>
      <w:r w:rsidRPr="00181385">
        <w:t>41.</w:t>
      </w:r>
      <w:r w:rsidRPr="00181385">
        <w:tab/>
        <w:t>nadále odmítá hodnocení a rozhodnutí Účetního dvora nepřipojit se k rejstříku transparentnosti EU, který byl zřízen na základě interinstitucionální dohody ze dne 20. května 2021 mezi Evropským parlamentem, Radou Evropské unie a Evropskou komisí o povinném rejstříku transparentnosti</w:t>
      </w:r>
      <w:r w:rsidRPr="00181385">
        <w:rPr>
          <w:rStyle w:val="FootnoteReference"/>
          <w:szCs w:val="24"/>
        </w:rPr>
        <w:footnoteReference w:id="6"/>
      </w:r>
      <w:r w:rsidRPr="00181385">
        <w:t>, a vybízí Účetní dvůr, aby se nad touto otázkou znovu zamyslel, a znovu důrazně vyzývá k tomu, aby se Účetní dvůr k rejstříku transparentnosti EU připojil, aby dodržoval základní zásady transparentnosti a zároveň nevytvářel překážky plné nezávislosti Účetního dvora;</w:t>
      </w:r>
    </w:p>
    <w:p w:rsidR="004A4719" w:rsidRPr="00181385" w:rsidRDefault="004A4719" w:rsidP="004A4719">
      <w:pPr>
        <w:pStyle w:val="NormalHanging12a"/>
        <w:rPr>
          <w:szCs w:val="24"/>
        </w:rPr>
      </w:pPr>
      <w:r w:rsidRPr="00181385">
        <w:t>42.</w:t>
      </w:r>
      <w:r w:rsidRPr="00181385">
        <w:tab/>
        <w:t>konstatuje, že Evropský úřad pro boj proti podvodům (OLAF) zahájil v roce 2022 jedno vyšetřování týkající se výběrového řízení Účetního dvora, přičemž dospěl k závěru, že jednání dotyčné osoby nemělo na výsledek řízení vliv;</w:t>
      </w:r>
    </w:p>
    <w:p w:rsidR="004A4719" w:rsidRPr="00181385" w:rsidRDefault="004A4719" w:rsidP="004A4719">
      <w:pPr>
        <w:pStyle w:val="NormalHanging12a"/>
        <w:rPr>
          <w:szCs w:val="24"/>
        </w:rPr>
      </w:pPr>
      <w:r w:rsidRPr="00181385">
        <w:t>43.</w:t>
      </w:r>
      <w:r w:rsidRPr="00181385">
        <w:tab/>
        <w:t>konstatuje, že evropský veřejný ochránce práv provedl v roce 2022 jedno šetření na základě stížnosti, které bylo uzavřeno poté, co Účetní dvůr stěžovateli odpověděl;</w:t>
      </w:r>
    </w:p>
    <w:p w:rsidR="004A4719" w:rsidRPr="00181385" w:rsidRDefault="004A4719" w:rsidP="004A4719">
      <w:pPr>
        <w:pStyle w:val="NormalHanging12a"/>
        <w:rPr>
          <w:szCs w:val="24"/>
        </w:rPr>
      </w:pPr>
      <w:r w:rsidRPr="00181385">
        <w:t>44.</w:t>
      </w:r>
      <w:r w:rsidRPr="00181385">
        <w:tab/>
        <w:t>znovu vyjadřuje uspokojení nad tím, že Účetní dvůr v návaznosti na opakované žádosti Parlamentu zřídil v roce 2022 rejstřík pro evidenci účasti členů Účetního dvora na schůzích; vítá, že parlamentnímu zpravodaji pro postup udělování absolutoria byl na požádání rejstřík zpřístupněn jako součást postupu udělování absolutoria; vyzývá Účetní dvůr, aby pokračoval v postupech, které zvyšují transparentnost a odpovědnost, jako je veřejný harmonogram schůzí;</w:t>
      </w:r>
    </w:p>
    <w:p w:rsidR="004A4719" w:rsidRPr="00181385" w:rsidRDefault="004A4719" w:rsidP="004A4719">
      <w:pPr>
        <w:pStyle w:val="NormalHanging12a"/>
        <w:rPr>
          <w:szCs w:val="24"/>
        </w:rPr>
      </w:pPr>
      <w:r w:rsidRPr="00181385">
        <w:t>45.</w:t>
      </w:r>
      <w:r w:rsidRPr="00181385">
        <w:tab/>
        <w:t>vítá, že v roce 2022 nebyl zjištěn žádný střet zájmů; dále konstatuje, že žádný ze zaměstnanců, kteří opouštějí Účetní dvůr z důvodu skončení smlouvy nebo z jiného důvodu, neoznámil Účetnímu dvoru, že by chtěl nastoupit do soukromé společnosti, ani neoznámil, že by v posledních třech letech svého působení začal vykonávat činnost související s prací mimo Účetní dvůr; v neposlední řadě konstatuje, že žádný bývalý poslanec Evropského parlamentu, komisař ani vysoký úředník nedostal od Účetního dvora odměnu;</w:t>
      </w:r>
    </w:p>
    <w:p w:rsidR="004A4719" w:rsidRPr="00181385" w:rsidRDefault="004A4719" w:rsidP="004A4719">
      <w:pPr>
        <w:pStyle w:val="NormalHanging12a"/>
        <w:rPr>
          <w:szCs w:val="24"/>
        </w:rPr>
      </w:pPr>
      <w:r w:rsidRPr="00181385">
        <w:t>46.</w:t>
      </w:r>
      <w:r w:rsidRPr="00181385">
        <w:tab/>
        <w:t xml:space="preserve">konstatuje, že v roce 2022 nebyl u Účetního dvora zaznamenán žádný případ </w:t>
      </w:r>
      <w:proofErr w:type="spellStart"/>
      <w:r w:rsidRPr="00181385">
        <w:t>whistleblowingu</w:t>
      </w:r>
      <w:proofErr w:type="spellEnd"/>
      <w:r w:rsidRPr="00181385">
        <w:t>;</w:t>
      </w:r>
    </w:p>
    <w:p w:rsidR="004A4719" w:rsidRPr="00181385" w:rsidRDefault="004A4719" w:rsidP="004A4719">
      <w:pPr>
        <w:pStyle w:val="NormalHanging12a"/>
        <w:rPr>
          <w:szCs w:val="24"/>
        </w:rPr>
      </w:pPr>
      <w:r w:rsidRPr="00181385">
        <w:t>47.</w:t>
      </w:r>
      <w:r w:rsidRPr="00181385">
        <w:tab/>
        <w:t>vyjadřuje politování nad tím, že na internetových stránkách Účetního dvora není k dispozici roční seznam smluv, včetně zakázek v hodnotě od 15 000 EUR do 60 000 EUR, které byly uzavřeny na základě vyjednávacího řízení v roce 2022, jak je uvedeno ve zprávě pověřené schvalující osoby; vyzývá Účetní dvůr, aby uvedený seznam zveřejnil v samostatném dokumentu a zajistil k němu snadný přístup;</w:t>
      </w:r>
    </w:p>
    <w:p w:rsidR="004A4719" w:rsidRPr="00AB2DB7" w:rsidRDefault="004A4719" w:rsidP="004A4719">
      <w:pPr>
        <w:spacing w:after="240"/>
        <w:rPr>
          <w:b/>
          <w:i/>
          <w:szCs w:val="24"/>
        </w:rPr>
      </w:pPr>
      <w:r w:rsidRPr="00AB2DB7">
        <w:rPr>
          <w:b/>
          <w:i/>
        </w:rPr>
        <w:t>Digitalizace, kybernetická bezpečnost a ochrana údajů</w:t>
      </w:r>
    </w:p>
    <w:p w:rsidR="004A4719" w:rsidRPr="00181385" w:rsidRDefault="004A4719" w:rsidP="004A4719">
      <w:pPr>
        <w:pStyle w:val="NormalHanging12a"/>
        <w:rPr>
          <w:szCs w:val="24"/>
        </w:rPr>
      </w:pPr>
      <w:r w:rsidRPr="00181385">
        <w:t>48.</w:t>
      </w:r>
      <w:r w:rsidRPr="00181385">
        <w:tab/>
        <w:t>oceňuje, že Účetní dvůr má rozsáhlý plán kybernetické bezpečnosti na období 2022–2024 a plánuje přehodnotit svůj rámec kybernetické bezpečnosti ke konci roku 2023, aby zajistil plný soulad s připravovaným nařízením, kterým se stanoví opatření pro vysokou společnou úroveň kybernetické bezpečnosti orgánů, institucí a jiných subjektů Unie; dále oceňuje, že Účetní dvůr přerušil smlouvu s dodavatelem, kterého koupila společnost ze Spojených států amerických, protože převzetí by mělo za následek změny ve způsobu zpracování osobních údajů;</w:t>
      </w:r>
    </w:p>
    <w:p w:rsidR="004A4719" w:rsidRPr="00181385" w:rsidRDefault="004A4719" w:rsidP="004A4719">
      <w:pPr>
        <w:pStyle w:val="NormalHanging12a"/>
        <w:rPr>
          <w:szCs w:val="24"/>
        </w:rPr>
      </w:pPr>
      <w:r w:rsidRPr="00181385">
        <w:t>49.</w:t>
      </w:r>
      <w:r w:rsidRPr="00181385">
        <w:tab/>
        <w:t xml:space="preserve">vítá, že Účetní dvůr v roce 2022 nezaznamenal žádné závažné kybernetické útoky a že nejnebezpečnější hrozbou byly i nadále </w:t>
      </w:r>
      <w:proofErr w:type="spellStart"/>
      <w:r w:rsidRPr="00181385">
        <w:t>phishingové</w:t>
      </w:r>
      <w:proofErr w:type="spellEnd"/>
      <w:r w:rsidRPr="00181385">
        <w:t xml:space="preserve"> e-maily; vybízí však Účetní dvůr, aby byl i nadále ostražitý a spolupracoval s příslušnými interinstitucionálními orgány Unie s cílem posílit celkovou kybernetickou bezpečnost orgánů Unie;</w:t>
      </w:r>
    </w:p>
    <w:p w:rsidR="004A4719" w:rsidRPr="00181385" w:rsidRDefault="004A4719" w:rsidP="004A4719">
      <w:pPr>
        <w:pStyle w:val="NormalHanging12a"/>
        <w:rPr>
          <w:szCs w:val="24"/>
        </w:rPr>
      </w:pPr>
      <w:r w:rsidRPr="00181385">
        <w:t>50.</w:t>
      </w:r>
      <w:r w:rsidRPr="00181385">
        <w:tab/>
        <w:t>konstatuje, že v roce 2022 evropský inspektor ochrany údajů nezahájil žádné šetření týkající se Účetního dvora, v žádném nepokračoval ani žádné neuzavřel;</w:t>
      </w:r>
    </w:p>
    <w:p w:rsidR="004A4719" w:rsidRPr="00181385" w:rsidRDefault="004A4719" w:rsidP="004A4719">
      <w:pPr>
        <w:pStyle w:val="NormalHanging12a"/>
        <w:rPr>
          <w:szCs w:val="24"/>
        </w:rPr>
      </w:pPr>
      <w:r w:rsidRPr="00181385">
        <w:t>51.</w:t>
      </w:r>
      <w:r w:rsidRPr="00181385">
        <w:tab/>
        <w:t>vítá veškeré úsilí o zlepšení digitalizace auditorské práce, a tím o zvýšení její efektivnosti a přesnosti; vítá zejména spuštění „datového skladu jako služby“ v říjnu 2022, který uživatelům umožňuje zpracovávat a analyzovat strukturovaná data s různou mírou autonomie; konstatuje, že digitalizace auditorské práce závisí nejen na samotném Účetním dvoře, ale do značné míry také na údajích, které poskytují auditované subjekty, a že stále existují omezení, pokud jde o formát údajů a různé používané systémy; dále oceňuje, že počet dnů auditů na místě v roce 2022 činil 2 984, což je výrazně více než v letech 2021 a 2020, které byly značně ovlivněny omezeními v důsledku pandemie COVID-19, a že přidaná hodnota a efektivnost kontrol na místě byla zvýšena jejich kombinací s prací prováděnou na dálku;</w:t>
      </w:r>
    </w:p>
    <w:p w:rsidR="004A4719" w:rsidRPr="00181385" w:rsidRDefault="004A4719" w:rsidP="004A4719">
      <w:pPr>
        <w:pStyle w:val="NormalHanging12a"/>
        <w:rPr>
          <w:szCs w:val="24"/>
        </w:rPr>
      </w:pPr>
      <w:r w:rsidRPr="00181385">
        <w:t>52.</w:t>
      </w:r>
      <w:r w:rsidRPr="00181385">
        <w:tab/>
        <w:t xml:space="preserve">konstatuje, že Účetní dvůr zavedl do svých systémů několik prvků softwaru s otevřeným zdrojovým kódem, včetně systémů Linux, </w:t>
      </w:r>
      <w:proofErr w:type="spellStart"/>
      <w:r w:rsidRPr="00181385">
        <w:t>Belenios</w:t>
      </w:r>
      <w:proofErr w:type="spellEnd"/>
      <w:r w:rsidRPr="00181385">
        <w:t xml:space="preserve"> a </w:t>
      </w:r>
      <w:proofErr w:type="spellStart"/>
      <w:r w:rsidRPr="00181385">
        <w:t>Nagios</w:t>
      </w:r>
      <w:proofErr w:type="spellEnd"/>
      <w:r w:rsidRPr="00181385">
        <w:t>; vybízí Účetní dvůr, aby pokud možno i nadále používal software s otevřeným zdrojovým kódem;</w:t>
      </w:r>
    </w:p>
    <w:p w:rsidR="004A4719" w:rsidRPr="00AB2DB7" w:rsidRDefault="004A4719" w:rsidP="004A4719">
      <w:pPr>
        <w:spacing w:after="240"/>
        <w:rPr>
          <w:b/>
          <w:bCs/>
          <w:i/>
          <w:iCs/>
          <w:szCs w:val="24"/>
        </w:rPr>
      </w:pPr>
      <w:r w:rsidRPr="00AB2DB7">
        <w:rPr>
          <w:b/>
          <w:i/>
        </w:rPr>
        <w:t>Budovy</w:t>
      </w:r>
    </w:p>
    <w:p w:rsidR="004A4719" w:rsidRPr="00181385" w:rsidRDefault="004A4719" w:rsidP="004A4719">
      <w:pPr>
        <w:pStyle w:val="NormalHanging12a"/>
        <w:rPr>
          <w:szCs w:val="24"/>
        </w:rPr>
      </w:pPr>
      <w:r w:rsidRPr="00181385">
        <w:t>53.</w:t>
      </w:r>
      <w:r w:rsidRPr="00181385">
        <w:tab/>
        <w:t>konstatuje, že Účetní dvůr provedl v průběhu roku 2022 významnou rekonstrukci budovy K2, která byla dokončena na začátku roku 2023 a zahrnovala rekonstrukci čtyř podlaží s cílem vytvořit moderní pracoviště, které zaměstnanci ocení a které je šetrnější k životnímu prostředí;</w:t>
      </w:r>
    </w:p>
    <w:p w:rsidR="004A4719" w:rsidRPr="00181385" w:rsidRDefault="004A4719" w:rsidP="004A4719">
      <w:pPr>
        <w:pStyle w:val="NormalHanging12a"/>
        <w:rPr>
          <w:szCs w:val="24"/>
        </w:rPr>
      </w:pPr>
      <w:r w:rsidRPr="00181385">
        <w:t>54.</w:t>
      </w:r>
      <w:r w:rsidRPr="00181385">
        <w:tab/>
        <w:t>oceňuje, že Účetní dvůr v roce 2022 zahájil audit přístupnosti všech svých budov s cílem zlepšit přístupnost a reagovat na potřeby osob s omezenou schopností pohybu a orientace nebo s jiným zdravotním postižením, přičemž tento audit byl proveden na začátku roku 2023; žádá Účetní dvůr, aby Parlament průběžně informoval o konkrétních iniciativách k provedení opatření navržených v rámci auditu;</w:t>
      </w:r>
    </w:p>
    <w:p w:rsidR="004A4719" w:rsidRPr="00AB2DB7" w:rsidRDefault="004A4719" w:rsidP="004A4719">
      <w:pPr>
        <w:spacing w:after="240"/>
        <w:rPr>
          <w:b/>
          <w:i/>
          <w:szCs w:val="24"/>
        </w:rPr>
      </w:pPr>
      <w:r w:rsidRPr="00AB2DB7">
        <w:rPr>
          <w:b/>
          <w:i/>
        </w:rPr>
        <w:t>Životní prostředí a udržitelnost</w:t>
      </w:r>
    </w:p>
    <w:p w:rsidR="004A4719" w:rsidRPr="00181385" w:rsidRDefault="004A4719" w:rsidP="004A4719">
      <w:pPr>
        <w:pStyle w:val="NormalHanging12a"/>
        <w:rPr>
          <w:szCs w:val="24"/>
        </w:rPr>
      </w:pPr>
      <w:r w:rsidRPr="00181385">
        <w:t>55.</w:t>
      </w:r>
      <w:r w:rsidRPr="00181385">
        <w:tab/>
        <w:t>vítá, že Účetní dvůr v roce 2022 předložil svou druhou výroční zprávu o environmentální udržitelnosti svých činností v souladu s mezinárodně uznávanými standardy podávání zpráv;</w:t>
      </w:r>
    </w:p>
    <w:p w:rsidR="004A4719" w:rsidRPr="00181385" w:rsidRDefault="004A4719" w:rsidP="004A4719">
      <w:pPr>
        <w:pStyle w:val="NormalHanging12a"/>
        <w:rPr>
          <w:szCs w:val="24"/>
        </w:rPr>
      </w:pPr>
      <w:r w:rsidRPr="00181385">
        <w:t>56.</w:t>
      </w:r>
      <w:r w:rsidRPr="00181385">
        <w:tab/>
        <w:t>konstatuje, že Účetní dvůr dosáhl od roku 2014 působivých výsledků v několika oblastech, pokud jde o snížení obecné spotřeby, přičemž spotřeba elektřiny se snížila o 34,5 %, spotřeba tepla o 22,2 %, spotřeba papíru o 83,5 %, spotřeba vody o 45,3 %, emise skleníkových plynů o 29,5 % a množství odpadu o 33,7 %; vybízí Účetní dvůr, aby pokračoval ve svém úsilí o další snižování spotřeby těchto vstupů, a vítá, že Účetní dvůr zahájil v roce 2023 studii týkající se budovy K2 s cílem renovovat střechu a instalovat solární panely;</w:t>
      </w:r>
    </w:p>
    <w:p w:rsidR="004A4719" w:rsidRPr="00181385" w:rsidRDefault="004A4719" w:rsidP="004A4719">
      <w:pPr>
        <w:pStyle w:val="NormalHanging12a"/>
        <w:rPr>
          <w:szCs w:val="24"/>
        </w:rPr>
      </w:pPr>
      <w:r w:rsidRPr="00181385">
        <w:t>57.</w:t>
      </w:r>
      <w:r w:rsidRPr="00181385">
        <w:tab/>
        <w:t xml:space="preserve">vítá, že Účetní dvůr přijal několik iniciativ na podporu udržitelné mobility, včetně posílení kyvadlové dopravy Účetního dvora, poskytnutí bezplatného předplatného na výpůjční službu jízdních kol města Lucemburk zaměstnancům, zvýšení počtu parkovacích míst pro jízdní kola, včetně míst pro </w:t>
      </w:r>
      <w:proofErr w:type="spellStart"/>
      <w:r w:rsidRPr="00181385">
        <w:t>elektrokola</w:t>
      </w:r>
      <w:proofErr w:type="spellEnd"/>
      <w:r w:rsidRPr="00181385">
        <w:t>, a instalace nabíječek pro hybridní automobily a elektromobily; vyzývá Účetní dvůr, aby dále podporoval udržitelnou mobilitu, mimo jiné výměnou osvědčených postupů s jinými institucemi, a aby Parlament informoval o dalších iniciativách;</w:t>
      </w:r>
    </w:p>
    <w:p w:rsidR="004A4719" w:rsidRPr="00181385" w:rsidRDefault="004A4719" w:rsidP="004A4719">
      <w:pPr>
        <w:pStyle w:val="NormalHanging12a"/>
        <w:rPr>
          <w:szCs w:val="24"/>
        </w:rPr>
      </w:pPr>
      <w:r w:rsidRPr="00181385">
        <w:t>58.</w:t>
      </w:r>
      <w:r w:rsidRPr="00181385">
        <w:tab/>
        <w:t>poznamenává, že Účetní dvůr bude analyzovat, jak začlenit environmentální aspekty služebních cest do aktualizovaných pokynů pro služební cesty; dále bere na vědomí, že pro období 2023–2025 bylo navrženo snížení počtu služebních cest na ekvivalent plného pracovního úvazku o 5 %; vyzývá Účetní dvůr, aby se pokusil tento cíl splnit a zároveň zajistil provedení nezbytných pracovních cest za účelem auditu;</w:t>
      </w:r>
    </w:p>
    <w:p w:rsidR="004A4719" w:rsidRPr="00AB2DB7" w:rsidRDefault="004A4719" w:rsidP="004A4719">
      <w:pPr>
        <w:spacing w:after="240"/>
        <w:rPr>
          <w:b/>
          <w:i/>
          <w:szCs w:val="24"/>
        </w:rPr>
      </w:pPr>
      <w:r w:rsidRPr="00AB2DB7">
        <w:rPr>
          <w:b/>
          <w:i/>
        </w:rPr>
        <w:t>Interinstitucionální spolupráce</w:t>
      </w:r>
    </w:p>
    <w:p w:rsidR="004A4719" w:rsidRPr="00181385" w:rsidRDefault="004A4719" w:rsidP="004A4719">
      <w:pPr>
        <w:pStyle w:val="NormalHanging12a"/>
        <w:rPr>
          <w:szCs w:val="24"/>
        </w:rPr>
      </w:pPr>
      <w:r w:rsidRPr="00181385">
        <w:t>59.</w:t>
      </w:r>
      <w:r w:rsidRPr="00181385">
        <w:tab/>
        <w:t>konstatuje, že v průběhu roku 2022 bylo aktualizováno několik meziútvarových dohod a dalších interinstitucionálních dohod o spolupráci, včetně dohod s Úřadem Komise pro vyšetřování a disciplinární opatření a Překladatelským střediskem pro instituce Evropské unie;</w:t>
      </w:r>
    </w:p>
    <w:p w:rsidR="004A4719" w:rsidRPr="00181385" w:rsidRDefault="004A4719" w:rsidP="004A4719">
      <w:pPr>
        <w:pStyle w:val="NormalHanging12a"/>
        <w:rPr>
          <w:szCs w:val="24"/>
        </w:rPr>
      </w:pPr>
      <w:r w:rsidRPr="00181385">
        <w:t>60.</w:t>
      </w:r>
      <w:r w:rsidRPr="00181385">
        <w:tab/>
        <w:t>bere na vědomí trojstrannou dohodu mezi Účetním dvorem, Komisí a Evropskou investiční bankou (dále jen „EIB“) z listopadu 2021; vítá, že Účetní dvůr je toho názoru, že tato dohoda vyjasnila a zefektivnila některé postupy a že Účetní dvůr získal lepší přístup k informacím, které se týkají operací financovaných nebo zaručených z rozpočtu Unie; lituje však, že tato dohoda minimálně nezajišťuje, aby Účetní dvůr mohl kontrolovat výkonnostní aspekty činností prováděných při provádění politik Unie;</w:t>
      </w:r>
    </w:p>
    <w:p w:rsidR="004A4719" w:rsidRPr="00181385" w:rsidRDefault="004A4719" w:rsidP="004A4719">
      <w:pPr>
        <w:pStyle w:val="NormalHanging12a"/>
        <w:rPr>
          <w:szCs w:val="24"/>
        </w:rPr>
      </w:pPr>
      <w:r w:rsidRPr="00181385">
        <w:t>61.</w:t>
      </w:r>
      <w:r w:rsidRPr="00181385">
        <w:tab/>
        <w:t>zdůrazňuje, že Parlament je zásadně toho názoru, že současná omezení úlohy Účetního dvora jako auditora EIB vytvářejí mezeru v regulaci a dohledu a že by Účetní dvůr měl mít možnost kontrolovat všechny operace skupiny EIB; zároveň zdůrazňuje, že Parlament jako demokraticky zvolený orgán by měl být pověřen udělením absolutoria EIB, aby se posílila demokratická legitimita tohoto významného orgánu Unie, a tím se zlepšila transparentnost a odpovědnost a řádná správa finančních a lidských zdrojů;</w:t>
      </w:r>
    </w:p>
    <w:p w:rsidR="004A4719" w:rsidRPr="00181385" w:rsidRDefault="004A4719" w:rsidP="004A4719">
      <w:pPr>
        <w:pStyle w:val="NormalHanging12a"/>
        <w:rPr>
          <w:szCs w:val="24"/>
        </w:rPr>
      </w:pPr>
      <w:r w:rsidRPr="00181385">
        <w:t>62.</w:t>
      </w:r>
      <w:r w:rsidRPr="00181385">
        <w:tab/>
        <w:t>vítá skutečnost, že Účetní dvůr úzce spolupracuje s úřadem OLAF i s Úřadem evropského veřejného žalobce (EPPO), mimo jiné prostřednictvím pořádání seminářů, osvětových akcí a výměny znalostí a zkušeností; dále s uznáním konstatuje, že Účetní dvůr v roce 2022 předal 14 případů podezření na podvod úřadu OLAF a 6 případů úřadu EPPO; zdůrazňuje svůj názor, že podezření na podvod by mělo být vždy předáno úřadu OLAF a úřadu EPPO za účelem důkladného vyšetření;</w:t>
      </w:r>
    </w:p>
    <w:p w:rsidR="004A4719" w:rsidRPr="00181385" w:rsidRDefault="004A4719" w:rsidP="004A4719">
      <w:pPr>
        <w:pStyle w:val="NormalHanging12a"/>
        <w:rPr>
          <w:szCs w:val="24"/>
        </w:rPr>
      </w:pPr>
      <w:r w:rsidRPr="00181385">
        <w:t>63.</w:t>
      </w:r>
      <w:r w:rsidRPr="00181385">
        <w:tab/>
        <w:t>konstatuje, že Účetní dvůr spolupracuje s evropským inspektorem ochrany údajů prostřednictvím svého pověřence pro ochranu osobních údajů a konzultuje s ním otázky týkající se ochrany údajů a že v roce 2022 byl uzavřen jeden případ týkající se porušení ochrany osobních údajů, a to s několika doporučeními; vítá, že pověřenec Účetního dvora pro ochranu osobních údajů se účastní sítě inspektorů ochrany údajů, která se zabývá opakujícími se otázkami, sdílí příklady osvědčených postupů a pomáhá organizovat setkání pověřenců pro ochranu osobních údajů, které se koná každé dva roky;</w:t>
      </w:r>
    </w:p>
    <w:p w:rsidR="004A4719" w:rsidRPr="00181385" w:rsidRDefault="004A4719" w:rsidP="004A4719">
      <w:pPr>
        <w:pStyle w:val="NormalHanging12a"/>
        <w:rPr>
          <w:szCs w:val="24"/>
        </w:rPr>
      </w:pPr>
      <w:r w:rsidRPr="00181385">
        <w:t>64.</w:t>
      </w:r>
      <w:r w:rsidRPr="00181385">
        <w:tab/>
        <w:t>konstatuje, že Účetní dvůr spolupracuje s evropským veřejným ochráncem práv a poskytl všechny informace požadované v rámci šetření, která evropský veřejný ochránce práv zahájil; vítá, že se Účetní dvůr účastní interinstitucionálních diskusí o moderní komunikaci, včetně výměny rychlých zpráv, a že se v této oblasti řídí pokyny evropského veřejného ochránce práv;</w:t>
      </w:r>
    </w:p>
    <w:p w:rsidR="004A4719" w:rsidRPr="00AB2DB7" w:rsidRDefault="004A4719" w:rsidP="004A4719">
      <w:pPr>
        <w:spacing w:after="240"/>
        <w:rPr>
          <w:b/>
          <w:i/>
          <w:szCs w:val="24"/>
        </w:rPr>
      </w:pPr>
      <w:r w:rsidRPr="00AB2DB7">
        <w:rPr>
          <w:b/>
          <w:i/>
        </w:rPr>
        <w:t>Komunikační činnost</w:t>
      </w:r>
    </w:p>
    <w:p w:rsidR="004A4719" w:rsidRPr="00181385" w:rsidRDefault="004A4719" w:rsidP="004A4719">
      <w:pPr>
        <w:pStyle w:val="NormalHanging12a"/>
        <w:rPr>
          <w:szCs w:val="24"/>
        </w:rPr>
      </w:pPr>
      <w:r w:rsidRPr="00181385">
        <w:t>65.</w:t>
      </w:r>
      <w:r w:rsidRPr="00181385">
        <w:tab/>
        <w:t>vítá, že Účetní dvůr přijal v lednu 2022 novou komunikační strategii, která staví širokou veřejnost do centra jeho komunikačního úsilí, a oceňuje, že Účetní dvůr je nyní schopen pořádat tiskové brífinky a konference přenášené přes internet na dobré technické úrovni; dále vítá, že Účetní dvůr v roce 2023 aktualizoval své internetové stránky, aby poskytl uživatelům lepší zážitek, a vytvořil portál, který může zpřístupnit údaje týkající se auditů širokému publiku včetně studentů, akademické obce a široké veřejnosti.</w:t>
      </w:r>
    </w:p>
    <w:p w:rsidR="004A4719" w:rsidRPr="00181385" w:rsidRDefault="004A4719" w:rsidP="004A4719"/>
    <w:sectPr w:rsidR="004A4719" w:rsidRPr="00181385" w:rsidSect="00181385">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07A4" w:rsidRPr="00181385" w:rsidRDefault="00EB07A4">
      <w:r w:rsidRPr="00181385">
        <w:separator/>
      </w:r>
    </w:p>
  </w:endnote>
  <w:endnote w:type="continuationSeparator" w:id="0">
    <w:p w:rsidR="00EB07A4" w:rsidRPr="00181385" w:rsidRDefault="00EB07A4">
      <w:r w:rsidRPr="0018138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4719" w:rsidRPr="00181385" w:rsidRDefault="004A4719" w:rsidP="002A49E8">
    <w:pPr>
      <w:pStyle w:val="EPFooter"/>
    </w:pPr>
    <w:r w:rsidRPr="00181385">
      <w:t>PE</w:t>
    </w:r>
    <w:r w:rsidRPr="00181385">
      <w:rPr>
        <w:rStyle w:val="HideTWBExt"/>
      </w:rPr>
      <w:t>&lt;</w:t>
    </w:r>
    <w:proofErr w:type="spellStart"/>
    <w:r w:rsidRPr="00181385">
      <w:rPr>
        <w:rStyle w:val="HideTWBExt"/>
      </w:rPr>
      <w:t>NoPE</w:t>
    </w:r>
    <w:proofErr w:type="spellEnd"/>
    <w:r w:rsidRPr="00181385">
      <w:rPr>
        <w:rStyle w:val="HideTWBExt"/>
      </w:rPr>
      <w:t>&gt;</w:t>
    </w:r>
    <w:r w:rsidRPr="00181385">
      <w:t>753.481</w:t>
    </w:r>
    <w:r w:rsidRPr="00181385">
      <w:rPr>
        <w:rStyle w:val="HideTWBExt"/>
      </w:rPr>
      <w:t>&lt;/</w:t>
    </w:r>
    <w:proofErr w:type="spellStart"/>
    <w:r w:rsidRPr="00181385">
      <w:rPr>
        <w:rStyle w:val="HideTWBExt"/>
      </w:rPr>
      <w:t>NoPE</w:t>
    </w:r>
    <w:proofErr w:type="spellEnd"/>
    <w:r w:rsidRPr="00181385">
      <w:rPr>
        <w:rStyle w:val="HideTWBExt"/>
      </w:rPr>
      <w:t>&gt;&lt;Version&gt;</w:t>
    </w:r>
    <w:r w:rsidRPr="00181385">
      <w:t>v02-00</w:t>
    </w:r>
    <w:r w:rsidRPr="00181385">
      <w:rPr>
        <w:rStyle w:val="HideTWBExt"/>
      </w:rPr>
      <w:t>&lt;/</w:t>
    </w:r>
    <w:proofErr w:type="spellStart"/>
    <w:r w:rsidRPr="00181385">
      <w:rPr>
        <w:rStyle w:val="HideTWBExt"/>
      </w:rPr>
      <w:t>Version</w:t>
    </w:r>
    <w:proofErr w:type="spellEnd"/>
    <w:r w:rsidRPr="00181385">
      <w:rPr>
        <w:rStyle w:val="HideTWBExt"/>
      </w:rPr>
      <w:t>&gt;</w:t>
    </w:r>
    <w:r w:rsidRPr="00181385">
      <w:tab/>
    </w:r>
    <w:r w:rsidRPr="00181385">
      <w:fldChar w:fldCharType="begin"/>
    </w:r>
    <w:r w:rsidRPr="00181385">
      <w:instrText xml:space="preserve"> PAGE  \* MERGEFORMAT </w:instrText>
    </w:r>
    <w:r w:rsidRPr="00181385">
      <w:fldChar w:fldCharType="separate"/>
    </w:r>
    <w:r w:rsidRPr="00181385">
      <w:rPr>
        <w:noProof/>
      </w:rPr>
      <w:t>2</w:t>
    </w:r>
    <w:r w:rsidRPr="00181385">
      <w:fldChar w:fldCharType="end"/>
    </w:r>
    <w:r w:rsidRPr="00181385">
      <w:t>/</w:t>
    </w:r>
    <w:fldSimple w:instr=" NUMPAGES  \* MERGEFORMAT ">
      <w:r w:rsidRPr="00181385">
        <w:rPr>
          <w:noProof/>
        </w:rPr>
        <w:t>2</w:t>
      </w:r>
    </w:fldSimple>
    <w:r w:rsidRPr="00181385">
      <w:tab/>
    </w:r>
    <w:r w:rsidRPr="00181385">
      <w:rPr>
        <w:rStyle w:val="HideTWBExt"/>
      </w:rPr>
      <w:t>&lt;PathFdR&gt;</w:t>
    </w:r>
    <w:r w:rsidRPr="00181385">
      <w:t>RR\1298500CS.docx</w:t>
    </w:r>
    <w:r w:rsidRPr="00181385">
      <w:rPr>
        <w:rStyle w:val="HideTWBExt"/>
      </w:rPr>
      <w:t>&lt;/</w:t>
    </w:r>
    <w:proofErr w:type="spellStart"/>
    <w:r w:rsidRPr="00181385">
      <w:rPr>
        <w:rStyle w:val="HideTWBExt"/>
      </w:rPr>
      <w:t>PathFdR</w:t>
    </w:r>
    <w:proofErr w:type="spellEnd"/>
    <w:r w:rsidRPr="00181385">
      <w:rPr>
        <w:rStyle w:val="HideTWBExt"/>
      </w:rPr>
      <w:t>&gt;</w:t>
    </w:r>
  </w:p>
  <w:p w:rsidR="004A4719" w:rsidRPr="00181385" w:rsidRDefault="004A4719" w:rsidP="002A49E8">
    <w:pPr>
      <w:pStyle w:val="EPFooter2"/>
    </w:pPr>
    <w:r w:rsidRPr="00181385">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4719" w:rsidRPr="00181385" w:rsidRDefault="004A4719" w:rsidP="002A49E8">
    <w:pPr>
      <w:pStyle w:val="EPFooter"/>
    </w:pPr>
    <w:r w:rsidRPr="00181385">
      <w:rPr>
        <w:rStyle w:val="HideTWBExt"/>
      </w:rPr>
      <w:t>&lt;PathFdR&gt;</w:t>
    </w:r>
    <w:r w:rsidRPr="00181385">
      <w:t>RR\1298500CS.docx</w:t>
    </w:r>
    <w:r w:rsidRPr="00181385">
      <w:rPr>
        <w:rStyle w:val="HideTWBExt"/>
      </w:rPr>
      <w:t>&lt;/</w:t>
    </w:r>
    <w:proofErr w:type="spellStart"/>
    <w:r w:rsidRPr="00181385">
      <w:rPr>
        <w:rStyle w:val="HideTWBExt"/>
      </w:rPr>
      <w:t>PathFdR</w:t>
    </w:r>
    <w:proofErr w:type="spellEnd"/>
    <w:r w:rsidRPr="00181385">
      <w:rPr>
        <w:rStyle w:val="HideTWBExt"/>
      </w:rPr>
      <w:t>&gt;</w:t>
    </w:r>
    <w:r w:rsidRPr="00181385">
      <w:tab/>
    </w:r>
    <w:r w:rsidRPr="00181385">
      <w:tab/>
      <w:t>PE</w:t>
    </w:r>
    <w:r w:rsidRPr="00181385">
      <w:rPr>
        <w:rStyle w:val="HideTWBExt"/>
      </w:rPr>
      <w:t>&lt;</w:t>
    </w:r>
    <w:proofErr w:type="spellStart"/>
    <w:r w:rsidRPr="00181385">
      <w:rPr>
        <w:rStyle w:val="HideTWBExt"/>
      </w:rPr>
      <w:t>NoPE</w:t>
    </w:r>
    <w:proofErr w:type="spellEnd"/>
    <w:r w:rsidRPr="00181385">
      <w:rPr>
        <w:rStyle w:val="HideTWBExt"/>
      </w:rPr>
      <w:t>&gt;</w:t>
    </w:r>
    <w:r w:rsidRPr="00181385">
      <w:t>753.481</w:t>
    </w:r>
    <w:r w:rsidRPr="00181385">
      <w:rPr>
        <w:rStyle w:val="HideTWBExt"/>
      </w:rPr>
      <w:t>&lt;/</w:t>
    </w:r>
    <w:proofErr w:type="spellStart"/>
    <w:r w:rsidRPr="00181385">
      <w:rPr>
        <w:rStyle w:val="HideTWBExt"/>
      </w:rPr>
      <w:t>NoPE</w:t>
    </w:r>
    <w:proofErr w:type="spellEnd"/>
    <w:r w:rsidRPr="00181385">
      <w:rPr>
        <w:rStyle w:val="HideTWBExt"/>
      </w:rPr>
      <w:t>&gt;&lt;Version&gt;</w:t>
    </w:r>
    <w:r w:rsidRPr="00181385">
      <w:t>v02-00</w:t>
    </w:r>
    <w:r w:rsidRPr="00181385">
      <w:rPr>
        <w:rStyle w:val="HideTWBExt"/>
      </w:rPr>
      <w:t>&lt;/</w:t>
    </w:r>
    <w:proofErr w:type="spellStart"/>
    <w:r w:rsidRPr="00181385">
      <w:rPr>
        <w:rStyle w:val="HideTWBExt"/>
      </w:rPr>
      <w:t>Version</w:t>
    </w:r>
    <w:proofErr w:type="spellEnd"/>
    <w:r w:rsidRPr="00181385">
      <w:rPr>
        <w:rStyle w:val="HideTWBExt"/>
      </w:rPr>
      <w:t>&gt;</w:t>
    </w:r>
  </w:p>
  <w:p w:rsidR="004A4719" w:rsidRPr="00181385" w:rsidRDefault="004A4719" w:rsidP="002A49E8">
    <w:pPr>
      <w:pStyle w:val="EPFooter2"/>
    </w:pPr>
    <w:r w:rsidRPr="00181385">
      <w:t>CS</w:t>
    </w:r>
    <w:r w:rsidRPr="00181385">
      <w:tab/>
    </w:r>
    <w:r w:rsidRPr="00181385">
      <w:rPr>
        <w:b w:val="0"/>
        <w:i/>
        <w:color w:val="C0C0C0"/>
        <w:sz w:val="22"/>
      </w:rPr>
      <w:t>Jednotná v rozmanitosti</w:t>
    </w:r>
    <w:r w:rsidRPr="00181385">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81385"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81385"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8138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07A4" w:rsidRPr="00181385" w:rsidRDefault="00EB07A4">
      <w:r w:rsidRPr="00181385">
        <w:separator/>
      </w:r>
    </w:p>
  </w:footnote>
  <w:footnote w:type="continuationSeparator" w:id="0">
    <w:p w:rsidR="00EB07A4" w:rsidRPr="00181385" w:rsidRDefault="00EB07A4">
      <w:r w:rsidRPr="00181385">
        <w:continuationSeparator/>
      </w:r>
    </w:p>
  </w:footnote>
  <w:footnote w:id="1">
    <w:p w:rsidR="004A4719" w:rsidRPr="00181385" w:rsidRDefault="004A4719" w:rsidP="00181385">
      <w:pPr>
        <w:pStyle w:val="FootnoteText"/>
        <w:ind w:left="567" w:hanging="567"/>
        <w:rPr>
          <w:sz w:val="24"/>
          <w:lang w:val="cs-CZ"/>
        </w:rPr>
      </w:pPr>
      <w:r w:rsidRPr="00181385">
        <w:rPr>
          <w:rStyle w:val="FootnoteReference"/>
          <w:sz w:val="24"/>
          <w:lang w:val="cs-CZ"/>
        </w:rPr>
        <w:footnoteRef/>
      </w:r>
      <w:r w:rsidR="00181385" w:rsidRPr="00181385">
        <w:rPr>
          <w:sz w:val="24"/>
          <w:lang w:val="cs-CZ"/>
        </w:rPr>
        <w:t xml:space="preserve"> </w:t>
      </w:r>
      <w:r w:rsidR="00181385" w:rsidRPr="00181385">
        <w:rPr>
          <w:sz w:val="24"/>
          <w:lang w:val="cs-CZ"/>
        </w:rPr>
        <w:tab/>
      </w:r>
      <w:proofErr w:type="spellStart"/>
      <w:r w:rsidRPr="00181385">
        <w:rPr>
          <w:sz w:val="24"/>
          <w:lang w:val="cs-CZ"/>
        </w:rPr>
        <w:t>Úř</w:t>
      </w:r>
      <w:proofErr w:type="spellEnd"/>
      <w:r w:rsidRPr="00181385">
        <w:rPr>
          <w:sz w:val="24"/>
          <w:lang w:val="cs-CZ"/>
        </w:rPr>
        <w:t xml:space="preserve">. </w:t>
      </w:r>
      <w:proofErr w:type="spellStart"/>
      <w:proofErr w:type="gramStart"/>
      <w:r w:rsidRPr="00181385">
        <w:rPr>
          <w:sz w:val="24"/>
          <w:lang w:val="cs-CZ"/>
        </w:rPr>
        <w:t>věst</w:t>
      </w:r>
      <w:proofErr w:type="spellEnd"/>
      <w:proofErr w:type="gramEnd"/>
      <w:r w:rsidRPr="00181385">
        <w:rPr>
          <w:sz w:val="24"/>
          <w:lang w:val="cs-CZ"/>
        </w:rPr>
        <w:t xml:space="preserve">. L 45, </w:t>
      </w:r>
      <w:proofErr w:type="gramStart"/>
      <w:r w:rsidRPr="00181385">
        <w:rPr>
          <w:sz w:val="24"/>
          <w:lang w:val="cs-CZ"/>
        </w:rPr>
        <w:t>24.2.2022</w:t>
      </w:r>
      <w:proofErr w:type="gramEnd"/>
      <w:r w:rsidRPr="00181385">
        <w:rPr>
          <w:sz w:val="24"/>
          <w:lang w:val="cs-CZ"/>
        </w:rPr>
        <w:t>.</w:t>
      </w:r>
    </w:p>
  </w:footnote>
  <w:footnote w:id="2">
    <w:p w:rsidR="004A4719" w:rsidRPr="00181385" w:rsidRDefault="004A4719" w:rsidP="00181385">
      <w:pPr>
        <w:pStyle w:val="FootnoteText"/>
        <w:ind w:left="567" w:hanging="567"/>
        <w:rPr>
          <w:sz w:val="24"/>
          <w:lang w:val="cs-CZ"/>
        </w:rPr>
      </w:pPr>
      <w:r w:rsidRPr="00181385">
        <w:rPr>
          <w:rStyle w:val="FootnoteReference"/>
          <w:sz w:val="24"/>
          <w:lang w:val="cs-CZ"/>
        </w:rPr>
        <w:footnoteRef/>
      </w:r>
      <w:r w:rsidR="00181385" w:rsidRPr="00181385">
        <w:rPr>
          <w:sz w:val="24"/>
          <w:lang w:val="cs-CZ"/>
        </w:rPr>
        <w:t xml:space="preserve"> </w:t>
      </w:r>
      <w:r w:rsidR="00181385" w:rsidRPr="00181385">
        <w:rPr>
          <w:sz w:val="24"/>
          <w:lang w:val="cs-CZ"/>
        </w:rPr>
        <w:tab/>
      </w:r>
      <w:proofErr w:type="spellStart"/>
      <w:r w:rsidRPr="00181385">
        <w:rPr>
          <w:sz w:val="24"/>
          <w:lang w:val="cs-CZ"/>
        </w:rPr>
        <w:t>Úř</w:t>
      </w:r>
      <w:proofErr w:type="spellEnd"/>
      <w:r w:rsidRPr="00181385">
        <w:rPr>
          <w:sz w:val="24"/>
          <w:lang w:val="cs-CZ"/>
        </w:rPr>
        <w:t xml:space="preserve">. </w:t>
      </w:r>
      <w:proofErr w:type="spellStart"/>
      <w:proofErr w:type="gramStart"/>
      <w:r w:rsidRPr="00181385">
        <w:rPr>
          <w:sz w:val="24"/>
          <w:lang w:val="cs-CZ"/>
        </w:rPr>
        <w:t>věst</w:t>
      </w:r>
      <w:proofErr w:type="spellEnd"/>
      <w:proofErr w:type="gramEnd"/>
      <w:r w:rsidRPr="00181385">
        <w:rPr>
          <w:sz w:val="24"/>
          <w:lang w:val="cs-CZ"/>
        </w:rPr>
        <w:t xml:space="preserve">. C, C/2023/2, </w:t>
      </w:r>
      <w:proofErr w:type="gramStart"/>
      <w:r w:rsidRPr="00181385">
        <w:rPr>
          <w:sz w:val="24"/>
          <w:lang w:val="cs-CZ"/>
        </w:rPr>
        <w:t>12.10.2023</w:t>
      </w:r>
      <w:proofErr w:type="gramEnd"/>
      <w:r w:rsidRPr="00181385">
        <w:rPr>
          <w:sz w:val="24"/>
          <w:lang w:val="cs-CZ"/>
        </w:rPr>
        <w:t>.</w:t>
      </w:r>
    </w:p>
  </w:footnote>
  <w:footnote w:id="3">
    <w:p w:rsidR="004A4719" w:rsidRPr="00181385" w:rsidRDefault="004A4719" w:rsidP="00181385">
      <w:pPr>
        <w:pStyle w:val="FootnoteText"/>
        <w:ind w:left="567" w:hanging="567"/>
        <w:rPr>
          <w:sz w:val="24"/>
          <w:lang w:val="cs-CZ"/>
        </w:rPr>
      </w:pPr>
      <w:r w:rsidRPr="00181385">
        <w:rPr>
          <w:rStyle w:val="FootnoteReference"/>
          <w:sz w:val="24"/>
          <w:lang w:val="cs-CZ"/>
        </w:rPr>
        <w:footnoteRef/>
      </w:r>
      <w:r w:rsidR="00181385" w:rsidRPr="00181385">
        <w:rPr>
          <w:sz w:val="24"/>
          <w:lang w:val="cs-CZ"/>
        </w:rPr>
        <w:t xml:space="preserve"> </w:t>
      </w:r>
      <w:r w:rsidR="00181385" w:rsidRPr="00181385">
        <w:rPr>
          <w:sz w:val="24"/>
          <w:lang w:val="cs-CZ"/>
        </w:rPr>
        <w:tab/>
      </w:r>
      <w:proofErr w:type="spellStart"/>
      <w:r w:rsidRPr="00181385">
        <w:rPr>
          <w:sz w:val="24"/>
          <w:lang w:val="cs-CZ"/>
        </w:rPr>
        <w:t>Úř</w:t>
      </w:r>
      <w:proofErr w:type="spellEnd"/>
      <w:r w:rsidRPr="00181385">
        <w:rPr>
          <w:sz w:val="24"/>
          <w:lang w:val="cs-CZ"/>
        </w:rPr>
        <w:t xml:space="preserve">. </w:t>
      </w:r>
      <w:proofErr w:type="spellStart"/>
      <w:proofErr w:type="gramStart"/>
      <w:r w:rsidRPr="00181385">
        <w:rPr>
          <w:sz w:val="24"/>
          <w:lang w:val="cs-CZ"/>
        </w:rPr>
        <w:t>věst</w:t>
      </w:r>
      <w:proofErr w:type="spellEnd"/>
      <w:proofErr w:type="gramEnd"/>
      <w:r w:rsidRPr="00181385">
        <w:rPr>
          <w:sz w:val="24"/>
          <w:lang w:val="cs-CZ"/>
        </w:rPr>
        <w:t xml:space="preserve">. C, C/2023/103, </w:t>
      </w:r>
      <w:proofErr w:type="gramStart"/>
      <w:r w:rsidRPr="00181385">
        <w:rPr>
          <w:sz w:val="24"/>
          <w:lang w:val="cs-CZ"/>
        </w:rPr>
        <w:t>4.10.2023</w:t>
      </w:r>
      <w:proofErr w:type="gramEnd"/>
      <w:r w:rsidRPr="00181385">
        <w:rPr>
          <w:sz w:val="24"/>
          <w:lang w:val="cs-CZ"/>
        </w:rPr>
        <w:t>.</w:t>
      </w:r>
    </w:p>
  </w:footnote>
  <w:footnote w:id="4">
    <w:p w:rsidR="004A4719" w:rsidRPr="00181385" w:rsidRDefault="004A4719" w:rsidP="00181385">
      <w:pPr>
        <w:pStyle w:val="FootnoteText"/>
        <w:ind w:left="567" w:hanging="567"/>
        <w:rPr>
          <w:sz w:val="24"/>
          <w:lang w:val="cs-CZ"/>
        </w:rPr>
      </w:pPr>
      <w:r w:rsidRPr="00181385">
        <w:rPr>
          <w:rStyle w:val="FootnoteReference"/>
          <w:sz w:val="24"/>
          <w:lang w:val="cs-CZ"/>
        </w:rPr>
        <w:footnoteRef/>
      </w:r>
      <w:r w:rsidR="00181385" w:rsidRPr="00181385">
        <w:rPr>
          <w:sz w:val="24"/>
          <w:lang w:val="cs-CZ"/>
        </w:rPr>
        <w:t xml:space="preserve"> </w:t>
      </w:r>
      <w:r w:rsidR="00181385" w:rsidRPr="00181385">
        <w:rPr>
          <w:sz w:val="24"/>
          <w:lang w:val="cs-CZ"/>
        </w:rPr>
        <w:tab/>
      </w:r>
      <w:proofErr w:type="spellStart"/>
      <w:r w:rsidRPr="00181385">
        <w:rPr>
          <w:sz w:val="24"/>
          <w:lang w:val="cs-CZ"/>
        </w:rPr>
        <w:t>Úř</w:t>
      </w:r>
      <w:proofErr w:type="spellEnd"/>
      <w:r w:rsidRPr="00181385">
        <w:rPr>
          <w:sz w:val="24"/>
          <w:lang w:val="cs-CZ"/>
        </w:rPr>
        <w:t xml:space="preserve">. </w:t>
      </w:r>
      <w:proofErr w:type="spellStart"/>
      <w:proofErr w:type="gramStart"/>
      <w:r w:rsidRPr="00181385">
        <w:rPr>
          <w:sz w:val="24"/>
          <w:lang w:val="cs-CZ"/>
        </w:rPr>
        <w:t>věst</w:t>
      </w:r>
      <w:proofErr w:type="spellEnd"/>
      <w:proofErr w:type="gramEnd"/>
      <w:r w:rsidRPr="00181385">
        <w:rPr>
          <w:sz w:val="24"/>
          <w:lang w:val="cs-CZ"/>
        </w:rPr>
        <w:t xml:space="preserve">. C, C/2023/112, </w:t>
      </w:r>
      <w:proofErr w:type="gramStart"/>
      <w:r w:rsidRPr="00181385">
        <w:rPr>
          <w:sz w:val="24"/>
          <w:lang w:val="cs-CZ"/>
        </w:rPr>
        <w:t>12.10.2023</w:t>
      </w:r>
      <w:proofErr w:type="gramEnd"/>
      <w:r w:rsidRPr="00181385">
        <w:rPr>
          <w:sz w:val="24"/>
          <w:lang w:val="cs-CZ"/>
        </w:rPr>
        <w:t>.</w:t>
      </w:r>
    </w:p>
  </w:footnote>
  <w:footnote w:id="5">
    <w:p w:rsidR="004A4719" w:rsidRPr="00181385" w:rsidRDefault="004A4719" w:rsidP="00181385">
      <w:pPr>
        <w:pStyle w:val="FootnoteText"/>
        <w:ind w:left="567" w:hanging="567"/>
        <w:rPr>
          <w:sz w:val="24"/>
          <w:szCs w:val="24"/>
          <w:lang w:val="cs-CZ"/>
        </w:rPr>
      </w:pPr>
      <w:r w:rsidRPr="00181385">
        <w:rPr>
          <w:rStyle w:val="FootnoteReference"/>
          <w:sz w:val="24"/>
          <w:lang w:val="cs-CZ"/>
        </w:rPr>
        <w:footnoteRef/>
      </w:r>
      <w:r w:rsidR="00181385" w:rsidRPr="00181385">
        <w:rPr>
          <w:sz w:val="24"/>
          <w:lang w:val="cs-CZ"/>
        </w:rPr>
        <w:t xml:space="preserve"> </w:t>
      </w:r>
      <w:r w:rsidR="00181385" w:rsidRPr="00181385">
        <w:rPr>
          <w:sz w:val="24"/>
          <w:lang w:val="cs-CZ"/>
        </w:rPr>
        <w:tab/>
      </w:r>
      <w:proofErr w:type="spellStart"/>
      <w:r w:rsidRPr="00181385">
        <w:rPr>
          <w:sz w:val="24"/>
          <w:lang w:val="cs-CZ"/>
        </w:rPr>
        <w:t>Úř</w:t>
      </w:r>
      <w:proofErr w:type="spellEnd"/>
      <w:r w:rsidRPr="00181385">
        <w:rPr>
          <w:sz w:val="24"/>
          <w:lang w:val="cs-CZ"/>
        </w:rPr>
        <w:t xml:space="preserve">. </w:t>
      </w:r>
      <w:proofErr w:type="spellStart"/>
      <w:proofErr w:type="gramStart"/>
      <w:r w:rsidRPr="00181385">
        <w:rPr>
          <w:sz w:val="24"/>
          <w:lang w:val="cs-CZ"/>
        </w:rPr>
        <w:t>věst</w:t>
      </w:r>
      <w:proofErr w:type="spellEnd"/>
      <w:proofErr w:type="gramEnd"/>
      <w:r w:rsidRPr="00181385">
        <w:rPr>
          <w:sz w:val="24"/>
          <w:lang w:val="cs-CZ"/>
        </w:rPr>
        <w:t xml:space="preserve">. L 193, </w:t>
      </w:r>
      <w:proofErr w:type="gramStart"/>
      <w:r w:rsidRPr="00181385">
        <w:rPr>
          <w:sz w:val="24"/>
          <w:lang w:val="cs-CZ"/>
        </w:rPr>
        <w:t>30.7.2018</w:t>
      </w:r>
      <w:proofErr w:type="gramEnd"/>
      <w:r w:rsidRPr="00181385">
        <w:rPr>
          <w:sz w:val="24"/>
          <w:lang w:val="cs-CZ"/>
        </w:rPr>
        <w:t>, s. 1.</w:t>
      </w:r>
    </w:p>
  </w:footnote>
  <w:footnote w:id="6">
    <w:p w:rsidR="004A4719" w:rsidRPr="00181385" w:rsidRDefault="004A4719" w:rsidP="00181385">
      <w:pPr>
        <w:pStyle w:val="FootnoteText"/>
        <w:ind w:left="567" w:hanging="567"/>
        <w:rPr>
          <w:sz w:val="24"/>
          <w:lang w:val="cs-CZ"/>
        </w:rPr>
      </w:pPr>
      <w:r w:rsidRPr="00181385">
        <w:rPr>
          <w:rStyle w:val="FootnoteReference"/>
          <w:sz w:val="24"/>
          <w:lang w:val="cs-CZ"/>
        </w:rPr>
        <w:footnoteRef/>
      </w:r>
      <w:r w:rsidR="00181385" w:rsidRPr="00181385">
        <w:rPr>
          <w:sz w:val="24"/>
          <w:lang w:val="cs-CZ"/>
        </w:rPr>
        <w:t xml:space="preserve"> </w:t>
      </w:r>
      <w:r w:rsidR="00181385" w:rsidRPr="00181385">
        <w:rPr>
          <w:sz w:val="24"/>
          <w:lang w:val="cs-CZ"/>
        </w:rPr>
        <w:tab/>
      </w:r>
      <w:proofErr w:type="spellStart"/>
      <w:r w:rsidRPr="00181385">
        <w:rPr>
          <w:sz w:val="24"/>
          <w:lang w:val="cs-CZ"/>
        </w:rPr>
        <w:t>Úř</w:t>
      </w:r>
      <w:proofErr w:type="spellEnd"/>
      <w:r w:rsidRPr="00181385">
        <w:rPr>
          <w:sz w:val="24"/>
          <w:lang w:val="cs-CZ"/>
        </w:rPr>
        <w:t xml:space="preserve">. </w:t>
      </w:r>
      <w:proofErr w:type="spellStart"/>
      <w:proofErr w:type="gramStart"/>
      <w:r w:rsidRPr="00181385">
        <w:rPr>
          <w:sz w:val="24"/>
          <w:lang w:val="cs-CZ"/>
        </w:rPr>
        <w:t>věst</w:t>
      </w:r>
      <w:proofErr w:type="spellEnd"/>
      <w:proofErr w:type="gramEnd"/>
      <w:r w:rsidRPr="00181385">
        <w:rPr>
          <w:sz w:val="24"/>
          <w:lang w:val="cs-CZ"/>
        </w:rPr>
        <w:t xml:space="preserve">. L 207, </w:t>
      </w:r>
      <w:proofErr w:type="gramStart"/>
      <w:r w:rsidRPr="00181385">
        <w:rPr>
          <w:sz w:val="24"/>
          <w:lang w:val="cs-CZ"/>
        </w:rPr>
        <w:t>11.6.2021</w:t>
      </w:r>
      <w:proofErr w:type="gramEnd"/>
      <w:r w:rsidRPr="00181385">
        <w:rPr>
          <w:sz w:val="24"/>
          <w:lang w:val="cs-CZ"/>
        </w:rPr>
        <w:t>, s.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8138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8138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8138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4/2024"/>
    <w:docVar w:name="dvlangue" w:val="CS"/>
    <w:docVar w:name="dvnumam" w:val="0"/>
    <w:docVar w:name="dvpe" w:val="753.481"/>
    <w:docVar w:name="dvrapporteur" w:val="Zpravodaj: "/>
    <w:docVar w:name="dvtitre" w:val="1. Rozhodnutí Evropského parlamentu ze dne.... 2024 o udělení absolutoria za plnění souhrnného rozpočtu Evropské unie na rozpočtový rok 2022, oddíl V – Účetní dvůr(2023/2133(DEC))"/>
  </w:docVars>
  <w:rsids>
    <w:rsidRoot w:val="00EB07A4"/>
    <w:rsid w:val="00002272"/>
    <w:rsid w:val="00064002"/>
    <w:rsid w:val="000677B9"/>
    <w:rsid w:val="000831BA"/>
    <w:rsid w:val="000A42CC"/>
    <w:rsid w:val="000E7DD9"/>
    <w:rsid w:val="0010095E"/>
    <w:rsid w:val="00125B37"/>
    <w:rsid w:val="00181385"/>
    <w:rsid w:val="00187494"/>
    <w:rsid w:val="001F32AE"/>
    <w:rsid w:val="002767FF"/>
    <w:rsid w:val="002B18FE"/>
    <w:rsid w:val="002B5493"/>
    <w:rsid w:val="00343214"/>
    <w:rsid w:val="00361C00"/>
    <w:rsid w:val="00395FA1"/>
    <w:rsid w:val="003E15D4"/>
    <w:rsid w:val="00411CCE"/>
    <w:rsid w:val="0041666E"/>
    <w:rsid w:val="00421060"/>
    <w:rsid w:val="00466870"/>
    <w:rsid w:val="00471C19"/>
    <w:rsid w:val="004867E3"/>
    <w:rsid w:val="00494A28"/>
    <w:rsid w:val="004A4719"/>
    <w:rsid w:val="004C0004"/>
    <w:rsid w:val="004C5D52"/>
    <w:rsid w:val="0050519A"/>
    <w:rsid w:val="005072A1"/>
    <w:rsid w:val="00514517"/>
    <w:rsid w:val="00545827"/>
    <w:rsid w:val="00560270"/>
    <w:rsid w:val="005C2568"/>
    <w:rsid w:val="006037C0"/>
    <w:rsid w:val="006631B6"/>
    <w:rsid w:val="00680577"/>
    <w:rsid w:val="006D33F1"/>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4D0B"/>
    <w:rsid w:val="00930C23"/>
    <w:rsid w:val="0093193B"/>
    <w:rsid w:val="009509D8"/>
    <w:rsid w:val="00950B64"/>
    <w:rsid w:val="00981893"/>
    <w:rsid w:val="00A1687D"/>
    <w:rsid w:val="00A43E52"/>
    <w:rsid w:val="00A4678D"/>
    <w:rsid w:val="00A778C7"/>
    <w:rsid w:val="00AB2DB7"/>
    <w:rsid w:val="00AB441E"/>
    <w:rsid w:val="00AB6293"/>
    <w:rsid w:val="00AE0928"/>
    <w:rsid w:val="00AF3B82"/>
    <w:rsid w:val="00B12E95"/>
    <w:rsid w:val="00B22876"/>
    <w:rsid w:val="00B558F0"/>
    <w:rsid w:val="00B90EF7"/>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1562A"/>
    <w:rsid w:val="00E365E1"/>
    <w:rsid w:val="00E820A4"/>
    <w:rsid w:val="00EB006A"/>
    <w:rsid w:val="00EB07A4"/>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7FB1CE6-A1CA-4E5C-BE8B-B19BA6228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A4719"/>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4A4719"/>
    <w:pPr>
      <w:spacing w:before="480" w:after="240"/>
    </w:pPr>
  </w:style>
  <w:style w:type="paragraph" w:customStyle="1" w:styleId="PageHeading">
    <w:name w:val="PageHeading"/>
    <w:basedOn w:val="Normal"/>
    <w:rsid w:val="004A4719"/>
    <w:pPr>
      <w:keepNext/>
      <w:spacing w:after="480"/>
      <w:jc w:val="center"/>
    </w:pPr>
    <w:rPr>
      <w:rFonts w:ascii="Arial" w:hAnsi="Arial" w:cs="Arial"/>
      <w:b/>
    </w:rPr>
  </w:style>
  <w:style w:type="paragraph" w:customStyle="1" w:styleId="NormalBold">
    <w:name w:val="NormalBold"/>
    <w:basedOn w:val="Normal"/>
    <w:rsid w:val="004A4719"/>
    <w:rPr>
      <w:b/>
    </w:rPr>
  </w:style>
  <w:style w:type="paragraph" w:customStyle="1" w:styleId="NormalHanging12a">
    <w:name w:val="NormalHanging12a"/>
    <w:basedOn w:val="Normal"/>
    <w:link w:val="NormalHanging12aChar"/>
    <w:qFormat/>
    <w:rsid w:val="004A4719"/>
    <w:pPr>
      <w:spacing w:after="240"/>
      <w:ind w:left="567" w:hanging="567"/>
    </w:pPr>
  </w:style>
  <w:style w:type="paragraph" w:styleId="Header">
    <w:name w:val="header"/>
    <w:basedOn w:val="Normal"/>
    <w:link w:val="HeaderChar"/>
    <w:rsid w:val="004A4719"/>
    <w:pPr>
      <w:tabs>
        <w:tab w:val="center" w:pos="4513"/>
        <w:tab w:val="right" w:pos="9026"/>
      </w:tabs>
    </w:pPr>
  </w:style>
  <w:style w:type="character" w:customStyle="1" w:styleId="HeaderChar">
    <w:name w:val="Header Char"/>
    <w:basedOn w:val="DefaultParagraphFont"/>
    <w:link w:val="Header"/>
    <w:rsid w:val="004A4719"/>
    <w:rPr>
      <w:sz w:val="24"/>
      <w:lang w:val="cs-CZ"/>
    </w:rPr>
  </w:style>
  <w:style w:type="paragraph" w:customStyle="1" w:styleId="EPFooter">
    <w:name w:val="EPFooter"/>
    <w:basedOn w:val="Normal"/>
    <w:rsid w:val="004A4719"/>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4A4719"/>
    <w:rPr>
      <w:sz w:val="24"/>
      <w:lang w:val="cs-CZ"/>
    </w:rPr>
  </w:style>
  <w:style w:type="paragraph" w:styleId="Footer">
    <w:name w:val="footer"/>
    <w:basedOn w:val="Normal"/>
    <w:link w:val="FooterChar"/>
    <w:rsid w:val="006D33F1"/>
    <w:pPr>
      <w:tabs>
        <w:tab w:val="center" w:pos="4513"/>
        <w:tab w:val="right" w:pos="9026"/>
      </w:tabs>
    </w:pPr>
  </w:style>
  <w:style w:type="character" w:customStyle="1" w:styleId="FooterChar">
    <w:name w:val="Footer Char"/>
    <w:basedOn w:val="DefaultParagraphFont"/>
    <w:link w:val="Footer"/>
    <w:rsid w:val="006D33F1"/>
    <w:rPr>
      <w:sz w:val="24"/>
      <w:lang w:val="cs-CZ"/>
    </w:rPr>
  </w:style>
  <w:style w:type="paragraph" w:styleId="BalloonText">
    <w:name w:val="Balloon Text"/>
    <w:basedOn w:val="Normal"/>
    <w:link w:val="BalloonTextChar"/>
    <w:rsid w:val="006D33F1"/>
    <w:rPr>
      <w:rFonts w:ascii="Segoe UI" w:hAnsi="Segoe UI" w:cs="Segoe UI"/>
      <w:sz w:val="18"/>
      <w:szCs w:val="18"/>
    </w:rPr>
  </w:style>
  <w:style w:type="character" w:customStyle="1" w:styleId="BalloonTextChar">
    <w:name w:val="Balloon Text Char"/>
    <w:basedOn w:val="DefaultParagraphFont"/>
    <w:link w:val="BalloonText"/>
    <w:rsid w:val="006D33F1"/>
    <w:rPr>
      <w:rFonts w:ascii="Segoe UI" w:hAnsi="Segoe UI" w:cs="Segoe UI"/>
      <w:sz w:val="18"/>
      <w:szCs w:val="18"/>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821DA9-4F9F-435A-8C11-0E2EAF4A14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4989</Words>
  <Characters>28369</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HILL Romana</dc:creator>
  <cp:keywords/>
  <cp:lastModifiedBy>HILL Romana</cp:lastModifiedBy>
  <cp:revision>2</cp:revision>
  <cp:lastPrinted>2004-11-19T15:42:00Z</cp:lastPrinted>
  <dcterms:created xsi:type="dcterms:W3CDTF">2024-04-11T14:01:00Z</dcterms:created>
  <dcterms:modified xsi:type="dcterms:W3CDTF">2024-04-11T14:01:00Z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A9-0074/2024</vt:lpwstr>
  </property>
  <property fmtid="{D5CDD505-2E9C-101B-9397-08002B2CF9AE}" pid="4" name="&lt;Type&gt;">
    <vt:lpwstr>RR</vt:lpwstr>
  </property>
</Properties>
</file>