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3458" w:rsidTr="0010095E">
        <w:trPr>
          <w:trHeight w:hRule="exact" w:val="1418"/>
        </w:trPr>
        <w:tc>
          <w:tcPr>
            <w:tcW w:w="6804" w:type="dxa"/>
            <w:shd w:val="clear" w:color="auto" w:fill="auto"/>
            <w:vAlign w:val="center"/>
          </w:tcPr>
          <w:p w:rsidR="00751A4A" w:rsidRPr="00303458" w:rsidRDefault="00E06C4D" w:rsidP="0010095E">
            <w:pPr>
              <w:pStyle w:val="EPName"/>
            </w:pPr>
            <w:r w:rsidRPr="00303458">
              <w:t>Euroopa Parlament</w:t>
            </w:r>
          </w:p>
          <w:p w:rsidR="00751A4A" w:rsidRPr="00303458" w:rsidRDefault="00817416" w:rsidP="00756632">
            <w:pPr>
              <w:pStyle w:val="EPTerm"/>
              <w:rPr>
                <w:rStyle w:val="HideTWBExt"/>
                <w:noProof w:val="0"/>
                <w:vanish w:val="0"/>
                <w:color w:val="auto"/>
              </w:rPr>
            </w:pPr>
            <w:r w:rsidRPr="00303458">
              <w:t>2019-2024</w:t>
            </w:r>
          </w:p>
        </w:tc>
        <w:tc>
          <w:tcPr>
            <w:tcW w:w="2268" w:type="dxa"/>
            <w:shd w:val="clear" w:color="auto" w:fill="auto"/>
          </w:tcPr>
          <w:p w:rsidR="00751A4A" w:rsidRPr="00303458" w:rsidRDefault="00187494" w:rsidP="0010095E">
            <w:pPr>
              <w:pStyle w:val="EPLogo"/>
            </w:pPr>
            <w:r w:rsidRPr="003034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3458" w:rsidRDefault="00D058B8" w:rsidP="004C5D52">
      <w:pPr>
        <w:pStyle w:val="LineTop"/>
      </w:pPr>
    </w:p>
    <w:p w:rsidR="00680577" w:rsidRPr="00303458" w:rsidRDefault="00E06C4D" w:rsidP="00680577">
      <w:pPr>
        <w:pStyle w:val="EPBodyTA1"/>
      </w:pPr>
      <w:r w:rsidRPr="00303458">
        <w:t>VASTUVÕETUD TEKSTID</w:t>
      </w:r>
    </w:p>
    <w:p w:rsidR="00D058B8" w:rsidRPr="00303458" w:rsidRDefault="00D058B8" w:rsidP="00D058B8">
      <w:pPr>
        <w:pStyle w:val="LineBottom"/>
      </w:pPr>
    </w:p>
    <w:p w:rsidR="00E06C4D" w:rsidRPr="00303458" w:rsidRDefault="00E06C4D" w:rsidP="00E06C4D">
      <w:pPr>
        <w:pStyle w:val="ATHeading1"/>
      </w:pPr>
      <w:bookmarkStart w:id="0" w:name="TANumber"/>
      <w:r w:rsidRPr="00303458">
        <w:t>P9_TA(2024)0</w:t>
      </w:r>
      <w:r w:rsidR="00085306" w:rsidRPr="00303458">
        <w:t>231</w:t>
      </w:r>
      <w:bookmarkEnd w:id="0"/>
    </w:p>
    <w:p w:rsidR="00E06C4D" w:rsidRPr="00303458" w:rsidRDefault="00E06C4D" w:rsidP="00E06C4D">
      <w:pPr>
        <w:pStyle w:val="ATHeading2"/>
      </w:pPr>
      <w:bookmarkStart w:id="1" w:name="title"/>
      <w:r w:rsidRPr="00303458">
        <w:t xml:space="preserve">ELi 2022. aasta </w:t>
      </w:r>
      <w:proofErr w:type="spellStart"/>
      <w:r w:rsidRPr="00303458">
        <w:t>üldeelarve</w:t>
      </w:r>
      <w:proofErr w:type="spellEnd"/>
      <w:r w:rsidRPr="00303458">
        <w:t xml:space="preserve"> täitmisele heakskiidu andmine – Euroopa Kontrollikoda</w:t>
      </w:r>
      <w:bookmarkEnd w:id="1"/>
    </w:p>
    <w:p w:rsidR="00E06C4D" w:rsidRPr="00303458" w:rsidRDefault="00E06C4D" w:rsidP="00E06C4D">
      <w:pPr>
        <w:rPr>
          <w:i/>
          <w:vanish/>
        </w:rPr>
      </w:pPr>
      <w:r w:rsidRPr="00303458">
        <w:rPr>
          <w:i/>
        </w:rPr>
        <w:fldChar w:fldCharType="begin"/>
      </w:r>
      <w:r w:rsidRPr="00303458">
        <w:rPr>
          <w:i/>
        </w:rPr>
        <w:instrText xml:space="preserve"> TC"(</w:instrText>
      </w:r>
      <w:bookmarkStart w:id="2" w:name="DocNumber"/>
      <w:r w:rsidRPr="00303458">
        <w:rPr>
          <w:i/>
        </w:rPr>
        <w:instrText>A9-0074/2024</w:instrText>
      </w:r>
      <w:bookmarkEnd w:id="2"/>
      <w:r w:rsidRPr="00303458">
        <w:rPr>
          <w:i/>
        </w:rPr>
        <w:instrText xml:space="preserve"> - Raportöör: Luke Ming Flanagan)"\l3 \n&gt; \* MERGEFORMAT </w:instrText>
      </w:r>
      <w:r w:rsidRPr="00303458">
        <w:rPr>
          <w:i/>
        </w:rPr>
        <w:fldChar w:fldCharType="end"/>
      </w:r>
    </w:p>
    <w:p w:rsidR="00E06C4D" w:rsidRPr="00303458" w:rsidRDefault="00E06C4D" w:rsidP="00E06C4D">
      <w:pPr>
        <w:rPr>
          <w:vanish/>
        </w:rPr>
      </w:pPr>
      <w:bookmarkStart w:id="3" w:name="Commission"/>
      <w:r w:rsidRPr="00303458">
        <w:rPr>
          <w:vanish/>
        </w:rPr>
        <w:t>Eelarvekontrollikomisjon</w:t>
      </w:r>
      <w:bookmarkEnd w:id="3"/>
    </w:p>
    <w:p w:rsidR="00E06C4D" w:rsidRPr="00303458" w:rsidRDefault="00E06C4D" w:rsidP="00E06C4D">
      <w:pPr>
        <w:rPr>
          <w:vanish/>
        </w:rPr>
      </w:pPr>
      <w:bookmarkStart w:id="4" w:name="PE"/>
      <w:r w:rsidRPr="00303458">
        <w:rPr>
          <w:vanish/>
        </w:rPr>
        <w:t>PE753.481</w:t>
      </w:r>
      <w:bookmarkEnd w:id="4"/>
    </w:p>
    <w:p w:rsidR="00E06C4D" w:rsidRPr="00303458" w:rsidRDefault="00A532AE" w:rsidP="00E06C4D">
      <w:pPr>
        <w:pStyle w:val="ATHeading3"/>
      </w:pPr>
      <w:bookmarkStart w:id="5" w:name="Sujet"/>
      <w:r w:rsidRPr="00303458">
        <w:t>1. Euroopa Parlamendi 11</w:t>
      </w:r>
      <w:r w:rsidR="00E06C4D" w:rsidRPr="00303458">
        <w:t>.</w:t>
      </w:r>
      <w:r w:rsidRPr="00303458">
        <w:t> aprilli 2024. </w:t>
      </w:r>
      <w:r w:rsidR="00E06C4D" w:rsidRPr="00303458">
        <w:t xml:space="preserve">aasta otsus Euroopa Liidu 2022. aasta </w:t>
      </w:r>
      <w:proofErr w:type="spellStart"/>
      <w:r w:rsidR="00E06C4D" w:rsidRPr="00303458">
        <w:t>üldeelarve</w:t>
      </w:r>
      <w:proofErr w:type="spellEnd"/>
      <w:r w:rsidR="00E06C4D" w:rsidRPr="00303458">
        <w:t xml:space="preserve"> täitmis</w:t>
      </w:r>
      <w:r w:rsidRPr="00303458">
        <w:t>ele heakskiidu andmise kohta, V </w:t>
      </w:r>
      <w:r w:rsidR="00E06C4D" w:rsidRPr="00303458">
        <w:t>jagu – Euroopa Kontrollikoda</w:t>
      </w:r>
      <w:bookmarkEnd w:id="5"/>
      <w:r w:rsidR="00E06C4D" w:rsidRPr="00303458">
        <w:t xml:space="preserve"> </w:t>
      </w:r>
      <w:bookmarkStart w:id="6" w:name="References"/>
      <w:r w:rsidR="00E06C4D" w:rsidRPr="00303458">
        <w:t>(2023/2133(DEC))</w:t>
      </w:r>
      <w:bookmarkStart w:id="7" w:name="_GoBack"/>
      <w:bookmarkEnd w:id="6"/>
      <w:bookmarkEnd w:id="7"/>
    </w:p>
    <w:p w:rsidR="008743EA" w:rsidRPr="00303458" w:rsidRDefault="008743EA" w:rsidP="008743EA">
      <w:pPr>
        <w:pStyle w:val="EPComma"/>
      </w:pPr>
      <w:bookmarkStart w:id="8" w:name="TextBodyBegin"/>
      <w:bookmarkEnd w:id="8"/>
      <w:r w:rsidRPr="00303458">
        <w:rPr>
          <w:i/>
        </w:rPr>
        <w:t>Euroopa Parlament</w:t>
      </w:r>
      <w:r w:rsidRPr="00303458">
        <w:t>,</w:t>
      </w:r>
    </w:p>
    <w:p w:rsidR="008743EA" w:rsidRPr="00303458" w:rsidRDefault="008743EA" w:rsidP="008743EA">
      <w:pPr>
        <w:pStyle w:val="NormalHanging12a"/>
      </w:pPr>
      <w:r w:rsidRPr="00303458">
        <w:t>–</w:t>
      </w:r>
      <w:r w:rsidRPr="00303458">
        <w:tab/>
        <w:t xml:space="preserve">võttes arvesse Euroopa Liidu 2022. aasta </w:t>
      </w:r>
      <w:proofErr w:type="spellStart"/>
      <w:r w:rsidRPr="00303458">
        <w:t>üldeelarvet</w:t>
      </w:r>
      <w:proofErr w:type="spellEnd"/>
      <w:r w:rsidRPr="00303458">
        <w:rPr>
          <w:rStyle w:val="FootnoteReference"/>
        </w:rPr>
        <w:footnoteReference w:id="1"/>
      </w:r>
      <w:r w:rsidRPr="00303458">
        <w:t>,</w:t>
      </w:r>
    </w:p>
    <w:p w:rsidR="008743EA" w:rsidRPr="00303458" w:rsidRDefault="008743EA" w:rsidP="008743EA">
      <w:pPr>
        <w:pStyle w:val="NormalHanging12a"/>
      </w:pPr>
      <w:r w:rsidRPr="00303458">
        <w:t>–</w:t>
      </w:r>
      <w:r w:rsidRPr="00303458">
        <w:tab/>
        <w:t>võttes arvesse Euroopa Liidu 2022. aasta konsolideeritud raamatupidamise aastaaruannet (COM(2023)0391 – C9</w:t>
      </w:r>
      <w:r w:rsidRPr="00303458">
        <w:noBreakHyphen/>
        <w:t>0252/2023)</w:t>
      </w:r>
      <w:r w:rsidRPr="00303458">
        <w:rPr>
          <w:rStyle w:val="FootnoteReference"/>
        </w:rPr>
        <w:footnoteReference w:id="2"/>
      </w:r>
      <w:r w:rsidRPr="00303458">
        <w:t>,</w:t>
      </w:r>
    </w:p>
    <w:p w:rsidR="008743EA" w:rsidRPr="00303458" w:rsidRDefault="008743EA" w:rsidP="008743EA">
      <w:pPr>
        <w:pStyle w:val="NormalHanging12a"/>
      </w:pPr>
      <w:r w:rsidRPr="00303458">
        <w:t>–</w:t>
      </w:r>
      <w:r w:rsidRPr="00303458">
        <w:tab/>
        <w:t xml:space="preserve">võttes arvesse kontrollikoja aastaaruannet eelarve täitmisele heakskiidu andmise eest vastutavale institutsioonile 2022. aastal tehtud </w:t>
      </w:r>
      <w:proofErr w:type="spellStart"/>
      <w:r w:rsidRPr="00303458">
        <w:t>siseauditite</w:t>
      </w:r>
      <w:proofErr w:type="spellEnd"/>
      <w:r w:rsidRPr="00303458">
        <w:t xml:space="preserve"> kohta,</w:t>
      </w:r>
    </w:p>
    <w:p w:rsidR="008743EA" w:rsidRPr="00303458" w:rsidRDefault="008743EA" w:rsidP="008743EA">
      <w:pPr>
        <w:pStyle w:val="NormalHanging12a"/>
      </w:pPr>
      <w:r w:rsidRPr="00303458">
        <w:t>–</w:t>
      </w:r>
      <w:r w:rsidRPr="00303458">
        <w:tab/>
        <w:t>võttes arvesse kontrollikoja aastaaruannet eelarveaasta 2022 eelarve täitmise kohta koos institutsioonide vastustega</w:t>
      </w:r>
      <w:r w:rsidRPr="00303458">
        <w:rPr>
          <w:rStyle w:val="FootnoteReference"/>
        </w:rPr>
        <w:footnoteReference w:id="3"/>
      </w:r>
      <w:r w:rsidRPr="00303458">
        <w:t>,</w:t>
      </w:r>
    </w:p>
    <w:p w:rsidR="008743EA" w:rsidRPr="00303458" w:rsidRDefault="008743EA" w:rsidP="008743EA">
      <w:pPr>
        <w:pStyle w:val="NormalHanging12a"/>
      </w:pPr>
      <w:r w:rsidRPr="00303458">
        <w:t>–</w:t>
      </w:r>
      <w:r w:rsidRPr="00303458">
        <w:tab/>
        <w:t>võttes arvesse vastavalt Euroopa Liidu toimimise lepingu artiklile 287 tehtud kontrollikoja kinnitavat avaldust</w:t>
      </w:r>
      <w:r w:rsidRPr="00303458">
        <w:rPr>
          <w:rStyle w:val="FootnoteReference"/>
        </w:rPr>
        <w:footnoteReference w:id="4"/>
      </w:r>
      <w:r w:rsidRPr="00303458">
        <w:t xml:space="preserve"> 2022. aasta raamatupidamise aastaaruande usaldusväärsuse ja selle aluseks olevate tehingute seaduslikkuse ja korrektsuse kohta,</w:t>
      </w:r>
    </w:p>
    <w:p w:rsidR="008743EA" w:rsidRPr="00303458" w:rsidRDefault="008743EA" w:rsidP="008743EA">
      <w:pPr>
        <w:pStyle w:val="NormalHanging12a"/>
      </w:pPr>
      <w:r w:rsidRPr="00303458">
        <w:t>–</w:t>
      </w:r>
      <w:r w:rsidRPr="00303458">
        <w:tab/>
        <w:t>võttes arvesse Euroopa Liidu toimimise lepingu artikli 314 lõiget 10 ja artikleid 317, 318 ja 319,</w:t>
      </w:r>
    </w:p>
    <w:p w:rsidR="008743EA" w:rsidRPr="00303458" w:rsidRDefault="008743EA" w:rsidP="008743EA">
      <w:pPr>
        <w:pStyle w:val="NormalHanging12a"/>
      </w:pPr>
      <w:r w:rsidRPr="00303458">
        <w:t>–</w:t>
      </w:r>
      <w:r w:rsidRPr="00303458">
        <w:tab/>
        <w:t xml:space="preserve">võttes arvesse Euroopa Parlamendi ja nõukogu 18. juuli 2018. aasta määrust (EL, Euratom) 2018/1046 (mis käsitleb liidu </w:t>
      </w:r>
      <w:proofErr w:type="spellStart"/>
      <w:r w:rsidRPr="00303458">
        <w:t>üldeelarve</w:t>
      </w:r>
      <w:proofErr w:type="spellEnd"/>
      <w:r w:rsidRPr="00303458">
        <w:t xml:space="preserve"> suhtes kohaldatavaid finantsreegleid ja millega muudetakse määrusi (EL) nr 1296/2013, (EL) nr 1301/2013, (EL) nr 1303/2013, (EL) nr 1304/2013, (EL) nr 1309/2013, (EL) nr 1316/2013, (EL) nr 223/2014 ja (EL) nr 283/2014 ja otsust nr 541/2014/EL ning tunnistatakse </w:t>
      </w:r>
      <w:r w:rsidRPr="00303458">
        <w:lastRenderedPageBreak/>
        <w:t>kehtetuks määrus (EL, Euratom) nr 966/2012)</w:t>
      </w:r>
      <w:r w:rsidRPr="00303458">
        <w:rPr>
          <w:rStyle w:val="FootnoteReference"/>
        </w:rPr>
        <w:footnoteReference w:id="5"/>
      </w:r>
      <w:r w:rsidRPr="00303458">
        <w:t>, eriti selle artikleid 59, 118, 260, 261 ja 262,</w:t>
      </w:r>
    </w:p>
    <w:p w:rsidR="008743EA" w:rsidRPr="00303458" w:rsidRDefault="008743EA" w:rsidP="008743EA">
      <w:pPr>
        <w:pStyle w:val="NormalHanging12a"/>
      </w:pPr>
      <w:r w:rsidRPr="00303458">
        <w:t>–</w:t>
      </w:r>
      <w:r w:rsidRPr="00303458">
        <w:tab/>
        <w:t>võttes arvesse kodukorra artiklit 100 ja V lisa,</w:t>
      </w:r>
    </w:p>
    <w:p w:rsidR="008743EA" w:rsidRPr="00303458" w:rsidRDefault="008743EA" w:rsidP="008743EA">
      <w:pPr>
        <w:pStyle w:val="NormalHanging12a"/>
      </w:pPr>
      <w:r w:rsidRPr="00303458">
        <w:t>–</w:t>
      </w:r>
      <w:r w:rsidRPr="00303458">
        <w:tab/>
        <w:t>võttes arvesse eelarvekontrollikomisjoni raportit (A9-0074/2024),</w:t>
      </w:r>
    </w:p>
    <w:p w:rsidR="008743EA" w:rsidRPr="00303458" w:rsidRDefault="008743EA" w:rsidP="008743EA">
      <w:pPr>
        <w:pStyle w:val="NormalHanging12a"/>
      </w:pPr>
      <w:r w:rsidRPr="00303458">
        <w:t>1.</w:t>
      </w:r>
      <w:r w:rsidRPr="00303458">
        <w:tab/>
        <w:t>annab heakskiidu kontrollikoja peasekretäri tegevusele kontrollikoja 2022. aasta eelarve täitmisel;</w:t>
      </w:r>
    </w:p>
    <w:p w:rsidR="008743EA" w:rsidRPr="00303458" w:rsidRDefault="008743EA" w:rsidP="008743EA">
      <w:pPr>
        <w:pStyle w:val="NormalHanging12a"/>
      </w:pPr>
      <w:r w:rsidRPr="00303458">
        <w:t>2.</w:t>
      </w:r>
      <w:r w:rsidRPr="00303458">
        <w:tab/>
        <w:t>esitab oma tähelepanekud alltoodud resolutsioonis;</w:t>
      </w:r>
    </w:p>
    <w:p w:rsidR="008743EA" w:rsidRPr="00303458" w:rsidRDefault="008743EA" w:rsidP="008743EA">
      <w:pPr>
        <w:pStyle w:val="NormalHanging12a"/>
      </w:pPr>
      <w:r w:rsidRPr="00303458">
        <w:t>3.</w:t>
      </w:r>
      <w:r w:rsidRPr="00303458">
        <w:tab/>
        <w:t xml:space="preserve">teeb presidendile ülesandeks edastada käesolev otsus ja resolutsioon, mis on selle lahutamatu osa, nõukogule, komisjonile ja kontrollikojale ning korraldada nende avaldamine </w:t>
      </w:r>
      <w:r w:rsidRPr="00303458">
        <w:rPr>
          <w:i/>
        </w:rPr>
        <w:t>Euroopa Liidu Teatajas</w:t>
      </w:r>
      <w:r w:rsidRPr="00303458">
        <w:t xml:space="preserve"> (L-seerias).</w:t>
      </w:r>
    </w:p>
    <w:p w:rsidR="008743EA" w:rsidRPr="00303458" w:rsidRDefault="008743EA" w:rsidP="008743EA"/>
    <w:p w:rsidR="008743EA" w:rsidRPr="00303458" w:rsidRDefault="008743EA" w:rsidP="008743EA">
      <w:pPr>
        <w:pStyle w:val="PageHeading"/>
        <w:sectPr w:rsidR="008743EA" w:rsidRPr="00303458" w:rsidSect="00C25D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743EA" w:rsidRPr="00303458" w:rsidRDefault="00A532AE" w:rsidP="00A532AE">
      <w:pPr>
        <w:pStyle w:val="ATHeading3"/>
      </w:pPr>
      <w:bookmarkStart w:id="9" w:name="_Toc161841482"/>
      <w:r w:rsidRPr="00303458">
        <w:lastRenderedPageBreak/>
        <w:t xml:space="preserve">2. </w:t>
      </w:r>
      <w:bookmarkEnd w:id="9"/>
      <w:r w:rsidRPr="00303458">
        <w:t xml:space="preserve">Euroopa Parlamendi 11. aprilli 2024. aasta resolutsioon </w:t>
      </w:r>
      <w:r w:rsidR="008743EA" w:rsidRPr="00303458">
        <w:t xml:space="preserve">tähelepanekutega, mis on Euroopa Liidu 2022. aasta </w:t>
      </w:r>
      <w:proofErr w:type="spellStart"/>
      <w:r w:rsidR="008743EA" w:rsidRPr="00303458">
        <w:t>üldeelarve</w:t>
      </w:r>
      <w:proofErr w:type="spellEnd"/>
      <w:r w:rsidR="008743EA" w:rsidRPr="00303458">
        <w:t xml:space="preserve"> täitmisele heakskiidu andmist käsitleva otsuse lahutamatu osa, V jagu – Euroopa Kontrollikoda</w:t>
      </w:r>
      <w:r w:rsidRPr="00303458">
        <w:t xml:space="preserve"> </w:t>
      </w:r>
      <w:r w:rsidR="008743EA" w:rsidRPr="00303458">
        <w:t>(2023/2133(DEC))</w:t>
      </w:r>
    </w:p>
    <w:p w:rsidR="008743EA" w:rsidRPr="00303458" w:rsidRDefault="008743EA" w:rsidP="008743EA">
      <w:pPr>
        <w:pStyle w:val="EPComma"/>
      </w:pPr>
      <w:r w:rsidRPr="00303458">
        <w:rPr>
          <w:i/>
        </w:rPr>
        <w:t>Euroopa Parlament</w:t>
      </w:r>
      <w:r w:rsidRPr="00303458">
        <w:t>,</w:t>
      </w:r>
    </w:p>
    <w:p w:rsidR="008743EA" w:rsidRPr="00303458" w:rsidRDefault="008743EA" w:rsidP="008743EA">
      <w:pPr>
        <w:pStyle w:val="NormalHanging12a"/>
        <w:rPr>
          <w:szCs w:val="24"/>
        </w:rPr>
      </w:pPr>
      <w:r w:rsidRPr="00303458">
        <w:t>–</w:t>
      </w:r>
      <w:r w:rsidRPr="00303458">
        <w:tab/>
        <w:t xml:space="preserve">võttes arvesse oma otsust Euroopa Liidu 2022. aasta </w:t>
      </w:r>
      <w:proofErr w:type="spellStart"/>
      <w:r w:rsidRPr="00303458">
        <w:t>üldeelarve</w:t>
      </w:r>
      <w:proofErr w:type="spellEnd"/>
      <w:r w:rsidRPr="00303458">
        <w:t xml:space="preserve"> täitmisele heakskiidu andmise kohta, V jagu – Euroopa Kontrollikoda,</w:t>
      </w:r>
    </w:p>
    <w:p w:rsidR="008743EA" w:rsidRPr="00303458" w:rsidRDefault="008743EA" w:rsidP="008743EA">
      <w:pPr>
        <w:pStyle w:val="NormalHanging12a"/>
        <w:rPr>
          <w:szCs w:val="24"/>
        </w:rPr>
      </w:pPr>
      <w:r w:rsidRPr="00303458">
        <w:t>–</w:t>
      </w:r>
      <w:r w:rsidRPr="00303458">
        <w:tab/>
        <w:t>võttes arvesse kodukorra artiklit 100 ja V lisa,</w:t>
      </w:r>
    </w:p>
    <w:p w:rsidR="008743EA" w:rsidRPr="00303458" w:rsidRDefault="008743EA" w:rsidP="008743EA">
      <w:pPr>
        <w:pStyle w:val="NormalHanging12a"/>
        <w:rPr>
          <w:szCs w:val="24"/>
        </w:rPr>
      </w:pPr>
      <w:r w:rsidRPr="00303458">
        <w:t>–</w:t>
      </w:r>
      <w:r w:rsidRPr="00303458">
        <w:tab/>
        <w:t>võttes arvesse eelarvekontrollikomisjoni raportit (A9-0074/2024),</w:t>
      </w:r>
    </w:p>
    <w:p w:rsidR="008743EA" w:rsidRPr="00303458" w:rsidRDefault="008743EA" w:rsidP="008743EA">
      <w:pPr>
        <w:pStyle w:val="NormalHanging12a"/>
        <w:rPr>
          <w:szCs w:val="24"/>
        </w:rPr>
      </w:pPr>
      <w:r w:rsidRPr="00303458">
        <w:t>A.</w:t>
      </w:r>
      <w:r w:rsidRPr="00303458">
        <w:tab/>
        <w:t>arvestades, et eelarve täitmisele heakskiidu andmise menetluse raames soovib eelarve täitmisele heakskiidu andmise eest vastutav institutsioon rõhutada, et eriti oluline on veelgi tugevdada liidu institutsioonide demokraatlikku legitiimsust, suurendades läbipaistvust ja aruandekohustust ning rakendades tulemuspõhise eelarvestamise põhimõtet ja personalijuhtimise head tava;</w:t>
      </w:r>
    </w:p>
    <w:p w:rsidR="008743EA" w:rsidRPr="00303458" w:rsidRDefault="008743EA" w:rsidP="008743EA">
      <w:pPr>
        <w:pStyle w:val="NormalHanging12a"/>
        <w:rPr>
          <w:szCs w:val="24"/>
        </w:rPr>
      </w:pPr>
      <w:r w:rsidRPr="00303458">
        <w:t>B.</w:t>
      </w:r>
      <w:r w:rsidRPr="00303458">
        <w:tab/>
        <w:t xml:space="preserve">arvestades, et Euroopa Kontrollikoda (edaspidi „kontrollikoda“) on liidu </w:t>
      </w:r>
      <w:proofErr w:type="spellStart"/>
      <w:r w:rsidRPr="00303458">
        <w:t>välisaudiitor</w:t>
      </w:r>
      <w:proofErr w:type="spellEnd"/>
      <w:r w:rsidRPr="00303458">
        <w:t>, kelle ülesanne on hinnata sõltumatu, professionaalse ja mõjusa auditeerimise kaudu liidu meetmete säästlikkust, tulemuslikkust, tõhusust, seaduslikkust ja korrektsust, et parandada aruandekohustuse täitmist, finantsjuhtimist ja suurendada läbipaistvust ning seeläbi ka kodanike usaldust ning reageerida tulemuslikult liidu ees seisvatele praegustele ja tulevastele probleemidele;</w:t>
      </w:r>
    </w:p>
    <w:p w:rsidR="008743EA" w:rsidRPr="00303458" w:rsidRDefault="008743EA" w:rsidP="008743EA">
      <w:pPr>
        <w:pStyle w:val="NormalHanging12a"/>
        <w:rPr>
          <w:szCs w:val="24"/>
        </w:rPr>
      </w:pPr>
      <w:r w:rsidRPr="00303458">
        <w:t>C.</w:t>
      </w:r>
      <w:r w:rsidRPr="00303458">
        <w:tab/>
        <w:t xml:space="preserve">arvestades, et ilma et see piiraks Euroopa Liidu toimimise lepingu artiklite 287 ja 319 sätete kohaldamist, on kontrollikoda lasknud alates 1987. aasta lõpust igal aastal sõltumatul </w:t>
      </w:r>
      <w:proofErr w:type="spellStart"/>
      <w:r w:rsidRPr="00303458">
        <w:t>välisaudiitoril</w:t>
      </w:r>
      <w:proofErr w:type="spellEnd"/>
      <w:r w:rsidRPr="00303458">
        <w:t xml:space="preserve"> auditeerida oma tulude ja kulude aruandeid ning alates 1992. aasta aruandest on </w:t>
      </w:r>
      <w:proofErr w:type="spellStart"/>
      <w:r w:rsidRPr="00303458">
        <w:t>välisaudiitori</w:t>
      </w:r>
      <w:proofErr w:type="spellEnd"/>
      <w:r w:rsidRPr="00303458">
        <w:t xml:space="preserve"> aruanded avaldatud </w:t>
      </w:r>
      <w:r w:rsidRPr="00303458">
        <w:rPr>
          <w:i/>
        </w:rPr>
        <w:t>Euroopa Liidu Teatajas</w:t>
      </w:r>
      <w:r w:rsidRPr="00303458">
        <w:t>;</w:t>
      </w:r>
    </w:p>
    <w:p w:rsidR="008743EA" w:rsidRPr="00303458" w:rsidRDefault="008743EA" w:rsidP="008743EA">
      <w:pPr>
        <w:pStyle w:val="NormalHanging12a"/>
        <w:rPr>
          <w:szCs w:val="24"/>
        </w:rPr>
      </w:pPr>
      <w:r w:rsidRPr="00303458">
        <w:t>D.</w:t>
      </w:r>
      <w:r w:rsidRPr="00303458">
        <w:tab/>
        <w:t xml:space="preserve">arvestades, et juhtkonna aruandlus eelarvepädevate institutsioonide ees toimub kontrollikoja peasekretäri iga-aastase tegevusaruande kaudu, mille eesmärk on vastavalt finantsmääruse artikli 74 lõikele 9 anda teavet ressursside, sealhulgas süsteemide haldamise ning kontrollikoja </w:t>
      </w:r>
      <w:proofErr w:type="spellStart"/>
      <w:r w:rsidRPr="00303458">
        <w:t>sisekontrollisüsteemide</w:t>
      </w:r>
      <w:proofErr w:type="spellEnd"/>
      <w:r w:rsidRPr="00303458">
        <w:t xml:space="preserve"> tõhususe ja mõjususe kohta;</w:t>
      </w:r>
    </w:p>
    <w:p w:rsidR="008743EA" w:rsidRPr="00303458" w:rsidRDefault="008743EA" w:rsidP="008743EA">
      <w:pPr>
        <w:pStyle w:val="NormalHanging12a"/>
        <w:rPr>
          <w:szCs w:val="24"/>
        </w:rPr>
      </w:pPr>
      <w:r w:rsidRPr="00303458">
        <w:t>E.</w:t>
      </w:r>
      <w:r w:rsidRPr="00303458">
        <w:tab/>
        <w:t>arvestades, et läbipaistval ja sõltumatul viisil oma ülesandeid täites aitab kontrollikoda kaasa liidu demokraatlikule järelevalvele, avalikule arutelule ja finantsjuhtimise usaldusväärsusele;</w:t>
      </w:r>
    </w:p>
    <w:p w:rsidR="008743EA" w:rsidRPr="00303458" w:rsidRDefault="008743EA" w:rsidP="008743EA">
      <w:pPr>
        <w:pStyle w:val="NormalHanging12a"/>
        <w:rPr>
          <w:szCs w:val="24"/>
        </w:rPr>
      </w:pPr>
      <w:r w:rsidRPr="00303458">
        <w:t>F.</w:t>
      </w:r>
      <w:r w:rsidRPr="00303458">
        <w:tab/>
        <w:t xml:space="preserve">arvestades, et kontrollikoda on võtnud seisukoha, mille kohaselt oleks liidu juhtimise, aruandekohustuse täitmise ja läbipaistvuse ning liidu poliitika elluviimise kohta esitatud teabe ja andmete kvaliteedi ning usaldusväärsuse hindamiseks parim lahendus see, kui kontrollikojale antaks volitus auditeerida kõiki aluslepingutega või nende alusel loodud liidu institutsioone, organeid ja asutusi ning kõiki liidu toimimise seisukohast olulisi </w:t>
      </w:r>
      <w:proofErr w:type="spellStart"/>
      <w:r w:rsidRPr="00303458">
        <w:t>valitsustevahelisi</w:t>
      </w:r>
      <w:proofErr w:type="spellEnd"/>
      <w:r w:rsidRPr="00303458">
        <w:t xml:space="preserve"> struktuure; arvestades, et parlament toetab kontrollikoda selles osas veendunult ning kiidaks heaks mis tahes algatuse, millega antaks kontrollikojale laiemad volitused;</w:t>
      </w:r>
    </w:p>
    <w:p w:rsidR="008743EA" w:rsidRPr="00303458" w:rsidRDefault="008743EA" w:rsidP="008743EA">
      <w:pPr>
        <w:pStyle w:val="NormalHanging12a"/>
        <w:rPr>
          <w:szCs w:val="24"/>
        </w:rPr>
      </w:pPr>
      <w:r w:rsidRPr="00303458">
        <w:t>1.</w:t>
      </w:r>
      <w:r w:rsidRPr="00303458">
        <w:tab/>
        <w:t xml:space="preserve">märgib, et kontrollikoja eelarve kuulub mitmeaastase finantsraamistiku rubriiki 7 „Euroopa avalik haldus“, mille maht oli 2022. aastal 11,6 miljardit eurot (mis </w:t>
      </w:r>
      <w:r w:rsidRPr="00303458">
        <w:lastRenderedPageBreak/>
        <w:t>moodustab 5,9 % liidu kogueelarvest); märgib, et kontrollikoja umbes 0,2 miljardi euro suurune 2022. aasta eelarve moodustas 1,4% kogu halduskuludest;</w:t>
      </w:r>
    </w:p>
    <w:p w:rsidR="008743EA" w:rsidRPr="00303458" w:rsidRDefault="008743EA" w:rsidP="008743EA">
      <w:pPr>
        <w:pStyle w:val="NormalHanging12a"/>
        <w:rPr>
          <w:szCs w:val="24"/>
        </w:rPr>
      </w:pPr>
      <w:r w:rsidRPr="00303458">
        <w:t>2.</w:t>
      </w:r>
      <w:r w:rsidRPr="00303458">
        <w:tab/>
        <w:t>märgib, et kontrollikoda kontrollis oma 2022. aasta aruandes 60 halduse rubriigi tehingust koosnenud valimit (sama palju tehinguid kontrolliti ka 2021. aastal); märgib lisaks, et kontrollikoda kirjutab, et halduskulud hõlmavad personalikulusid, sealhulgas pensionikulusid, mis 2022. aastal moodustasid umbes 70 % kõigist halduskuludest, ning hoonete, seadmete, energia, side- ja infotehnoloogiaga seotud kulusid, ning et kontrollikoja aastatepikkune töö näitab, et üldiselt on need kulud madala riskiga;</w:t>
      </w:r>
    </w:p>
    <w:p w:rsidR="008743EA" w:rsidRPr="00303458" w:rsidRDefault="008743EA" w:rsidP="008743EA">
      <w:pPr>
        <w:pStyle w:val="NormalHanging12a"/>
        <w:rPr>
          <w:szCs w:val="24"/>
        </w:rPr>
      </w:pPr>
      <w:r w:rsidRPr="00303458">
        <w:t>3.</w:t>
      </w:r>
      <w:r w:rsidRPr="00303458">
        <w:tab/>
        <w:t xml:space="preserve">kutsub kontrollikoda üles kõigi auditeeritavate asutuste kontrollitavate halduse rubriigi tehingute arvu suurendama, et parlament saaks paremini täita oma rolli teiste institutsioonide eelarve täitmisele heakskiidu andmise eest vastutava institutsioonina; </w:t>
      </w:r>
      <w:r w:rsidR="00085306" w:rsidRPr="00303458">
        <w:t>peab kahetsusväärseks</w:t>
      </w:r>
      <w:r w:rsidRPr="00303458">
        <w:t>, et</w:t>
      </w:r>
      <w:r w:rsidR="00085306" w:rsidRPr="00303458">
        <w:t xml:space="preserve"> kava</w:t>
      </w:r>
      <w:r w:rsidRPr="00303458">
        <w:t xml:space="preserve"> koostada eriaruan</w:t>
      </w:r>
      <w:r w:rsidR="00085306" w:rsidRPr="00303458">
        <w:t>n</w:t>
      </w:r>
      <w:r w:rsidRPr="00303458">
        <w:t>e, milles keskendutakse teiste institutsioonide halduskuludele peale komisjoni</w:t>
      </w:r>
      <w:r w:rsidR="00085306" w:rsidRPr="00303458">
        <w:rPr>
          <w:szCs w:val="24"/>
          <w:lang w:eastAsia="en-US"/>
        </w:rPr>
        <w:t>, vaadati läbi, et korraldada ELi avaliku teenistuse audit, milles uuritakse tõenäoliselt vaid piiratud osa halduskuludest; kordab halduskulude põhjalikuma uurimise tähtsust ning oma üleskutset lisada oma töösse põhjalikud andmed kõigi institutsioonide kohta, et luua ühtne alus järjepidevale eelarve täitmisele heakskiidu andmise menetlusele</w:t>
      </w:r>
      <w:r w:rsidRPr="00303458">
        <w:t>;</w:t>
      </w:r>
    </w:p>
    <w:p w:rsidR="008743EA" w:rsidRPr="00303458" w:rsidRDefault="008743EA" w:rsidP="008743EA">
      <w:pPr>
        <w:pStyle w:val="NormalHanging12a"/>
        <w:rPr>
          <w:szCs w:val="24"/>
        </w:rPr>
      </w:pPr>
      <w:r w:rsidRPr="00303458">
        <w:t>4.</w:t>
      </w:r>
      <w:r w:rsidRPr="00303458">
        <w:tab/>
        <w:t xml:space="preserve">märgib, et kontrollikoja raamatupidamise aastaaruannet auditeerib sõltumatu </w:t>
      </w:r>
      <w:proofErr w:type="spellStart"/>
      <w:r w:rsidRPr="00303458">
        <w:t>välisaudiitor</w:t>
      </w:r>
      <w:proofErr w:type="spellEnd"/>
      <w:r w:rsidRPr="00303458">
        <w:t xml:space="preserve">, et tagada selles samad läbipaistvuse, vastutuse ja audiitori sõltumatuse põhimõtted, mida kontrollikoda kohaldab oma auditeeritavate suhtes; märgib rahuloluga, et </w:t>
      </w:r>
      <w:proofErr w:type="spellStart"/>
      <w:r w:rsidRPr="00303458">
        <w:t>välisaudiitor</w:t>
      </w:r>
      <w:proofErr w:type="spellEnd"/>
      <w:r w:rsidRPr="00303458">
        <w:t xml:space="preserve"> ei teatanud pärast kontrollikoja auditeerimist ühestki konkreetsest probleemist;</w:t>
      </w:r>
    </w:p>
    <w:p w:rsidR="008743EA" w:rsidRPr="00303458" w:rsidRDefault="008743EA" w:rsidP="008743EA">
      <w:pPr>
        <w:pStyle w:val="NormalHanging12a"/>
        <w:rPr>
          <w:b/>
          <w:i/>
          <w:szCs w:val="24"/>
        </w:rPr>
      </w:pPr>
      <w:r w:rsidRPr="00303458">
        <w:rPr>
          <w:b/>
          <w:i/>
        </w:rPr>
        <w:t>Eelarve haldamine ja finantsjuhtimine</w:t>
      </w:r>
    </w:p>
    <w:p w:rsidR="008743EA" w:rsidRPr="00303458" w:rsidRDefault="008743EA" w:rsidP="008743EA">
      <w:pPr>
        <w:pStyle w:val="NormalHanging12a"/>
        <w:rPr>
          <w:szCs w:val="24"/>
        </w:rPr>
      </w:pPr>
      <w:r w:rsidRPr="00303458">
        <w:t>5.</w:t>
      </w:r>
      <w:r w:rsidRPr="00303458">
        <w:tab/>
        <w:t>märgib, et kontrollikoja 2022. aasta lõplik eelarve oli 162 141 175 eurot, suurenedes 2021. aasta 153 721 727 eurolt 5,5 % võrra; märgib, et kasv oli peamiselt tingitud palkade korrigeerimisest ning 20 uuest Euroopa taasterahastuga seotud ajutisest töökohast; märgib, et 2022. aastal kulus umbes 90 % institutsiooni liikmetele ja personalile, 10 % kulus aga hoonetele, seadmetele ja mitmetele kuludele;</w:t>
      </w:r>
    </w:p>
    <w:p w:rsidR="008743EA" w:rsidRPr="00303458" w:rsidRDefault="008743EA" w:rsidP="008743EA">
      <w:pPr>
        <w:pStyle w:val="NormalHanging12a"/>
        <w:rPr>
          <w:szCs w:val="24"/>
        </w:rPr>
      </w:pPr>
      <w:r w:rsidRPr="00303458">
        <w:t>6.</w:t>
      </w:r>
      <w:r w:rsidRPr="00303458">
        <w:tab/>
        <w:t>kordab lisaks, kui oluline on tagada, et kontrollikojal oleks piisavalt töötajaid, et täita piisaval määral oma volitusi, aga ka uusi ülesandeid, mis on seotud uute rahastamisvahendite, näiteks taaste- ja vastupidavusrahastu jõustumisega;</w:t>
      </w:r>
    </w:p>
    <w:p w:rsidR="008743EA" w:rsidRPr="00303458" w:rsidRDefault="008743EA" w:rsidP="008743EA">
      <w:pPr>
        <w:pStyle w:val="NormalHanging12a"/>
        <w:rPr>
          <w:szCs w:val="24"/>
        </w:rPr>
      </w:pPr>
      <w:r w:rsidRPr="00303458">
        <w:t>7.</w:t>
      </w:r>
      <w:r w:rsidRPr="00303458">
        <w:tab/>
        <w:t>märgib, et kontrollikoda tegi 2022. aastal vastavalt finantsmääruse artiklile 29 kokku 26 eelarve ümberpaigutamist kogusummas 3,4 miljonit eurot, mis moodustasid kokku 2,1 % vastava finantsaasta eraldistest, mis tähendas eelkõige lähetustele, avaldatud materjalile, tõlgetele ning õigusteenustele tehtud kulutuste vähenemist ning ruumide sisseseadmise kulude, sealhulgas katuse renoveerimisele tehtud kulutuste, energiakulude, lepinguliste töötajate ja IT-seadmetega seotud kulude suurenemist; märgib samuti, et eelarve täitmise määr oli 2022. aastal 98,5 % ehk veidi suurem kui kahel eelneval aastal; väljendab heameelt selle üle, et 2022. aastal vähendati keskmist makseaega 9,8 päevani võrreldes 10,7 päevaga 2021. aastal, tõenäoliselt tänu elektrooniliste arvete osakaalu suurenemisele, mis oli 24 % võrreldes 19 %-ga 2021. aastal;</w:t>
      </w:r>
    </w:p>
    <w:p w:rsidR="008743EA" w:rsidRPr="00303458" w:rsidRDefault="008743EA" w:rsidP="008743EA">
      <w:pPr>
        <w:pStyle w:val="NormalHanging12a"/>
        <w:rPr>
          <w:szCs w:val="24"/>
        </w:rPr>
      </w:pPr>
      <w:r w:rsidRPr="00303458">
        <w:t>8.</w:t>
      </w:r>
      <w:r w:rsidRPr="00303458">
        <w:tab/>
        <w:t xml:space="preserve">märgib rahuloluga, et </w:t>
      </w:r>
      <w:proofErr w:type="spellStart"/>
      <w:r w:rsidRPr="00303458">
        <w:t>välisaudiitor</w:t>
      </w:r>
      <w:proofErr w:type="spellEnd"/>
      <w:r w:rsidRPr="00303458">
        <w:t xml:space="preserve"> teatas, et eraldatud ressursse on kasutatud </w:t>
      </w:r>
      <w:r w:rsidRPr="00303458">
        <w:lastRenderedPageBreak/>
        <w:t>eesmärgipäraselt ning et eelarvevahendite käsutajate kehtestatud kontrolliprotseduurid tagasid vajalikul määral finantsoperatsioonide vastavuse kehtivatele eeskirjadele ning määrustele;</w:t>
      </w:r>
    </w:p>
    <w:p w:rsidR="008743EA" w:rsidRPr="00303458" w:rsidRDefault="008743EA" w:rsidP="008743EA">
      <w:pPr>
        <w:pStyle w:val="NormalHanging12a"/>
        <w:rPr>
          <w:szCs w:val="24"/>
        </w:rPr>
      </w:pPr>
      <w:r w:rsidRPr="00303458">
        <w:t>9.</w:t>
      </w:r>
      <w:r w:rsidRPr="00303458">
        <w:tab/>
        <w:t>märgib, et Venemaa ebaseaduslik ja põhjendamatu agressioonisõda Ukraina vastu seadis kontrollikoja eelarve mitmel viisil surve alla, kaasa arvatud inflatsiooni suurenemise ning palkade korrigeerimise ja elektri- ja küttekulude suure kasvu tõttu;</w:t>
      </w:r>
    </w:p>
    <w:p w:rsidR="008743EA" w:rsidRPr="00303458" w:rsidRDefault="008743EA" w:rsidP="008743EA">
      <w:pPr>
        <w:pStyle w:val="NormalHanging12a"/>
        <w:rPr>
          <w:szCs w:val="24"/>
        </w:rPr>
      </w:pPr>
      <w:r w:rsidRPr="00303458">
        <w:t>10.</w:t>
      </w:r>
      <w:r w:rsidRPr="00303458">
        <w:tab/>
        <w:t xml:space="preserve">märgib, et kontrollikoja üldine lähetuste eelarve kahanes 2022. aastal 2021. aasta 2 988 000 eurolt 2 452 000 euroni ehk 18 % võrra, mis oli tingitud liikumispiirangute püsimisest 2022. aasta alguses ning töömeetodite muutumisest, kuna suurem osa koosolekutest viidi läbi </w:t>
      </w:r>
      <w:proofErr w:type="spellStart"/>
      <w:r w:rsidRPr="00303458">
        <w:t>kaugkoosolekutena</w:t>
      </w:r>
      <w:proofErr w:type="spellEnd"/>
      <w:r w:rsidRPr="00303458">
        <w:t>; märgib ka, et kontrollikojal ei ole konkreetset eelarverida oma presidendi lähetuste ja reiside kajastamiseks; märgib lõpuks, et kõigi kontrollikoja liikmete lähetuste eelarverea summa oli nii 2021. kui ka 2022. aastal 290 000 eurot;</w:t>
      </w:r>
    </w:p>
    <w:p w:rsidR="008743EA" w:rsidRPr="00303458" w:rsidRDefault="008743EA" w:rsidP="008743EA">
      <w:pPr>
        <w:pStyle w:val="NormalHanging12a"/>
        <w:rPr>
          <w:szCs w:val="24"/>
        </w:rPr>
      </w:pPr>
      <w:r w:rsidRPr="00303458">
        <w:t>11.</w:t>
      </w:r>
      <w:r w:rsidRPr="00303458">
        <w:tab/>
        <w:t xml:space="preserve">kiidab heaks asjaolu, et kontrollikojal on alates 2022. aastast üksikasjalik metoodika lähetuste kulude eel- ja </w:t>
      </w:r>
      <w:proofErr w:type="spellStart"/>
      <w:r w:rsidRPr="00303458">
        <w:t>järelkontrollimiseks</w:t>
      </w:r>
      <w:proofErr w:type="spellEnd"/>
      <w:r w:rsidRPr="00303458">
        <w:t>;</w:t>
      </w:r>
    </w:p>
    <w:p w:rsidR="008743EA" w:rsidRPr="00303458" w:rsidRDefault="008743EA" w:rsidP="008743EA">
      <w:pPr>
        <w:pStyle w:val="NormalHanging12a"/>
        <w:rPr>
          <w:b/>
          <w:i/>
          <w:szCs w:val="24"/>
        </w:rPr>
      </w:pPr>
      <w:proofErr w:type="spellStart"/>
      <w:r w:rsidRPr="00303458">
        <w:rPr>
          <w:b/>
          <w:i/>
        </w:rPr>
        <w:t>Sisehaldus</w:t>
      </w:r>
      <w:proofErr w:type="spellEnd"/>
      <w:r w:rsidRPr="00303458">
        <w:rPr>
          <w:b/>
          <w:i/>
        </w:rPr>
        <w:t xml:space="preserve"> ja -kontroll ning tulemuslikkus</w:t>
      </w:r>
    </w:p>
    <w:p w:rsidR="008743EA" w:rsidRPr="00303458" w:rsidRDefault="008743EA" w:rsidP="008743EA">
      <w:pPr>
        <w:pStyle w:val="NormalHanging12a"/>
        <w:rPr>
          <w:szCs w:val="24"/>
        </w:rPr>
      </w:pPr>
      <w:r w:rsidRPr="00303458">
        <w:t>12.</w:t>
      </w:r>
      <w:r w:rsidRPr="00303458">
        <w:tab/>
        <w:t>märgib, et 2022. aasta oli teine kontrollikoja 2021.–2025. aasta strateegia elluviimise aasta ning et 2022. aasta lõpuks olid 18 strateegilist meedet kokku 29-st meetmest täielikult rakendatud või meetme raamistik oli koostatud ning käimas oli edasine tegevus, 11 meedet olid aga rakendamisel või korduvad meetmed;</w:t>
      </w:r>
    </w:p>
    <w:p w:rsidR="008743EA" w:rsidRPr="00303458" w:rsidRDefault="008743EA" w:rsidP="008743EA">
      <w:pPr>
        <w:pStyle w:val="NormalHanging12a"/>
        <w:rPr>
          <w:szCs w:val="24"/>
        </w:rPr>
      </w:pPr>
      <w:r w:rsidRPr="00303458">
        <w:t>13.</w:t>
      </w:r>
      <w:r w:rsidRPr="00303458">
        <w:tab/>
        <w:t>märgib, et kontrollikoda esitas 2022. aastal 7 aastaaruannet, 8 arvamust, 28 eriaruannet ja 1 ülevaate, mis on väga sarnane 2020. ja 2021. aastal esitatud aruannete, arvamuste, eriaruannete ning ülevaadete arvuga;</w:t>
      </w:r>
    </w:p>
    <w:p w:rsidR="008743EA" w:rsidRPr="00303458" w:rsidRDefault="008743EA" w:rsidP="008743EA">
      <w:pPr>
        <w:pStyle w:val="NormalHanging12a"/>
        <w:rPr>
          <w:szCs w:val="24"/>
        </w:rPr>
      </w:pPr>
      <w:r w:rsidRPr="00303458">
        <w:t>14.</w:t>
      </w:r>
      <w:r w:rsidRPr="00303458">
        <w:tab/>
        <w:t>märgib, et kontrollikoda koostab oma töökava täiesti sõltumatult, kaasa arvatud koostatavate eriaruannete küsimuses; annab kontrollikojale jätkuvalt nõu, et liidu praegusele olukorrale ning probleemidele keskenduvad eriaruanded, millel on selge eelarvealane fookus ning mis on asjakohased, saavad parlamendi ja teistelt olulistelt sidusrühmadelt kõige rohkem tähelepanu; kiidab selles osas heaks kontrollikoja programmitöö protsessi läbivaatamise 2022. aastal, mis muutis pakiliste probleemidega tegelemise protsessi paindlikumaks, et sidusrühmade huve paremini rahuldada;</w:t>
      </w:r>
    </w:p>
    <w:p w:rsidR="008743EA" w:rsidRPr="00303458" w:rsidRDefault="008743EA" w:rsidP="008743EA">
      <w:pPr>
        <w:pStyle w:val="NormalHanging12a"/>
        <w:rPr>
          <w:szCs w:val="24"/>
        </w:rPr>
      </w:pPr>
      <w:r w:rsidRPr="00303458">
        <w:t>15.</w:t>
      </w:r>
      <w:r w:rsidRPr="00303458">
        <w:tab/>
        <w:t>kiidab heaks asjaolu, et kontrollikoda keskendus auditeerimisel parlamendi soovi kohaselt Euroopa praegustele probleemidele, koostades näiteks väga kiiresti arvamuse 3/2023 Ukraina toetusrahastu ja selle rakendamise jälgimisele pööratava tähelepanu kohta; väljendab muret asjaolu pärast, et kontrollikojal pole taaste- ja vastupidavusrahastu auditeerimisel endiselt täielikku juurdepääsu sellest aruandvale uuele vahendile FENIX ja et selles vahendis leiduvat teavet ei ajakohastata õigeaegselt; toetab kontrollikoja seisukohta, et finantsmääruse artikliga 257 antakse kontrollikojale täielik ja kohene pääsuõigus; kutsub lisaks komisjoni üles andma kontrollikojale juurdepääsu muud liiki asjakohasele teabele, et ta saaks oma rolli täita;</w:t>
      </w:r>
    </w:p>
    <w:p w:rsidR="008743EA" w:rsidRPr="00303458" w:rsidRDefault="008743EA" w:rsidP="008743EA">
      <w:pPr>
        <w:pStyle w:val="NormalHanging12a"/>
        <w:rPr>
          <w:szCs w:val="24"/>
        </w:rPr>
      </w:pPr>
      <w:r w:rsidRPr="00303458">
        <w:t>16.</w:t>
      </w:r>
      <w:r w:rsidRPr="00303458">
        <w:tab/>
        <w:t xml:space="preserve">tunneb heameelt taaste- ja vastupidavusrahastu rakendamist käsitlevate õigeaegsete ja asjakohaste eriaruannete üle, mis võimaldavad eelarve täitmisele heakskiidu andmise eest vastutaval institutsioonil kasutada oma õigusi ja esitada komisjonile soovitusi selle </w:t>
      </w:r>
      <w:r w:rsidRPr="00303458">
        <w:lastRenderedPageBreak/>
        <w:t>rahastu toimimise parandamiseks;</w:t>
      </w:r>
    </w:p>
    <w:p w:rsidR="008743EA" w:rsidRPr="00303458" w:rsidRDefault="008743EA" w:rsidP="008743EA">
      <w:pPr>
        <w:pStyle w:val="NormalHanging12a"/>
        <w:rPr>
          <w:szCs w:val="24"/>
        </w:rPr>
      </w:pPr>
      <w:r w:rsidRPr="00303458">
        <w:t>17.</w:t>
      </w:r>
      <w:r w:rsidRPr="00303458">
        <w:tab/>
        <w:t xml:space="preserve">kiidab heaks asjaolu, et kontrollikoda on koostanud vastavalt finantsmääruse artikli 118 lõikele 8 kontrollikoja läbi viidud </w:t>
      </w:r>
      <w:proofErr w:type="spellStart"/>
      <w:r w:rsidRPr="00303458">
        <w:t>siseauditite</w:t>
      </w:r>
      <w:proofErr w:type="spellEnd"/>
      <w:r w:rsidRPr="00303458">
        <w:t xml:space="preserve"> arvu ja liike käsitleva kokkuvõtte ning soovituste ja nende soovituste alusel võetud meetmete sünteesi; märgib, et </w:t>
      </w:r>
      <w:proofErr w:type="spellStart"/>
      <w:r w:rsidRPr="00303458">
        <w:t>siseaudiitori</w:t>
      </w:r>
      <w:proofErr w:type="spellEnd"/>
      <w:r w:rsidRPr="00303458">
        <w:t xml:space="preserve"> aasta tööprogrammis viidatakse aasta jooksul täidetud korduvatele ülesannetele, valitud ülesannetele ja teistele ülesannetele; märgib, et mõned tegevused, mis tulnuks läbi viia 2022. aastal, on lükatud edasi 2023. aastale, ja palub kontrollikojal parlamendile nende rakendamise kohta aru anda;</w:t>
      </w:r>
    </w:p>
    <w:p w:rsidR="008743EA" w:rsidRPr="00303458" w:rsidRDefault="008743EA" w:rsidP="008743EA">
      <w:pPr>
        <w:pStyle w:val="NormalHanging12a"/>
        <w:rPr>
          <w:szCs w:val="24"/>
        </w:rPr>
      </w:pPr>
      <w:r w:rsidRPr="00303458">
        <w:t>18.</w:t>
      </w:r>
      <w:r w:rsidRPr="00303458">
        <w:tab/>
        <w:t xml:space="preserve">julgustab kontrollikoda suurendama oma panust liidu eelarvega seotud pettuste vastasesse võitlusesse, tehes mitte ainult kindlaks puudused, mis muudavad liidu rahastatavad programmid pettuseohtlikuks, ning andes neist aru, vaid võttes ka arvesse käimasolevat arutelu </w:t>
      </w:r>
      <w:proofErr w:type="spellStart"/>
      <w:r w:rsidRPr="00303458">
        <w:t>pettustevastase</w:t>
      </w:r>
      <w:proofErr w:type="spellEnd"/>
      <w:r w:rsidRPr="00303458">
        <w:t xml:space="preserve"> süsteemi osade vahel ja tõhustades audititööd koostöös pettuste avastamise eest vastutavate asutustega, hinnates korrapäraselt nende tegevust ja andes eelarve täitmisele heakskiidu andmise eest vastutava institutsiooni analüüsi jaoks tagasisidet;</w:t>
      </w:r>
    </w:p>
    <w:p w:rsidR="008743EA" w:rsidRPr="00303458" w:rsidRDefault="008743EA" w:rsidP="008743EA">
      <w:pPr>
        <w:pStyle w:val="NormalHanging12a"/>
        <w:rPr>
          <w:szCs w:val="24"/>
        </w:rPr>
      </w:pPr>
      <w:r w:rsidRPr="00303458">
        <w:t>19.</w:t>
      </w:r>
      <w:r w:rsidRPr="00303458">
        <w:tab/>
        <w:t xml:space="preserve">kiidab kontrollikoja 2021.–2025. aasta strateegias võetud kohustust koostada kulutõhusaid soovitusi, et aidata kaasa bürokraatia vähendamisele liidu institutsioonides; juhib tähelepanu asjaolule, et kontrollikoja soovitused eelkõige protseduuride tõhusamaks muutmise, heade tavade kasutamise, koordineerimise tõhustamise, standardprotsesside väljatöötamise, </w:t>
      </w:r>
      <w:proofErr w:type="spellStart"/>
      <w:r w:rsidRPr="00303458">
        <w:t>ülereguleerimise</w:t>
      </w:r>
      <w:proofErr w:type="spellEnd"/>
      <w:r w:rsidRPr="00303458">
        <w:t xml:space="preserve"> vältimise ning lihtsustamise ja digitaliseerimise kohta täidavad seda eesmärki;</w:t>
      </w:r>
    </w:p>
    <w:p w:rsidR="008743EA" w:rsidRPr="00303458" w:rsidRDefault="008743EA" w:rsidP="008743EA">
      <w:pPr>
        <w:pStyle w:val="NormalHanging12a"/>
        <w:rPr>
          <w:szCs w:val="24"/>
        </w:rPr>
      </w:pPr>
      <w:r w:rsidRPr="00303458">
        <w:t>20.</w:t>
      </w:r>
      <w:r w:rsidRPr="00303458">
        <w:tab/>
        <w:t>julgustab kontrollikoda jätkuvalt soovitama liiduüleste andmebaaside loomist ja töös hoidmist ning tõhusa andmekaeve alast tegevust, et andmeid liidu tasandil analüüsida ning tuvastada liidu seisukohast lähtudes olulised riskid; kutsub kontrollikoda üles tegelema liikmesriikide avaliku sektori vahendite kasutuse lihtsaks ja koostalitlevaks auditeerimiseks vajalike andmete kogumise, töötlemise ja säilitamise vajalike nõuete väljaselgitamisega;</w:t>
      </w:r>
    </w:p>
    <w:p w:rsidR="008743EA" w:rsidRPr="00303458" w:rsidRDefault="008743EA" w:rsidP="008743EA">
      <w:pPr>
        <w:pStyle w:val="NormalHanging12a"/>
        <w:rPr>
          <w:b/>
          <w:i/>
          <w:szCs w:val="24"/>
        </w:rPr>
      </w:pPr>
      <w:r w:rsidRPr="00303458">
        <w:rPr>
          <w:b/>
          <w:i/>
        </w:rPr>
        <w:t>Personal, võrdsus ja töötajate heaolu</w:t>
      </w:r>
    </w:p>
    <w:p w:rsidR="008743EA" w:rsidRPr="00303458" w:rsidRDefault="008743EA" w:rsidP="008743EA">
      <w:pPr>
        <w:pStyle w:val="NormalHanging12a"/>
        <w:rPr>
          <w:szCs w:val="24"/>
        </w:rPr>
      </w:pPr>
      <w:r w:rsidRPr="00303458">
        <w:t>21.</w:t>
      </w:r>
      <w:r w:rsidRPr="00303458">
        <w:tab/>
        <w:t xml:space="preserve">märgib, et kontrollikojal oli 2022. aasta lõpus 921 töötajat, mis on veidi rohkem kui 917 töötajat 2021. aasta lõpus ning 910 2020. aasta lõpus; märgib, et soolise jaotuse alusel koosnes personal 2022. aasta lõpus 434 mehest, kes moodustasid 47,1 %, ja 487 naisest, kes moodustasid 52,9 % personalist; kutsub kontrollikoda üles jätkama jõupingutuste tegemist soolise tasakaalu edendamiseks </w:t>
      </w:r>
      <w:proofErr w:type="spellStart"/>
      <w:r w:rsidRPr="00303458">
        <w:t>kesktasandi</w:t>
      </w:r>
      <w:proofErr w:type="spellEnd"/>
      <w:r w:rsidRPr="00303458">
        <w:t xml:space="preserve"> ja kõrgema juhtkonna seas; märgib ka, et üldise kategooriatesse jagunemise alusel koosnes personal 830 ametnikust (90 %), kelle seas oli 620 haldurit (</w:t>
      </w:r>
      <w:proofErr w:type="spellStart"/>
      <w:r w:rsidRPr="00303458">
        <w:t>ADd</w:t>
      </w:r>
      <w:proofErr w:type="spellEnd"/>
      <w:r w:rsidRPr="00303458">
        <w:t>) ning 210 assistenti ja sekretäri (AST/SC), ja 91 lepingulisest töötajast (10 %);</w:t>
      </w:r>
    </w:p>
    <w:p w:rsidR="008743EA" w:rsidRPr="00303458" w:rsidRDefault="008743EA" w:rsidP="008743EA">
      <w:pPr>
        <w:pStyle w:val="NormalHanging12a"/>
        <w:rPr>
          <w:szCs w:val="24"/>
        </w:rPr>
      </w:pPr>
      <w:r w:rsidRPr="00303458">
        <w:t>22.</w:t>
      </w:r>
      <w:r w:rsidRPr="00303458">
        <w:tab/>
        <w:t>märgib, et AD-kategooria palgaastmetel 13–16 töötas 79 inimest, kellest 49 olid mehed ja 30 naised, seega 62 % mehi ja 38 % naisi, mis tähendab, et naiste osakaal nendes kategooriates on võrreldes 37,5 %-ga 2021. aastal ja 34,5 %-ga 2020. aastal veidi suurenenud;</w:t>
      </w:r>
    </w:p>
    <w:p w:rsidR="008743EA" w:rsidRPr="00303458" w:rsidRDefault="008743EA" w:rsidP="008743EA">
      <w:pPr>
        <w:pStyle w:val="NormalHanging12a"/>
        <w:rPr>
          <w:szCs w:val="24"/>
        </w:rPr>
      </w:pPr>
      <w:r w:rsidRPr="00303458">
        <w:t>23.</w:t>
      </w:r>
      <w:r w:rsidRPr="00303458">
        <w:tab/>
        <w:t xml:space="preserve">peab äärmiselt kahetsusväärseks soolise tasakaalu puudumist kontrollikoja kolleegiumis: selle praeguses koosseisus on 25st liikmest vaid 10 liiget naised, võttes arvesse, et Portugalist ja Bulgaariast pärit liikmeid ei ole veel ametisse nimetatud; </w:t>
      </w:r>
      <w:r w:rsidRPr="00303458">
        <w:lastRenderedPageBreak/>
        <w:t>mõistab, et liikmete ametisse nimetamise menetlus on soolise tasakaalu saavutamisel keeruline, sest riiklik ametisse nimetamine on liikmesriikide ainupädevuses; kutsub kontrollikoda siiski üles analüüsima oma üldist koosseisu, et teavitada nõukogu ja asjaomaseid liikmesriike, et ametisse nimetamise otsustes võetaks arvesse soolist tasakaalu;</w:t>
      </w:r>
    </w:p>
    <w:p w:rsidR="008743EA" w:rsidRPr="00303458" w:rsidRDefault="008743EA" w:rsidP="008743EA">
      <w:pPr>
        <w:pStyle w:val="NormalHanging12a"/>
        <w:rPr>
          <w:szCs w:val="24"/>
        </w:rPr>
      </w:pPr>
      <w:r w:rsidRPr="00303458">
        <w:t>24.</w:t>
      </w:r>
      <w:r w:rsidRPr="00303458">
        <w:tab/>
        <w:t>peab kahetsusväärseks, et nõukogu on aegade jooksul korduvalt nimetanud kontrollikotta liikmeid, kelle kandidatuuri on parlament tagasi lükanud; toonitab, et Euroopa Parlamendil peaks olema kontrollikoja kandidaatide sobivuse hindamisel siduv roll;</w:t>
      </w:r>
    </w:p>
    <w:p w:rsidR="008743EA" w:rsidRPr="00303458" w:rsidRDefault="008743EA" w:rsidP="008743EA">
      <w:pPr>
        <w:pStyle w:val="NormalHanging12a"/>
        <w:rPr>
          <w:szCs w:val="24"/>
        </w:rPr>
      </w:pPr>
      <w:r w:rsidRPr="00303458">
        <w:t>25.</w:t>
      </w:r>
      <w:r w:rsidRPr="00303458">
        <w:tab/>
        <w:t>kiidab heaks asjaolu, et kontrollikoja töötajate seas on esindatud kõik liidu rahvused, seda nii AD-kategoorias kui ka AST/SC-kategoorias; märgib siiski kahetsusega, et mõned rahvused on alaesindatud, ja peab tervitatavaks asjaolu, et kontrollikoda on astunud samme, et avaldada mõnedes liikmesriikides (Taani, Eesti ja Läti) töökuulutusi otse; väljendab heameelt selle üle, et valikumenetlustes on tõhusalt kasutatud uusi avaldamisviise, et meelitada ligi eri liikmesriikidest pärit erinevaid sihtrühmi;</w:t>
      </w:r>
    </w:p>
    <w:p w:rsidR="008743EA" w:rsidRPr="00303458" w:rsidRDefault="008743EA" w:rsidP="008743EA">
      <w:pPr>
        <w:pStyle w:val="NormalHanging12a"/>
        <w:rPr>
          <w:szCs w:val="24"/>
        </w:rPr>
      </w:pPr>
      <w:r w:rsidRPr="00303458">
        <w:t>26.</w:t>
      </w:r>
      <w:r w:rsidRPr="00303458">
        <w:tab/>
        <w:t>märgib, et kontrollikoda võttis hübriidtöö kohta vastu otsuse, mis jõustus 1. jaanuaril 2022; täheldab, et kontrollikoda kasutab kaugtöö skeemi, mis võimaldab kuni 10 päeva kuus ja kuni 10 järjestikust päeva kodust töötada; täheldab samuti, et see skeem võimaldab töötajatel kuni 5 päeva kuus ja 30 tööpäeva aastas väljaspool oma alalist elukohta töötada; märgib lõpetuseks, et töötajate seas läbi viidud küsitluse kohaselt oli 95 % kaugtöö korralduse poolt ning 88 % tundis, et sellel on positiivne elu töötajate töö- ja eraelu tasakaalule;</w:t>
      </w:r>
    </w:p>
    <w:p w:rsidR="008743EA" w:rsidRPr="00303458" w:rsidRDefault="008743EA" w:rsidP="008743EA">
      <w:pPr>
        <w:pStyle w:val="NormalHanging12a"/>
        <w:rPr>
          <w:szCs w:val="24"/>
        </w:rPr>
      </w:pPr>
      <w:r w:rsidRPr="00303458">
        <w:t>27.</w:t>
      </w:r>
      <w:r w:rsidRPr="00303458">
        <w:tab/>
        <w:t>väljendab heameelt meetmete üle, mida kontrollikoda võttis 2022. aastal töötajate füüsilise ja vaimse heaolu tagamiseks;</w:t>
      </w:r>
    </w:p>
    <w:p w:rsidR="008743EA" w:rsidRPr="00303458" w:rsidRDefault="008743EA" w:rsidP="008743EA">
      <w:pPr>
        <w:pStyle w:val="NormalHanging12a"/>
        <w:rPr>
          <w:szCs w:val="24"/>
        </w:rPr>
      </w:pPr>
      <w:r w:rsidRPr="00303458">
        <w:t>28.</w:t>
      </w:r>
      <w:r w:rsidRPr="00303458">
        <w:tab/>
        <w:t>tunnistab probleeme, mis on seotud töötajate Luksemburgi tööle meelitamisega, ja julgustab kontrollikoda tegema koostööd teiste Luksemburgis asuvate institutsioonidega institutsioonidevahelises kõrgetasemelises töörühmas, et suurendada Luksemburgi atraktiivsust töötajate jaoks ning töötada välja erinevad võimalikud meetmed, sealhulgas spetsiaalse eluasemetoetuse idee eelkõige madalamate palgaastmete töötajaid mõjutava kõrgete üürikulude probleemi lahendamiseks ning võimalus pakkuda mõistliku hinnaga ajutist eluaset lühiajaliseks viibimiseks;</w:t>
      </w:r>
    </w:p>
    <w:p w:rsidR="008743EA" w:rsidRPr="00303458" w:rsidRDefault="008743EA" w:rsidP="008743EA">
      <w:pPr>
        <w:pStyle w:val="NormalHanging12a"/>
        <w:rPr>
          <w:szCs w:val="24"/>
        </w:rPr>
      </w:pPr>
      <w:r w:rsidRPr="00303458">
        <w:t>29.</w:t>
      </w:r>
      <w:r w:rsidRPr="00303458">
        <w:tab/>
        <w:t>märgib murega, et 2022. aastal võeti 11 622 haiguspäeva, mis on 54 % rohkem kui 2021. aastal, mil haiguspäevade arv oli 7 524; märgib samal ajal, et 2018. aastal küündis kontrollikoja personali haiguspäevade arv 10 255-ni ning et 2021. aasta suhteliselt väike arv võis olla seotud COVID-19 olukorraga;</w:t>
      </w:r>
    </w:p>
    <w:p w:rsidR="008743EA" w:rsidRPr="00303458" w:rsidRDefault="008743EA" w:rsidP="008743EA">
      <w:pPr>
        <w:pStyle w:val="NormalHanging12a"/>
        <w:rPr>
          <w:szCs w:val="24"/>
        </w:rPr>
      </w:pPr>
      <w:r w:rsidRPr="00303458">
        <w:t>30.</w:t>
      </w:r>
      <w:r w:rsidRPr="00303458">
        <w:tab/>
        <w:t xml:space="preserve">märgib murega, et kontrollikoda teatas 2022. aastal seitsmest läbipõlemise juhtumist; märgib lisaks, et kõik seitse töötajat </w:t>
      </w:r>
      <w:proofErr w:type="spellStart"/>
      <w:r w:rsidRPr="00303458">
        <w:t>taasintegreeriti</w:t>
      </w:r>
      <w:proofErr w:type="spellEnd"/>
      <w:r w:rsidRPr="00303458">
        <w:t xml:space="preserve"> ja nad naasid järk-järgult tööle meditsiiniliselt heakskiidetud osalise tööajaga tööle ennistamise menetluse alusel; tunneb sellega seoses heameelt selle üle, et kontrollikoda alustas 2022. aastal suuniste koostamist tööle naasmiseks pärast pikaajalist haiguspuhkust; märgib, et kontrollikoja väitel arvestatakse aasta tööprogrammi koostamisel ressursside kättesaadavusega ning et juhid ja direktoraadi juhtkonna liikmed hindavad töökoormust, et tagada töö ühtlane jaotus; julgustab kontrollikoda siiski ka edaspidi sellele probleemile keskenduma ja võtma kõik vajalikud meetmed, et tagada töötajate heaolu ning vähendada </w:t>
      </w:r>
      <w:r w:rsidRPr="00303458">
        <w:lastRenderedPageBreak/>
        <w:t>läbipõlemisega seotud juhtumite arvu;</w:t>
      </w:r>
    </w:p>
    <w:p w:rsidR="008743EA" w:rsidRPr="00303458" w:rsidRDefault="008743EA" w:rsidP="008743EA">
      <w:pPr>
        <w:pStyle w:val="NormalHanging12a"/>
        <w:rPr>
          <w:szCs w:val="24"/>
        </w:rPr>
      </w:pPr>
      <w:r w:rsidRPr="00303458">
        <w:t>31.</w:t>
      </w:r>
      <w:r w:rsidRPr="00303458">
        <w:tab/>
        <w:t>kiidab heaks asjaolu, et pärast ulatuslikku koostööd võeti 2022. aasta detsembris vastu otsus ja eeskiri austava ja ahistamisvaba töökoha tagamise kohta, milles keskendutakse selgelt ennetamisele, teadlikkuse suurendamisele ja varajasele avastamisele, sätestades samas mitmed meetmed (konfidentsiaalne nõustamine, vahendamine ja ametlikud kaebused), mida tuleb kasutada ahistamise tajumise korral;</w:t>
      </w:r>
    </w:p>
    <w:p w:rsidR="008743EA" w:rsidRPr="00303458" w:rsidRDefault="008743EA" w:rsidP="008743EA">
      <w:pPr>
        <w:pStyle w:val="NormalHanging12a"/>
        <w:rPr>
          <w:szCs w:val="24"/>
        </w:rPr>
      </w:pPr>
      <w:r w:rsidRPr="00303458">
        <w:t xml:space="preserve">32. </w:t>
      </w:r>
      <w:r w:rsidRPr="00303458">
        <w:tab/>
        <w:t>kiidab heaks kontrollikoja mitmekesisuse ja kaasamise tegevuskava aastateks 2021–2025 ning väljendab heameelt 2022. aasta jooksul võetud meetmete üle teadlikkuse suurendamiseks kavast ja 2022. aasta jooksul saavutatud tulemusi selles sätestatud 10 prioriteedi osas; märgib, et kontrollikoda võttis 2022. aastal tööle ainult ühe tunnistatud puudega isiku, kellega sõlmiti tähtajaline leping;</w:t>
      </w:r>
    </w:p>
    <w:p w:rsidR="008743EA" w:rsidRPr="00303458" w:rsidRDefault="008743EA" w:rsidP="008743EA">
      <w:pPr>
        <w:pStyle w:val="NormalHanging12a"/>
        <w:rPr>
          <w:szCs w:val="24"/>
        </w:rPr>
      </w:pPr>
      <w:r w:rsidRPr="00303458">
        <w:t>33.</w:t>
      </w:r>
      <w:r w:rsidRPr="00303458">
        <w:tab/>
        <w:t>märgib, et kontrollikoda võttis 2022. aastal vastu 54 praktikanti; märgib heakskiiduga, et neile kõigile tasuti kontrollikoja või riiklike ametiasutuste poolt;</w:t>
      </w:r>
    </w:p>
    <w:p w:rsidR="008743EA" w:rsidRPr="00303458" w:rsidRDefault="008743EA" w:rsidP="008743EA">
      <w:pPr>
        <w:pStyle w:val="NormalHanging12a"/>
        <w:rPr>
          <w:b/>
          <w:i/>
          <w:szCs w:val="24"/>
        </w:rPr>
      </w:pPr>
      <w:r w:rsidRPr="00303458">
        <w:rPr>
          <w:b/>
          <w:i/>
        </w:rPr>
        <w:t>Eetikaraamistik ja läbipaistvus</w:t>
      </w:r>
    </w:p>
    <w:p w:rsidR="008743EA" w:rsidRPr="00303458" w:rsidRDefault="008743EA" w:rsidP="008743EA">
      <w:pPr>
        <w:pStyle w:val="NormalHanging12a"/>
        <w:rPr>
          <w:szCs w:val="24"/>
        </w:rPr>
      </w:pPr>
      <w:r w:rsidRPr="00303458">
        <w:t>34.</w:t>
      </w:r>
      <w:r w:rsidRPr="00303458">
        <w:tab/>
        <w:t xml:space="preserve">rõhutab kontrollikoja rolli ja tähtsust liidu sõltumatu </w:t>
      </w:r>
      <w:proofErr w:type="spellStart"/>
      <w:r w:rsidRPr="00303458">
        <w:t>välisaudiitorina</w:t>
      </w:r>
      <w:proofErr w:type="spellEnd"/>
      <w:r w:rsidRPr="00303458">
        <w:t xml:space="preserve"> ja liidu rahaliste vahendite </w:t>
      </w:r>
      <w:proofErr w:type="spellStart"/>
      <w:r w:rsidRPr="00303458">
        <w:t>järelevalvajana</w:t>
      </w:r>
      <w:proofErr w:type="spellEnd"/>
      <w:r w:rsidRPr="00303458">
        <w:t>, mille tõttu kontrollikoda peab kinni pidama rangeimatest võimalikest standarditest ja tegutsema eeskujuliku organisatsioonina, et tekitada usaldust ja usaldusväärsust; märgib, et vastavalt Euroopa Liidu toimimise lepingu artiklile 285 on kontrollikoja liikmed täiesti sõltumatud;</w:t>
      </w:r>
    </w:p>
    <w:p w:rsidR="008743EA" w:rsidRPr="00303458" w:rsidRDefault="008743EA" w:rsidP="008743EA">
      <w:pPr>
        <w:pStyle w:val="NormalHanging12a"/>
        <w:rPr>
          <w:szCs w:val="24"/>
        </w:rPr>
      </w:pPr>
      <w:r w:rsidRPr="00303458">
        <w:t>35.</w:t>
      </w:r>
      <w:r w:rsidRPr="00303458">
        <w:tab/>
        <w:t>väljendab heameelt parlamendi soovituse järel 2022. aasta mais muudetud kontrollikoja liikmete ja endiste liikmete muudetud käitumisjuhendi üle, millega kehtestati muu hulgas liikmete kohustus elada kontrollikoja asukohas, piirati liikmete poliitikas osalemise võimalusi, reguleeriti liikmete ja töötajate vahelisi lepingulisi suhteid ning kehtestati liikmete kohustus esitada iga-aastane huvide deklaratsioon; tuletab meelde, et kontrollikoja liikmed peaksid alati järgima kõrgeimaid eetilisi põhimõtteid ja väärtusi, et näidata oma täielikku ausust, sõltumatust, objektiivsust, professionaalsust, väärikust, pühendumust ja lojaalsust;</w:t>
      </w:r>
    </w:p>
    <w:p w:rsidR="008743EA" w:rsidRPr="00303458" w:rsidRDefault="008743EA" w:rsidP="008743EA">
      <w:pPr>
        <w:pStyle w:val="NormalHanging12a"/>
        <w:rPr>
          <w:szCs w:val="24"/>
        </w:rPr>
      </w:pPr>
      <w:r w:rsidRPr="00303458">
        <w:t>36.</w:t>
      </w:r>
      <w:r w:rsidRPr="00303458">
        <w:tab/>
        <w:t xml:space="preserve">rõhutab, et Euroopa Parlament on jätkuvalt seisukohal, et teave kontrollikoja liikmete lähetuste kohta tuleks avaldada kogu perioodi kohta, mil liige oli ametis, ning et liikmetel ei tohiks olla ametlikke poliitilisi sidemeid, sealhulgas auliikme rolli poliitilistes erakondades või organisatsioonides; palub lisaks veel kord, et kontrollikoda muudaks oma sisest eetikakomiteed käsitlevaid eeskirju, et kandidaatide esitamine ei oleks enam kontrollikoja presidendi ainupädevus; kordab samuti oma nõudmist, et kontrollikoja eetikakomitee teavitaks parlamenti eetikat käsitleva siseauditi aruande peamistest järeldustest, mis on </w:t>
      </w:r>
      <w:proofErr w:type="spellStart"/>
      <w:r w:rsidRPr="00303458">
        <w:t>siseauditis</w:t>
      </w:r>
      <w:proofErr w:type="spellEnd"/>
      <w:r w:rsidRPr="00303458">
        <w:t xml:space="preserve"> juba 2020. aastast saadik pooleli;</w:t>
      </w:r>
    </w:p>
    <w:p w:rsidR="008743EA" w:rsidRPr="00303458" w:rsidRDefault="008743EA" w:rsidP="008743EA">
      <w:pPr>
        <w:pStyle w:val="NormalHanging12a"/>
        <w:rPr>
          <w:szCs w:val="24"/>
        </w:rPr>
      </w:pPr>
      <w:r w:rsidRPr="00303458">
        <w:t>37.</w:t>
      </w:r>
      <w:r w:rsidRPr="00303458">
        <w:tab/>
        <w:t>märgib rahuloluga, et kõik kontrollikoja liikmed on teatanud oma aadressi Luksemburgi ametiasutustele ja täidavad seega kontrollikoja liikmete kontrollikoja asukohas elamise nõuet;</w:t>
      </w:r>
    </w:p>
    <w:p w:rsidR="008743EA" w:rsidRPr="00303458" w:rsidRDefault="008743EA" w:rsidP="008743EA">
      <w:pPr>
        <w:pStyle w:val="NormalHanging12a"/>
        <w:rPr>
          <w:szCs w:val="24"/>
        </w:rPr>
      </w:pPr>
      <w:r w:rsidRPr="00303458">
        <w:t>38.</w:t>
      </w:r>
      <w:r w:rsidRPr="00303458">
        <w:tab/>
        <w:t xml:space="preserve">võtab teadmiseks 2022. aasta otsuse liikmete reiside, lähetuste ning autojuhtide ja autode kasutamise kohta, mis tähendab, et liikmed peavad katma kõik jooksvad kulud, sealhulgas auto rendikulud, mis on seotud auto kasutamisega, kui läbitakse üle 10 000 km ja see ei ole kaetud lähetuskorraldusega; on siiski arvamusel, et 10 000 km </w:t>
      </w:r>
      <w:r w:rsidRPr="00303458">
        <w:lastRenderedPageBreak/>
        <w:t>on liiga suur vahemaa, ning kordab eelmistes eelarve täitmisele heakskiidu andmist käsitlevates resolutsioonides väljendatud muret, et kehtestatud süsteem on segadusttekitav; kordab oma eelmistes eelarve täitmisele heakskiidu andmist käsitlevates resolutsioonides avaldatud arvamust, et autoparki ei tohiks mingil juhul kasutada väljaspool kontrollikoja liikmete kohustuste ranget täitmist; kutsub kõiki liidu institutsioone üles leppima kokku ühtses horisontaalselt kohaldatavas süsteemis, mis vähendaks segadust ning suurendaks avaliku sektori raha kasutamise läbipaistvust ja tõhusust;</w:t>
      </w:r>
    </w:p>
    <w:p w:rsidR="008743EA" w:rsidRPr="00303458" w:rsidRDefault="008743EA" w:rsidP="008743EA">
      <w:pPr>
        <w:pStyle w:val="NormalHanging12a"/>
        <w:rPr>
          <w:szCs w:val="24"/>
        </w:rPr>
      </w:pPr>
      <w:r w:rsidRPr="00303458">
        <w:t>39.</w:t>
      </w:r>
      <w:r w:rsidRPr="00303458">
        <w:tab/>
        <w:t>kiidab heaks asjaolu, et kontrollikoda on viimastel aastatel tegelenud eetikaraamistiku ajakohastamisega, mille tulemusena uuendati 2022. aasta oktoobris kontrollikoja eetikareegleid, et tagada 2022. aastal lugupidav ja ahistamisvaba töökeskkond, 2023. aastal uuendati aga rikkumistest teatamise reegleid; kiidab heaks ka asjaolu, et töötajatele, sealhulgas liikmete büroode töötajatele on korraldatud eetikaalaseid töötubasid, kursusi ning koolitusi; palub kontrollikoda hoida parlamenti kursis tulevaste eetikaga seotud plaanidega;</w:t>
      </w:r>
    </w:p>
    <w:p w:rsidR="008743EA" w:rsidRPr="00303458" w:rsidRDefault="008743EA" w:rsidP="008743EA">
      <w:pPr>
        <w:pStyle w:val="NormalHanging12a"/>
        <w:rPr>
          <w:szCs w:val="24"/>
        </w:rPr>
      </w:pPr>
      <w:r w:rsidRPr="00303458">
        <w:t>40.</w:t>
      </w:r>
      <w:r w:rsidRPr="00303458">
        <w:tab/>
        <w:t xml:space="preserve">jubib tähelepanu asjaolule, et kontrollikoja siseauditi talitus jõudis 2021. aastal järeldusele, et puudub dokument, mis võtaks kokku kontrollikoja </w:t>
      </w:r>
      <w:proofErr w:type="spellStart"/>
      <w:r w:rsidRPr="00303458">
        <w:t>pettustevastase</w:t>
      </w:r>
      <w:proofErr w:type="spellEnd"/>
      <w:r w:rsidRPr="00303458">
        <w:t xml:space="preserve"> poliitika, ja puudub kogu kontrollikoda hõlmav </w:t>
      </w:r>
      <w:proofErr w:type="spellStart"/>
      <w:r w:rsidRPr="00303458">
        <w:t>pettustevastase</w:t>
      </w:r>
      <w:proofErr w:type="spellEnd"/>
      <w:r w:rsidRPr="00303458">
        <w:t xml:space="preserve"> võitluse strateegia; julgustab kontrollikoda selle küsimusega esmajärjekorras tegelema, et tagada praeguse detsentraliseeritud ja killustunud lähenemise konsolideerimine ning teha selgemaks, kuidas kontrollikoda nende küsimustega tegeleb;</w:t>
      </w:r>
    </w:p>
    <w:p w:rsidR="008743EA" w:rsidRPr="00303458" w:rsidRDefault="008743EA" w:rsidP="008743EA">
      <w:pPr>
        <w:pStyle w:val="NormalHanging12a"/>
        <w:rPr>
          <w:szCs w:val="24"/>
        </w:rPr>
      </w:pPr>
      <w:r w:rsidRPr="00303458">
        <w:t>41.</w:t>
      </w:r>
      <w:r w:rsidRPr="00303458">
        <w:tab/>
        <w:t xml:space="preserve">mõistab jätkuvalt hukka kontrollikoja seisukoha ja otsuse loobuda 20. mail 2021. aastal Euroopa Parlamendi, Euroopa Liidu Nõukogu ja Euroopa Komisjoni </w:t>
      </w:r>
      <w:proofErr w:type="spellStart"/>
      <w:r w:rsidRPr="00303458">
        <w:t>institutsioonidevahelise</w:t>
      </w:r>
      <w:proofErr w:type="spellEnd"/>
      <w:r w:rsidRPr="00303458">
        <w:t xml:space="preserve"> kokkuleppega seotud ELi läbipaistvusregistri ja Euroopa Komisjoni kohustusliku läbipaistvusregistriga</w:t>
      </w:r>
      <w:r w:rsidRPr="00303458">
        <w:rPr>
          <w:rStyle w:val="FootnoteReference"/>
          <w:szCs w:val="24"/>
        </w:rPr>
        <w:footnoteReference w:id="6"/>
      </w:r>
      <w:r w:rsidRPr="00303458">
        <w:t xml:space="preserve"> liitumisest ning julgustab kontrollikoda selle küsimuse üle veel järele mõtlema, korrates oma tungivat üleskutset kontrollikojale ühineda ELi läbipaistvusregistriga, et tagada kinnipidamine tähtsamatest läbipaistvuse põhimõtetest ilma seejuures kontrollikoja täielikku sõltumatust piiramata;</w:t>
      </w:r>
    </w:p>
    <w:p w:rsidR="008743EA" w:rsidRPr="00303458" w:rsidRDefault="008743EA" w:rsidP="008743EA">
      <w:pPr>
        <w:pStyle w:val="NormalHanging12a"/>
        <w:rPr>
          <w:szCs w:val="24"/>
        </w:rPr>
      </w:pPr>
      <w:r w:rsidRPr="00303458">
        <w:t>42.</w:t>
      </w:r>
      <w:r w:rsidRPr="00303458">
        <w:tab/>
        <w:t xml:space="preserve">märgib, et Euroopa </w:t>
      </w:r>
      <w:proofErr w:type="spellStart"/>
      <w:r w:rsidRPr="00303458">
        <w:t>Pettustevastane</w:t>
      </w:r>
      <w:proofErr w:type="spellEnd"/>
      <w:r w:rsidRPr="00303458">
        <w:t xml:space="preserve"> Amet (OLAF) algatas 2022. aastal ühe kontrollikoja valimisprotseduuriga seotud uurimise, mille tulemusena järeldati, et puudutatud isiku käitumine ei mõjutanud protseduuri tulemust;</w:t>
      </w:r>
    </w:p>
    <w:p w:rsidR="008743EA" w:rsidRPr="00303458" w:rsidRDefault="008743EA" w:rsidP="008743EA">
      <w:pPr>
        <w:pStyle w:val="NormalHanging12a"/>
        <w:rPr>
          <w:szCs w:val="24"/>
        </w:rPr>
      </w:pPr>
      <w:r w:rsidRPr="00303458">
        <w:t>43.</w:t>
      </w:r>
      <w:r w:rsidRPr="00303458">
        <w:tab/>
        <w:t>märgib, et Euroopa Ombudsman viis 2022. aastal kaebuse alusel läbi ühe uurimise, mis lõpetati pärast seda, kui kontrollikoda kaebajale vastas;</w:t>
      </w:r>
    </w:p>
    <w:p w:rsidR="008743EA" w:rsidRPr="00303458" w:rsidRDefault="008743EA" w:rsidP="008743EA">
      <w:pPr>
        <w:pStyle w:val="NormalHanging12a"/>
        <w:rPr>
          <w:szCs w:val="24"/>
        </w:rPr>
      </w:pPr>
      <w:r w:rsidRPr="00303458">
        <w:t>44.</w:t>
      </w:r>
      <w:r w:rsidRPr="00303458">
        <w:tab/>
        <w:t xml:space="preserve">kordab veel kord rahulolu asjaoluga, et kontrollikoda lõi pärast parlamendi korduvaid </w:t>
      </w:r>
      <w:proofErr w:type="spellStart"/>
      <w:r w:rsidRPr="00303458">
        <w:t>sellesisulisi</w:t>
      </w:r>
      <w:proofErr w:type="spellEnd"/>
      <w:r w:rsidRPr="00303458">
        <w:t xml:space="preserve"> palveid 2022. aastal kontrollikoja liikmete koosolekutel osalemise registri; kiidab heaks asjaolu, et see register on eelarve täitmisele heakskiidu andmise menetluse raames parlamendi raportöörile kättesaadavaks tehtud; kutsub kontrollikoda üles jätkama läbipaistvust ja aruandekohustust suurendavaid tavasid, näiteks koosolekute avalikku ajakava;</w:t>
      </w:r>
    </w:p>
    <w:p w:rsidR="008743EA" w:rsidRPr="00303458" w:rsidRDefault="008743EA" w:rsidP="008743EA">
      <w:pPr>
        <w:pStyle w:val="NormalHanging12a"/>
        <w:rPr>
          <w:szCs w:val="24"/>
        </w:rPr>
      </w:pPr>
      <w:r w:rsidRPr="00303458">
        <w:t>45.</w:t>
      </w:r>
      <w:r w:rsidRPr="00303458">
        <w:tab/>
        <w:t xml:space="preserve">kiidab heaks asjaolu, et 2022. aastal ei tuvastatud ühtegi huvide konflikti; märgib lisaks, et ükski kontrollikoja liige ei lahkunud töölt lepingu lõppemise tõttu ega teatanud kontrollikojale ühelgi teisel põhjusel soovist ühineda eraettevõttega ega teatanud </w:t>
      </w:r>
      <w:r w:rsidRPr="00303458">
        <w:lastRenderedPageBreak/>
        <w:t>kontrollikojale viimase kolme tööaasta jooksul kontrollikoja välise tööga seotud tegevuste ette võtmisest; märgib lõpetuseks, et ükski endine parlamendi liige, komisjoni liige ega kõrge taseme ametnik ei saanud kontrollikojalt töötasu;</w:t>
      </w:r>
    </w:p>
    <w:p w:rsidR="008743EA" w:rsidRPr="00303458" w:rsidRDefault="008743EA" w:rsidP="008743EA">
      <w:pPr>
        <w:pStyle w:val="NormalHanging12a"/>
        <w:rPr>
          <w:szCs w:val="24"/>
        </w:rPr>
      </w:pPr>
      <w:r w:rsidRPr="00303458">
        <w:t>46.</w:t>
      </w:r>
      <w:r w:rsidRPr="00303458">
        <w:tab/>
        <w:t>märgib, et kontrollikojas ei esinenud 2022. aastal ühtki rikkumistest teatamise juhtumit;</w:t>
      </w:r>
    </w:p>
    <w:p w:rsidR="008743EA" w:rsidRPr="00303458" w:rsidRDefault="008743EA" w:rsidP="008743EA">
      <w:pPr>
        <w:pStyle w:val="NormalHanging12a"/>
        <w:rPr>
          <w:szCs w:val="24"/>
        </w:rPr>
      </w:pPr>
      <w:r w:rsidRPr="00303458">
        <w:t>47.</w:t>
      </w:r>
      <w:r w:rsidRPr="00303458">
        <w:tab/>
        <w:t>peab kahetsusväärseks, et nagu on märgitud volitatud eelarvevahendite käsutaja aruandes, ei ole kontrollikoja veebisaidil kättesaadav iga-aastane loetelu lepingutest, sealhulgas lepingutest, mille väärtus jääb vahemikku 15 000 kuni 60 000 eurot, mis sõlmiti 2022. aastal läbirääkimistega menetluse teel; kutsub kontrollikoda üles avaldama selle loetelu eraldi dokumendis ja tagama sellele kasutajasõbraliku juurdepääsu;</w:t>
      </w:r>
    </w:p>
    <w:p w:rsidR="008743EA" w:rsidRPr="00303458" w:rsidRDefault="008743EA" w:rsidP="008743EA">
      <w:pPr>
        <w:spacing w:after="240"/>
        <w:rPr>
          <w:b/>
          <w:i/>
          <w:szCs w:val="24"/>
        </w:rPr>
      </w:pPr>
      <w:r w:rsidRPr="00303458">
        <w:rPr>
          <w:b/>
          <w:i/>
        </w:rPr>
        <w:t>Digitaliseerimine, küberturvalisus ja andmekaitse</w:t>
      </w:r>
    </w:p>
    <w:p w:rsidR="008743EA" w:rsidRPr="00303458" w:rsidRDefault="008743EA" w:rsidP="008743EA">
      <w:pPr>
        <w:pStyle w:val="NormalHanging12a"/>
        <w:rPr>
          <w:szCs w:val="24"/>
        </w:rPr>
      </w:pPr>
      <w:r w:rsidRPr="00303458">
        <w:t>48.</w:t>
      </w:r>
      <w:r w:rsidRPr="00303458">
        <w:tab/>
        <w:t xml:space="preserve">kiidab heaks asjaolu, et kontrollikojal on aastateks 2022–2024 ulatuslik küberturvalisuse kava ning kontrollikoda kavatseb 2023. aasta lõpuosas oma küberturvalisuse raamistiku läbi vaadata, et tagada täielik vastavus peatselt kehtestatavale määrusele, millega kehtestatakse meetmed liidu institutsioonide, organite, talituste ja asutuste ühtse hea küberturvalisuse taseme tagamiseks; kiidab samuti heaks, et kontrollikoda lõpetas lepingu Ameerika Ühendriikide ettevõtte pakutud teenusepakkujaga, kuna see </w:t>
      </w:r>
      <w:proofErr w:type="spellStart"/>
      <w:r w:rsidRPr="00303458">
        <w:t>ülevõtmine</w:t>
      </w:r>
      <w:proofErr w:type="spellEnd"/>
      <w:r w:rsidRPr="00303458">
        <w:t xml:space="preserve"> tooks kaasa muudatused isikuandmete töötlemises;</w:t>
      </w:r>
    </w:p>
    <w:p w:rsidR="008743EA" w:rsidRPr="00303458" w:rsidRDefault="008743EA" w:rsidP="008743EA">
      <w:pPr>
        <w:pStyle w:val="NormalHanging12a"/>
        <w:rPr>
          <w:szCs w:val="24"/>
        </w:rPr>
      </w:pPr>
      <w:r w:rsidRPr="00303458">
        <w:t>49.</w:t>
      </w:r>
      <w:r w:rsidRPr="00303458">
        <w:tab/>
        <w:t xml:space="preserve">kiidab heaks asjaolu, et kontrollikoda ei langenud 2022. aastal ühegi tõsise </w:t>
      </w:r>
      <w:proofErr w:type="spellStart"/>
      <w:r w:rsidRPr="00303458">
        <w:t>küberründe</w:t>
      </w:r>
      <w:proofErr w:type="spellEnd"/>
      <w:r w:rsidRPr="00303458">
        <w:t xml:space="preserve"> ohvriks ning et kõige suurem oht tulenes endiselt andmepüügi eesmärgil saadetud </w:t>
      </w:r>
      <w:proofErr w:type="spellStart"/>
      <w:r w:rsidRPr="00303458">
        <w:t>e-kirjadest</w:t>
      </w:r>
      <w:proofErr w:type="spellEnd"/>
      <w:r w:rsidRPr="00303458">
        <w:t xml:space="preserve">; julgustab kontrollikoda siiski jääma valvsaks ning tegema liidu institutsioonide üldise küberturvalisuse tugevdamiseks koostööd liidu asjaomaste </w:t>
      </w:r>
      <w:proofErr w:type="spellStart"/>
      <w:r w:rsidRPr="00303458">
        <w:t>institutsioonidevaheliste</w:t>
      </w:r>
      <w:proofErr w:type="spellEnd"/>
      <w:r w:rsidRPr="00303458">
        <w:t xml:space="preserve"> organitega;</w:t>
      </w:r>
    </w:p>
    <w:p w:rsidR="008743EA" w:rsidRPr="00303458" w:rsidRDefault="008743EA" w:rsidP="008743EA">
      <w:pPr>
        <w:pStyle w:val="NormalHanging12a"/>
        <w:rPr>
          <w:szCs w:val="24"/>
        </w:rPr>
      </w:pPr>
      <w:r w:rsidRPr="00303458">
        <w:t>50.</w:t>
      </w:r>
      <w:r w:rsidRPr="00303458">
        <w:tab/>
        <w:t>märgib, et Euroopa Andmekaitseinspektor ei algatanud ega lõpetanud 2022. aastal ühtki kontrollikojaga seotud päringut ega jätkanud ühegi seesuguse päringuga tegelemist;</w:t>
      </w:r>
    </w:p>
    <w:p w:rsidR="008743EA" w:rsidRPr="00303458" w:rsidRDefault="008743EA" w:rsidP="008743EA">
      <w:pPr>
        <w:pStyle w:val="NormalHanging12a"/>
        <w:rPr>
          <w:szCs w:val="24"/>
        </w:rPr>
      </w:pPr>
      <w:r w:rsidRPr="00303458">
        <w:t>51.</w:t>
      </w:r>
      <w:r w:rsidRPr="00303458">
        <w:tab/>
        <w:t xml:space="preserve">kiidab heaks kõik auditeerimise digitaliseerituse suurendamiseks tehtavad pingutused, millega parandatakse vastava töö tõhusust ja täpsust; väljendab eelkõige heameelt selle üle, et 2022. aasta oktoobris võeti kasutusele andmelao kui teenuse mudel, mis võimaldab kasutajatel töödelda ja analüüsida struktureeritud andmeid erineval tasemel autonoomiaga; märgib, et auditeerimise digitaliseerimine ei sõltu ainult kontrollikojast, vaid suurel määral ka auditeeritavate esitatavatest andmetest, ning et andmete formaadi ja kasutatavate süsteemide mitmekesisuse osas esineb veel piiranguid; hindab lisaks asjaolu, et 2022. aastal oli auditi välitööde päevade arv 2 984, mis on oluliselt suurem kui nii 2021. kui ka 2020. aasta näitajad, mida mõjutasid märkimisväärselt COVID-19 pandeemiast tingitud piirangud, ning et kohapealsete kontrollkäikude lisandväärtust ja tõhusust on suurendanud nende kombineerimine </w:t>
      </w:r>
      <w:proofErr w:type="spellStart"/>
      <w:r w:rsidRPr="00303458">
        <w:t>kaugtööga</w:t>
      </w:r>
      <w:proofErr w:type="spellEnd"/>
      <w:r w:rsidRPr="00303458">
        <w:t>;</w:t>
      </w:r>
    </w:p>
    <w:p w:rsidR="008743EA" w:rsidRPr="00303458" w:rsidRDefault="008743EA" w:rsidP="008743EA">
      <w:pPr>
        <w:pStyle w:val="NormalHanging12a"/>
        <w:rPr>
          <w:szCs w:val="24"/>
        </w:rPr>
      </w:pPr>
      <w:r w:rsidRPr="00303458">
        <w:t>52.</w:t>
      </w:r>
      <w:r w:rsidRPr="00303458">
        <w:tab/>
        <w:t xml:space="preserve">täheldab, et kontrollikoda on rakendanud oma süsteemide raames mitmeid avatud lähtekoodiga tarkvara elemente, sealhulgas Linux, </w:t>
      </w:r>
      <w:proofErr w:type="spellStart"/>
      <w:r w:rsidRPr="00303458">
        <w:t>Belenios</w:t>
      </w:r>
      <w:proofErr w:type="spellEnd"/>
      <w:r w:rsidRPr="00303458">
        <w:t xml:space="preserve"> ja </w:t>
      </w:r>
      <w:proofErr w:type="spellStart"/>
      <w:r w:rsidRPr="00303458">
        <w:t>Nagios</w:t>
      </w:r>
      <w:proofErr w:type="spellEnd"/>
      <w:r w:rsidRPr="00303458">
        <w:t>; julgustab kontrollikoda jätkama avatud lähtekoodiga tarkvara kasutamist, kui see on võimalik;</w:t>
      </w:r>
    </w:p>
    <w:p w:rsidR="008743EA" w:rsidRPr="00303458" w:rsidRDefault="008743EA" w:rsidP="008743EA">
      <w:pPr>
        <w:spacing w:after="240"/>
        <w:rPr>
          <w:b/>
          <w:bCs/>
          <w:i/>
          <w:iCs/>
          <w:szCs w:val="24"/>
        </w:rPr>
      </w:pPr>
      <w:r w:rsidRPr="00303458">
        <w:rPr>
          <w:b/>
          <w:i/>
        </w:rPr>
        <w:t>Hooned</w:t>
      </w:r>
    </w:p>
    <w:p w:rsidR="008743EA" w:rsidRPr="00303458" w:rsidRDefault="008743EA" w:rsidP="008743EA">
      <w:pPr>
        <w:pStyle w:val="NormalHanging12a"/>
        <w:rPr>
          <w:szCs w:val="24"/>
        </w:rPr>
      </w:pPr>
      <w:r w:rsidRPr="00303458">
        <w:t>53.</w:t>
      </w:r>
      <w:r w:rsidRPr="00303458">
        <w:tab/>
        <w:t xml:space="preserve">märgib, et kontrollikoda renoveeris 2022. aastal K2 hoonet märkimisväärselt, tööd </w:t>
      </w:r>
      <w:r w:rsidRPr="00303458">
        <w:lastRenderedPageBreak/>
        <w:t>lõpetati 2023. aasta alguses ja need hõlmasid nelja korruse renoveerimist, et pakkuda kaasaegne töökoht, mis meeldiks töötajatele ja oleks keskkonnasõbralikum;</w:t>
      </w:r>
    </w:p>
    <w:p w:rsidR="008743EA" w:rsidRPr="00303458" w:rsidRDefault="008743EA" w:rsidP="008743EA">
      <w:pPr>
        <w:pStyle w:val="NormalHanging12a"/>
        <w:rPr>
          <w:szCs w:val="24"/>
        </w:rPr>
      </w:pPr>
      <w:r w:rsidRPr="00303458">
        <w:t>54.</w:t>
      </w:r>
      <w:r w:rsidRPr="00303458">
        <w:tab/>
        <w:t>hindab, et kontrollikoda algatas 2022. aastal kontrollikoja kõigi hoonete ligipääsetavuse auditi, mille tulemused esitati 2023. aasta alguses, et parandada ligipääsetavust ja rahuldada liikumispuudega või muude puuetega inimeste vajadusi; palub kontrollikojal teavitada parlamenti konkreetsetest algatustest auditi raames väljapakutud meetmete rakendamiseks;</w:t>
      </w:r>
    </w:p>
    <w:p w:rsidR="008743EA" w:rsidRPr="00303458" w:rsidRDefault="008743EA" w:rsidP="008743EA">
      <w:pPr>
        <w:spacing w:after="240"/>
        <w:rPr>
          <w:b/>
          <w:i/>
          <w:szCs w:val="24"/>
        </w:rPr>
      </w:pPr>
      <w:r w:rsidRPr="00303458">
        <w:rPr>
          <w:b/>
          <w:i/>
        </w:rPr>
        <w:t>Keskkond ja kestlikkus</w:t>
      </w:r>
    </w:p>
    <w:p w:rsidR="008743EA" w:rsidRPr="00303458" w:rsidRDefault="008743EA" w:rsidP="008743EA">
      <w:pPr>
        <w:pStyle w:val="NormalHanging12a"/>
        <w:rPr>
          <w:szCs w:val="24"/>
        </w:rPr>
      </w:pPr>
      <w:r w:rsidRPr="00303458">
        <w:t>55.</w:t>
      </w:r>
      <w:r w:rsidRPr="00303458">
        <w:tab/>
        <w:t>kiidab heaks asjaolu, et kontrollikoda esitas 2022. aastal teise aastaaruande oma tegevuse keskkonnasäästlikkuse kohta kooskõlas rahvusvaheliselt tunnustatud aruandlusstandarditega;</w:t>
      </w:r>
    </w:p>
    <w:p w:rsidR="008743EA" w:rsidRPr="00303458" w:rsidRDefault="008743EA" w:rsidP="008743EA">
      <w:pPr>
        <w:pStyle w:val="NormalHanging12a"/>
        <w:rPr>
          <w:szCs w:val="24"/>
        </w:rPr>
      </w:pPr>
      <w:r w:rsidRPr="00303458">
        <w:t>56.</w:t>
      </w:r>
      <w:r w:rsidRPr="00303458">
        <w:tab/>
        <w:t>märgib, et kontrollikoda on oma üldise ressursikasutuse vähendamise osas pärast 2014. aastat muljetavaldavaid tulemusi saavutanud, vähendades elektrikulu 34,5 % võrra, küttekulu 22,2 % võrra, paberikulu 83,5 % võrra ja veekulu 45,3 % võrra, kusjuures kasvuhoonegaaside heide on vähenenud 29,5 % ja jäätmete hulk 33,7 %; julgustab kontrollikoda nende sisendite tarbimise vähendamist jätkama ja kiidab heaks asjaolu, et kontrollikoda alustas 2023. aastal K2 hoonega seotud uuringu läbiviimist, et renoveerida hoone katus ning paigaldada päikesepaneelid;</w:t>
      </w:r>
    </w:p>
    <w:p w:rsidR="008743EA" w:rsidRPr="00303458" w:rsidRDefault="008743EA" w:rsidP="008743EA">
      <w:pPr>
        <w:pStyle w:val="NormalHanging12a"/>
        <w:rPr>
          <w:szCs w:val="24"/>
        </w:rPr>
      </w:pPr>
      <w:r w:rsidRPr="00303458">
        <w:t>57.</w:t>
      </w:r>
      <w:r w:rsidRPr="00303458">
        <w:tab/>
        <w:t>kiidab heaks asjaolu, et kontrollikoda on ette võtnud mitmeid algatusi säästva liikuvuse toetamiseks, sealhulgas tugevdanud kontrollikoja bussiteenust, võimaldanud töötajatel tasuta Luxembourgi linna jalgrattateenust kasutada, suurendanud jalgrattaparklate arvu, sealhulgas elektrirataste parkimiskohtade arvu, ning paigaldanud laadijad hübriid- ja elektriautodele; kutsub kontrollikoda üles toetama jätkuvalt säästlikku liikuvust, vahetades muuhulgas parimaid tavasid teiste institutsioonidega ja teavitades parlamenti edasistest algatustest;</w:t>
      </w:r>
    </w:p>
    <w:p w:rsidR="008743EA" w:rsidRPr="00303458" w:rsidRDefault="008743EA" w:rsidP="008743EA">
      <w:pPr>
        <w:pStyle w:val="NormalHanging12a"/>
        <w:rPr>
          <w:szCs w:val="24"/>
        </w:rPr>
      </w:pPr>
      <w:r w:rsidRPr="00303458">
        <w:t>58.</w:t>
      </w:r>
      <w:r w:rsidRPr="00303458">
        <w:tab/>
        <w:t>märgib, et kontrollikoda analüüsib, kuidas lisada uuendatud lähetuste eeskirja lähetuste keskkonnaaspektid; märgib ka, et on tehtud ettepanek vähendada ärireise täistööajale taandatud töötajate arvu kohta aastatel 2023–2025 5 % võrra; kutsub kontrollikoda üles püüdma seda eesmärki täita, tagades samal ajal vajalike auditeerimiste toimumise;</w:t>
      </w:r>
    </w:p>
    <w:p w:rsidR="008743EA" w:rsidRPr="00303458" w:rsidRDefault="008743EA" w:rsidP="008743EA">
      <w:pPr>
        <w:spacing w:after="240"/>
        <w:rPr>
          <w:b/>
          <w:i/>
          <w:szCs w:val="24"/>
        </w:rPr>
      </w:pPr>
      <w:r w:rsidRPr="00303458">
        <w:rPr>
          <w:b/>
          <w:i/>
        </w:rPr>
        <w:t>Institutsioonidevaheline koostöö</w:t>
      </w:r>
    </w:p>
    <w:p w:rsidR="008743EA" w:rsidRPr="00303458" w:rsidRDefault="008743EA" w:rsidP="008743EA">
      <w:pPr>
        <w:pStyle w:val="NormalHanging12a"/>
        <w:rPr>
          <w:szCs w:val="24"/>
        </w:rPr>
      </w:pPr>
      <w:r w:rsidRPr="00303458">
        <w:t>59.</w:t>
      </w:r>
      <w:r w:rsidRPr="00303458">
        <w:tab/>
        <w:t xml:space="preserve">märgib, et 2022. aastal uuendati mitut teenustaseme kokkulepet ja teisi </w:t>
      </w:r>
      <w:proofErr w:type="spellStart"/>
      <w:r w:rsidRPr="00303458">
        <w:t>institutsioonidevahelise</w:t>
      </w:r>
      <w:proofErr w:type="spellEnd"/>
      <w:r w:rsidRPr="00303458">
        <w:t xml:space="preserve"> koostöö kokkuleppeid, kaasa arvatud kokkuleppeid komisjoni juurdlus- ja distsiplinaarametiga ning Euroopa Liidu Asutuste Tõlkekeskusega;</w:t>
      </w:r>
    </w:p>
    <w:p w:rsidR="008743EA" w:rsidRPr="00303458" w:rsidRDefault="008743EA" w:rsidP="008743EA">
      <w:pPr>
        <w:pStyle w:val="NormalHanging12a"/>
        <w:rPr>
          <w:szCs w:val="24"/>
        </w:rPr>
      </w:pPr>
      <w:r w:rsidRPr="00303458">
        <w:t>60.</w:t>
      </w:r>
      <w:r w:rsidRPr="00303458">
        <w:tab/>
        <w:t>märgib ära 2021. aasta novembris sõlmitud kolmepoolse kokkuleppe kontrollikoja, komisjoni ja Euroopa Investeerimispanga vahel; kiidab heaks asjaolu, et kontrollikoda on arvamusel, et see kokkulepe on mõningaid protsesse selgitanud ja ühtlustanud ning et kontrollikoda on saanud parema juurdepääsu teabele, mis on seotud liidu eelarvest rahastatavate või tagatud tegevustega; avaldab siiski kahetsust, et selle kokkuleppega ei tagata vähemalt kontrollikoja võimalust auditeerida teatud liidu eeskirjade rakendamisel läbi viidud tegevuste tõhususega seotud aspekte;</w:t>
      </w:r>
    </w:p>
    <w:p w:rsidR="008743EA" w:rsidRPr="00303458" w:rsidRDefault="008743EA" w:rsidP="008743EA">
      <w:pPr>
        <w:pStyle w:val="NormalHanging12a"/>
        <w:rPr>
          <w:szCs w:val="24"/>
        </w:rPr>
      </w:pPr>
      <w:r w:rsidRPr="00303458">
        <w:t>61.</w:t>
      </w:r>
      <w:r w:rsidRPr="00303458">
        <w:tab/>
        <w:t xml:space="preserve">rõhutab, et parlament on seisukohal, et kontrollikoja kui Euroopa Investeerimispanga audiitori rollile praegu kehtivad piirangud tekitava reguleerimis- ja järelevalvelünga </w:t>
      </w:r>
      <w:r w:rsidRPr="00303458">
        <w:lastRenderedPageBreak/>
        <w:t>ning et kontrollikojal peaks olema võimalik auditeerida kõiki Euroopa Investeerimispanga Grupi tegevusi; rõhutab samal ajal, et parlamendil peaks demokraatlikult valitud organina olema õigus anda Euroopa Investeerimispanga eelarve täitmisele heakskiit, et tugevdada selle liidu tähtsa institutsiooni demokraatlikku legitiimsust ja suurendada seeläbi läbipaistvust ning aruandekohustust ja finants- ja inimressursside head valitsemist;</w:t>
      </w:r>
    </w:p>
    <w:p w:rsidR="008743EA" w:rsidRPr="00303458" w:rsidRDefault="008743EA" w:rsidP="008743EA">
      <w:pPr>
        <w:pStyle w:val="NormalHanging12a"/>
        <w:rPr>
          <w:szCs w:val="24"/>
        </w:rPr>
      </w:pPr>
      <w:r w:rsidRPr="00303458">
        <w:t>62.</w:t>
      </w:r>
      <w:r w:rsidRPr="00303458">
        <w:tab/>
        <w:t xml:space="preserve">kiidab heaks asjaolu, et kontrollikoda teeb tihedalt koostööd nii </w:t>
      </w:r>
      <w:proofErr w:type="spellStart"/>
      <w:r w:rsidRPr="00303458">
        <w:t>OLAFi</w:t>
      </w:r>
      <w:proofErr w:type="spellEnd"/>
      <w:r w:rsidRPr="00303458">
        <w:t xml:space="preserve"> kui ka Euroopa Prokuratuuriga (EPPO), kaasa arvatud töötubade ja teadlikkuse suurendamise ürituste korraldamise ning teadmiste ja kogemuste vahetamise teel; märgib ka heakskiiduga, et kontrollikoda edastas 2022. aastal </w:t>
      </w:r>
      <w:proofErr w:type="spellStart"/>
      <w:r w:rsidRPr="00303458">
        <w:t>OLAFile</w:t>
      </w:r>
      <w:proofErr w:type="spellEnd"/>
      <w:r w:rsidRPr="00303458">
        <w:t xml:space="preserve"> 14 pettuse kahtluse juhtumit ning EPPO-</w:t>
      </w:r>
      <w:proofErr w:type="spellStart"/>
      <w:r w:rsidRPr="00303458">
        <w:t>le</w:t>
      </w:r>
      <w:proofErr w:type="spellEnd"/>
      <w:r w:rsidRPr="00303458">
        <w:t xml:space="preserve"> 6 juhtumit; rõhutab oma seisukohta, et pettuse kahtluse juhtumid tuleks alati edastada </w:t>
      </w:r>
      <w:proofErr w:type="spellStart"/>
      <w:r w:rsidRPr="00303458">
        <w:t>OLAFile</w:t>
      </w:r>
      <w:proofErr w:type="spellEnd"/>
      <w:r w:rsidRPr="00303458">
        <w:t xml:space="preserve"> ja EPPO-</w:t>
      </w:r>
      <w:proofErr w:type="spellStart"/>
      <w:r w:rsidRPr="00303458">
        <w:t>le</w:t>
      </w:r>
      <w:proofErr w:type="spellEnd"/>
      <w:r w:rsidRPr="00303458">
        <w:t>, et nad saaksid neid põhjalikult uurida;</w:t>
      </w:r>
    </w:p>
    <w:p w:rsidR="008743EA" w:rsidRPr="00303458" w:rsidRDefault="008743EA" w:rsidP="008743EA">
      <w:pPr>
        <w:pStyle w:val="NormalHanging12a"/>
        <w:rPr>
          <w:szCs w:val="24"/>
        </w:rPr>
      </w:pPr>
      <w:r w:rsidRPr="00303458">
        <w:t>63.</w:t>
      </w:r>
      <w:r w:rsidRPr="00303458">
        <w:tab/>
        <w:t>märgib, et kontrollikoda teeb oma andmekaitseametniku kaudu koostööd Euroopa Andmekaitseinspektoriga ning konsulteerib Euroopa Andmekaitseinspektoriga andmekaitsega seotud küsimustes, ja et 2022. aastal lõpetati üks isikuandmetega seotud rikkumise juhtum, andes mõned soovitused; kiidab heaks asjaolu, et kontrollikoja andmekaitseametnik osaleb jooksvate probleemidega tegeleva, heade tavade näiteid jagava ning andmekaitseametnike iga kahe aasta tagant toimivate koosolekute korraldamisel osaleva andmekaitseametnike võrgustiku töös;</w:t>
      </w:r>
    </w:p>
    <w:p w:rsidR="008743EA" w:rsidRPr="00303458" w:rsidRDefault="008743EA" w:rsidP="008743EA">
      <w:pPr>
        <w:pStyle w:val="NormalHanging12a"/>
        <w:rPr>
          <w:szCs w:val="24"/>
        </w:rPr>
      </w:pPr>
      <w:r w:rsidRPr="00303458">
        <w:t>64.</w:t>
      </w:r>
      <w:r w:rsidRPr="00303458">
        <w:tab/>
        <w:t xml:space="preserve">märgib, et kontrollikoda on teinud koostööd Euroopa Ombudsmaniga ning esitanud kogu Euroopa Ombudsmani algatatud uurimiste raames päritud teabe; kiidab heaks asjaolu, et kontrollikoda on osalenud </w:t>
      </w:r>
      <w:proofErr w:type="spellStart"/>
      <w:r w:rsidRPr="00303458">
        <w:t>institutsioonidevahelistes</w:t>
      </w:r>
      <w:proofErr w:type="spellEnd"/>
      <w:r w:rsidRPr="00303458">
        <w:t xml:space="preserve"> aruteludes moodsa kommunikatsiooni, kaasa arvatud kiirsõnumite saatmise teemal ja et kontrollikoda lähtub selles küsimuses Euroopa Ombudsmani suunistest;</w:t>
      </w:r>
    </w:p>
    <w:p w:rsidR="008743EA" w:rsidRPr="00303458" w:rsidRDefault="008743EA" w:rsidP="008743EA">
      <w:pPr>
        <w:spacing w:after="240"/>
        <w:rPr>
          <w:b/>
          <w:i/>
          <w:szCs w:val="24"/>
        </w:rPr>
      </w:pPr>
      <w:r w:rsidRPr="00303458">
        <w:rPr>
          <w:b/>
          <w:i/>
        </w:rPr>
        <w:t>Kommunikatsioon</w:t>
      </w:r>
    </w:p>
    <w:p w:rsidR="008743EA" w:rsidRPr="00303458" w:rsidRDefault="008743EA" w:rsidP="008743EA">
      <w:pPr>
        <w:pStyle w:val="NormalHanging12a"/>
        <w:rPr>
          <w:szCs w:val="24"/>
        </w:rPr>
      </w:pPr>
      <w:r w:rsidRPr="00303458">
        <w:t>65.</w:t>
      </w:r>
      <w:r w:rsidRPr="00303458">
        <w:tab/>
        <w:t>kiidab heaks asjaolu, et kontrollikoda võttis 2022. aasta jaanuaris vastu uue kommunikatsioonistrateegia, millega seatakse avalikkus kontrollikoja kommunikatsioonitegevuse keskmesse, ning kiidab, et kontrollikoda suudab nüüd läbi viia tehniliselt heal tasemel pressi infotunde ja veebikonverentse; kiidab ka heaks asjaolu, et kontrollikoda uuendas 2023. aastal oma veebilehte, et tagada parem kasutajakogemus, ning lõi portaali, mis muudab audititega seotud andmed kättesaadavamaks laiemale avalikkusele, kaasa arvatud üliõpilastele, akadeemikutele ning üldsusele.</w:t>
      </w:r>
    </w:p>
    <w:p w:rsidR="008743EA" w:rsidRPr="00303458" w:rsidRDefault="008743EA" w:rsidP="008743EA"/>
    <w:sectPr w:rsidR="008743EA" w:rsidRPr="00303458" w:rsidSect="00C25D1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C4D" w:rsidRPr="00C25D1F" w:rsidRDefault="00E06C4D">
      <w:r w:rsidRPr="00C25D1F">
        <w:separator/>
      </w:r>
    </w:p>
  </w:endnote>
  <w:endnote w:type="continuationSeparator" w:id="0">
    <w:p w:rsidR="00E06C4D" w:rsidRPr="00C25D1F" w:rsidRDefault="00E06C4D">
      <w:r w:rsidRPr="00C25D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3EA" w:rsidRPr="00C25D1F" w:rsidRDefault="008743EA" w:rsidP="001E06D8">
    <w:pPr>
      <w:pStyle w:val="EPFooter"/>
    </w:pPr>
    <w:r w:rsidRPr="00C25D1F">
      <w:t>PE</w:t>
    </w:r>
    <w:r w:rsidRPr="00C25D1F">
      <w:rPr>
        <w:rStyle w:val="HideTWBExt"/>
      </w:rPr>
      <w:t>&lt;NoPE&gt;</w:t>
    </w:r>
    <w:r w:rsidRPr="00C25D1F">
      <w:t>753.481</w:t>
    </w:r>
    <w:r w:rsidRPr="00C25D1F">
      <w:rPr>
        <w:rStyle w:val="HideTWBExt"/>
      </w:rPr>
      <w:t>&lt;/NoPE&gt;&lt;Version&gt;</w:t>
    </w:r>
    <w:r w:rsidRPr="00C25D1F">
      <w:t>v02-00</w:t>
    </w:r>
    <w:r w:rsidRPr="00C25D1F">
      <w:rPr>
        <w:rStyle w:val="HideTWBExt"/>
      </w:rPr>
      <w:t>&lt;/Version&gt;</w:t>
    </w:r>
    <w:r w:rsidRPr="00C25D1F">
      <w:tab/>
    </w:r>
    <w:r w:rsidRPr="00C25D1F">
      <w:fldChar w:fldCharType="begin"/>
    </w:r>
    <w:r w:rsidRPr="00C25D1F">
      <w:instrText xml:space="preserve"> PAGE  \* MERGEFORMAT </w:instrText>
    </w:r>
    <w:r w:rsidRPr="00C25D1F">
      <w:fldChar w:fldCharType="separate"/>
    </w:r>
    <w:r w:rsidR="00C25D1F" w:rsidRPr="00C25D1F">
      <w:rPr>
        <w:noProof/>
      </w:rPr>
      <w:t>2</w:t>
    </w:r>
    <w:r w:rsidRPr="00C25D1F">
      <w:fldChar w:fldCharType="end"/>
    </w:r>
    <w:r w:rsidRPr="00C25D1F">
      <w:t>/</w:t>
    </w:r>
    <w:r w:rsidR="00303458">
      <w:fldChar w:fldCharType="begin"/>
    </w:r>
    <w:r w:rsidR="00303458">
      <w:instrText xml:space="preserve"> NUMPAGES  \* MERGEFORMAT </w:instrText>
    </w:r>
    <w:r w:rsidR="00303458">
      <w:fldChar w:fldCharType="separate"/>
    </w:r>
    <w:r w:rsidR="00C25D1F" w:rsidRPr="00C25D1F">
      <w:rPr>
        <w:noProof/>
      </w:rPr>
      <w:t>4</w:t>
    </w:r>
    <w:r w:rsidR="00303458">
      <w:rPr>
        <w:noProof/>
      </w:rPr>
      <w:fldChar w:fldCharType="end"/>
    </w:r>
    <w:r w:rsidRPr="00C25D1F">
      <w:tab/>
    </w:r>
    <w:r w:rsidRPr="00C25D1F">
      <w:rPr>
        <w:rStyle w:val="HideTWBExt"/>
      </w:rPr>
      <w:t>&lt;PathFdR&gt;</w:t>
    </w:r>
    <w:r w:rsidRPr="00C25D1F">
      <w:t>RR\1298500ET.docx</w:t>
    </w:r>
    <w:r w:rsidRPr="00C25D1F">
      <w:rPr>
        <w:rStyle w:val="HideTWBExt"/>
      </w:rPr>
      <w:t>&lt;/PathFdR&gt;</w:t>
    </w:r>
  </w:p>
  <w:p w:rsidR="008743EA" w:rsidRPr="00C25D1F" w:rsidRDefault="008743EA" w:rsidP="001E06D8">
    <w:pPr>
      <w:pStyle w:val="EPFooter2"/>
    </w:pPr>
    <w:r w:rsidRPr="00C25D1F">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3EA" w:rsidRPr="00C25D1F" w:rsidRDefault="008743EA" w:rsidP="001E06D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3EA" w:rsidRPr="00C25D1F" w:rsidRDefault="008743EA" w:rsidP="001E06D8">
    <w:pPr>
      <w:pStyle w:val="EPFooter"/>
    </w:pPr>
    <w:r w:rsidRPr="00C25D1F">
      <w:rPr>
        <w:rStyle w:val="HideTWBExt"/>
      </w:rPr>
      <w:t>&lt;PathFdR&gt;</w:t>
    </w:r>
    <w:r w:rsidRPr="00C25D1F">
      <w:t>RR\1298500ET.docx</w:t>
    </w:r>
    <w:r w:rsidRPr="00C25D1F">
      <w:rPr>
        <w:rStyle w:val="HideTWBExt"/>
      </w:rPr>
      <w:t>&lt;/PathFdR&gt;</w:t>
    </w:r>
    <w:r w:rsidRPr="00C25D1F">
      <w:tab/>
    </w:r>
    <w:r w:rsidRPr="00C25D1F">
      <w:tab/>
      <w:t>PE</w:t>
    </w:r>
    <w:r w:rsidRPr="00C25D1F">
      <w:rPr>
        <w:rStyle w:val="HideTWBExt"/>
      </w:rPr>
      <w:t>&lt;NoPE&gt;</w:t>
    </w:r>
    <w:r w:rsidRPr="00C25D1F">
      <w:t>753.481</w:t>
    </w:r>
    <w:r w:rsidRPr="00C25D1F">
      <w:rPr>
        <w:rStyle w:val="HideTWBExt"/>
      </w:rPr>
      <w:t>&lt;/NoPE&gt;&lt;Version&gt;</w:t>
    </w:r>
    <w:r w:rsidRPr="00C25D1F">
      <w:t>v02-00</w:t>
    </w:r>
    <w:r w:rsidRPr="00C25D1F">
      <w:rPr>
        <w:rStyle w:val="HideTWBExt"/>
      </w:rPr>
      <w:t>&lt;/Version&gt;</w:t>
    </w:r>
  </w:p>
  <w:p w:rsidR="008743EA" w:rsidRPr="00C25D1F" w:rsidRDefault="008743EA" w:rsidP="001E06D8">
    <w:pPr>
      <w:pStyle w:val="EPFooter2"/>
    </w:pPr>
    <w:r w:rsidRPr="00C25D1F">
      <w:t>ET</w:t>
    </w:r>
    <w:r w:rsidRPr="00C25D1F">
      <w:tab/>
    </w:r>
    <w:r w:rsidRPr="00C25D1F">
      <w:rPr>
        <w:b w:val="0"/>
        <w:i/>
        <w:color w:val="C0C0C0"/>
        <w:sz w:val="22"/>
      </w:rPr>
      <w:t>Ühinenud mitmekesisuses</w:t>
    </w:r>
    <w:r w:rsidRPr="00C25D1F">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D1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D1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D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C4D" w:rsidRPr="00C25D1F" w:rsidRDefault="00E06C4D">
      <w:r w:rsidRPr="00C25D1F">
        <w:separator/>
      </w:r>
    </w:p>
  </w:footnote>
  <w:footnote w:type="continuationSeparator" w:id="0">
    <w:p w:rsidR="00E06C4D" w:rsidRPr="00C25D1F" w:rsidRDefault="00E06C4D">
      <w:r w:rsidRPr="00C25D1F">
        <w:continuationSeparator/>
      </w:r>
    </w:p>
  </w:footnote>
  <w:footnote w:id="1">
    <w:p w:rsidR="008743EA" w:rsidRPr="00C25D1F" w:rsidRDefault="008743EA" w:rsidP="00C25D1F">
      <w:pPr>
        <w:pStyle w:val="FootnoteText"/>
        <w:ind w:left="567" w:hanging="567"/>
        <w:rPr>
          <w:sz w:val="24"/>
          <w:lang w:val="et-EE"/>
        </w:rPr>
      </w:pPr>
      <w:r w:rsidRPr="00C25D1F">
        <w:rPr>
          <w:rStyle w:val="FootnoteReference"/>
          <w:sz w:val="24"/>
          <w:lang w:val="et-EE"/>
        </w:rPr>
        <w:footnoteRef/>
      </w:r>
      <w:r w:rsidR="00C25D1F" w:rsidRPr="00C25D1F">
        <w:rPr>
          <w:sz w:val="24"/>
          <w:lang w:val="et-EE"/>
        </w:rPr>
        <w:t xml:space="preserve"> </w:t>
      </w:r>
      <w:r w:rsidR="00C25D1F" w:rsidRPr="00C25D1F">
        <w:rPr>
          <w:sz w:val="24"/>
          <w:lang w:val="et-EE"/>
        </w:rPr>
        <w:tab/>
      </w:r>
      <w:r w:rsidRPr="00C25D1F">
        <w:rPr>
          <w:sz w:val="24"/>
          <w:lang w:val="et-EE"/>
        </w:rPr>
        <w:t>ELT L 45, 24.2.2022.</w:t>
      </w:r>
    </w:p>
  </w:footnote>
  <w:footnote w:id="2">
    <w:p w:rsidR="008743EA" w:rsidRPr="00C25D1F" w:rsidRDefault="008743EA" w:rsidP="00C25D1F">
      <w:pPr>
        <w:pStyle w:val="FootnoteText"/>
        <w:ind w:left="567" w:hanging="567"/>
        <w:rPr>
          <w:sz w:val="24"/>
          <w:lang w:val="et-EE"/>
        </w:rPr>
      </w:pPr>
      <w:r w:rsidRPr="00C25D1F">
        <w:rPr>
          <w:rStyle w:val="FootnoteReference"/>
          <w:sz w:val="24"/>
          <w:lang w:val="et-EE"/>
        </w:rPr>
        <w:footnoteRef/>
      </w:r>
      <w:r w:rsidR="00C25D1F" w:rsidRPr="00C25D1F">
        <w:rPr>
          <w:sz w:val="24"/>
          <w:lang w:val="et-EE"/>
        </w:rPr>
        <w:t xml:space="preserve"> </w:t>
      </w:r>
      <w:r w:rsidR="00C25D1F" w:rsidRPr="00C25D1F">
        <w:rPr>
          <w:sz w:val="24"/>
          <w:lang w:val="et-EE"/>
        </w:rPr>
        <w:tab/>
      </w:r>
      <w:r w:rsidRPr="00C25D1F">
        <w:rPr>
          <w:sz w:val="24"/>
          <w:lang w:val="et-EE"/>
        </w:rPr>
        <w:t>ELT C, C/2023/2, 12.10.2023.</w:t>
      </w:r>
    </w:p>
  </w:footnote>
  <w:footnote w:id="3">
    <w:p w:rsidR="008743EA" w:rsidRPr="00C25D1F" w:rsidRDefault="008743EA" w:rsidP="00C25D1F">
      <w:pPr>
        <w:pStyle w:val="FootnoteText"/>
        <w:ind w:left="567" w:hanging="567"/>
        <w:rPr>
          <w:sz w:val="24"/>
          <w:lang w:val="et-EE"/>
        </w:rPr>
      </w:pPr>
      <w:r w:rsidRPr="00C25D1F">
        <w:rPr>
          <w:rStyle w:val="FootnoteReference"/>
          <w:sz w:val="24"/>
          <w:lang w:val="et-EE"/>
        </w:rPr>
        <w:footnoteRef/>
      </w:r>
      <w:r w:rsidR="00C25D1F" w:rsidRPr="00C25D1F">
        <w:rPr>
          <w:sz w:val="24"/>
          <w:lang w:val="et-EE"/>
        </w:rPr>
        <w:t xml:space="preserve"> </w:t>
      </w:r>
      <w:r w:rsidR="00C25D1F" w:rsidRPr="00C25D1F">
        <w:rPr>
          <w:sz w:val="24"/>
          <w:lang w:val="et-EE"/>
        </w:rPr>
        <w:tab/>
      </w:r>
      <w:r w:rsidRPr="00C25D1F">
        <w:rPr>
          <w:sz w:val="24"/>
          <w:lang w:val="et-EE"/>
        </w:rPr>
        <w:t>ELT C, C/2023/103, 4.10.2023.</w:t>
      </w:r>
    </w:p>
  </w:footnote>
  <w:footnote w:id="4">
    <w:p w:rsidR="008743EA" w:rsidRPr="00C25D1F" w:rsidRDefault="008743EA" w:rsidP="00C25D1F">
      <w:pPr>
        <w:pStyle w:val="FootnoteText"/>
        <w:ind w:left="567" w:hanging="567"/>
        <w:rPr>
          <w:sz w:val="24"/>
          <w:lang w:val="et-EE"/>
        </w:rPr>
      </w:pPr>
      <w:r w:rsidRPr="00C25D1F">
        <w:rPr>
          <w:rStyle w:val="FootnoteReference"/>
          <w:sz w:val="24"/>
          <w:lang w:val="et-EE"/>
        </w:rPr>
        <w:footnoteRef/>
      </w:r>
      <w:r w:rsidR="00C25D1F" w:rsidRPr="00C25D1F">
        <w:rPr>
          <w:sz w:val="24"/>
          <w:lang w:val="et-EE"/>
        </w:rPr>
        <w:t xml:space="preserve"> </w:t>
      </w:r>
      <w:r w:rsidR="00C25D1F" w:rsidRPr="00C25D1F">
        <w:rPr>
          <w:sz w:val="24"/>
          <w:lang w:val="et-EE"/>
        </w:rPr>
        <w:tab/>
      </w:r>
      <w:r w:rsidRPr="00C25D1F">
        <w:rPr>
          <w:sz w:val="24"/>
          <w:lang w:val="et-EE"/>
        </w:rPr>
        <w:t>ELT C, C/2023/112, 12.10.2023.</w:t>
      </w:r>
    </w:p>
  </w:footnote>
  <w:footnote w:id="5">
    <w:p w:rsidR="008743EA" w:rsidRPr="00C25D1F" w:rsidRDefault="008743EA" w:rsidP="00C25D1F">
      <w:pPr>
        <w:pStyle w:val="FootnoteText"/>
        <w:ind w:left="567" w:hanging="567"/>
        <w:rPr>
          <w:sz w:val="24"/>
          <w:szCs w:val="24"/>
          <w:lang w:val="et-EE"/>
        </w:rPr>
      </w:pPr>
      <w:r w:rsidRPr="00C25D1F">
        <w:rPr>
          <w:rStyle w:val="FootnoteReference"/>
          <w:sz w:val="24"/>
          <w:lang w:val="et-EE"/>
        </w:rPr>
        <w:footnoteRef/>
      </w:r>
      <w:r w:rsidR="00C25D1F" w:rsidRPr="00C25D1F">
        <w:rPr>
          <w:sz w:val="24"/>
          <w:lang w:val="et-EE"/>
        </w:rPr>
        <w:t xml:space="preserve"> </w:t>
      </w:r>
      <w:r w:rsidR="00C25D1F" w:rsidRPr="00C25D1F">
        <w:rPr>
          <w:sz w:val="24"/>
          <w:lang w:val="et-EE"/>
        </w:rPr>
        <w:tab/>
      </w:r>
      <w:r w:rsidRPr="00C25D1F">
        <w:rPr>
          <w:sz w:val="24"/>
          <w:lang w:val="et-EE"/>
        </w:rPr>
        <w:t>ELT L 193, 30.7.2018, lk 1.</w:t>
      </w:r>
    </w:p>
  </w:footnote>
  <w:footnote w:id="6">
    <w:p w:rsidR="008743EA" w:rsidRPr="00C25D1F" w:rsidRDefault="008743EA" w:rsidP="00C25D1F">
      <w:pPr>
        <w:pStyle w:val="FootnoteText"/>
        <w:ind w:left="567" w:hanging="567"/>
        <w:rPr>
          <w:sz w:val="24"/>
          <w:lang w:val="et-EE"/>
        </w:rPr>
      </w:pPr>
      <w:r w:rsidRPr="00C25D1F">
        <w:rPr>
          <w:rStyle w:val="FootnoteReference"/>
          <w:sz w:val="24"/>
          <w:lang w:val="et-EE"/>
        </w:rPr>
        <w:footnoteRef/>
      </w:r>
      <w:r w:rsidR="00C25D1F" w:rsidRPr="00C25D1F">
        <w:rPr>
          <w:sz w:val="24"/>
          <w:lang w:val="et-EE"/>
        </w:rPr>
        <w:t xml:space="preserve"> </w:t>
      </w:r>
      <w:r w:rsidR="00C25D1F" w:rsidRPr="00C25D1F">
        <w:rPr>
          <w:sz w:val="24"/>
          <w:lang w:val="et-EE"/>
        </w:rPr>
        <w:tab/>
      </w:r>
      <w:r w:rsidRPr="00C25D1F">
        <w:rPr>
          <w:sz w:val="24"/>
          <w:lang w:val="et-EE"/>
        </w:rPr>
        <w:t>ELT L 207, 11.6.2021,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3EA" w:rsidRPr="00C25D1F" w:rsidRDefault="008743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3EA" w:rsidRPr="00C25D1F" w:rsidRDefault="008743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3EA" w:rsidRPr="00C25D1F" w:rsidRDefault="008743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D1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D1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5D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ET"/>
    <w:docVar w:name="dvnumam" w:val="0"/>
    <w:docVar w:name="dvpe" w:val="753.481"/>
    <w:docVar w:name="dvrapporteur" w:val="Raportöör: "/>
    <w:docVar w:name="dvtitre" w:val="Euroopa Parlamendi .... 2024. aasta otsus Euroopa Liidu 2022. aasta üldeelarve täitmisele heakskiidu andmise kohta, V jagu – Euroopa Kontrollikoda(2023/2133(DEC))"/>
  </w:docVars>
  <w:rsids>
    <w:rsidRoot w:val="00E06C4D"/>
    <w:rsid w:val="00002272"/>
    <w:rsid w:val="00064002"/>
    <w:rsid w:val="000677B9"/>
    <w:rsid w:val="000831BA"/>
    <w:rsid w:val="00085306"/>
    <w:rsid w:val="000A42CC"/>
    <w:rsid w:val="000E7DD9"/>
    <w:rsid w:val="0010095E"/>
    <w:rsid w:val="00125B37"/>
    <w:rsid w:val="00187494"/>
    <w:rsid w:val="001F32AE"/>
    <w:rsid w:val="002767FF"/>
    <w:rsid w:val="002B18FE"/>
    <w:rsid w:val="002B5493"/>
    <w:rsid w:val="0030345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43EA"/>
    <w:rsid w:val="00881A7B"/>
    <w:rsid w:val="008840E5"/>
    <w:rsid w:val="00887B3E"/>
    <w:rsid w:val="008C2AC6"/>
    <w:rsid w:val="00930C23"/>
    <w:rsid w:val="0093193B"/>
    <w:rsid w:val="009509D8"/>
    <w:rsid w:val="00950B64"/>
    <w:rsid w:val="00981893"/>
    <w:rsid w:val="00A1687D"/>
    <w:rsid w:val="00A43E52"/>
    <w:rsid w:val="00A4678D"/>
    <w:rsid w:val="00A532AE"/>
    <w:rsid w:val="00A778C7"/>
    <w:rsid w:val="00AB441E"/>
    <w:rsid w:val="00AB6293"/>
    <w:rsid w:val="00AE0928"/>
    <w:rsid w:val="00AF3B82"/>
    <w:rsid w:val="00B12E95"/>
    <w:rsid w:val="00B22876"/>
    <w:rsid w:val="00B558F0"/>
    <w:rsid w:val="00BD48FE"/>
    <w:rsid w:val="00BD7BD8"/>
    <w:rsid w:val="00BE6ADC"/>
    <w:rsid w:val="00C05BFE"/>
    <w:rsid w:val="00C23CD4"/>
    <w:rsid w:val="00C25D1F"/>
    <w:rsid w:val="00C61C0C"/>
    <w:rsid w:val="00C941CB"/>
    <w:rsid w:val="00CC2357"/>
    <w:rsid w:val="00CF071A"/>
    <w:rsid w:val="00D058B8"/>
    <w:rsid w:val="00D56C11"/>
    <w:rsid w:val="00D834A0"/>
    <w:rsid w:val="00D872DF"/>
    <w:rsid w:val="00D91E21"/>
    <w:rsid w:val="00DA7FCD"/>
    <w:rsid w:val="00E06C4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1A390C-83A0-4B64-ACFF-6932F1B6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743E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743EA"/>
    <w:pPr>
      <w:spacing w:before="480" w:after="240"/>
    </w:pPr>
  </w:style>
  <w:style w:type="paragraph" w:customStyle="1" w:styleId="PageHeading">
    <w:name w:val="PageHeading"/>
    <w:basedOn w:val="Normal"/>
    <w:rsid w:val="008743EA"/>
    <w:pPr>
      <w:keepNext/>
      <w:spacing w:after="480"/>
      <w:jc w:val="center"/>
    </w:pPr>
    <w:rPr>
      <w:rFonts w:ascii="Arial" w:hAnsi="Arial" w:cs="Arial"/>
      <w:b/>
    </w:rPr>
  </w:style>
  <w:style w:type="paragraph" w:customStyle="1" w:styleId="NormalBold">
    <w:name w:val="NormalBold"/>
    <w:basedOn w:val="Normal"/>
    <w:rsid w:val="008743EA"/>
    <w:rPr>
      <w:b/>
    </w:rPr>
  </w:style>
  <w:style w:type="paragraph" w:customStyle="1" w:styleId="NormalHanging12a">
    <w:name w:val="NormalHanging12a"/>
    <w:basedOn w:val="Normal"/>
    <w:link w:val="NormalHanging12aChar"/>
    <w:qFormat/>
    <w:rsid w:val="008743EA"/>
    <w:pPr>
      <w:spacing w:after="240"/>
      <w:ind w:left="567" w:hanging="567"/>
    </w:pPr>
  </w:style>
  <w:style w:type="paragraph" w:styleId="Header">
    <w:name w:val="header"/>
    <w:basedOn w:val="Normal"/>
    <w:link w:val="HeaderChar"/>
    <w:rsid w:val="008743EA"/>
    <w:pPr>
      <w:tabs>
        <w:tab w:val="center" w:pos="4513"/>
        <w:tab w:val="right" w:pos="9026"/>
      </w:tabs>
    </w:pPr>
  </w:style>
  <w:style w:type="character" w:customStyle="1" w:styleId="HeaderChar">
    <w:name w:val="Header Char"/>
    <w:basedOn w:val="DefaultParagraphFont"/>
    <w:link w:val="Header"/>
    <w:rsid w:val="008743EA"/>
    <w:rPr>
      <w:sz w:val="24"/>
      <w:lang w:val="et-EE"/>
    </w:rPr>
  </w:style>
  <w:style w:type="paragraph" w:customStyle="1" w:styleId="EPFooter">
    <w:name w:val="EPFooter"/>
    <w:basedOn w:val="Normal"/>
    <w:rsid w:val="008743E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743EA"/>
    <w:rPr>
      <w:sz w:val="24"/>
      <w:lang w:val="et-EE"/>
    </w:rPr>
  </w:style>
  <w:style w:type="paragraph" w:styleId="BalloonText">
    <w:name w:val="Balloon Text"/>
    <w:basedOn w:val="Normal"/>
    <w:link w:val="BalloonTextChar"/>
    <w:rsid w:val="00085306"/>
    <w:rPr>
      <w:rFonts w:ascii="Segoe UI" w:hAnsi="Segoe UI" w:cs="Segoe UI"/>
      <w:sz w:val="18"/>
      <w:szCs w:val="18"/>
    </w:rPr>
  </w:style>
  <w:style w:type="character" w:customStyle="1" w:styleId="BalloonTextChar">
    <w:name w:val="Balloon Text Char"/>
    <w:basedOn w:val="DefaultParagraphFont"/>
    <w:link w:val="BalloonText"/>
    <w:rsid w:val="0008530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FE974-8612-4172-904A-76D47AD8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4080</Words>
  <Characters>29774</Characters>
  <Application>Microsoft Office Word</Application>
  <DocSecurity>0</DocSecurity>
  <Lines>248</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2024-04-11T15:24:00Z</dcterms:created>
  <dcterms:modified xsi:type="dcterms:W3CDTF">2024-04-11T15:24:00Z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A9-0074/2024</vt:lpwstr>
  </property>
  <property fmtid="{D5CDD505-2E9C-101B-9397-08002B2CF9AE}" pid="4" name="&lt;Type&gt;">
    <vt:lpwstr>RR</vt:lpwstr>
  </property>
</Properties>
</file>