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4E0B" w14:paraId="6D194EA5" w14:textId="77777777" w:rsidTr="0010095E">
        <w:trPr>
          <w:trHeight w:hRule="exact" w:val="1418"/>
        </w:trPr>
        <w:tc>
          <w:tcPr>
            <w:tcW w:w="6804" w:type="dxa"/>
            <w:shd w:val="clear" w:color="auto" w:fill="auto"/>
            <w:vAlign w:val="center"/>
          </w:tcPr>
          <w:p w14:paraId="09DBC79B" w14:textId="4117FB9A" w:rsidR="00751A4A" w:rsidRPr="00314E0B" w:rsidRDefault="00B90F97" w:rsidP="0010095E">
            <w:pPr>
              <w:pStyle w:val="EPName"/>
            </w:pPr>
            <w:r w:rsidRPr="00314E0B">
              <w:t>Euroopan parlamentti</w:t>
            </w:r>
          </w:p>
          <w:p w14:paraId="4F85405A" w14:textId="77777777" w:rsidR="00751A4A" w:rsidRPr="00314E0B" w:rsidRDefault="00817416" w:rsidP="00756632">
            <w:pPr>
              <w:pStyle w:val="EPTerm"/>
              <w:rPr>
                <w:rStyle w:val="HideTWBExt"/>
                <w:noProof w:val="0"/>
                <w:vanish w:val="0"/>
                <w:color w:val="auto"/>
              </w:rPr>
            </w:pPr>
            <w:r w:rsidRPr="00314E0B">
              <w:t>2019-2024</w:t>
            </w:r>
          </w:p>
        </w:tc>
        <w:tc>
          <w:tcPr>
            <w:tcW w:w="2268" w:type="dxa"/>
            <w:shd w:val="clear" w:color="auto" w:fill="auto"/>
          </w:tcPr>
          <w:p w14:paraId="46029BA1" w14:textId="77777777" w:rsidR="00751A4A" w:rsidRPr="00314E0B" w:rsidRDefault="00187494" w:rsidP="0010095E">
            <w:pPr>
              <w:pStyle w:val="EPLogo"/>
            </w:pPr>
            <w:r w:rsidRPr="00314E0B">
              <w:rPr>
                <w:noProof/>
                <w:lang w:val="en-GB"/>
              </w:rPr>
              <w:drawing>
                <wp:inline distT="0" distB="0" distL="0" distR="0" wp14:anchorId="13A4C7EB" wp14:editId="33962FC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EB0400" w14:textId="77777777" w:rsidR="00D058B8" w:rsidRPr="00314E0B" w:rsidRDefault="00D058B8" w:rsidP="004C5D52">
      <w:pPr>
        <w:pStyle w:val="LineTop"/>
      </w:pPr>
    </w:p>
    <w:p w14:paraId="19058224" w14:textId="77777777" w:rsidR="00680577" w:rsidRPr="00314E0B" w:rsidRDefault="00B90F97" w:rsidP="00680577">
      <w:pPr>
        <w:pStyle w:val="EPBodyTA1"/>
      </w:pPr>
      <w:r w:rsidRPr="00314E0B">
        <w:t>HYVÄKSYTYT TEKSTIT</w:t>
      </w:r>
    </w:p>
    <w:p w14:paraId="035E6896" w14:textId="77777777" w:rsidR="00D058B8" w:rsidRPr="00314E0B" w:rsidRDefault="00D058B8" w:rsidP="00D058B8">
      <w:pPr>
        <w:pStyle w:val="LineBottom"/>
      </w:pPr>
    </w:p>
    <w:p w14:paraId="57DEFD3C" w14:textId="7B10FE97" w:rsidR="00B90F97" w:rsidRPr="00314E0B" w:rsidRDefault="00B90F97" w:rsidP="00B90F97">
      <w:pPr>
        <w:pStyle w:val="ATHeading1"/>
      </w:pPr>
      <w:bookmarkStart w:id="0" w:name="TANumber"/>
      <w:r w:rsidRPr="00314E0B">
        <w:t>P9_TA(2024)0</w:t>
      </w:r>
      <w:r w:rsidR="007B0685" w:rsidRPr="00314E0B">
        <w:t>231</w:t>
      </w:r>
      <w:bookmarkEnd w:id="0"/>
    </w:p>
    <w:p w14:paraId="20A5D039" w14:textId="6216D62E" w:rsidR="00B90F97" w:rsidRPr="00314E0B" w:rsidRDefault="00777AA9" w:rsidP="00B90F97">
      <w:pPr>
        <w:pStyle w:val="ATHeading2"/>
      </w:pPr>
      <w:bookmarkStart w:id="1" w:name="title"/>
      <w:r w:rsidRPr="00314E0B">
        <w:rPr>
          <w:bCs/>
        </w:rPr>
        <w:t>Vastuuvapaus 2022: EU:n yleinen talousarvio – Tilintarkastustuomioistuin</w:t>
      </w:r>
      <w:bookmarkEnd w:id="1"/>
    </w:p>
    <w:p w14:paraId="1431E3FD" w14:textId="77777777" w:rsidR="00B90F97" w:rsidRPr="00314E0B" w:rsidRDefault="00B90F97" w:rsidP="00B90F97">
      <w:pPr>
        <w:rPr>
          <w:i/>
          <w:vanish/>
        </w:rPr>
      </w:pPr>
      <w:r w:rsidRPr="00314E0B">
        <w:rPr>
          <w:i/>
        </w:rPr>
        <w:fldChar w:fldCharType="begin"/>
      </w:r>
      <w:r w:rsidRPr="00314E0B">
        <w:rPr>
          <w:i/>
        </w:rPr>
        <w:instrText xml:space="preserve"> TC"(</w:instrText>
      </w:r>
      <w:bookmarkStart w:id="2" w:name="DocNumber"/>
      <w:r w:rsidRPr="00314E0B">
        <w:rPr>
          <w:i/>
        </w:rPr>
        <w:instrText>A9-0074/2024</w:instrText>
      </w:r>
      <w:bookmarkEnd w:id="2"/>
      <w:r w:rsidRPr="00314E0B">
        <w:rPr>
          <w:i/>
        </w:rPr>
        <w:instrText xml:space="preserve"> - Esittelijä: Luke Ming Flanagan)"\l3 \n&gt; \* MERGEFORMAT </w:instrText>
      </w:r>
      <w:r w:rsidRPr="00314E0B">
        <w:rPr>
          <w:i/>
        </w:rPr>
        <w:fldChar w:fldCharType="end"/>
      </w:r>
    </w:p>
    <w:p w14:paraId="59042D1C" w14:textId="77777777" w:rsidR="00B90F97" w:rsidRPr="00314E0B" w:rsidRDefault="00B90F97" w:rsidP="00B90F97">
      <w:pPr>
        <w:rPr>
          <w:vanish/>
        </w:rPr>
      </w:pPr>
      <w:bookmarkStart w:id="3" w:name="Commission"/>
      <w:r w:rsidRPr="00314E0B">
        <w:rPr>
          <w:vanish/>
        </w:rPr>
        <w:t>Talousarvion valvontavaliokunta</w:t>
      </w:r>
      <w:bookmarkEnd w:id="3"/>
    </w:p>
    <w:p w14:paraId="104380F6" w14:textId="77777777" w:rsidR="00B90F97" w:rsidRPr="00314E0B" w:rsidRDefault="00B90F97" w:rsidP="00B90F97">
      <w:pPr>
        <w:rPr>
          <w:vanish/>
        </w:rPr>
      </w:pPr>
      <w:bookmarkStart w:id="4" w:name="PE"/>
      <w:r w:rsidRPr="00314E0B">
        <w:rPr>
          <w:vanish/>
        </w:rPr>
        <w:t>PE753.481</w:t>
      </w:r>
      <w:bookmarkEnd w:id="4"/>
    </w:p>
    <w:p w14:paraId="08B72587" w14:textId="5EE015C1" w:rsidR="00B90F97" w:rsidRPr="00314E0B" w:rsidRDefault="00777AA9" w:rsidP="00B90F97">
      <w:pPr>
        <w:pStyle w:val="ATHeading3"/>
      </w:pPr>
      <w:bookmarkStart w:id="5" w:name="Sujet"/>
      <w:r w:rsidRPr="00314E0B">
        <w:t>1. E</w:t>
      </w:r>
      <w:r w:rsidR="00B90F97" w:rsidRPr="00314E0B">
        <w:t xml:space="preserve">uroopan parlamentin päätös </w:t>
      </w:r>
      <w:r w:rsidRPr="00314E0B">
        <w:t>11</w:t>
      </w:r>
      <w:r w:rsidR="00B90F97" w:rsidRPr="00314E0B">
        <w:t>. huhtikuuta 2024 vastuuvapauden myöntämisestä Euroopan unionin yleisen talousarvion toteuttamisesta varainhoitovuonna 2022, pääluokka V – Tilintarkastustuomioistuin</w:t>
      </w:r>
      <w:bookmarkEnd w:id="5"/>
      <w:r w:rsidR="00B90F97" w:rsidRPr="00314E0B">
        <w:t xml:space="preserve"> </w:t>
      </w:r>
      <w:bookmarkStart w:id="6" w:name="References"/>
      <w:r w:rsidR="00B90F97" w:rsidRPr="00314E0B">
        <w:t>(2023/2133(DEC))</w:t>
      </w:r>
      <w:bookmarkEnd w:id="6"/>
    </w:p>
    <w:p w14:paraId="75275C72" w14:textId="77777777" w:rsidR="00D2061B" w:rsidRPr="00314E0B" w:rsidRDefault="00D2061B" w:rsidP="009F45C2">
      <w:pPr>
        <w:pStyle w:val="EPComma"/>
        <w:widowControl/>
      </w:pPr>
      <w:bookmarkStart w:id="7" w:name="TextBodyBegin"/>
      <w:bookmarkEnd w:id="7"/>
      <w:r w:rsidRPr="00314E0B">
        <w:rPr>
          <w:i/>
          <w:iCs/>
        </w:rPr>
        <w:t>Euroopan parlamentti</w:t>
      </w:r>
      <w:r w:rsidRPr="00314E0B">
        <w:t>, joka</w:t>
      </w:r>
    </w:p>
    <w:p w14:paraId="0212684B" w14:textId="77777777" w:rsidR="00D2061B" w:rsidRPr="00314E0B" w:rsidRDefault="00D2061B" w:rsidP="009F45C2">
      <w:pPr>
        <w:pStyle w:val="NormalHanging12a"/>
        <w:widowControl/>
      </w:pPr>
      <w:r w:rsidRPr="00314E0B">
        <w:t>–</w:t>
      </w:r>
      <w:r w:rsidRPr="00314E0B">
        <w:tab/>
        <w:t>ottaa huomioon Euroopan unionin yleisen talousarvion varainhoitovuodeksi 2022</w:t>
      </w:r>
      <w:r w:rsidRPr="00314E0B">
        <w:rPr>
          <w:rStyle w:val="FootnoteReference"/>
        </w:rPr>
        <w:footnoteReference w:id="1"/>
      </w:r>
      <w:r w:rsidRPr="00314E0B">
        <w:t>,</w:t>
      </w:r>
    </w:p>
    <w:p w14:paraId="1737C7DC" w14:textId="77777777" w:rsidR="00D2061B" w:rsidRPr="00314E0B" w:rsidRDefault="00D2061B" w:rsidP="009F45C2">
      <w:pPr>
        <w:pStyle w:val="NormalHanging12a"/>
        <w:widowControl/>
      </w:pPr>
      <w:r w:rsidRPr="00314E0B">
        <w:t>–</w:t>
      </w:r>
      <w:r w:rsidRPr="00314E0B">
        <w:tab/>
        <w:t>ottaa huomioon Euroopan unionin konsolidoidun tilinpäätöksen varainhoitovuodelta 2022 (COM(2023)0391 – C9</w:t>
      </w:r>
      <w:r w:rsidRPr="00314E0B">
        <w:noBreakHyphen/>
        <w:t>0252/2023)</w:t>
      </w:r>
      <w:r w:rsidRPr="00314E0B">
        <w:rPr>
          <w:rStyle w:val="FootnoteReference"/>
        </w:rPr>
        <w:footnoteReference w:id="2"/>
      </w:r>
      <w:r w:rsidRPr="00314E0B">
        <w:t>,</w:t>
      </w:r>
      <w:bookmarkStart w:id="8" w:name="_GoBack"/>
      <w:bookmarkEnd w:id="8"/>
    </w:p>
    <w:p w14:paraId="51FB08C2" w14:textId="77777777" w:rsidR="00D2061B" w:rsidRPr="00314E0B" w:rsidRDefault="00D2061B" w:rsidP="009F45C2">
      <w:pPr>
        <w:pStyle w:val="NormalHanging12a"/>
        <w:widowControl/>
      </w:pPr>
      <w:r w:rsidRPr="00314E0B">
        <w:t>–</w:t>
      </w:r>
      <w:r w:rsidRPr="00314E0B">
        <w:tab/>
        <w:t>ottaa huomioon tilintarkastustuomioistuimen vuosikertomuksen vastuuvapauden myöntävälle viranomaiselle vuonna 2022 toimitetuista sisäisistä tarkastuksista,</w:t>
      </w:r>
    </w:p>
    <w:p w14:paraId="268BD00C" w14:textId="77777777" w:rsidR="00D2061B" w:rsidRPr="00314E0B" w:rsidRDefault="00D2061B" w:rsidP="009F45C2">
      <w:pPr>
        <w:pStyle w:val="NormalHanging12a"/>
        <w:widowControl/>
      </w:pPr>
      <w:r w:rsidRPr="00314E0B">
        <w:t>–</w:t>
      </w:r>
      <w:r w:rsidRPr="00314E0B">
        <w:tab/>
        <w:t>ottaa huomioon tilintarkastustuomioistuimen vuosikertomuksen talousarvion toteuttamisesta varainhoitovuonna 2022 sekä toimielinten vastaukset</w:t>
      </w:r>
      <w:r w:rsidRPr="00314E0B">
        <w:rPr>
          <w:rStyle w:val="FootnoteReference"/>
        </w:rPr>
        <w:footnoteReference w:id="3"/>
      </w:r>
      <w:r w:rsidRPr="00314E0B">
        <w:t>,</w:t>
      </w:r>
    </w:p>
    <w:p w14:paraId="5CB92078" w14:textId="77777777" w:rsidR="00D2061B" w:rsidRPr="00314E0B" w:rsidRDefault="00D2061B" w:rsidP="009F45C2">
      <w:pPr>
        <w:pStyle w:val="NormalHanging12a"/>
        <w:widowControl/>
      </w:pPr>
      <w:r w:rsidRPr="00314E0B">
        <w:t>–</w:t>
      </w:r>
      <w:r w:rsidRPr="00314E0B">
        <w:tab/>
        <w:t>ottaa huomioon tilintarkastustuomioistuimen Euroopan unionin toiminnasta tehdyn sopimuksen 287 artiklan mukaisesti antaman varainhoitovuotta 2022 koskevan lausuman</w:t>
      </w:r>
      <w:r w:rsidRPr="00314E0B">
        <w:rPr>
          <w:rStyle w:val="FootnoteReference"/>
        </w:rPr>
        <w:footnoteReference w:id="4"/>
      </w:r>
      <w:r w:rsidRPr="00314E0B">
        <w:t xml:space="preserve"> tilien luotettavuudesta sekä tilien perustana olevien toimien laillisuudesta ja asianmukaisuudesta (sääntöjenmukaisuudesta),</w:t>
      </w:r>
    </w:p>
    <w:p w14:paraId="451F79B4" w14:textId="77777777" w:rsidR="00D2061B" w:rsidRPr="00314E0B" w:rsidRDefault="00D2061B" w:rsidP="009F45C2">
      <w:pPr>
        <w:pStyle w:val="NormalHanging12a"/>
        <w:widowControl/>
      </w:pPr>
      <w:r w:rsidRPr="00314E0B">
        <w:t>–</w:t>
      </w:r>
      <w:r w:rsidRPr="00314E0B">
        <w:tab/>
        <w:t>ottaa huomioon Euroopan unionin toiminnasta tehdyn sopimuksen 314 artiklan 10 kohdan sekä 317, 318 ja 319 artiklan,</w:t>
      </w:r>
    </w:p>
    <w:p w14:paraId="638CCD9F" w14:textId="77777777" w:rsidR="00D2061B" w:rsidRPr="00314E0B" w:rsidRDefault="00D2061B" w:rsidP="009F45C2">
      <w:pPr>
        <w:pStyle w:val="NormalHanging12a"/>
        <w:widowControl/>
      </w:pPr>
      <w:r w:rsidRPr="00314E0B">
        <w:t>–</w:t>
      </w:r>
      <w:r w:rsidRPr="00314E0B">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314E0B">
        <w:rPr>
          <w:rStyle w:val="FootnoteReference"/>
        </w:rPr>
        <w:footnoteReference w:id="5"/>
      </w:r>
      <w:r w:rsidRPr="00314E0B">
        <w:t xml:space="preserve"> ja erityisesti sen 59, 118, 260, 261 ja 262 artiklan,</w:t>
      </w:r>
    </w:p>
    <w:p w14:paraId="2BB947CC" w14:textId="77777777" w:rsidR="00D2061B" w:rsidRPr="00314E0B" w:rsidRDefault="00D2061B" w:rsidP="009F45C2">
      <w:pPr>
        <w:pStyle w:val="NormalHanging12a"/>
        <w:widowControl/>
      </w:pPr>
      <w:r w:rsidRPr="00314E0B">
        <w:lastRenderedPageBreak/>
        <w:t>–</w:t>
      </w:r>
      <w:r w:rsidRPr="00314E0B">
        <w:tab/>
        <w:t>ottaa huomioon työjärjestyksen 100 artiklan ja liitteen V,</w:t>
      </w:r>
    </w:p>
    <w:p w14:paraId="7E041A53" w14:textId="77777777" w:rsidR="00D2061B" w:rsidRPr="00314E0B" w:rsidRDefault="00D2061B" w:rsidP="009F45C2">
      <w:pPr>
        <w:pStyle w:val="NormalHanging12a"/>
        <w:widowControl/>
      </w:pPr>
      <w:r w:rsidRPr="00314E0B">
        <w:t>–</w:t>
      </w:r>
      <w:r w:rsidRPr="00314E0B">
        <w:tab/>
        <w:t>ottaa huomioon talousarvion valvontavaliokunnan mietinnön (A9-0074/2024),</w:t>
      </w:r>
    </w:p>
    <w:p w14:paraId="7E72CB59" w14:textId="77777777" w:rsidR="00D2061B" w:rsidRPr="00314E0B" w:rsidRDefault="00D2061B" w:rsidP="009F45C2">
      <w:pPr>
        <w:pStyle w:val="NormalHanging12a"/>
        <w:widowControl/>
      </w:pPr>
      <w:r w:rsidRPr="00314E0B">
        <w:t>1.</w:t>
      </w:r>
      <w:r w:rsidRPr="00314E0B">
        <w:tab/>
        <w:t>myöntää tilintarkastustuomioistuimen pääsihteerille vastuuvapauden tilintarkastustuomioistuimen talousarvion toteuttamisesta varainhoitovuonna 2022;</w:t>
      </w:r>
    </w:p>
    <w:p w14:paraId="14F01670" w14:textId="77777777" w:rsidR="00D2061B" w:rsidRPr="00314E0B" w:rsidRDefault="00D2061B" w:rsidP="009F45C2">
      <w:pPr>
        <w:pStyle w:val="NormalHanging12a"/>
        <w:widowControl/>
      </w:pPr>
      <w:r w:rsidRPr="00314E0B">
        <w:t>2.</w:t>
      </w:r>
      <w:r w:rsidRPr="00314E0B">
        <w:tab/>
        <w:t>esittää huomautuksensa oheisessa päätöslauselmassa;</w:t>
      </w:r>
    </w:p>
    <w:p w14:paraId="6FC270FF" w14:textId="35C1A9BE" w:rsidR="00D2061B" w:rsidRPr="00314E0B" w:rsidRDefault="00D2061B" w:rsidP="00777AA9">
      <w:pPr>
        <w:pStyle w:val="NormalHanging12a"/>
        <w:widowControl/>
      </w:pPr>
      <w:r w:rsidRPr="00314E0B">
        <w:t>3.</w:t>
      </w:r>
      <w:r w:rsidRPr="00314E0B">
        <w:tab/>
        <w:t xml:space="preserve">kehottaa puhemiestä välittämään tämän päätöksen ja siihen erottamattomasti kuuluvan päätöslauselman neuvostolle, komissiolle ja tilintarkastustuomioistuimelle sekä huolehtimaan niiden julkaisemisesta </w:t>
      </w:r>
      <w:r w:rsidRPr="00314E0B">
        <w:rPr>
          <w:i/>
        </w:rPr>
        <w:t>Euroopan unionin virallisessa lehdessä</w:t>
      </w:r>
      <w:r w:rsidRPr="00314E0B">
        <w:t xml:space="preserve"> (L-sarja).</w:t>
      </w:r>
    </w:p>
    <w:p w14:paraId="1175DB9A" w14:textId="77777777" w:rsidR="00D2061B" w:rsidRPr="00314E0B" w:rsidRDefault="00D2061B" w:rsidP="009F45C2">
      <w:pPr>
        <w:pStyle w:val="PageHeading"/>
        <w:widowControl/>
        <w:sectPr w:rsidR="00D2061B" w:rsidRPr="00314E0B" w:rsidSect="0089318E">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20972147" w14:textId="5E2FED7C" w:rsidR="00D2061B" w:rsidRPr="00314E0B" w:rsidRDefault="00777AA9" w:rsidP="00292764">
      <w:pPr>
        <w:pStyle w:val="ATHeading3"/>
      </w:pPr>
      <w:r w:rsidRPr="00314E0B">
        <w:lastRenderedPageBreak/>
        <w:t>2. Euroopan parlamentin päätöslauselma 11. huhtikuuta 2024, j</w:t>
      </w:r>
      <w:r w:rsidR="00D2061B" w:rsidRPr="00314E0B">
        <w:t>oka sisältää huomautukset, jotka ovat erottamaton osa päätöstä vastuuvapauden myöntämisestä Euroopan unionin yleisen talousarvion toteuttamisesta varainhoitovuonna 2022, pääluokka V – Tilintarkastustuomioistuin</w:t>
      </w:r>
      <w:r w:rsidRPr="00314E0B">
        <w:t xml:space="preserve"> </w:t>
      </w:r>
      <w:r w:rsidR="00D2061B" w:rsidRPr="00314E0B">
        <w:t>(2023/2133(DEC))</w:t>
      </w:r>
    </w:p>
    <w:p w14:paraId="60E46414" w14:textId="77777777" w:rsidR="00D2061B" w:rsidRPr="00314E0B" w:rsidRDefault="00D2061B" w:rsidP="009F45C2">
      <w:pPr>
        <w:pStyle w:val="EPComma"/>
        <w:widowControl/>
      </w:pPr>
      <w:r w:rsidRPr="00314E0B">
        <w:rPr>
          <w:i/>
          <w:iCs/>
        </w:rPr>
        <w:t>Euroopan parlamentti</w:t>
      </w:r>
      <w:r w:rsidRPr="00314E0B">
        <w:t>, joka</w:t>
      </w:r>
    </w:p>
    <w:p w14:paraId="34E03174" w14:textId="77777777" w:rsidR="00D2061B" w:rsidRPr="00314E0B" w:rsidRDefault="00D2061B" w:rsidP="009F45C2">
      <w:pPr>
        <w:pStyle w:val="NormalHanging12a"/>
        <w:widowControl/>
        <w:rPr>
          <w:szCs w:val="24"/>
        </w:rPr>
      </w:pPr>
      <w:r w:rsidRPr="00314E0B">
        <w:t>–</w:t>
      </w:r>
      <w:r w:rsidRPr="00314E0B">
        <w:tab/>
        <w:t>ottaa huomioon päätöksensä vastuuvapauden myöntämisestä Euroopan unionin yleisen talousarvion toteuttamisesta varainhoitovuonna 2022, pääluokka V – Tilintarkastustuomioistuin,</w:t>
      </w:r>
    </w:p>
    <w:p w14:paraId="17D5EEFB" w14:textId="77777777" w:rsidR="00D2061B" w:rsidRPr="00314E0B" w:rsidRDefault="00D2061B" w:rsidP="009F45C2">
      <w:pPr>
        <w:pStyle w:val="NormalHanging12a"/>
        <w:widowControl/>
        <w:rPr>
          <w:szCs w:val="24"/>
        </w:rPr>
      </w:pPr>
      <w:r w:rsidRPr="00314E0B">
        <w:t>–</w:t>
      </w:r>
      <w:r w:rsidRPr="00314E0B">
        <w:tab/>
        <w:t>ottaa huomioon työjärjestyksen 100 artiklan ja liitteen V,</w:t>
      </w:r>
    </w:p>
    <w:p w14:paraId="053DE3BC" w14:textId="77777777" w:rsidR="00D2061B" w:rsidRPr="00314E0B" w:rsidRDefault="00D2061B" w:rsidP="009F45C2">
      <w:pPr>
        <w:pStyle w:val="NormalHanging12a"/>
        <w:widowControl/>
        <w:rPr>
          <w:szCs w:val="24"/>
        </w:rPr>
      </w:pPr>
      <w:r w:rsidRPr="00314E0B">
        <w:t>–</w:t>
      </w:r>
      <w:r w:rsidRPr="00314E0B">
        <w:tab/>
        <w:t>ottaa huomioon talousarvion valvontavaliokunnan mietinnön (A9-0074/2024),</w:t>
      </w:r>
    </w:p>
    <w:p w14:paraId="325660E4" w14:textId="77777777" w:rsidR="00D2061B" w:rsidRPr="00314E0B" w:rsidRDefault="00D2061B" w:rsidP="009F45C2">
      <w:pPr>
        <w:pStyle w:val="NormalHanging12a"/>
        <w:widowControl/>
        <w:rPr>
          <w:szCs w:val="24"/>
        </w:rPr>
      </w:pPr>
      <w:r w:rsidRPr="00314E0B">
        <w:t>A.</w:t>
      </w:r>
      <w:r w:rsidRPr="00314E0B">
        <w:tab/>
        <w:t>haluaa korostaa vastuuvapauden myöntävänä viranomaisena vastuuvapausmenettelyn yhteydessä, että unionin toimielinten demokraattista legitimiteettiä on erityisen tärkeää vahvistaa edelleen lisäämällä avoimuutta ja vastuuvelvollisuutta sekä soveltamalla tulosbudjetoinnin käsitettä ja noudattamalla henkilöresursseja koskevaa hyvää hallintotapaa;</w:t>
      </w:r>
    </w:p>
    <w:p w14:paraId="36CFCA25" w14:textId="77777777" w:rsidR="00D2061B" w:rsidRPr="00314E0B" w:rsidRDefault="00D2061B" w:rsidP="009F45C2">
      <w:pPr>
        <w:pStyle w:val="NormalHanging12a"/>
        <w:widowControl/>
        <w:rPr>
          <w:szCs w:val="24"/>
        </w:rPr>
      </w:pPr>
      <w:r w:rsidRPr="00314E0B">
        <w:t>B.</w:t>
      </w:r>
      <w:r w:rsidRPr="00314E0B">
        <w:tab/>
        <w:t>ottaa huomioon, että tilintarkastustuomioistuin on unionin ulkoinen tarkastaja, jonka tehtävänä on riippumatonta, ammattimaista ja vaikuttavaa tarkastustyötä tekemällä arvioida unionin toimien taloudellisuutta, vaikuttavuutta, tehokkuutta, laillisuutta ja sääntöjenmukaisuutta parantaakseen tilivelvollisuutta, avoimuutta ja varainhoitoa ja lisätä siten kansalaisten luottamusta ja vastata vaikuttavalla tavalla unionin nykyisiin ja tuleviin haasteisiin;</w:t>
      </w:r>
    </w:p>
    <w:p w14:paraId="5C8AB393" w14:textId="77777777" w:rsidR="00D2061B" w:rsidRPr="00314E0B" w:rsidRDefault="00D2061B" w:rsidP="009F45C2">
      <w:pPr>
        <w:pStyle w:val="NormalHanging12a"/>
        <w:widowControl/>
        <w:rPr>
          <w:szCs w:val="24"/>
        </w:rPr>
      </w:pPr>
      <w:r w:rsidRPr="00314E0B">
        <w:t>C.</w:t>
      </w:r>
      <w:r w:rsidRPr="00314E0B">
        <w:tab/>
        <w:t xml:space="preserve">ottaa huomioon, että tilintarkastustuomioistuin on vuosittain antanut tulostilinsä riippumattoman ulkoisen tarkastajan tarkastettavaksi varainhoitovuoden 1987 päättämisestä lähtien ja että ulkoisen tarkastajan kertomukset on julkaistu </w:t>
      </w:r>
      <w:r w:rsidRPr="00314E0B">
        <w:rPr>
          <w:i/>
        </w:rPr>
        <w:t>Euroopan unionin virallisessa lehdessä</w:t>
      </w:r>
      <w:r w:rsidRPr="00314E0B">
        <w:t xml:space="preserve"> varainhoitovuoden 1992 kertomuksesta alkaen, sanotun kuitenkaan rajoittamatta Euroopan unionin toiminnasta tehdyn sopimuksen (SEUT) 287 ja 319 artiklan määräysten soveltamista;</w:t>
      </w:r>
    </w:p>
    <w:p w14:paraId="5017E8D7" w14:textId="77777777" w:rsidR="00D2061B" w:rsidRPr="00314E0B" w:rsidRDefault="00D2061B" w:rsidP="009F45C2">
      <w:pPr>
        <w:pStyle w:val="NormalHanging12a"/>
        <w:widowControl/>
        <w:rPr>
          <w:szCs w:val="24"/>
        </w:rPr>
      </w:pPr>
      <w:r w:rsidRPr="00314E0B">
        <w:t>D.</w:t>
      </w:r>
      <w:r w:rsidRPr="00314E0B">
        <w:tab/>
        <w:t>ottaa huomioon, että johdon tilivelvollisuus budjettivallan käyttäjille toteutetaan tilintarkastustuomioistuimen pääsihteerin vuotuisella toimintakertomuksella, jonka tarkoituksena on varainhoitoasetuksen 74 artiklan 9 kohdan mukaisesti antaa tietoja resurssien hallinnoinnista, myös järjestelmistä, sekä tilintarkastustuomioistuimen sisäisen valvonnan järjestelmien tehokkuudesta ja vaikuttavuudesta;</w:t>
      </w:r>
    </w:p>
    <w:p w14:paraId="404C6329" w14:textId="77777777" w:rsidR="00D2061B" w:rsidRPr="00314E0B" w:rsidRDefault="00D2061B" w:rsidP="009F45C2">
      <w:pPr>
        <w:pStyle w:val="NormalHanging12a"/>
        <w:widowControl/>
        <w:rPr>
          <w:szCs w:val="24"/>
        </w:rPr>
      </w:pPr>
      <w:r w:rsidRPr="00314E0B">
        <w:t>E.</w:t>
      </w:r>
      <w:r w:rsidRPr="00314E0B">
        <w:tab/>
        <w:t>toteaa, että toimittamalla tehtävänsä avoimesti ja riippumattomasti tilintarkastustuomioistuin edistää demokraattista valvontaa, julkista keskustelua ja unionin varainhoidon moitteettomuutta;</w:t>
      </w:r>
    </w:p>
    <w:p w14:paraId="4D84FAAE" w14:textId="77777777" w:rsidR="00D2061B" w:rsidRPr="00314E0B" w:rsidRDefault="00D2061B" w:rsidP="009F45C2">
      <w:pPr>
        <w:pStyle w:val="NormalHanging12a"/>
        <w:widowControl/>
        <w:rPr>
          <w:szCs w:val="24"/>
        </w:rPr>
      </w:pPr>
      <w:r w:rsidRPr="00314E0B">
        <w:t>F.</w:t>
      </w:r>
      <w:r w:rsidRPr="00314E0B">
        <w:tab/>
        <w:t xml:space="preserve">ottaa huomioon, että tilintarkastustuomioistuin on omaksunut kannan, jonka mukaan unionin hallinnon, sen vastuuvelvollisuuden ja avoimuuden sekä unionin politiikkojen täytäntöönpanosta raportoitujen tietojen laadun ja luotettavuuden arvioimiseksi paras ratkaisu olisi valtuuttaa tilintarkastustuomioistuin tarkastamaan kaikki unionin toimielimet, elimet, toimistot ja virastot, jotka on perustettu perussopimuksilla tai niiden nojalla, sekä kaikki hallitustenväliset rakenteet, joilla on keskeinen merkitys unionin </w:t>
      </w:r>
      <w:r w:rsidRPr="00314E0B">
        <w:lastRenderedPageBreak/>
        <w:t>toiminnan kannalta; ottaa huomioon, että parlamentti tukee tilintarkastustuomioistuinta tältä osin voimakkaasti ja pitäisi myönteisinä kaikkia aloitteita, joilla tilintarkastustuomioistuimelle annettaisiin laajempi toimeksianto;</w:t>
      </w:r>
    </w:p>
    <w:p w14:paraId="0191B670" w14:textId="77777777" w:rsidR="00D2061B" w:rsidRPr="00314E0B" w:rsidRDefault="00D2061B" w:rsidP="009F45C2">
      <w:pPr>
        <w:pStyle w:val="NormalHanging12a"/>
        <w:widowControl/>
        <w:rPr>
          <w:szCs w:val="24"/>
        </w:rPr>
      </w:pPr>
      <w:r w:rsidRPr="00314E0B">
        <w:t>1.</w:t>
      </w:r>
      <w:r w:rsidRPr="00314E0B">
        <w:tab/>
        <w:t>panee merkille, että tilintarkastustuomioistuimen talousarvio kuuluu monivuotisen rahoituskehyksen otsakkeeseen 7 ”EU:n yleinen hallinto”, jonka määrä vuonna 2022 oli 11,6 miljardia euroa (eli 5,9 prosenttia unionin talousarviosta); panee merkille, että vuonna 2022 tilintarkastustuomioistuimen noin 0,2 miljardin euron talousarvio oli 1,4 prosenttia kaikista hallintomenoista;</w:t>
      </w:r>
    </w:p>
    <w:p w14:paraId="4E109644" w14:textId="77777777" w:rsidR="00D2061B" w:rsidRPr="00314E0B" w:rsidRDefault="00D2061B" w:rsidP="009F45C2">
      <w:pPr>
        <w:pStyle w:val="NormalHanging12a"/>
        <w:widowControl/>
        <w:rPr>
          <w:szCs w:val="24"/>
        </w:rPr>
      </w:pPr>
      <w:r w:rsidRPr="00314E0B">
        <w:t>2.</w:t>
      </w:r>
      <w:r w:rsidRPr="00314E0B">
        <w:tab/>
        <w:t>toteaa, että varainhoitovuotta 2022 koskevassa vuosikertomuksessaan tilintarkastustuomioistuin tarkasti hallinnon alaan kuuluvan 60 tapahtuman otoksen eli saman verran kuin tarkastettiin vuonna 2021; toteaa tilintarkastustuomioistuimen myös kirjoittavan, että hallintomenoja ovat muun muassa henkilöstömenot ja eläkemenot, joiden osuus hallintomenojen kokonaismäärästä oli vuonna 2022 noin 70 prosenttia, ja lisäksi kiinteistöihin, laitteisiin, energiaan, viestintään ja tietotekniikkaan liittyvät menot ja että sen tarkastukset ovat jo useamman vuoden ajan osoittaneet, että hallintomenoissa riski on yleisesti ottaen alhainen;</w:t>
      </w:r>
    </w:p>
    <w:p w14:paraId="3A93C1C0" w14:textId="5E6FC062" w:rsidR="00DC3CC5" w:rsidRPr="00314E0B" w:rsidRDefault="00D2061B" w:rsidP="009F45C2">
      <w:pPr>
        <w:pStyle w:val="NormalHanging12a"/>
        <w:widowControl/>
      </w:pPr>
      <w:r w:rsidRPr="00314E0B">
        <w:t>3.</w:t>
      </w:r>
      <w:r w:rsidRPr="00314E0B">
        <w:tab/>
        <w:t xml:space="preserve">kehottaa tilintarkastustuomioistuinta lisäämään hallintomenoihin kuuluvien tarkastettavien tapahtumien määrää kaikkien tarkastettavien toimielinten osalta, jotta parlamentti voi hoitaa paremmin tehtävänsä muiden toimielinten vastuuvapauden myöntävänä viranomaisena; pitää </w:t>
      </w:r>
      <w:r w:rsidR="00DC3CC5" w:rsidRPr="00314E0B">
        <w:t>valitettavana, että suunnitelmaa laatia erityiskertomus muiden toimielinten kuin komission hallintomenoista on tarkistettu siten, että voidaan tehdä EU:n virkamieskuntaa koskeva tarkastus, jossa todennäköisesti tarkastellaan vain pientä osaa hallintomenoista; toistaa pitävänsä tärkeänä, että hallintomenoja tutkitaan perusteellisemmin, ja toistaa kehotuksensa sisällyttää tarkastustyöhön kattavat tiedot kaikista toimielimistä, jotta voidaan luoda johdonmukainen perusta yhdenmukaiselle vastuuvapausmenettelylle</w:t>
      </w:r>
      <w:r w:rsidRPr="00314E0B">
        <w:t>;</w:t>
      </w:r>
    </w:p>
    <w:p w14:paraId="53B72300" w14:textId="742B4219" w:rsidR="00D2061B" w:rsidRPr="00314E0B" w:rsidRDefault="00D2061B" w:rsidP="009F45C2">
      <w:pPr>
        <w:pStyle w:val="NormalHanging12a"/>
        <w:widowControl/>
        <w:rPr>
          <w:szCs w:val="24"/>
        </w:rPr>
      </w:pPr>
      <w:r w:rsidRPr="00314E0B">
        <w:t>4.</w:t>
      </w:r>
      <w:r w:rsidRPr="00314E0B">
        <w:tab/>
        <w:t>panee merkille, että tilintarkastustuomioistuimen tilinpäätöksen tarkastaa riippumaton ulkoinen tarkastaja, jotta voidaan varmistaa se, että samoja avoimuuden, vastuuvelvollisuuden ja riippumattomuuden periaatteita sovelletaan tilintarkastustuomioistuimeen kuin mitä se itse soveltaa tarkastuskohteisiinsa; panee tyytyväisenä merkille, että ulkoisen tarkastajan suorittamassa tilintarkastustuomioistuimen tarkastuksessa ei sen ilmoituksen mukaan ollut tullut esiin erityisiä ongelmia;</w:t>
      </w:r>
    </w:p>
    <w:p w14:paraId="33C6903E" w14:textId="77777777" w:rsidR="00D2061B" w:rsidRPr="00314E0B" w:rsidRDefault="00D2061B" w:rsidP="009F45C2">
      <w:pPr>
        <w:pStyle w:val="NormalHanging12a"/>
        <w:keepNext/>
        <w:widowControl/>
        <w:rPr>
          <w:b/>
          <w:szCs w:val="24"/>
        </w:rPr>
      </w:pPr>
      <w:r w:rsidRPr="00314E0B">
        <w:rPr>
          <w:b/>
        </w:rPr>
        <w:t>Talousarvio- ja varainhallinto</w:t>
      </w:r>
    </w:p>
    <w:p w14:paraId="63985ACF" w14:textId="77777777" w:rsidR="00D2061B" w:rsidRPr="00314E0B" w:rsidRDefault="00D2061B" w:rsidP="009F45C2">
      <w:pPr>
        <w:pStyle w:val="NormalHanging12a"/>
        <w:widowControl/>
        <w:rPr>
          <w:szCs w:val="24"/>
        </w:rPr>
      </w:pPr>
      <w:r w:rsidRPr="00314E0B">
        <w:t>5.</w:t>
      </w:r>
      <w:r w:rsidRPr="00314E0B">
        <w:tab/>
        <w:t>panee merkille, että tilintarkastustuomioistuimen kokonaistalousarvio vuodelle 2022 oli 162 141 175 euroa, mikä vastaa 5,5 prosentin lisäystä 153 721 727 eurosta vuonna 2021; panee merkille, että lisäys johtui pääasiassa palkkojen mukautuksista ja 20 uudesta väliaikaisesta toimesta, jotka liittyivät Next Generation EU -välineeseen; panee merkille, että vuonna 2022 määrärahoista 90 prosenttia käytettiin tilintarkastustuomioistuimen jäseniin ja henkilöstöön liittyviin kuluihin ja 10 prosenttia kiinteistöihin, laitteisiin ja sekalaisiin menoihin;</w:t>
      </w:r>
    </w:p>
    <w:p w14:paraId="66E0B18E" w14:textId="77777777" w:rsidR="00D2061B" w:rsidRPr="00314E0B" w:rsidRDefault="00D2061B" w:rsidP="009F45C2">
      <w:pPr>
        <w:pStyle w:val="NormalHanging12a"/>
        <w:widowControl/>
        <w:rPr>
          <w:szCs w:val="24"/>
        </w:rPr>
      </w:pPr>
      <w:r w:rsidRPr="00314E0B">
        <w:t>6.</w:t>
      </w:r>
      <w:r w:rsidRPr="00314E0B">
        <w:tab/>
        <w:t xml:space="preserve">toistaa lisäksi, että on tärkeää varmistaa, että tilintarkastustuomioistuimelle mahdollistetaan henkilöstön riittävyys, jotta se voi asianmukaisesti täyttää </w:t>
      </w:r>
      <w:r w:rsidRPr="00314E0B">
        <w:lastRenderedPageBreak/>
        <w:t>toimeksiantonsa sekä suorittaa uudet tehtävät, jotka liittyvät uusien rahoitusvälineiden, kuten elpymis- ja palautumistukivälineen, käyttöönottoon;</w:t>
      </w:r>
    </w:p>
    <w:p w14:paraId="5508862D" w14:textId="77777777" w:rsidR="00D2061B" w:rsidRPr="00314E0B" w:rsidRDefault="00D2061B" w:rsidP="009F45C2">
      <w:pPr>
        <w:pStyle w:val="NormalHanging12a"/>
        <w:widowControl/>
        <w:rPr>
          <w:szCs w:val="24"/>
        </w:rPr>
      </w:pPr>
      <w:r w:rsidRPr="00314E0B">
        <w:t>7.</w:t>
      </w:r>
      <w:r w:rsidRPr="00314E0B">
        <w:tab/>
        <w:t>panee merkille, että tilintarkastustuomioistuin teki vuoden 2022 aikana 26 varainhoitoasetuksen 29 artiklan mukaista määrärahasiirtoa, joiden kokonaismäärä oli 3,4 miljoonaa euroa eli 2,1 prosenttia kyseisen varainhoitovuoden määrärahoista, mikä tarkoitti pääasiassa virkamatkoihin, julkaisuihin, tulkkaamiseen ja oikeudelliseen yksikköön liittyvien määrärahojen vähenemistä ja tilojen kunnostusmenojen, mukaan lukien katon kunnostaminen, sekä energiakustannuksiin, sopimussuhteisiin toimihenkilöihin ja tietotekniikkalaitteisiin liittyvien määrärahojen kasvua; panee myös merkille, että talousarvion toteutusaste vuonna 2022 oli 98,50 prosenttia, mikä on hieman enemmän kuin kahtena edellisenä vuonna; panee tyytyväisenä merkille, että keskimääräinen maksuaika vuonna 2022 lyheni 9,8 päivään, kun se vuonna 2021 oli 10,7 päivää, mikä johtuu luultavasti sähköisen laskutuksen lisääntymisestä, sillä sen osuus oli 24 prosenttia vuonna 2022 ja 19 prosenttia vuonna 2021;</w:t>
      </w:r>
    </w:p>
    <w:p w14:paraId="43105446" w14:textId="77777777" w:rsidR="00D2061B" w:rsidRPr="00314E0B" w:rsidRDefault="00D2061B" w:rsidP="009F45C2">
      <w:pPr>
        <w:pStyle w:val="NormalHanging12a"/>
        <w:widowControl/>
        <w:rPr>
          <w:szCs w:val="24"/>
        </w:rPr>
      </w:pPr>
      <w:r w:rsidRPr="00314E0B">
        <w:t>8.</w:t>
      </w:r>
      <w:r w:rsidRPr="00314E0B">
        <w:tab/>
        <w:t>panee tyytyväisenä merkille ulkoisen tarkastajan ilmoittaneen, että myönnetyt varat oli käytetty aiottuihin tarkoituksiin ja että tulojen ja menojen hyväksyjien käyttöön ottamat valvontamenettelyt antoivat tarvittavat takeet sen varmistamiseksi, että rahoitustapahtumat olivat sovellettavien sääntöjen ja määräysten mukaisia;</w:t>
      </w:r>
    </w:p>
    <w:p w14:paraId="647DD8CB" w14:textId="77777777" w:rsidR="00D2061B" w:rsidRPr="00314E0B" w:rsidRDefault="00D2061B" w:rsidP="009F45C2">
      <w:pPr>
        <w:pStyle w:val="NormalHanging12a"/>
        <w:widowControl/>
        <w:rPr>
          <w:szCs w:val="24"/>
        </w:rPr>
      </w:pPr>
      <w:r w:rsidRPr="00314E0B">
        <w:t>9.</w:t>
      </w:r>
      <w:r w:rsidRPr="00314E0B">
        <w:tab/>
        <w:t>panee merkille, että Venäjän laiton ja perusteeton hyökkäyssota Ukrainaa vastaan aiheutti tilintarkastustuomioistuimelle talousarviopaineita eri tavoin, muun muassa inflaation kiihtymisen ja palkkojen mukautusten sekä sähkö- ja lämmityskustannusten voimakkaan kasvun myötä;</w:t>
      </w:r>
    </w:p>
    <w:p w14:paraId="4AF2DC01" w14:textId="77777777" w:rsidR="00D2061B" w:rsidRPr="00314E0B" w:rsidRDefault="00D2061B" w:rsidP="009F45C2">
      <w:pPr>
        <w:pStyle w:val="NormalHanging12a"/>
        <w:widowControl/>
        <w:rPr>
          <w:szCs w:val="24"/>
        </w:rPr>
      </w:pPr>
      <w:r w:rsidRPr="00314E0B">
        <w:t>10.</w:t>
      </w:r>
      <w:r w:rsidRPr="00314E0B">
        <w:tab/>
        <w:t>panee merkille, että tilintarkastustuomioistuimen yleinen virkamatkatalousarvio oli 2 988 000 euroa vuonna 2021 ja 2 452 000 euroa vuonna 2022, mikä vastaa 18 prosentin vähennystä, jonka syynä olivat matkustusrajoitusten jatkuminen vuoden 2022 alussa sekä työskentelytapojen muutokset, kun suurempi määrä kokouksia järjestettiin etäkokouksina; panee lisäksi merkille, että tilintarkastustuomioistuimella ei ole erityistä budjettikohtaa sen presidentin virka- ja muita matkoja varten; panee lisäksi merkille, että kaikkien tilintarkastustuomioistuimen jäsenten virkamatkoja koskevan budjettikohdan määrärahat olivat 290 000 euroa sekä vuonna 2021 että vuonna 2022;</w:t>
      </w:r>
    </w:p>
    <w:p w14:paraId="61EF00A8" w14:textId="77777777" w:rsidR="00D2061B" w:rsidRPr="00314E0B" w:rsidRDefault="00D2061B" w:rsidP="009F45C2">
      <w:pPr>
        <w:pStyle w:val="NormalHanging12a"/>
        <w:widowControl/>
        <w:rPr>
          <w:szCs w:val="24"/>
        </w:rPr>
      </w:pPr>
      <w:r w:rsidRPr="00314E0B">
        <w:t>11.</w:t>
      </w:r>
      <w:r w:rsidRPr="00314E0B">
        <w:tab/>
        <w:t>panee tyytyväisenä merkille, että tilintarkastustuomioistuimella on vuodesta 2022 ollut käytössä yksityiskohtainen tarkastusmenetelmä virkamatkakulujen käsittelyä varten sekä ennakko- että jälkitarkastuksissa;</w:t>
      </w:r>
    </w:p>
    <w:p w14:paraId="28F91542" w14:textId="77777777" w:rsidR="00D2061B" w:rsidRPr="00314E0B" w:rsidRDefault="00D2061B" w:rsidP="009F45C2">
      <w:pPr>
        <w:pStyle w:val="NormalHanging12a"/>
        <w:keepNext/>
        <w:widowControl/>
        <w:rPr>
          <w:b/>
          <w:szCs w:val="24"/>
        </w:rPr>
      </w:pPr>
      <w:r w:rsidRPr="00314E0B">
        <w:rPr>
          <w:b/>
        </w:rPr>
        <w:t>Sisäinen hallinto, toiminnan tuloksellisuus ja sisäinen valvonta</w:t>
      </w:r>
    </w:p>
    <w:p w14:paraId="76B151DA" w14:textId="77777777" w:rsidR="00D2061B" w:rsidRPr="00314E0B" w:rsidRDefault="00D2061B" w:rsidP="009F45C2">
      <w:pPr>
        <w:pStyle w:val="NormalHanging12a"/>
        <w:widowControl/>
        <w:rPr>
          <w:szCs w:val="24"/>
        </w:rPr>
      </w:pPr>
      <w:r w:rsidRPr="00314E0B">
        <w:t>12.</w:t>
      </w:r>
      <w:r w:rsidRPr="00314E0B">
        <w:tab/>
        <w:t>panee merkille, että vuosi 2022 oli tilintarkastustuomioistuimen vuosien 2021–2025 strategian toinen täytäntöönpanovuosi ja että vuoden 2022 lopussa 29 strategisesta toimenpiteestä 18 oli pantu kokonaisuudessaan täytäntöön tai niiden toimenpidekehys oli vahvistettu ja niihin liittyvät jatkotoimet olivat käynnissä, ja lisäksi 11 toimenpidettä oli käynnissä tai ne olivat toistuvia;</w:t>
      </w:r>
    </w:p>
    <w:p w14:paraId="0B9DFFF9" w14:textId="77777777" w:rsidR="00D2061B" w:rsidRPr="00314E0B" w:rsidRDefault="00D2061B" w:rsidP="009F45C2">
      <w:pPr>
        <w:pStyle w:val="NormalHanging12a"/>
        <w:widowControl/>
        <w:rPr>
          <w:szCs w:val="24"/>
        </w:rPr>
      </w:pPr>
      <w:r w:rsidRPr="00314E0B">
        <w:t>13.</w:t>
      </w:r>
      <w:r w:rsidRPr="00314E0B">
        <w:tab/>
        <w:t>panee merkille, että vuonna 2022 tilintarkastustuomioistuin esitteli seitsemän vuosikertomusta, kahdeksan lausuntoa, 28 erityiskertomusta ja yhden katsauksen, mikä vastaa pitkälti vuosina 2020 ja 2021 esiteltyjen kertomusten, lausuntojen, erityiskertomusten ja katsausten määrää;</w:t>
      </w:r>
    </w:p>
    <w:p w14:paraId="4771BCF6" w14:textId="77777777" w:rsidR="00D2061B" w:rsidRPr="00314E0B" w:rsidRDefault="00D2061B" w:rsidP="009F45C2">
      <w:pPr>
        <w:pStyle w:val="NormalHanging12a"/>
        <w:widowControl/>
        <w:rPr>
          <w:szCs w:val="24"/>
        </w:rPr>
      </w:pPr>
      <w:r w:rsidRPr="00314E0B">
        <w:lastRenderedPageBreak/>
        <w:t>14.</w:t>
      </w:r>
      <w:r w:rsidRPr="00314E0B">
        <w:tab/>
        <w:t>panee merkille, että tilintarkastustuomioistuin laatii työohjelmansa täysin riippumattomasti, myös sen osalta, mitkä erityiskertomukset sen olisi laadittava; toistaa tilintarkastustuomioistuimelle neuvonsa siitä, että erityiskertomukset, joissa keskitytään unionin nykytilanteeseen ja haasteisiin kohdistaen huomion selkeästi talousarvioon ja sen kannalta merkityksellisiin seikkoihin, saavat eniten huomiota keskeisten sidosryhmien keskuudessa niin parlamentissa kuin muualla; pitää tässä yhteydessä myönteisenä, että sen ohjelmasuunnitteluprosessia tarkistettiin vuonna 2022 ja joustavuutta kiireellisiin haasteisiin vastaamisessa lisättiin, jotta voidaan palvella paremmin parlamentin sidosryhmien etuja;</w:t>
      </w:r>
    </w:p>
    <w:p w14:paraId="716B0A79" w14:textId="77777777" w:rsidR="00D2061B" w:rsidRPr="00314E0B" w:rsidRDefault="00D2061B" w:rsidP="009F45C2">
      <w:pPr>
        <w:pStyle w:val="NormalHanging12a"/>
        <w:widowControl/>
        <w:rPr>
          <w:szCs w:val="24"/>
        </w:rPr>
      </w:pPr>
      <w:r w:rsidRPr="00314E0B">
        <w:t>15.</w:t>
      </w:r>
      <w:r w:rsidRPr="00314E0B">
        <w:tab/>
        <w:t>on tyytyväinen siihen, että tilintarkastustuomioistuin on parlamentin pyynnön mukaisesti keskittänyt tarkastustyönsä EU:n tämänhetkisiin haasteisiin, joista esimerkkinä mainittakoon Ukrainan tukivälinettä koskevan lausunnon 3/2023 erittäin nopea laatiminen ja huomion kiinnittäminen sen täytäntöönpanon seurantaan; on huolissaan siitä, että tilintarkastustuomioistuimella ei edelleenkään ole elpymis- ja palautumistukivälinettä koskevaa tarkastustyötä varten täyttä pääsyä uuteen FENIX-raportointivälineeseen ja että kyseisen uuden välineen tietoja ei päivitetä oikea-aikaisesti; tukee tilintarkastustuomioistuimen näkemystä, jonka mukaan varainhoitoasetuksen 257 artiklan perusteella tilintarkastustuomioistuimella olisi oltava täydet ja välittömät pääsyoikeudet; kehottaa lisäksi komissiota antamaan tilintarkastustuomioistuimelle pääsyn muuntyyppisiin merkityksellisiin tietoihin, jotta se voi täyttää tehtävänsä;</w:t>
      </w:r>
    </w:p>
    <w:p w14:paraId="327DAD62" w14:textId="77777777" w:rsidR="00D2061B" w:rsidRPr="00314E0B" w:rsidRDefault="00D2061B" w:rsidP="009F45C2">
      <w:pPr>
        <w:pStyle w:val="NormalHanging12a"/>
        <w:widowControl/>
        <w:rPr>
          <w:szCs w:val="24"/>
        </w:rPr>
      </w:pPr>
      <w:r w:rsidRPr="00314E0B">
        <w:t>16.</w:t>
      </w:r>
      <w:r w:rsidRPr="00314E0B">
        <w:tab/>
        <w:t>panee tyytyväisenä merkille elpymis- ja palautumistukivälineen täytäntöönpanoa koskevat oikea-aikaiset ja asiaankuuluvat erityiskertomukset, joiden avulla vastuuvapauden myöntävä viranomainen voi käyttää oikeuksiaan ja antaa komissiolle suosituksia välineen toiminnan parantamiseksi;</w:t>
      </w:r>
    </w:p>
    <w:p w14:paraId="1A7151F5" w14:textId="77777777" w:rsidR="00D2061B" w:rsidRPr="00314E0B" w:rsidRDefault="00D2061B" w:rsidP="009F45C2">
      <w:pPr>
        <w:pStyle w:val="NormalHanging12a"/>
        <w:widowControl/>
        <w:rPr>
          <w:szCs w:val="24"/>
        </w:rPr>
      </w:pPr>
      <w:r w:rsidRPr="00314E0B">
        <w:t>17.</w:t>
      </w:r>
      <w:r w:rsidRPr="00314E0B">
        <w:tab/>
        <w:t>panee tyytyväisenä merkille, että tilintarkastustuomioistuin on toimittanut yhteenvedon tilintarkastustuomioistuimessa tehtyjen sisäisten tarkastusten määrästä ja tyypeistä sekä yhteenvedon suosituksista ja niiden johdosta toteutetuista jatkotoimista varainhoitoasetuksen 118 artiklan 8 kohdan mukaisesti; panee merkille, että sisäisen tarkastajan vuotuiseen työohjelmaan sisältyi toistuvia tehtäviä, valikoituja tehtäviä ja muita tehtäviä, jotka saatiin päätökseen vuoden aikana; panee merkille, että joitakin vuodelle 2022 suunniteltuja toimia on lykätty vuodelle 2023, ja pyytää tilintarkastustuomioistuinta raportoimaan parlamentille niiden täytäntöönpanosta;</w:t>
      </w:r>
    </w:p>
    <w:p w14:paraId="0861F72E" w14:textId="77777777" w:rsidR="00D2061B" w:rsidRPr="00314E0B" w:rsidRDefault="00D2061B" w:rsidP="009F45C2">
      <w:pPr>
        <w:pStyle w:val="NormalHanging12a"/>
        <w:widowControl/>
        <w:rPr>
          <w:szCs w:val="24"/>
        </w:rPr>
      </w:pPr>
      <w:r w:rsidRPr="00314E0B">
        <w:t>18.</w:t>
      </w:r>
      <w:r w:rsidRPr="00314E0B">
        <w:tab/>
        <w:t>kannustaa tilintarkastustuomioistuinta lisäämään panostustaan unionin talousarvioon kohdistuvien petosten torjuntaan määrittämällä puutteita, jotka tekevät unionin rahoittamista ohjelmista alttiita petoksille, ja raportoimalla niistä sekä lisäksi ottamalla huomioon petostentorjuntajärjestelmän eri toimijoiden välillä parhaillaan käytävän keskustelun ja tehostamalla tarkastustyötä yhteistyössä petosten havaitsemisesta vastaavien elinten kanssa, arvioimalla säännöllisesti niiden toimintaa ja antamalla vastuuvapauden myöntävälle viranomaiselle olennaista palautetta sen analyysia varten;</w:t>
      </w:r>
    </w:p>
    <w:p w14:paraId="315444A7" w14:textId="77777777" w:rsidR="00D2061B" w:rsidRPr="00314E0B" w:rsidRDefault="00D2061B" w:rsidP="009F45C2">
      <w:pPr>
        <w:pStyle w:val="NormalHanging12a"/>
        <w:widowControl/>
        <w:rPr>
          <w:szCs w:val="24"/>
        </w:rPr>
      </w:pPr>
      <w:r w:rsidRPr="00314E0B">
        <w:t>19.</w:t>
      </w:r>
      <w:r w:rsidRPr="00314E0B">
        <w:tab/>
        <w:t xml:space="preserve">suhtautuu myönteisesti siihen, että tilintarkastustuomioistuimen strategiassa vuosille 2021–2025 mainitaan kustannustehokkaiden suositusten laatiminen unionin toimielinten byrokratian vähentämiseksi; huomauttaa, että erityisesti tilintarkastustuomioistuimen suositukset menettelyjen tehokkuuden lisäämisestä, parhaiden käytäntöjen käytöstä, koordinoinnin parantamisesta, vakioprosessien </w:t>
      </w:r>
      <w:r w:rsidRPr="00314E0B">
        <w:lastRenderedPageBreak/>
        <w:t>luomisesta, ylisääntelyn estämisestä sekä yksinkertaistamisesta ja digitalisoinnista palvelevat tätä tavoitetta;</w:t>
      </w:r>
    </w:p>
    <w:p w14:paraId="08DA8334" w14:textId="77777777" w:rsidR="00D2061B" w:rsidRPr="00314E0B" w:rsidRDefault="00D2061B" w:rsidP="009F45C2">
      <w:pPr>
        <w:pStyle w:val="NormalHanging12a"/>
        <w:widowControl/>
        <w:rPr>
          <w:szCs w:val="24"/>
        </w:rPr>
      </w:pPr>
      <w:r w:rsidRPr="00314E0B">
        <w:t>20.</w:t>
      </w:r>
      <w:r w:rsidRPr="00314E0B">
        <w:tab/>
        <w:t>kannustaa tilintarkastustuomioistuinta jatkamaan unionin laajuisten tietokantojen kehittämistä ja ylläpitämistä sekä pyrkimyksiä kehittää tehokkaita tiedonlouhintavalmiuksia, jotta voidaan suorittaa unionin tason data-analyyseja ja tunnistaa unionin kannalta merkityksellisiä riskejä; kehottaa tilintarkastustuomioistuinta tekemään työtä tarvittavien vaatimusten määrittämiseksi, jotta voidaan helposti ja yhteentoimivasti kerätä, käsitellä ja tallentaa tietoja, joita tarvitaan jäsenvaltioiden julkisten varojen käytön tarkastamiseksi;</w:t>
      </w:r>
    </w:p>
    <w:p w14:paraId="41E80EC6" w14:textId="77777777" w:rsidR="00D2061B" w:rsidRPr="00314E0B" w:rsidRDefault="00D2061B" w:rsidP="009F45C2">
      <w:pPr>
        <w:pStyle w:val="NormalHanging12a"/>
        <w:keepNext/>
        <w:widowControl/>
        <w:rPr>
          <w:b/>
          <w:szCs w:val="24"/>
        </w:rPr>
      </w:pPr>
      <w:r w:rsidRPr="00314E0B">
        <w:rPr>
          <w:b/>
        </w:rPr>
        <w:t>Henkilöresurssit, tasa-arvo ja henkilöstön hyvinvointi</w:t>
      </w:r>
    </w:p>
    <w:p w14:paraId="7E8B9433" w14:textId="77777777" w:rsidR="00D2061B" w:rsidRPr="00314E0B" w:rsidRDefault="00D2061B" w:rsidP="009F45C2">
      <w:pPr>
        <w:pStyle w:val="NormalHanging12a"/>
        <w:widowControl/>
        <w:rPr>
          <w:szCs w:val="24"/>
        </w:rPr>
      </w:pPr>
      <w:r w:rsidRPr="00314E0B">
        <w:t>21.</w:t>
      </w:r>
      <w:r w:rsidRPr="00314E0B">
        <w:tab/>
        <w:t>panee merkille, että vuoden 2022 lopussa tilintarkastustuomioistuimen henkilöstöön kuului 921 jäsentä, mikä oli hieman enemmän kuin vuoden 2021 lopussa (917) ja vuoden 2020 lopussa (910); panee merkille, että vuoden 2022 lopussa sukupuolijakauma oli 434 miestä eli 47,1 prosenttia ja 487 naista eli 52,9 prosenttia; kehottaa tilintarkastustuomioistuinta jatkamaan toimiaan sukupuolten tasapuolisen edustuksen edistämiseksi keskijohdossa ja ylemmässä johdossa; panee lisäksi merkille, että henkilöstöryhmien välinen kokonaisjakauma oli 830 virkamiestä (90 prosenttia), joihin kuului 620 hallintovirkamiestä (AD) ja 210 hallintoavustajaa ja sihteeriä (AST/SC) ja 91 sopimussuhteista toimihenkilöä (10 prosenttia);</w:t>
      </w:r>
    </w:p>
    <w:p w14:paraId="4BC1534D" w14:textId="77777777" w:rsidR="00D2061B" w:rsidRPr="00314E0B" w:rsidRDefault="00D2061B" w:rsidP="009F45C2">
      <w:pPr>
        <w:pStyle w:val="NormalHanging12a"/>
        <w:widowControl/>
        <w:rPr>
          <w:szCs w:val="24"/>
        </w:rPr>
      </w:pPr>
      <w:r w:rsidRPr="00314E0B">
        <w:t>22.</w:t>
      </w:r>
      <w:r w:rsidRPr="00314E0B">
        <w:tab/>
        <w:t>panee merkille, että AD-palkkaluokkiin 13–16 kuuluvien henkilöiden määrä oli 79, joista 49 oli miehiä ja 30 naisia eli miehiä 62 prosenttia ja naisia 38 prosenttia, mikä merkitsee pientä lisäystä naisten osuudessa näissä luokissa, kun se vuonna 2021 oli 37,5 prosenttia ja vuonna 2020 34,5 prosenttia;</w:t>
      </w:r>
    </w:p>
    <w:p w14:paraId="52A584AB" w14:textId="77777777" w:rsidR="00D2061B" w:rsidRPr="00314E0B" w:rsidRDefault="00D2061B" w:rsidP="009F45C2">
      <w:pPr>
        <w:pStyle w:val="NormalHanging12a"/>
        <w:widowControl/>
        <w:rPr>
          <w:szCs w:val="24"/>
        </w:rPr>
      </w:pPr>
      <w:r w:rsidRPr="00314E0B">
        <w:t>23.</w:t>
      </w:r>
      <w:r w:rsidRPr="00314E0B">
        <w:tab/>
        <w:t>pitää erittäin valitettavana sukupuolten edustuksen epätasapuolisuutta tilintarkastustuomioistuimen kollegiossa, sillä sen nykyisessä kokoonpanossa vain 10 jäsentä 25:stä on naisia, kun otetaan huomioon, että Portugalin ja Bulgarian jäseniä ei ole vielä nimitetty; toteaa, että jäsenten nimitysmenettely on haastava tasapuolisen sukupuolijakauman aikaansaamiseksi, koska kansallinen nimitysprosessi on kokonaan jäsenvaltioiden vastuulla; kehottaa tilintarkastustuomioistuinta kuitenkin analysoimaan kokoonpanoaan, jotta se voi tiedottaa asiasta neuvostolle ja asianomaisille jäsenvaltioille, jotta sukupuolten tasapuolinen edustus otettaisiin huomioon nimityspäätöksessä;</w:t>
      </w:r>
    </w:p>
    <w:p w14:paraId="32DF69D7" w14:textId="77777777" w:rsidR="00D2061B" w:rsidRPr="00314E0B" w:rsidRDefault="00D2061B" w:rsidP="009F45C2">
      <w:pPr>
        <w:pStyle w:val="NormalHanging12a"/>
        <w:widowControl/>
        <w:rPr>
          <w:szCs w:val="24"/>
        </w:rPr>
      </w:pPr>
      <w:r w:rsidRPr="00314E0B">
        <w:t>24.</w:t>
      </w:r>
      <w:r w:rsidRPr="00314E0B">
        <w:tab/>
        <w:t>pitää valitettavana, että vuosien varrella neuvosto on toistuvasti nimittänyt tilintarkastustuomioistuimeen jäseniä, jotka parlamentti on hylännyt; korostaa, että parlamentin lausunnon olisi oltava sitova, kun arvioidaan ehdokkaiden soveltuvuutta tilintarkastustuomioistuimen jäseniksi;</w:t>
      </w:r>
    </w:p>
    <w:p w14:paraId="3FEC2F27" w14:textId="77777777" w:rsidR="00D2061B" w:rsidRPr="00314E0B" w:rsidRDefault="00D2061B" w:rsidP="009F45C2">
      <w:pPr>
        <w:pStyle w:val="NormalHanging12a"/>
        <w:widowControl/>
        <w:rPr>
          <w:szCs w:val="24"/>
        </w:rPr>
      </w:pPr>
      <w:r w:rsidRPr="00314E0B">
        <w:t>25.</w:t>
      </w:r>
      <w:r w:rsidRPr="00314E0B">
        <w:tab/>
        <w:t>panee tyytyväisenä merkille, että kaikki unionin kansalaisuudet ovat edustettuina tilintarkastustuomioistuimen henkilöstössä sekä AD- että AST/SC-luokissa; pitää kuitenkin valitettavana sitä, että jotkin kansalaisuudet ovat aliedustettuina, ja pitää myönteisenä, että tilintarkastustuomioistuin on mainostanut avoimia paikkoja suoraan joissakin jäsenvaltioissa (Tanska, Viro ja Latvia); pitää myönteisenä uusien ilmoitustapojen tehokasta käyttöä valintamenettelyissä, jotta voidaan kiinnittää erilaisten yleisöjen huomio eri jäsenvaltioissa;</w:t>
      </w:r>
    </w:p>
    <w:p w14:paraId="62D9C109" w14:textId="77777777" w:rsidR="00D2061B" w:rsidRPr="00314E0B" w:rsidRDefault="00D2061B" w:rsidP="009F45C2">
      <w:pPr>
        <w:pStyle w:val="NormalHanging12a"/>
        <w:widowControl/>
        <w:rPr>
          <w:szCs w:val="24"/>
        </w:rPr>
      </w:pPr>
      <w:r w:rsidRPr="00314E0B">
        <w:lastRenderedPageBreak/>
        <w:t>26.</w:t>
      </w:r>
      <w:r w:rsidRPr="00314E0B">
        <w:tab/>
        <w:t>panee merkille, että tilintarkastustuomioistuin hyväksyi hybridityötä koskevan päätöksen, joka tuli voimaan 1. tammikuuta 2022; panee merkille, että tilintarkastustuomioistuimella on käytössään etätyöjärjestely, joka tarjoaa mahdollisuuden työskennellä kotoa käsin enintään 10 päivää kuukaudessa ja enintään 10 päivää peräkkäin; panee lisäksi merkille, että järjestely antaa henkilöstölle mahdollisuuden työskennellä enintään viisi päivää kuukaudessa ja 30 työpäivää vuodessa pääasiallisen asuinpaikkansa ulkopuolella; panee lisäksi merkille henkilöstön keskuudessa lokakuussa 2022 tehdyn kyselyn osoittaneen, että 95 prosenttia kannatti etätyöjärjestelyjä ja että 88 prosenttia katsoi sen vaikuttavan myönteisesti heidän työ- ja yksityiselämänsä tasapainoon;</w:t>
      </w:r>
    </w:p>
    <w:p w14:paraId="56CF5640" w14:textId="77777777" w:rsidR="00D2061B" w:rsidRPr="00314E0B" w:rsidRDefault="00D2061B" w:rsidP="009F45C2">
      <w:pPr>
        <w:pStyle w:val="NormalHanging12a"/>
        <w:widowControl/>
        <w:rPr>
          <w:szCs w:val="24"/>
        </w:rPr>
      </w:pPr>
      <w:r w:rsidRPr="00314E0B">
        <w:t>27.</w:t>
      </w:r>
      <w:r w:rsidRPr="00314E0B">
        <w:tab/>
        <w:t>suhtautuu myönteisesti tilintarkastustuomioistuimen vuonna 2022 toteuttamiin toimenpiteisiin henkilöstön fyysisen ja henkisen hyvinvoinnin varmistamiseksi;</w:t>
      </w:r>
    </w:p>
    <w:p w14:paraId="6B2CC93D" w14:textId="77777777" w:rsidR="00D2061B" w:rsidRPr="00314E0B" w:rsidRDefault="00D2061B" w:rsidP="009F45C2">
      <w:pPr>
        <w:pStyle w:val="NormalHanging12a"/>
        <w:widowControl/>
        <w:rPr>
          <w:szCs w:val="24"/>
        </w:rPr>
      </w:pPr>
      <w:r w:rsidRPr="00314E0B">
        <w:t>28.</w:t>
      </w:r>
      <w:r w:rsidRPr="00314E0B">
        <w:tab/>
        <w:t>panee merkille haasteet, jotka liittyvät henkilöstön houkuttelemiseen tulemaan töihin Luxemburgiin; kannustaa tilintarkastustuomioistuinta tekemään yhteistyötä muiden Luxemburgissa sijaitsevien toimielinten kanssa toimielinten välisessä korkean tason työryhmässä, joka käsittelee Luxemburgin houkuttelevuuden lisäämistä henkilöstön keskuudessa, sekä muissa mahdollisissa toimissa, mukaan lukien erityisen asumistuen tarjoaminen erityisesti alempiin palkkaluokkiin kuuluvien henkilöiden tukemiseksi korkeiden vuokrakustannusten vuoksi ja mahdollisuus tarjota kohtuuhintaisia tilapäisiä asuntoja lyhytaikaista oleskelua varten;</w:t>
      </w:r>
    </w:p>
    <w:p w14:paraId="303109E5" w14:textId="77777777" w:rsidR="00D2061B" w:rsidRPr="00314E0B" w:rsidRDefault="00D2061B" w:rsidP="009F45C2">
      <w:pPr>
        <w:pStyle w:val="NormalHanging12a"/>
        <w:widowControl/>
        <w:rPr>
          <w:szCs w:val="24"/>
        </w:rPr>
      </w:pPr>
      <w:r w:rsidRPr="00314E0B">
        <w:t>29.</w:t>
      </w:r>
      <w:r w:rsidRPr="00314E0B">
        <w:tab/>
        <w:t>panee huolestuneena merkille, että sairauslomapäivien määrä vuonna 2022 oli 11 622, mikä vastaa 54 prosentin lisäystä vuoteen 2021 verrattuna, jolloin sairauslomapäivien määrä oli 7 524; panee samalla merkille, että vuonna 2018 tilintarkastustuomioistuimessa pidettiin 10 255 sairauslomapäivää ja että varsin alhainen määrä vuonna 2021 saattoi liittyä covid-19-tilanteeseen;</w:t>
      </w:r>
    </w:p>
    <w:p w14:paraId="64555CD9" w14:textId="77777777" w:rsidR="00D2061B" w:rsidRPr="00314E0B" w:rsidRDefault="00D2061B" w:rsidP="009F45C2">
      <w:pPr>
        <w:pStyle w:val="NormalHanging12a"/>
        <w:widowControl/>
        <w:rPr>
          <w:szCs w:val="24"/>
        </w:rPr>
      </w:pPr>
      <w:r w:rsidRPr="00314E0B">
        <w:t>30.</w:t>
      </w:r>
      <w:r w:rsidRPr="00314E0B">
        <w:tab/>
        <w:t>panee huolestuneena merkille, että vuonna 2022 tilintarkastustuomioistuin raportoi seitsemästä työuupumustapauksesta; panee lisäksi merkille, että kaikki seitsemän henkilöstön jäsentä palasivat töihin vähitellen noudattaen lääketieteellisin perustein hyväksyttyä osa-aikaista työhönpaluuohjelmaa; panee tässä yhteydessä tyytyväisenä merkille sen, että tilintarkastustuomioistuin alkoi vuonna 2022 laatia suuntaviivoja työhön palaamisesta pitkäaikaisen sairausloman jälkeen; panee merkille tilintarkastustuomioistuimen todenneen, että resurssien saatavuus otetaan huomioon vuotuista työohjelmaa laadittaessa ja että johtajat ja johtoryhmä arvioivat työtaakkaa varmistaakseen työn tasapuolisen jakautumisen; kannustaa kuitenkin tilintarkastustuomioistuinta kiinnittämään edelleen huomiota tähän ongelmaan ja toteuttamaan kaikki tarvittavat toimenpiteet henkilöstön hyvinvoinnin varmistamiseksi, jotta voidaan vähentää työuupumustapausten määrää;</w:t>
      </w:r>
    </w:p>
    <w:p w14:paraId="39D7D5B0" w14:textId="77777777" w:rsidR="00D2061B" w:rsidRPr="00314E0B" w:rsidRDefault="00D2061B" w:rsidP="009F45C2">
      <w:pPr>
        <w:pStyle w:val="NormalHanging12a"/>
        <w:widowControl/>
        <w:rPr>
          <w:szCs w:val="24"/>
        </w:rPr>
      </w:pPr>
      <w:r w:rsidRPr="00314E0B">
        <w:t>31.</w:t>
      </w:r>
      <w:r w:rsidRPr="00314E0B">
        <w:tab/>
        <w:t>panee tyytyväisenä merkille, että joulukuussa 2022 annettiin laaja-alaisen yhteistyöhön perustuvan lähestymistavan tuloksena päätös ja toimintaperiaatteet kunnioittavan ja häirinnästä vapaan työpaikan varmistamiseksi; panee merkille, että niissä keskitytään selkeästi ennaltaehkäisyyn, tietouden lisäämiseen ja ongelmien varhaiseen havaitsemiseen sekä esitetään joukko toimenpiteitä (luottamuksellinen neuvonta, sovittelu ja viralliset valitukset) häirintätapauksiin puuttumiseksi;</w:t>
      </w:r>
    </w:p>
    <w:p w14:paraId="282D8726" w14:textId="77777777" w:rsidR="00D2061B" w:rsidRPr="00314E0B" w:rsidRDefault="00D2061B" w:rsidP="009F45C2">
      <w:pPr>
        <w:pStyle w:val="NormalHanging12a"/>
        <w:widowControl/>
        <w:rPr>
          <w:szCs w:val="24"/>
        </w:rPr>
      </w:pPr>
      <w:r w:rsidRPr="00314E0B">
        <w:t xml:space="preserve">32. </w:t>
      </w:r>
      <w:r w:rsidRPr="00314E0B">
        <w:tab/>
        <w:t xml:space="preserve">suhtautuu myönteisesti tilintarkastustuomioistuimen monimuotoisuutta ja osallisuutta koskevaan toimintasuunnitelmaan 2021–2025, vuonna 2022 toteutettuihin toimiin </w:t>
      </w:r>
      <w:r w:rsidRPr="00314E0B">
        <w:lastRenderedPageBreak/>
        <w:t>tietoisuuden lisäämiseksi siitä ja vuonna 2022 saavutetuista tuloksista suunnitelmassa esitettyjen kymmenen painopisteen osalta; panee merkille, että tilintarkastustuomioistuin otti vuonna 2022 palvelukseensa vain yhden henkilön, jolla oli vammaisstatus, ja että hänellä oli määräaikainen työsopimus;</w:t>
      </w:r>
    </w:p>
    <w:p w14:paraId="75A677D8" w14:textId="77777777" w:rsidR="00D2061B" w:rsidRPr="00314E0B" w:rsidRDefault="00D2061B" w:rsidP="009F45C2">
      <w:pPr>
        <w:pStyle w:val="NormalHanging12a"/>
        <w:widowControl/>
        <w:rPr>
          <w:szCs w:val="24"/>
        </w:rPr>
      </w:pPr>
      <w:r w:rsidRPr="00314E0B">
        <w:t>33.</w:t>
      </w:r>
      <w:r w:rsidRPr="00314E0B">
        <w:tab/>
        <w:t>panee merkille, että vuonna 2022 tilintarkastustuomioistuin otti palvelukseensa 54 harjoittelijaa; panee tyytyväisenä merkille, että heistä kaikki saivat palkkaa joko tilintarkastustuomioistuimelta tai kansallisilta viranomaisilta;</w:t>
      </w:r>
    </w:p>
    <w:p w14:paraId="0E509EC5" w14:textId="77777777" w:rsidR="00D2061B" w:rsidRPr="00314E0B" w:rsidRDefault="00D2061B" w:rsidP="009F45C2">
      <w:pPr>
        <w:pStyle w:val="NormalHanging12a"/>
        <w:keepNext/>
        <w:widowControl/>
        <w:rPr>
          <w:b/>
          <w:szCs w:val="24"/>
        </w:rPr>
      </w:pPr>
      <w:r w:rsidRPr="00314E0B">
        <w:rPr>
          <w:b/>
        </w:rPr>
        <w:t>Eettiset toimintapuitteet ja avoimuus</w:t>
      </w:r>
    </w:p>
    <w:p w14:paraId="45E7A470" w14:textId="77777777" w:rsidR="00D2061B" w:rsidRPr="00314E0B" w:rsidRDefault="00D2061B" w:rsidP="009F45C2">
      <w:pPr>
        <w:pStyle w:val="NormalHanging12a"/>
        <w:widowControl/>
        <w:rPr>
          <w:szCs w:val="24"/>
        </w:rPr>
      </w:pPr>
      <w:r w:rsidRPr="00314E0B">
        <w:t>34.</w:t>
      </w:r>
      <w:r w:rsidRPr="00314E0B">
        <w:tab/>
        <w:t>korostaa tilintarkastustuomioistuimen roolia ja merkitystä unionin riippumattomana ulkoisena tarkastajana ja sen varainhoidon valvojana, mikä edellyttää, että tilintarkastustuomioistuimen on noudatettava korkeimpia mahdollisia normeja ja toimittava malliorganisaationa luottamuksen ja uskottavuuden lisäämiseksi; panee merkille, että SEUT-sopimuksen 285 artiklan mukaan tilintarkastustuomioistuimen jäsenet hoitavat tehtäväänsä täysin riippumattomina;</w:t>
      </w:r>
    </w:p>
    <w:p w14:paraId="629C315B" w14:textId="77777777" w:rsidR="00D2061B" w:rsidRPr="00314E0B" w:rsidRDefault="00D2061B" w:rsidP="009F45C2">
      <w:pPr>
        <w:pStyle w:val="NormalHanging12a"/>
        <w:widowControl/>
        <w:rPr>
          <w:szCs w:val="24"/>
        </w:rPr>
      </w:pPr>
      <w:r w:rsidRPr="00314E0B">
        <w:t>35.</w:t>
      </w:r>
      <w:r w:rsidRPr="00314E0B">
        <w:tab/>
        <w:t>suhtautuu myönteisesti toukokuussa 2022 annettuihin tilintarkastustuomioistuimen jäsenten ja entisten jäsenten toimintasääntöihin, joita oli tarkistettu parlamentin suosituksesta ja joissa muun muassa asetetaan jäsenille velvoite asua tilintarkastustuomioistuimen sijaintipaikassa, rajoitetaan jäsenten mahdollisuuksia osallistua politiikkaan, säännellään jäsenten ja henkilöstön välisiä sopimussuhteita ja asetetaan jäsenille velvoite toimittaa vuotuinen ilmoitus sidonnaisuuksista; muistuttaa, että tilintarkastustuomioistuimen jäsenten olisi aina sovellettava korkeimpia eettisiä periaatteita ja arvoja osoittaakseen täyden kunniallisuutensa, riippumattomuutensa, objektiivisuutensa, ammatillisen toimintatapansa, arvokkuutensa, sitoutumisensa ja lojaaliutensa;</w:t>
      </w:r>
    </w:p>
    <w:p w14:paraId="1D1E53A4" w14:textId="77777777" w:rsidR="00D2061B" w:rsidRPr="00314E0B" w:rsidRDefault="00D2061B" w:rsidP="009F45C2">
      <w:pPr>
        <w:pStyle w:val="NormalHanging12a"/>
        <w:widowControl/>
        <w:rPr>
          <w:szCs w:val="24"/>
        </w:rPr>
      </w:pPr>
      <w:r w:rsidRPr="00314E0B">
        <w:t>36.</w:t>
      </w:r>
      <w:r w:rsidRPr="00314E0B">
        <w:tab/>
        <w:t>korostaa, että parlamentti on edelleen sitä mieltä, että tilintarkastustuomioistuimen jäsenten virkamatkoja koskevat tiedot olisi julkaistava koko toimikauden keston ajalta ja että jäsenillä ei saisi olla virallisia poliittisia yhteyksiä, mukaan lukien kunniatehtävät poliittisissa puolueissa tai järjestöissä; pyytää jälleen kerran tilintarkastustuomioistuinta muuttamaan sisäistä eettistä komiteaansa koskevia sääntöjään, jotta soveltuvien ehdokkaiden ehdottaminen ei enää kuuluisi tilintarkastustuomioistuimen presidentin yksinomaiseen toimivaltaan; toistaa myös pyyntönsä saada tilintarkastustuomioistuimen eettiseltä komitealta tietoja etiikkaa koskevan sisäisen tarkastuskertomuksen tärkeimmistä havainnoista, sillä sisäinen tarkastus on aloitettu jo vuonna 2020;</w:t>
      </w:r>
    </w:p>
    <w:p w14:paraId="2F7B7D6A" w14:textId="77777777" w:rsidR="00D2061B" w:rsidRPr="00314E0B" w:rsidRDefault="00D2061B" w:rsidP="009F45C2">
      <w:pPr>
        <w:pStyle w:val="NormalHanging12a"/>
        <w:widowControl/>
        <w:rPr>
          <w:szCs w:val="24"/>
        </w:rPr>
      </w:pPr>
      <w:r w:rsidRPr="00314E0B">
        <w:t>37.</w:t>
      </w:r>
      <w:r w:rsidRPr="00314E0B">
        <w:tab/>
        <w:t>panee tyytyväisenä merkille, että kaikki tilintarkastustuomioistuimen jäsenet ovat ilmoittaneet osoitteensa Luxemburgin viranomaisille ja täyttäneet siten vaatimuksen, jonka mukaan jäsenten on asuttava tilintarkastustuomioistuimen kotipaikkakunnalla;</w:t>
      </w:r>
    </w:p>
    <w:p w14:paraId="2F87263F" w14:textId="77777777" w:rsidR="00D2061B" w:rsidRPr="00314E0B" w:rsidRDefault="00D2061B" w:rsidP="009F45C2">
      <w:pPr>
        <w:pStyle w:val="NormalHanging12a"/>
        <w:widowControl/>
        <w:rPr>
          <w:szCs w:val="24"/>
        </w:rPr>
      </w:pPr>
      <w:r w:rsidRPr="00314E0B">
        <w:t>38.</w:t>
      </w:r>
      <w:r w:rsidRPr="00314E0B">
        <w:tab/>
        <w:t xml:space="preserve">panee merkille vuonna 2022 tehdyn päätöksen jäsenten matkoista ja virkamatkoista sekä kuljettajien ja autojen käytöstä, minkä mukaan jäsenten on itse maksettava kaikki käyttökustannukset, myös autonvuokrakustannukset, jotka liittyvät auton käyttöön sen jälkeen, kun 10 000 kilometrin raja ylittyy, ja jotka eivät kuulu virkamatkamääräyksen piiriin; katsoo kuitenkin, että 10 000 kilometriä on liian suuri määrä, ja toistaa aiemmissa vastuuvapauspäätöslauselmissa ilmaistun huolen siitä, että käyttöön otettu järjestelmä ei ole selkeä; toistaa aiemmissa vastuuvapauspäätöslauselmissa ilmaisemansa kannan, että ajoneuvoja ei pitäisi missään olosuhteissa käyttää mihinkään </w:t>
      </w:r>
      <w:r w:rsidRPr="00314E0B">
        <w:lastRenderedPageBreak/>
        <w:t>muuhun kuin tilintarkastustuomioistuimen jäsenen tehtävien hoitamiseen; kehottaa kaikkia unionin toimielimiä sopimaan yhtenäisestä horisontaalisesta järjestelmästä, mikä vähentäisi sekaantumisen vaaraa ja lisäisi julkisten varojen käytön avoimuutta ja tehokkuutta;</w:t>
      </w:r>
    </w:p>
    <w:p w14:paraId="6ED31773" w14:textId="77777777" w:rsidR="00D2061B" w:rsidRPr="00314E0B" w:rsidRDefault="00D2061B" w:rsidP="009F45C2">
      <w:pPr>
        <w:pStyle w:val="NormalHanging12a"/>
        <w:widowControl/>
        <w:rPr>
          <w:szCs w:val="24"/>
        </w:rPr>
      </w:pPr>
      <w:r w:rsidRPr="00314E0B">
        <w:t>39.</w:t>
      </w:r>
      <w:r w:rsidRPr="00314E0B">
        <w:tab/>
        <w:t>panee tyytyväisenä merkille, että tilintarkastustuomioistuin on viime vuosina aloittanut eettisten toimintapuitteidensa päivittämisprosessin, jonka tuloksena tilintarkastustuomioistuimen eettiset ohjeet päivitettiin lokakuussa 2022, toimintaperiaatteet kunnioittavan ja häirinnästä vapaan työpaikan varmistamiseksi päivitettiin vuonna 2022 ja väärinkäytösten paljastamista koskevat säännöt heinäkuussa 2023; panee myös tyytyväisenä merkille, että henkilöstölle, myös jäsenten kabinettien henkilöstölle, on järjestetty etiikkaa käsitteleviä työpajoja, kursseja ja tilaisuuksia; pyytää tilintarkastustuomioistuinta pitämään parlamentin ajan tasalla sen kaikista muista eettisiä toimintapuitteita koskevista suunnitelmista;</w:t>
      </w:r>
    </w:p>
    <w:p w14:paraId="33378B71" w14:textId="77777777" w:rsidR="00D2061B" w:rsidRPr="00314E0B" w:rsidRDefault="00D2061B" w:rsidP="009F45C2">
      <w:pPr>
        <w:pStyle w:val="NormalHanging12a"/>
        <w:widowControl/>
        <w:rPr>
          <w:szCs w:val="24"/>
        </w:rPr>
      </w:pPr>
      <w:r w:rsidRPr="00314E0B">
        <w:t>40.</w:t>
      </w:r>
      <w:r w:rsidRPr="00314E0B">
        <w:tab/>
        <w:t>korostaa, että tilintarkastustuomioistuimen sisäisen tarkastuksen yksikkö totesi vuonna 2021, ettei ole yksittäistä asiakirjaa, jossa vahvistettaisiin tilintarkastustuomioistuimen petostentorjuntapolitiikka, ja ettei tilintarkastustuomioistuimella ole koko toimielimen kattavaa petostentorjuntastrategiaa; kannustaa tilintarkastustuomioistuinta käsittelemään tätä asiaa ensi tilassa, jotta nykyinen hajautettu ja hajanainen toimintatapa yhtenäistetään, ja selventämään, miten tilintarkastustuomioistuin puuttuu tällaisiin tilanteisiin;</w:t>
      </w:r>
    </w:p>
    <w:p w14:paraId="74ED40D8" w14:textId="77777777" w:rsidR="00D2061B" w:rsidRPr="00314E0B" w:rsidRDefault="00D2061B" w:rsidP="009F45C2">
      <w:pPr>
        <w:pStyle w:val="NormalHanging12a"/>
        <w:widowControl/>
        <w:rPr>
          <w:szCs w:val="24"/>
        </w:rPr>
      </w:pPr>
      <w:r w:rsidRPr="00314E0B">
        <w:t>41.</w:t>
      </w:r>
      <w:r w:rsidRPr="00314E0B">
        <w:tab/>
        <w:t>suhtautuu edelleen kielteisesti tilintarkastustuomioistuimen arvioon ja päätökseen olla liittymättä EU:n avoimuusrekisteriin, joka on perustettu pakollisesta avoimuusrekisteristä 20. toukokuuta 2021 tehdyllä Euroopan parlamentin, Euroopan unionin neuvoston ja Euroopan komission välisellä toimielinten välisellä sopimuksella</w:t>
      </w:r>
      <w:r w:rsidRPr="00314E0B">
        <w:rPr>
          <w:rStyle w:val="FootnoteReference"/>
          <w:szCs w:val="24"/>
        </w:rPr>
        <w:footnoteReference w:id="6"/>
      </w:r>
      <w:r w:rsidRPr="00314E0B">
        <w:t>; kannustaa tilintarkastustuomioistuinta harkitsemaan asiaa uudelleen ja toistaa voimakkaasti kehottavansa tilintarkastustuomioistuinta liittymään EU:n avoimuusrekisteriin, jotta se voi noudattaa avoimuuden perusperiaatteita ja samalla huolehtia samalla siitä, ettei tilintarkastustuomioistuimen täydelle riippumattomuudelle synny esteitä;</w:t>
      </w:r>
    </w:p>
    <w:p w14:paraId="4CDD93A8" w14:textId="77777777" w:rsidR="00D2061B" w:rsidRPr="00314E0B" w:rsidRDefault="00D2061B" w:rsidP="009F45C2">
      <w:pPr>
        <w:pStyle w:val="NormalHanging12a"/>
        <w:widowControl/>
        <w:rPr>
          <w:szCs w:val="24"/>
        </w:rPr>
      </w:pPr>
      <w:r w:rsidRPr="00314E0B">
        <w:t>42.</w:t>
      </w:r>
      <w:r w:rsidRPr="00314E0B">
        <w:tab/>
        <w:t>panee merkille, että Euroopan petostentorjuntavirasto (OLAF) käynnisti vuonna 2022 yhden tutkimuksen tilintarkastustuomioistuimen valintamenettelystä ja totesi, että asianomaisen henkilön toiminta ei vaikuttanut menettelyn lopputulokseen;</w:t>
      </w:r>
    </w:p>
    <w:p w14:paraId="6B76712A" w14:textId="77777777" w:rsidR="00D2061B" w:rsidRPr="00314E0B" w:rsidRDefault="00D2061B" w:rsidP="009F45C2">
      <w:pPr>
        <w:pStyle w:val="NormalHanging12a"/>
        <w:widowControl/>
        <w:rPr>
          <w:szCs w:val="24"/>
        </w:rPr>
      </w:pPr>
      <w:r w:rsidRPr="00314E0B">
        <w:t>43.</w:t>
      </w:r>
      <w:r w:rsidRPr="00314E0B">
        <w:tab/>
        <w:t>panee merkille, että Euroopan oikeusasiamies suoritti vuonna 2022 kantelun johdosta yhden tutkimuksen, joka päätettiin sen jälkeen, kun tilintarkastustuomioistuin oli vastannut kantelijalle;</w:t>
      </w:r>
    </w:p>
    <w:p w14:paraId="39E04FFE" w14:textId="77777777" w:rsidR="00D2061B" w:rsidRPr="00314E0B" w:rsidRDefault="00D2061B" w:rsidP="009F45C2">
      <w:pPr>
        <w:pStyle w:val="NormalHanging12a"/>
        <w:widowControl/>
        <w:rPr>
          <w:szCs w:val="24"/>
        </w:rPr>
      </w:pPr>
      <w:r w:rsidRPr="00314E0B">
        <w:t>44.</w:t>
      </w:r>
      <w:r w:rsidRPr="00314E0B">
        <w:tab/>
        <w:t>toistaa olevansa tyytyväinen siihen, että tilintarkastustuomioistuin perusti vuonna 2022 rekisterin tilintarkastustuomioistuimen jäsenten osallistumisesta kokouksiin parlamentin toistuneiden asiaa koskevien vaatimusten mukaisesti; pitää myönteisenä, että rekisteri on pyynnöstä asetettu vastuuvapausmenettelyä käsittelevän parlamentin esittelijän saataville osana vastuuvapausmenettelyä; kehottaa tilintarkastustuomioistuinta jatkamaan avoimuutta ja vastuuvelvollisuutta lisääviä käytäntöjä, kuten julkisen kokouskalenterin ylläpitämistä;</w:t>
      </w:r>
    </w:p>
    <w:p w14:paraId="6D69A74D" w14:textId="77777777" w:rsidR="00D2061B" w:rsidRPr="00314E0B" w:rsidRDefault="00D2061B" w:rsidP="009F45C2">
      <w:pPr>
        <w:pStyle w:val="NormalHanging12a"/>
        <w:widowControl/>
        <w:rPr>
          <w:szCs w:val="24"/>
        </w:rPr>
      </w:pPr>
      <w:r w:rsidRPr="00314E0B">
        <w:lastRenderedPageBreak/>
        <w:t>45.</w:t>
      </w:r>
      <w:r w:rsidRPr="00314E0B">
        <w:tab/>
        <w:t>panee tyytyväisenä merkille, ettei vuonna 2022 havaittu yhtäkään eturistiriitaa; panee lisäksi merkille, että yksikään henkilöstön jäsen, joka lähti tilintarkastustuomioistuimesta työsopimuksensa päättymisen vuoksi tai jostain muusta syystä, ei ilmoittanut tilintarkastustuomioistuimelle haluavansa mennä työhön yksityisyritykseen tai ilmoittanut tilintarkastustuomioistuimelle työskennelleensä tilintarkastustuomioistuimen ulkopuolella palvelussuhteensa kolmen viimeisen vuoden aikana; toteaa lopuksi, että yksikään entinen parlamentin jäsen, komission jäsen tai korkean tason virkamies ei saanut tilintarkastustuomioistuimelta palkkaa;</w:t>
      </w:r>
    </w:p>
    <w:p w14:paraId="0944219F" w14:textId="77777777" w:rsidR="00D2061B" w:rsidRPr="00314E0B" w:rsidRDefault="00D2061B" w:rsidP="009F45C2">
      <w:pPr>
        <w:pStyle w:val="NormalHanging12a"/>
        <w:widowControl/>
        <w:rPr>
          <w:szCs w:val="24"/>
        </w:rPr>
      </w:pPr>
      <w:r w:rsidRPr="00314E0B">
        <w:t>46.</w:t>
      </w:r>
      <w:r w:rsidRPr="00314E0B">
        <w:tab/>
        <w:t>panee merkille, että vuonna 2022 tilintarkastustuomioistuimessa ei ilmoitettu yhtään väärinkäytösten paljastamistapausta;</w:t>
      </w:r>
    </w:p>
    <w:p w14:paraId="15CA92ED" w14:textId="77777777" w:rsidR="00D2061B" w:rsidRPr="00314E0B" w:rsidRDefault="00D2061B" w:rsidP="009F45C2">
      <w:pPr>
        <w:pStyle w:val="NormalHanging12a"/>
        <w:widowControl/>
        <w:rPr>
          <w:szCs w:val="24"/>
        </w:rPr>
      </w:pPr>
      <w:r w:rsidRPr="00314E0B">
        <w:t>47.</w:t>
      </w:r>
      <w:r w:rsidRPr="00314E0B">
        <w:tab/>
        <w:t>pitää valitettavana, että tilintarkastustuomioistuimen verkkosivustolla ei ole saatavilla luetteloa vuoden aikana tehdyistä sopimuksista, joiden arvo on 15 000 – 60 000 euroa ja jotka solmittiin vuonna 2022 neuvottelumenettelyn perusteella, kuten valtuutetun tulojen ja menojen hyväksyjän kertomuksessa mainitaan; kehottaa tilintarkastustuomioistuinta julkaisemaan tällaisen luettelon erillisenä asiakirjana ja varmistamaan, että se on käyttäjäystävällisesti saatavilla;</w:t>
      </w:r>
    </w:p>
    <w:p w14:paraId="1773507D" w14:textId="77777777" w:rsidR="00D2061B" w:rsidRPr="00314E0B" w:rsidRDefault="00D2061B" w:rsidP="009F45C2">
      <w:pPr>
        <w:keepNext/>
        <w:widowControl/>
        <w:spacing w:after="240"/>
        <w:ind w:left="567" w:hanging="567"/>
        <w:rPr>
          <w:b/>
          <w:szCs w:val="24"/>
        </w:rPr>
      </w:pPr>
      <w:r w:rsidRPr="00314E0B">
        <w:rPr>
          <w:b/>
        </w:rPr>
        <w:t>Digitalisaatio, kyberturvallisuus ja tietosuoja</w:t>
      </w:r>
    </w:p>
    <w:p w14:paraId="3DE37C57" w14:textId="77777777" w:rsidR="00D2061B" w:rsidRPr="00314E0B" w:rsidRDefault="00D2061B" w:rsidP="009F45C2">
      <w:pPr>
        <w:pStyle w:val="NormalHanging12a"/>
        <w:widowControl/>
        <w:rPr>
          <w:szCs w:val="24"/>
        </w:rPr>
      </w:pPr>
      <w:r w:rsidRPr="00314E0B">
        <w:t>48.</w:t>
      </w:r>
      <w:r w:rsidRPr="00314E0B">
        <w:tab/>
        <w:t>suhtautuu myönteisesti siihen, että tilintarkastustuomioistuimella on laaja-alainen kyberturvallisuussuunnitelma vuosiksi 2022–2024 ja että sen on tarkoitus arvioida uudelleen kyberturvallisuuskehystään vuoden 2023 lopussa sen varmistamiseksi, että tulevaa asetusta toimenpiteistä yhteisen korkean kyberturvatason varmistamiseksi unionin toimielimissä, elimissä, toimistoissa ja virastoissa noudatetaan täysimääräisesti; on tyytyväinen myös siihen, että tilintarkastustuomioistuin lopetti sopimuksen sellaisen toimittajan kanssa, jonka osti yhdysvaltalainen yritys, koska yrityskauppa olisi muuttanut henkilötietojen käsittelyä;</w:t>
      </w:r>
    </w:p>
    <w:p w14:paraId="5B25E088" w14:textId="77777777" w:rsidR="00D2061B" w:rsidRPr="00314E0B" w:rsidRDefault="00D2061B" w:rsidP="009F45C2">
      <w:pPr>
        <w:pStyle w:val="NormalHanging12a"/>
        <w:widowControl/>
        <w:rPr>
          <w:szCs w:val="24"/>
        </w:rPr>
      </w:pPr>
      <w:r w:rsidRPr="00314E0B">
        <w:t>49.</w:t>
      </w:r>
      <w:r w:rsidRPr="00314E0B">
        <w:tab/>
        <w:t>panee tyytyväisenä merkille, että tilintarkastustuomioistuin ei joutunut vakavien kyberhyökkäyksien uhriksi vuonna 2022 ja että vaarallisin uhka oli edelleen verkkourkintasähköpostit; kannustaa tilintarkastustuomioistuinta kuitenkin pysymään valppaana ja tekemään yhteistyötä asiaankuuluvien toimielinten välisten unionin elinten kanssa, jotta toimielinten yleistä kyberturvallisuutta voidaan vahvistaa;</w:t>
      </w:r>
    </w:p>
    <w:p w14:paraId="5723B3D2" w14:textId="77777777" w:rsidR="00D2061B" w:rsidRPr="00314E0B" w:rsidRDefault="00D2061B" w:rsidP="009F45C2">
      <w:pPr>
        <w:pStyle w:val="NormalHanging12a"/>
        <w:widowControl/>
        <w:rPr>
          <w:szCs w:val="24"/>
        </w:rPr>
      </w:pPr>
      <w:r w:rsidRPr="00314E0B">
        <w:t>50.</w:t>
      </w:r>
      <w:r w:rsidRPr="00314E0B">
        <w:tab/>
        <w:t>panee merkille, että Euroopan tietosuojavaltuutettu ei käynnistänyt, jatkanut tai saattanut päätökseen tilintarkastustuomioistuinta koskevia tutkimuksia vuonna 2022;</w:t>
      </w:r>
    </w:p>
    <w:p w14:paraId="0FB66725" w14:textId="77777777" w:rsidR="00D2061B" w:rsidRPr="00314E0B" w:rsidRDefault="00D2061B" w:rsidP="009F45C2">
      <w:pPr>
        <w:pStyle w:val="NormalHanging12a"/>
        <w:widowControl/>
        <w:rPr>
          <w:szCs w:val="24"/>
        </w:rPr>
      </w:pPr>
      <w:r w:rsidRPr="00314E0B">
        <w:t>51.</w:t>
      </w:r>
      <w:r w:rsidRPr="00314E0B">
        <w:tab/>
        <w:t xml:space="preserve">suhtautuu myönteisesti kaikkiin toimiin tarkastustyön digitalisoinnin parantamiseksi, sillä siten parannetaan tämän työn tehokkuutta ja tarkkuutta; pitää erityisen myönteisenä, että lokakuussa 2022 otettiin käyttöön ns. tietovarasto palveluna </w:t>
      </w:r>
      <w:r w:rsidRPr="00314E0B">
        <w:noBreakHyphen/>
        <w:t>malli, jonka avulla käyttäjät voivat käsitellä ja analysoida jäsenneltyä dataa vaihtelevan itsenäisesti; panee merkille, että tarkastustyön digitalisointi ei riipu ainoastaan tilintarkastustuomioistuimesta vaan myös suurelta osin tarkastuskohteiden toimittamista tiedoista ja että tietojen muodot ja käytettyjen järjestelmien moninaisuus aiheuttavat edelleen rajoituksia; on tyytyväinen lisäksi siihen, että kentällä tehtävien tarkastustyöpäivien määrä oli 2 984 vuonna 2022, mikä on huomattavasti enemmän kuin vuosina 2021 ja 2020, jolloin covid-19-pandemian vuoksi asetetut rajoitukset vaikuttivat toimintaan huomattavasti, ja että paikan päällä tehtävien tarkastuskäyntien lisäarvoa ja tehokkuutta on lisätty yhdistämällä ne etätyöhön;</w:t>
      </w:r>
    </w:p>
    <w:p w14:paraId="639FA079" w14:textId="77777777" w:rsidR="00D2061B" w:rsidRPr="00314E0B" w:rsidRDefault="00D2061B" w:rsidP="009F45C2">
      <w:pPr>
        <w:pStyle w:val="NormalHanging12a"/>
        <w:widowControl/>
        <w:rPr>
          <w:szCs w:val="24"/>
        </w:rPr>
      </w:pPr>
      <w:r w:rsidRPr="00314E0B">
        <w:lastRenderedPageBreak/>
        <w:t>52.</w:t>
      </w:r>
      <w:r w:rsidRPr="00314E0B">
        <w:tab/>
        <w:t>panee merkille, että tilintarkastustuomioistuin on ottanut käyttöön osana järjestelmiään useita avoimen lähdekoodin ohjelmistoja, kuten Linux, Belenios ja Nagios; kannustaa tilintarkastustuomioistuinta käyttämään edelleen avoimen lähdekoodin ohjelmistoja mahdollisuuksien mukaan;</w:t>
      </w:r>
    </w:p>
    <w:p w14:paraId="7DDC3E56" w14:textId="77777777" w:rsidR="00D2061B" w:rsidRPr="00314E0B" w:rsidRDefault="00D2061B" w:rsidP="009F45C2">
      <w:pPr>
        <w:keepNext/>
        <w:widowControl/>
        <w:spacing w:after="240"/>
        <w:ind w:left="567" w:hanging="567"/>
        <w:rPr>
          <w:b/>
          <w:bCs/>
          <w:iCs/>
          <w:szCs w:val="24"/>
        </w:rPr>
      </w:pPr>
      <w:r w:rsidRPr="00314E0B">
        <w:rPr>
          <w:b/>
        </w:rPr>
        <w:t>Rakennukset</w:t>
      </w:r>
    </w:p>
    <w:p w14:paraId="0550572A" w14:textId="77777777" w:rsidR="00D2061B" w:rsidRPr="00314E0B" w:rsidRDefault="00D2061B" w:rsidP="009F45C2">
      <w:pPr>
        <w:pStyle w:val="NormalHanging12a"/>
        <w:widowControl/>
        <w:rPr>
          <w:szCs w:val="24"/>
        </w:rPr>
      </w:pPr>
      <w:r w:rsidRPr="00314E0B">
        <w:t>53.</w:t>
      </w:r>
      <w:r w:rsidRPr="00314E0B">
        <w:tab/>
        <w:t>panee merkille, että tilintarkastustuomioistuin toteutti vuonna 2022 K2-rakennuksessa merkittäviä korjaustöitä, jotka saatiin päätökseen vuoden 2023 alussa ja joihin sisältyi neljän kerroksen kunnostaminen, jotta henkilöstölle voitaisiin tarjota moderni ja ympäristöystävällisempi työpaikka, joka on heille mieluinen;</w:t>
      </w:r>
    </w:p>
    <w:p w14:paraId="762CABB7" w14:textId="77777777" w:rsidR="00D2061B" w:rsidRPr="00314E0B" w:rsidRDefault="00D2061B" w:rsidP="009F45C2">
      <w:pPr>
        <w:pStyle w:val="NormalHanging12a"/>
        <w:widowControl/>
        <w:rPr>
          <w:szCs w:val="24"/>
        </w:rPr>
      </w:pPr>
      <w:r w:rsidRPr="00314E0B">
        <w:t>54.</w:t>
      </w:r>
      <w:r w:rsidRPr="00314E0B">
        <w:tab/>
        <w:t>on tyytyväinen siihen, että tilintarkastustuomioistuin käynnisti vuonna 2022 kaikkien tilintarkastustuomioistuimen rakennusten esteettömyystarkastuksen, jonka tavoitteena oli parantaa esteettömyyttä ja vastata liikuntarajoitteisten tai muutoin vammaisten henkilöiden tarpeisiin ja joka toteutettiin vuoden 2023 alussa; pyytää tilintarkastustuomioistuinta tiedottamaan parlamentille konkreettisista aloitteista, joilla pannaan täytäntöön tarkastuksen tuloksena ehdotetut toimet;</w:t>
      </w:r>
    </w:p>
    <w:p w14:paraId="2AC473EF" w14:textId="77777777" w:rsidR="00D2061B" w:rsidRPr="00314E0B" w:rsidRDefault="00D2061B" w:rsidP="009F45C2">
      <w:pPr>
        <w:keepNext/>
        <w:widowControl/>
        <w:spacing w:after="240"/>
        <w:ind w:left="567" w:hanging="567"/>
        <w:rPr>
          <w:b/>
          <w:szCs w:val="24"/>
        </w:rPr>
      </w:pPr>
      <w:r w:rsidRPr="00314E0B">
        <w:rPr>
          <w:b/>
        </w:rPr>
        <w:t>Ympäristö ja kestävä kehitys</w:t>
      </w:r>
    </w:p>
    <w:p w14:paraId="4DA05364" w14:textId="77777777" w:rsidR="00D2061B" w:rsidRPr="00314E0B" w:rsidRDefault="00D2061B" w:rsidP="009F45C2">
      <w:pPr>
        <w:pStyle w:val="NormalHanging12a"/>
        <w:widowControl/>
        <w:rPr>
          <w:szCs w:val="24"/>
        </w:rPr>
      </w:pPr>
      <w:r w:rsidRPr="00314E0B">
        <w:t>55.</w:t>
      </w:r>
      <w:r w:rsidRPr="00314E0B">
        <w:tab/>
        <w:t>panee tyytyväisenä merkille, että tilintarkastustuomioistuin esitti vuonna 2022 toisen vuosikertomuksensa toimintansa ympäristökestävyydestä kansainvälisesti hyväksyttyjen raportointistandardien mukaisesti;</w:t>
      </w:r>
    </w:p>
    <w:p w14:paraId="1AAC0CAE" w14:textId="77777777" w:rsidR="00D2061B" w:rsidRPr="00314E0B" w:rsidRDefault="00D2061B" w:rsidP="009F45C2">
      <w:pPr>
        <w:pStyle w:val="NormalHanging12a"/>
        <w:widowControl/>
        <w:rPr>
          <w:szCs w:val="24"/>
        </w:rPr>
      </w:pPr>
      <w:r w:rsidRPr="00314E0B">
        <w:t>56.</w:t>
      </w:r>
      <w:r w:rsidRPr="00314E0B">
        <w:tab/>
        <w:t>panee merkille, että tilintarkastustuomioistuin on saavuttanut vaikuttavia tuloksia useilla aloilla, jotka liittyvät sen yleisen kulutuksen vähenemiseen vuodesta 2014 lähtien, sillä sen sähkönkulutus on vähentynyt 34,5 prosenttia, lämmitykseen liittyvä kulutus 22,2 prosenttia, paperinkulutus 83,5 prosenttia ja vedenkulutus 45,3 prosenttia, kasvihuonekaasupäästöt 29,5 prosenttia ja jätteet 33,7 prosenttia; kannustaa tilintarkastustuomioistuinta jatkamaan ponnistelujaan kulutuksen vähentämiseksi näiltä osin edelleen ja pitää myönteisenä, että tilintarkastustuomioistuin käynnisti vuonna 2023 K2-rakennusta koskevan tutkimuksen, jonka tavoitteena on katon kunnostaminen ja aurinkopaneelien asentaminen;</w:t>
      </w:r>
    </w:p>
    <w:p w14:paraId="556F3186" w14:textId="77777777" w:rsidR="00D2061B" w:rsidRPr="00314E0B" w:rsidRDefault="00D2061B" w:rsidP="009F45C2">
      <w:pPr>
        <w:pStyle w:val="NormalHanging12a"/>
        <w:widowControl/>
        <w:rPr>
          <w:szCs w:val="24"/>
        </w:rPr>
      </w:pPr>
      <w:r w:rsidRPr="00314E0B">
        <w:t>57.</w:t>
      </w:r>
      <w:r w:rsidRPr="00314E0B">
        <w:tab/>
        <w:t>panee tyytyväisenä merkille, että tilintarkastustuomioistuin on toteuttanut useita aloitteita kestävän liikkuvuuden tukemiseksi, mukaan lukien tilintarkastustuomioistuimen bussikuljetuspalvelun vahvistaminen, Luxemburgin kaupunkipyöräpalvelun tarjoaminen henkilöstölle maksutta, polkupyörien pysäköintitilojen, myös sähköpolkupyörien, määrän lisääminen ja hybridi- ja sähköautojen latureiden asentaminen; kehottaa tilintarkastustuomioistuinta tukemaan edelleen kestävää liikkuvuutta muun muassa vaihtamalla parhaita käytäntöjä muiden toimielinten kanssa ja tiedottamaan parlamentille uusista aloitteista;</w:t>
      </w:r>
    </w:p>
    <w:p w14:paraId="25CBB201" w14:textId="77777777" w:rsidR="00D2061B" w:rsidRPr="00314E0B" w:rsidRDefault="00D2061B" w:rsidP="009F45C2">
      <w:pPr>
        <w:pStyle w:val="NormalHanging12a"/>
        <w:widowControl/>
        <w:rPr>
          <w:szCs w:val="24"/>
        </w:rPr>
      </w:pPr>
      <w:r w:rsidRPr="00314E0B">
        <w:t>58.</w:t>
      </w:r>
      <w:r w:rsidRPr="00314E0B">
        <w:tab/>
        <w:t>panee merkille, että tilintarkastustuomioistuin aikoo analysoida, miten virkamatkojen ympäristönäkökohdat voidaan sisällyttää päivitettyyn virkamatkaoppaaseen; panee lisäksi merkille ehdotuksen liikematkojen vähentämisestä 5 prosentilla kokoaikavastaavaa kohti vuosina 2023–2025; kehottaa tilintarkastustuomioistuinta pyrkimään tämän tavoitteen täytäntöönpanoon ja varmistamaan samalla, että tarvittavat tarkastusvirkamatkat tehdään;</w:t>
      </w:r>
    </w:p>
    <w:p w14:paraId="12789F6A" w14:textId="77777777" w:rsidR="00D2061B" w:rsidRPr="00314E0B" w:rsidRDefault="00D2061B" w:rsidP="009F45C2">
      <w:pPr>
        <w:keepNext/>
        <w:widowControl/>
        <w:spacing w:after="240"/>
        <w:ind w:left="567" w:hanging="567"/>
        <w:rPr>
          <w:b/>
          <w:szCs w:val="24"/>
        </w:rPr>
      </w:pPr>
      <w:r w:rsidRPr="00314E0B">
        <w:rPr>
          <w:b/>
        </w:rPr>
        <w:lastRenderedPageBreak/>
        <w:t>Toimielinten välinen yhteistyö</w:t>
      </w:r>
    </w:p>
    <w:p w14:paraId="38887130" w14:textId="77777777" w:rsidR="00D2061B" w:rsidRPr="00314E0B" w:rsidRDefault="00D2061B" w:rsidP="009F45C2">
      <w:pPr>
        <w:pStyle w:val="NormalHanging12a"/>
        <w:widowControl/>
        <w:rPr>
          <w:szCs w:val="24"/>
        </w:rPr>
      </w:pPr>
      <w:r w:rsidRPr="00314E0B">
        <w:t>59.</w:t>
      </w:r>
      <w:r w:rsidRPr="00314E0B">
        <w:tab/>
        <w:t>panee merkille, että vuonna 2022 päivitettiin useita palvelutasosopimuksia ja muita toimielinten välisiä yhteistyösopimuksia, mukaan lukien sopimukset komission tutkinta- ja kurinpitotoimiston ja Euroopan unionin elinten käännöskeskuksen kanssa;</w:t>
      </w:r>
    </w:p>
    <w:p w14:paraId="656B0372" w14:textId="77777777" w:rsidR="00D2061B" w:rsidRPr="00314E0B" w:rsidRDefault="00D2061B" w:rsidP="009F45C2">
      <w:pPr>
        <w:pStyle w:val="NormalHanging12a"/>
        <w:widowControl/>
        <w:rPr>
          <w:szCs w:val="24"/>
        </w:rPr>
      </w:pPr>
      <w:r w:rsidRPr="00314E0B">
        <w:t>60.</w:t>
      </w:r>
      <w:r w:rsidRPr="00314E0B">
        <w:tab/>
        <w:t>panee merkille tilintarkastustuomioistuimen, komission ja Euroopan investointipankin (EIP) kolmikantasopimuksen marraskuulta 2021; panee tyytyväisenä merkille, että tilintarkastustuomioistuin katsoo, että kyseisellä sopimuksella on selkeytetty ja virtaviivaistettu joitakin prosesseja ja että tilintarkastustuomioistuin on saanut paremman pääsyn tietoihin, jotka liittyvät unionin talousarviosta rahoitettuihin tai sen takaamiin toimiin; pitää kuitenkin valitettavana, että kyseisellä sopimuksella ei varmisteta, että tilintarkastustuomioistuin voi vähintäänkin tarkastaa tuloksellisuusnäkökohtia toimista, joita toteutetaan unionin politiikkojen täytäntöönpanon yhteydessä;</w:t>
      </w:r>
    </w:p>
    <w:p w14:paraId="5570116B" w14:textId="77777777" w:rsidR="00D2061B" w:rsidRPr="00314E0B" w:rsidRDefault="00D2061B" w:rsidP="009F45C2">
      <w:pPr>
        <w:pStyle w:val="NormalHanging12a"/>
        <w:widowControl/>
        <w:rPr>
          <w:szCs w:val="24"/>
        </w:rPr>
      </w:pPr>
      <w:r w:rsidRPr="00314E0B">
        <w:t>61.</w:t>
      </w:r>
      <w:r w:rsidRPr="00314E0B">
        <w:tab/>
        <w:t>korostaa, että parlamentti katsoo pohjimmiltaan, että nykyiset rajoitukset tilintarkastustuomioistuimen roolissa EIP:n tilintarkastajana saavat aikaan sääntely- ja valvontavajeen ja että tilintarkastustuomioistuimen olisi voitava tarkastaa kaikki EIP-ryhmän toiminta; korostaa samalla, että demokraattisesti valittuna elimenä parlamentin olisi voitava antaa vastuuvapaus EIP:lle tämän tärkeän unionin elimen demokraattisen legitiimiyden vahvistamiseksi ja siten avoimuuden ja vastuuvelvollisuuden sekä taloudellisten ja henkilöresurssien hyvän hallintotavan parantamiseksi;</w:t>
      </w:r>
    </w:p>
    <w:p w14:paraId="47590A04" w14:textId="77777777" w:rsidR="00D2061B" w:rsidRPr="00314E0B" w:rsidRDefault="00D2061B" w:rsidP="009F45C2">
      <w:pPr>
        <w:pStyle w:val="NormalHanging12a"/>
        <w:widowControl/>
        <w:rPr>
          <w:szCs w:val="24"/>
        </w:rPr>
      </w:pPr>
      <w:r w:rsidRPr="00314E0B">
        <w:t>62.</w:t>
      </w:r>
      <w:r w:rsidRPr="00314E0B">
        <w:tab/>
        <w:t>panee tyytyväisenä merkille, että tilintarkastustuomioistuin tekee tiivistä yhteistyötä sekä OLAFin että Euroopan syyttäjänviraston (EPPO) kanssa muun muassa järjestämällä työpajoja, tiedotustapahtumia sekä vaihtamalla tietoja ja kokemuksia; panee lisäksi tyytyväisenä merkille, että tilintarkastustuomioistuin ilmoitti vuonna 2022 OLAFille 14 epäillystä petoksesta ja EPPOlle kuudesta tapauksesta; korostaa, että petosepäilyt olisi aina välitettävä OLAFille ja EPPOlle perusteellista tutkimusta varten;</w:t>
      </w:r>
    </w:p>
    <w:p w14:paraId="3DE2149E" w14:textId="77777777" w:rsidR="00D2061B" w:rsidRPr="00314E0B" w:rsidRDefault="00D2061B" w:rsidP="009F45C2">
      <w:pPr>
        <w:pStyle w:val="NormalHanging12a"/>
        <w:widowControl/>
        <w:rPr>
          <w:szCs w:val="24"/>
        </w:rPr>
      </w:pPr>
      <w:r w:rsidRPr="00314E0B">
        <w:t>63.</w:t>
      </w:r>
      <w:r w:rsidRPr="00314E0B">
        <w:tab/>
        <w:t>panee merkille, että tilintarkastustuomioistuin tekee yhteistyötä Euroopan tietosuojavaltuutetun kanssa tietosuojavastaavansa välityksellä ja kuulee tietosuojavaltuutettua tietosuojaan liittyvissä kysymyksissä; panee merkille, että vuonna 2022 päätettiin yhden henkilötietojen tietoturvaloukkausta koskevan tapauksen käsittely, minkä yhteydessä annettiin muutamia suosituksia; panee tyytyväisenä merkille, että tilintarkastustuomioistuimen tietosuojavastaava osallistuu tietosuojavastaavien verkostoon, joka työskentelee toistuvasti esiintyvien ongelmien parissa, jakaa esimerkkejä parhaista käytännöistä ja auttaa järjestämään kaksi kertaa vuodessa järjestettävän tietosuojavastaavien kokouksen;</w:t>
      </w:r>
    </w:p>
    <w:p w14:paraId="253DD115" w14:textId="77777777" w:rsidR="00D2061B" w:rsidRPr="00314E0B" w:rsidRDefault="00D2061B" w:rsidP="009F45C2">
      <w:pPr>
        <w:pStyle w:val="NormalHanging12a"/>
        <w:widowControl/>
        <w:rPr>
          <w:szCs w:val="24"/>
        </w:rPr>
      </w:pPr>
      <w:r w:rsidRPr="00314E0B">
        <w:t>64.</w:t>
      </w:r>
      <w:r w:rsidRPr="00314E0B">
        <w:tab/>
        <w:t>panee merkille, että tilintarkastustuomioistuin on tehnyt yhteistyötä Euroopan oikeusasiamiehen kanssa ja toimittanut kaikki Euroopan oikeusasiamiehen käynnistämissä tutkimuksissa pyydetyt tiedot; panee tyytyväisenä merkille, että tilintarkastustuomioistuin on osallistunut toimielinten välisiin keskusteluihin nykyaikaisista viestintätavoista, myös pikaviestinnästä, ja että tilintarkastustuomioistuin käyttää vertailukohtana Euroopan oikeusasiamiehen suuntaviivoja tällä alalla;</w:t>
      </w:r>
    </w:p>
    <w:p w14:paraId="4F8AEABE" w14:textId="77777777" w:rsidR="00D2061B" w:rsidRPr="00314E0B" w:rsidRDefault="00D2061B" w:rsidP="009F45C2">
      <w:pPr>
        <w:keepNext/>
        <w:widowControl/>
        <w:spacing w:after="240"/>
        <w:ind w:left="567" w:hanging="567"/>
        <w:rPr>
          <w:b/>
          <w:szCs w:val="24"/>
        </w:rPr>
      </w:pPr>
      <w:r w:rsidRPr="00314E0B">
        <w:rPr>
          <w:b/>
        </w:rPr>
        <w:lastRenderedPageBreak/>
        <w:t>Viestintä</w:t>
      </w:r>
    </w:p>
    <w:p w14:paraId="1F5C6C3E" w14:textId="77777777" w:rsidR="00E365E1" w:rsidRPr="0089318E" w:rsidRDefault="00D2061B" w:rsidP="009F45C2">
      <w:pPr>
        <w:pStyle w:val="NormalHanging12a"/>
        <w:widowControl/>
      </w:pPr>
      <w:r w:rsidRPr="00314E0B">
        <w:t>65.</w:t>
      </w:r>
      <w:r w:rsidRPr="00314E0B">
        <w:tab/>
        <w:t>panee tyytyväisenä merkille, että tilintarkastustuomioistuin hyväksyi tammikuussa 2022 uuden viestintästrategian, jossa suuri yleisö asetetaan sen viestintätoimien keskiöön, ja on tyytyväinen siihen, että tilintarkastustuomioistuin pystyy nyt järjestämään lehdistötilaisuuksia ja suoratoistona verkossa toteutettavia konferensseja hyvän teknisen standardin mukaisesti; panee lisäksi tyytyväisenä merkille, että tilintarkastustuomioistuin päivitti verkkosivustoaan vuonna 2023 tarjotakseen paremman käyttäjäkokemuksen ja perusti portaalin, jolla voidaan parantaa tarkastuksiin liittyvien tietojen saatavuutta laajemmin, muun muassa opiskelijoille, tiedeyhteisölle ja suurelle yleisölle.</w:t>
      </w:r>
    </w:p>
    <w:sectPr w:rsidR="00E365E1" w:rsidRPr="0089318E" w:rsidSect="0089318E">
      <w:headerReference w:type="even" r:id="rId11"/>
      <w:headerReference w:type="default" r:id="rId12"/>
      <w:footerReference w:type="even"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6AD86F" w14:textId="77777777" w:rsidR="00B90F97" w:rsidRPr="0089318E" w:rsidRDefault="00B90F97">
      <w:r w:rsidRPr="0089318E">
        <w:separator/>
      </w:r>
    </w:p>
  </w:endnote>
  <w:endnote w:type="continuationSeparator" w:id="0">
    <w:p w14:paraId="39F6C520" w14:textId="77777777" w:rsidR="00B90F97" w:rsidRPr="0089318E" w:rsidRDefault="00B90F97">
      <w:r w:rsidRPr="008931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92C04" w14:textId="77777777" w:rsidR="00D2061B" w:rsidRPr="0089318E" w:rsidRDefault="00D2061B" w:rsidP="00F37E68">
    <w:pPr>
      <w:pStyle w:val="EPFooter"/>
    </w:pPr>
    <w:r w:rsidRPr="0089318E">
      <w:t>PE</w:t>
    </w:r>
    <w:r w:rsidRPr="0089318E">
      <w:rPr>
        <w:rStyle w:val="HideTWBExt"/>
      </w:rPr>
      <w:t>&lt;NoPE&gt;</w:t>
    </w:r>
    <w:r w:rsidRPr="0089318E">
      <w:t>753.481</w:t>
    </w:r>
    <w:r w:rsidRPr="0089318E">
      <w:rPr>
        <w:rStyle w:val="HideTWBExt"/>
      </w:rPr>
      <w:t>&lt;/NoPE&gt;&lt;Version&gt;</w:t>
    </w:r>
    <w:r w:rsidRPr="0089318E">
      <w:t>v02-00</w:t>
    </w:r>
    <w:r w:rsidRPr="0089318E">
      <w:rPr>
        <w:rStyle w:val="HideTWBExt"/>
      </w:rPr>
      <w:t>&lt;/Version&gt;</w:t>
    </w:r>
    <w:r w:rsidRPr="0089318E">
      <w:tab/>
    </w:r>
    <w:r w:rsidRPr="0089318E">
      <w:fldChar w:fldCharType="begin"/>
    </w:r>
    <w:r w:rsidRPr="0089318E">
      <w:instrText xml:space="preserve"> PAGE  \* MERGEFORMAT </w:instrText>
    </w:r>
    <w:r w:rsidRPr="0089318E">
      <w:fldChar w:fldCharType="separate"/>
    </w:r>
    <w:r w:rsidRPr="0089318E">
      <w:rPr>
        <w:noProof/>
      </w:rPr>
      <w:t>2</w:t>
    </w:r>
    <w:r w:rsidRPr="0089318E">
      <w:fldChar w:fldCharType="end"/>
    </w:r>
    <w:r w:rsidRPr="0089318E">
      <w:t>/</w:t>
    </w:r>
    <w:r w:rsidR="00314E0B">
      <w:fldChar w:fldCharType="begin"/>
    </w:r>
    <w:r w:rsidR="00314E0B">
      <w:instrText xml:space="preserve"> NUMPAGES  \* MERGEFORMAT </w:instrText>
    </w:r>
    <w:r w:rsidR="00314E0B">
      <w:fldChar w:fldCharType="separate"/>
    </w:r>
    <w:r w:rsidRPr="0089318E">
      <w:rPr>
        <w:noProof/>
      </w:rPr>
      <w:t>2</w:t>
    </w:r>
    <w:r w:rsidR="00314E0B">
      <w:rPr>
        <w:noProof/>
      </w:rPr>
      <w:fldChar w:fldCharType="end"/>
    </w:r>
    <w:r w:rsidRPr="0089318E">
      <w:tab/>
    </w:r>
    <w:r w:rsidRPr="0089318E">
      <w:rPr>
        <w:rStyle w:val="HideTWBExt"/>
      </w:rPr>
      <w:t>&lt;PathFdR&gt;</w:t>
    </w:r>
    <w:r w:rsidRPr="0089318E">
      <w:t>RR\1298500FI.docx</w:t>
    </w:r>
    <w:r w:rsidRPr="0089318E">
      <w:rPr>
        <w:rStyle w:val="HideTWBExt"/>
      </w:rPr>
      <w:t>&lt;/PathFdR&gt;</w:t>
    </w:r>
  </w:p>
  <w:p w14:paraId="7E3A6B51" w14:textId="77777777" w:rsidR="00D2061B" w:rsidRPr="0089318E" w:rsidRDefault="00D2061B" w:rsidP="00F37E68">
    <w:pPr>
      <w:pStyle w:val="EPFooter2"/>
    </w:pPr>
    <w:r w:rsidRPr="0089318E">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161A1" w14:textId="77777777" w:rsidR="00D2061B" w:rsidRPr="0089318E" w:rsidRDefault="00D2061B" w:rsidP="00F37E68">
    <w:pPr>
      <w:pStyle w:val="EPFooter"/>
    </w:pPr>
    <w:r w:rsidRPr="0089318E">
      <w:rPr>
        <w:rStyle w:val="HideTWBExt"/>
      </w:rPr>
      <w:t>&lt;PathFdR&gt;</w:t>
    </w:r>
    <w:r w:rsidRPr="0089318E">
      <w:t>RR\1298500FI.docx</w:t>
    </w:r>
    <w:r w:rsidRPr="0089318E">
      <w:rPr>
        <w:rStyle w:val="HideTWBExt"/>
      </w:rPr>
      <w:t>&lt;/PathFdR&gt;</w:t>
    </w:r>
    <w:r w:rsidRPr="0089318E">
      <w:tab/>
    </w:r>
    <w:r w:rsidRPr="0089318E">
      <w:tab/>
      <w:t>PE</w:t>
    </w:r>
    <w:r w:rsidRPr="0089318E">
      <w:rPr>
        <w:rStyle w:val="HideTWBExt"/>
      </w:rPr>
      <w:t>&lt;NoPE&gt;</w:t>
    </w:r>
    <w:r w:rsidRPr="0089318E">
      <w:t>753.481</w:t>
    </w:r>
    <w:r w:rsidRPr="0089318E">
      <w:rPr>
        <w:rStyle w:val="HideTWBExt"/>
      </w:rPr>
      <w:t>&lt;/NoPE&gt;&lt;Version&gt;</w:t>
    </w:r>
    <w:r w:rsidRPr="0089318E">
      <w:t>v02-00</w:t>
    </w:r>
    <w:r w:rsidRPr="0089318E">
      <w:rPr>
        <w:rStyle w:val="HideTWBExt"/>
      </w:rPr>
      <w:t>&lt;/Version&gt;</w:t>
    </w:r>
  </w:p>
  <w:p w14:paraId="044B4531" w14:textId="77777777" w:rsidR="00D2061B" w:rsidRPr="0089318E" w:rsidRDefault="00D2061B" w:rsidP="00F37E68">
    <w:pPr>
      <w:pStyle w:val="EPFooter2"/>
    </w:pPr>
    <w:r w:rsidRPr="0089318E">
      <w:t>FI</w:t>
    </w:r>
    <w:r w:rsidRPr="0089318E">
      <w:tab/>
    </w:r>
    <w:r w:rsidRPr="0089318E">
      <w:rPr>
        <w:b w:val="0"/>
        <w:i/>
        <w:color w:val="C0C0C0"/>
        <w:sz w:val="22"/>
      </w:rPr>
      <w:t>Moninaisuudessaan yhtenäinen</w:t>
    </w:r>
    <w:r w:rsidRPr="0089318E">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C28C06" w14:textId="77777777" w:rsidR="00064002" w:rsidRPr="0089318E"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FD0A6D" w14:textId="77777777" w:rsidR="00064002" w:rsidRPr="0089318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E3706A" w14:textId="77777777" w:rsidR="00B90F97" w:rsidRPr="0089318E" w:rsidRDefault="00B90F97">
      <w:r w:rsidRPr="0089318E">
        <w:separator/>
      </w:r>
    </w:p>
  </w:footnote>
  <w:footnote w:type="continuationSeparator" w:id="0">
    <w:p w14:paraId="3919FF7A" w14:textId="77777777" w:rsidR="00B90F97" w:rsidRPr="0089318E" w:rsidRDefault="00B90F97">
      <w:r w:rsidRPr="0089318E">
        <w:continuationSeparator/>
      </w:r>
    </w:p>
  </w:footnote>
  <w:footnote w:id="1">
    <w:p w14:paraId="1462A481" w14:textId="77777777" w:rsidR="00D2061B" w:rsidRPr="0089318E" w:rsidRDefault="00D2061B" w:rsidP="0089318E">
      <w:pPr>
        <w:pStyle w:val="FootnoteText"/>
        <w:ind w:left="567" w:hanging="567"/>
        <w:rPr>
          <w:sz w:val="24"/>
          <w:lang w:val="fi-FI"/>
        </w:rPr>
      </w:pPr>
      <w:r w:rsidRPr="0089318E">
        <w:rPr>
          <w:rStyle w:val="FootnoteReference"/>
          <w:sz w:val="24"/>
          <w:lang w:val="fi-FI"/>
        </w:rPr>
        <w:footnoteRef/>
      </w:r>
      <w:r w:rsidR="0089318E" w:rsidRPr="0089318E">
        <w:rPr>
          <w:sz w:val="24"/>
          <w:lang w:val="fi-FI"/>
        </w:rPr>
        <w:t xml:space="preserve"> </w:t>
      </w:r>
      <w:r w:rsidR="0089318E" w:rsidRPr="0089318E">
        <w:rPr>
          <w:sz w:val="24"/>
          <w:lang w:val="fi-FI"/>
        </w:rPr>
        <w:tab/>
      </w:r>
      <w:r w:rsidRPr="0089318E">
        <w:rPr>
          <w:sz w:val="24"/>
          <w:lang w:val="fi-FI"/>
        </w:rPr>
        <w:t>EUVL L 45, 24.2.2022.</w:t>
      </w:r>
    </w:p>
  </w:footnote>
  <w:footnote w:id="2">
    <w:p w14:paraId="274D9539" w14:textId="77777777" w:rsidR="00D2061B" w:rsidRPr="0089318E" w:rsidRDefault="00D2061B" w:rsidP="0089318E">
      <w:pPr>
        <w:pStyle w:val="FootnoteText"/>
        <w:ind w:left="567" w:hanging="567"/>
        <w:rPr>
          <w:sz w:val="24"/>
          <w:lang w:val="fi-FI"/>
        </w:rPr>
      </w:pPr>
      <w:r w:rsidRPr="0089318E">
        <w:rPr>
          <w:rStyle w:val="FootnoteReference"/>
          <w:sz w:val="24"/>
          <w:lang w:val="fi-FI"/>
        </w:rPr>
        <w:footnoteRef/>
      </w:r>
      <w:r w:rsidR="0089318E" w:rsidRPr="0089318E">
        <w:rPr>
          <w:sz w:val="24"/>
          <w:lang w:val="fi-FI"/>
        </w:rPr>
        <w:t xml:space="preserve"> </w:t>
      </w:r>
      <w:r w:rsidR="0089318E" w:rsidRPr="0089318E">
        <w:rPr>
          <w:sz w:val="24"/>
          <w:lang w:val="fi-FI"/>
        </w:rPr>
        <w:tab/>
      </w:r>
      <w:r w:rsidRPr="0089318E">
        <w:rPr>
          <w:sz w:val="24"/>
          <w:lang w:val="fi-FI"/>
        </w:rPr>
        <w:t>EUVL C, C/2023/2, 12.10.2023.</w:t>
      </w:r>
    </w:p>
  </w:footnote>
  <w:footnote w:id="3">
    <w:p w14:paraId="66627390" w14:textId="77777777" w:rsidR="00D2061B" w:rsidRPr="0089318E" w:rsidRDefault="00D2061B" w:rsidP="0089318E">
      <w:pPr>
        <w:pStyle w:val="FootnoteText"/>
        <w:ind w:left="567" w:hanging="567"/>
        <w:rPr>
          <w:sz w:val="24"/>
          <w:lang w:val="fi-FI"/>
        </w:rPr>
      </w:pPr>
      <w:r w:rsidRPr="0089318E">
        <w:rPr>
          <w:rStyle w:val="FootnoteReference"/>
          <w:sz w:val="24"/>
          <w:lang w:val="fi-FI"/>
        </w:rPr>
        <w:footnoteRef/>
      </w:r>
      <w:r w:rsidR="0089318E" w:rsidRPr="0089318E">
        <w:rPr>
          <w:sz w:val="24"/>
          <w:lang w:val="fi-FI"/>
        </w:rPr>
        <w:t xml:space="preserve"> </w:t>
      </w:r>
      <w:r w:rsidR="0089318E" w:rsidRPr="0089318E">
        <w:rPr>
          <w:sz w:val="24"/>
          <w:lang w:val="fi-FI"/>
        </w:rPr>
        <w:tab/>
      </w:r>
      <w:r w:rsidRPr="0089318E">
        <w:rPr>
          <w:sz w:val="24"/>
          <w:lang w:val="fi-FI"/>
        </w:rPr>
        <w:t>EUVL C, C/2023/103, 4.10.2023.</w:t>
      </w:r>
    </w:p>
  </w:footnote>
  <w:footnote w:id="4">
    <w:p w14:paraId="69F83C91" w14:textId="77777777" w:rsidR="00D2061B" w:rsidRPr="0089318E" w:rsidRDefault="00D2061B" w:rsidP="0089318E">
      <w:pPr>
        <w:pStyle w:val="FootnoteText"/>
        <w:ind w:left="567" w:hanging="567"/>
        <w:rPr>
          <w:sz w:val="24"/>
          <w:lang w:val="fi-FI"/>
        </w:rPr>
      </w:pPr>
      <w:r w:rsidRPr="0089318E">
        <w:rPr>
          <w:rStyle w:val="FootnoteReference"/>
          <w:sz w:val="24"/>
          <w:lang w:val="fi-FI"/>
        </w:rPr>
        <w:footnoteRef/>
      </w:r>
      <w:r w:rsidR="0089318E" w:rsidRPr="0089318E">
        <w:rPr>
          <w:sz w:val="24"/>
          <w:lang w:val="fi-FI"/>
        </w:rPr>
        <w:t xml:space="preserve"> </w:t>
      </w:r>
      <w:r w:rsidR="0089318E" w:rsidRPr="0089318E">
        <w:rPr>
          <w:sz w:val="24"/>
          <w:lang w:val="fi-FI"/>
        </w:rPr>
        <w:tab/>
      </w:r>
      <w:r w:rsidRPr="0089318E">
        <w:rPr>
          <w:sz w:val="24"/>
          <w:lang w:val="fi-FI"/>
        </w:rPr>
        <w:t>EUVL C, C/2023/112, 12.10.2023.</w:t>
      </w:r>
    </w:p>
  </w:footnote>
  <w:footnote w:id="5">
    <w:p w14:paraId="73387E09" w14:textId="77777777" w:rsidR="00D2061B" w:rsidRPr="0089318E" w:rsidRDefault="00D2061B" w:rsidP="0089318E">
      <w:pPr>
        <w:pStyle w:val="FootnoteText"/>
        <w:ind w:left="567" w:hanging="567"/>
        <w:rPr>
          <w:sz w:val="24"/>
          <w:szCs w:val="24"/>
          <w:lang w:val="fi-FI"/>
        </w:rPr>
      </w:pPr>
      <w:r w:rsidRPr="0089318E">
        <w:rPr>
          <w:rStyle w:val="FootnoteReference"/>
          <w:sz w:val="24"/>
          <w:lang w:val="fi-FI"/>
        </w:rPr>
        <w:footnoteRef/>
      </w:r>
      <w:r w:rsidR="0089318E" w:rsidRPr="0089318E">
        <w:rPr>
          <w:sz w:val="24"/>
          <w:lang w:val="fi-FI"/>
        </w:rPr>
        <w:t xml:space="preserve"> </w:t>
      </w:r>
      <w:r w:rsidR="0089318E" w:rsidRPr="0089318E">
        <w:rPr>
          <w:sz w:val="24"/>
          <w:lang w:val="fi-FI"/>
        </w:rPr>
        <w:tab/>
      </w:r>
      <w:r w:rsidRPr="0089318E">
        <w:rPr>
          <w:sz w:val="24"/>
          <w:lang w:val="fi-FI"/>
        </w:rPr>
        <w:t>EUVL L 193, 30.7.2018, s. 1.</w:t>
      </w:r>
    </w:p>
  </w:footnote>
  <w:footnote w:id="6">
    <w:p w14:paraId="594806AB" w14:textId="77777777" w:rsidR="00D2061B" w:rsidRPr="0089318E" w:rsidRDefault="00D2061B" w:rsidP="0089318E">
      <w:pPr>
        <w:pStyle w:val="FootnoteText"/>
        <w:ind w:left="567" w:hanging="567"/>
        <w:rPr>
          <w:sz w:val="24"/>
          <w:lang w:val="fi-FI"/>
        </w:rPr>
      </w:pPr>
      <w:r w:rsidRPr="0089318E">
        <w:rPr>
          <w:rStyle w:val="FootnoteReference"/>
          <w:sz w:val="24"/>
          <w:lang w:val="fi-FI"/>
        </w:rPr>
        <w:footnoteRef/>
      </w:r>
      <w:r w:rsidR="0089318E" w:rsidRPr="0089318E">
        <w:rPr>
          <w:sz w:val="24"/>
          <w:lang w:val="fi-FI"/>
        </w:rPr>
        <w:t xml:space="preserve"> </w:t>
      </w:r>
      <w:r w:rsidR="0089318E" w:rsidRPr="0089318E">
        <w:rPr>
          <w:sz w:val="24"/>
          <w:lang w:val="fi-FI"/>
        </w:rPr>
        <w:tab/>
      </w:r>
      <w:r w:rsidRPr="0089318E">
        <w:rPr>
          <w:sz w:val="24"/>
          <w:lang w:val="fi-FI"/>
        </w:rPr>
        <w:t>EUVL L 207, 11.6.2021,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A8799" w14:textId="77777777" w:rsidR="00064002" w:rsidRPr="0089318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AE98B" w14:textId="77777777" w:rsidR="00064002" w:rsidRPr="0089318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D80DA" w14:textId="77777777" w:rsidR="00064002" w:rsidRPr="0089318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4/2024"/>
    <w:docVar w:name="dvlangue" w:val="FI"/>
    <w:docVar w:name="dvnumam" w:val="0"/>
    <w:docVar w:name="dvpe" w:val="753.481"/>
    <w:docVar w:name="dvrapporteur" w:val="Esittelijä: "/>
    <w:docVar w:name="dvtitre" w:val="Euroopan parlamentin päätöslauselma xx. huhtikuuta 2024 vastuuvapauden myöntämisestä Euroopan unionin yleisen talousarvion toteuttamisesta varainhoitovuonna 2022, pääluokka V – Tilintarkastustuomioistuin(2023/2133(DEC))"/>
  </w:docVars>
  <w:rsids>
    <w:rsidRoot w:val="00B90F97"/>
    <w:rsid w:val="00002272"/>
    <w:rsid w:val="00064002"/>
    <w:rsid w:val="000677B9"/>
    <w:rsid w:val="000831BA"/>
    <w:rsid w:val="000A42CC"/>
    <w:rsid w:val="000E7DD9"/>
    <w:rsid w:val="0010095E"/>
    <w:rsid w:val="00125B37"/>
    <w:rsid w:val="00187494"/>
    <w:rsid w:val="001F32AE"/>
    <w:rsid w:val="002767FF"/>
    <w:rsid w:val="00292764"/>
    <w:rsid w:val="002B18FE"/>
    <w:rsid w:val="002B5493"/>
    <w:rsid w:val="00314E0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77AA9"/>
    <w:rsid w:val="00786EC0"/>
    <w:rsid w:val="007B0685"/>
    <w:rsid w:val="007D1690"/>
    <w:rsid w:val="007E22AD"/>
    <w:rsid w:val="00817416"/>
    <w:rsid w:val="00842779"/>
    <w:rsid w:val="00865F67"/>
    <w:rsid w:val="00881A7B"/>
    <w:rsid w:val="008840E5"/>
    <w:rsid w:val="00887B3E"/>
    <w:rsid w:val="0089318E"/>
    <w:rsid w:val="008C2AC6"/>
    <w:rsid w:val="00930C23"/>
    <w:rsid w:val="0093193B"/>
    <w:rsid w:val="009509D8"/>
    <w:rsid w:val="00950B64"/>
    <w:rsid w:val="00981893"/>
    <w:rsid w:val="009F45C2"/>
    <w:rsid w:val="00A1687D"/>
    <w:rsid w:val="00A43E52"/>
    <w:rsid w:val="00A4678D"/>
    <w:rsid w:val="00A778C7"/>
    <w:rsid w:val="00AB441E"/>
    <w:rsid w:val="00AB6293"/>
    <w:rsid w:val="00AE0928"/>
    <w:rsid w:val="00AF3B82"/>
    <w:rsid w:val="00B12E95"/>
    <w:rsid w:val="00B22876"/>
    <w:rsid w:val="00B558F0"/>
    <w:rsid w:val="00B90F97"/>
    <w:rsid w:val="00BD48FE"/>
    <w:rsid w:val="00BD7BD8"/>
    <w:rsid w:val="00BE6ADC"/>
    <w:rsid w:val="00C05BFE"/>
    <w:rsid w:val="00C23CD4"/>
    <w:rsid w:val="00C61C0C"/>
    <w:rsid w:val="00C941CB"/>
    <w:rsid w:val="00CC2357"/>
    <w:rsid w:val="00CF071A"/>
    <w:rsid w:val="00D058B8"/>
    <w:rsid w:val="00D07000"/>
    <w:rsid w:val="00D2061B"/>
    <w:rsid w:val="00D56C11"/>
    <w:rsid w:val="00D834A0"/>
    <w:rsid w:val="00D872DF"/>
    <w:rsid w:val="00D91E21"/>
    <w:rsid w:val="00DA7FCD"/>
    <w:rsid w:val="00DC3CC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BD7158"/>
  <w15:chartTrackingRefBased/>
  <w15:docId w15:val="{7A214DDA-7AE0-413B-B9CF-B418613F9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2061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2061B"/>
    <w:pPr>
      <w:spacing w:before="480" w:after="240"/>
    </w:pPr>
  </w:style>
  <w:style w:type="paragraph" w:customStyle="1" w:styleId="PageHeading">
    <w:name w:val="PageHeading"/>
    <w:basedOn w:val="Normal"/>
    <w:rsid w:val="00D2061B"/>
    <w:pPr>
      <w:keepNext/>
      <w:spacing w:after="480"/>
      <w:jc w:val="center"/>
    </w:pPr>
    <w:rPr>
      <w:rFonts w:ascii="Arial" w:hAnsi="Arial" w:cs="Arial"/>
      <w:b/>
    </w:rPr>
  </w:style>
  <w:style w:type="paragraph" w:customStyle="1" w:styleId="NormalBold">
    <w:name w:val="NormalBold"/>
    <w:basedOn w:val="Normal"/>
    <w:rsid w:val="00D2061B"/>
    <w:rPr>
      <w:b/>
    </w:rPr>
  </w:style>
  <w:style w:type="paragraph" w:customStyle="1" w:styleId="NormalHanging12a">
    <w:name w:val="NormalHanging12a"/>
    <w:basedOn w:val="Normal"/>
    <w:link w:val="NormalHanging12aChar"/>
    <w:qFormat/>
    <w:rsid w:val="00D2061B"/>
    <w:pPr>
      <w:spacing w:after="240"/>
      <w:ind w:left="567" w:hanging="567"/>
    </w:pPr>
  </w:style>
  <w:style w:type="paragraph" w:styleId="Header">
    <w:name w:val="header"/>
    <w:basedOn w:val="Normal"/>
    <w:link w:val="HeaderChar"/>
    <w:rsid w:val="00D2061B"/>
    <w:pPr>
      <w:tabs>
        <w:tab w:val="center" w:pos="4513"/>
        <w:tab w:val="right" w:pos="9026"/>
      </w:tabs>
    </w:pPr>
  </w:style>
  <w:style w:type="character" w:customStyle="1" w:styleId="HeaderChar">
    <w:name w:val="Header Char"/>
    <w:basedOn w:val="DefaultParagraphFont"/>
    <w:link w:val="Header"/>
    <w:rsid w:val="00D2061B"/>
    <w:rPr>
      <w:sz w:val="24"/>
      <w:lang w:val="fi-FI"/>
    </w:rPr>
  </w:style>
  <w:style w:type="paragraph" w:customStyle="1" w:styleId="EPFooter">
    <w:name w:val="EPFooter"/>
    <w:basedOn w:val="Normal"/>
    <w:rsid w:val="00D2061B"/>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D2061B"/>
    <w:rPr>
      <w:sz w:val="24"/>
      <w:lang w:val="fi-FI"/>
    </w:rPr>
  </w:style>
  <w:style w:type="paragraph" w:styleId="Footer">
    <w:name w:val="footer"/>
    <w:basedOn w:val="Normal"/>
    <w:link w:val="FooterChar"/>
    <w:rsid w:val="009F45C2"/>
    <w:pPr>
      <w:tabs>
        <w:tab w:val="center" w:pos="4513"/>
        <w:tab w:val="right" w:pos="9026"/>
      </w:tabs>
    </w:pPr>
  </w:style>
  <w:style w:type="character" w:customStyle="1" w:styleId="FooterChar">
    <w:name w:val="Footer Char"/>
    <w:basedOn w:val="DefaultParagraphFont"/>
    <w:link w:val="Footer"/>
    <w:rsid w:val="009F45C2"/>
    <w:rPr>
      <w:sz w:val="24"/>
      <w:lang w:val="fi-FI"/>
    </w:rPr>
  </w:style>
  <w:style w:type="character" w:styleId="CommentReference">
    <w:name w:val="annotation reference"/>
    <w:basedOn w:val="DefaultParagraphFont"/>
    <w:rsid w:val="009F45C2"/>
    <w:rPr>
      <w:sz w:val="16"/>
      <w:szCs w:val="16"/>
    </w:rPr>
  </w:style>
  <w:style w:type="paragraph" w:styleId="CommentText">
    <w:name w:val="annotation text"/>
    <w:basedOn w:val="Normal"/>
    <w:link w:val="CommentTextChar"/>
    <w:rsid w:val="009F45C2"/>
    <w:rPr>
      <w:sz w:val="20"/>
    </w:rPr>
  </w:style>
  <w:style w:type="character" w:customStyle="1" w:styleId="CommentTextChar">
    <w:name w:val="Comment Text Char"/>
    <w:basedOn w:val="DefaultParagraphFont"/>
    <w:link w:val="CommentText"/>
    <w:rsid w:val="009F45C2"/>
    <w:rPr>
      <w:lang w:val="fi-FI"/>
    </w:rPr>
  </w:style>
  <w:style w:type="paragraph" w:styleId="CommentSubject">
    <w:name w:val="annotation subject"/>
    <w:basedOn w:val="CommentText"/>
    <w:next w:val="CommentText"/>
    <w:link w:val="CommentSubjectChar"/>
    <w:rsid w:val="009F45C2"/>
    <w:rPr>
      <w:b/>
      <w:bCs/>
    </w:rPr>
  </w:style>
  <w:style w:type="character" w:customStyle="1" w:styleId="CommentSubjectChar">
    <w:name w:val="Comment Subject Char"/>
    <w:basedOn w:val="CommentTextChar"/>
    <w:link w:val="CommentSubject"/>
    <w:rsid w:val="009F45C2"/>
    <w:rPr>
      <w:b/>
      <w:bCs/>
      <w:lang w:val="fi-FI"/>
    </w:rPr>
  </w:style>
  <w:style w:type="paragraph" w:styleId="BalloonText">
    <w:name w:val="Balloon Text"/>
    <w:basedOn w:val="Normal"/>
    <w:link w:val="BalloonTextChar"/>
    <w:rsid w:val="009F45C2"/>
    <w:rPr>
      <w:rFonts w:ascii="Segoe UI" w:hAnsi="Segoe UI" w:cs="Segoe UI"/>
      <w:sz w:val="18"/>
      <w:szCs w:val="18"/>
    </w:rPr>
  </w:style>
  <w:style w:type="character" w:customStyle="1" w:styleId="BalloonTextChar">
    <w:name w:val="Balloon Text Char"/>
    <w:basedOn w:val="DefaultParagraphFont"/>
    <w:link w:val="BalloonText"/>
    <w:rsid w:val="009F45C2"/>
    <w:rPr>
      <w:rFonts w:ascii="Segoe UI" w:hAnsi="Segoe UI" w:cs="Segoe UI"/>
      <w:sz w:val="18"/>
      <w:szCs w:val="18"/>
      <w:lang w:val="fi-FI"/>
    </w:rPr>
  </w:style>
  <w:style w:type="paragraph" w:customStyle="1" w:styleId="Normal6a">
    <w:name w:val="Normal6a"/>
    <w:basedOn w:val="Normal"/>
    <w:rsid w:val="00DC3CC5"/>
    <w:pPr>
      <w:spacing w:after="120"/>
    </w:pPr>
    <w:rPr>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D515E8-E4C8-4FF8-8901-61279F3F1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14</Pages>
  <Words>4021</Words>
  <Characters>35675</Characters>
  <Application>Microsoft Office Word</Application>
  <DocSecurity>0</DocSecurity>
  <Lines>297</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6</cp:revision>
  <cp:lastPrinted>2004-11-19T15:42:00Z</cp:lastPrinted>
  <dcterms:created xsi:type="dcterms:W3CDTF">2024-04-09T09:55:00Z</dcterms:created>
  <dcterms:modified xsi:type="dcterms:W3CDTF">2024-04-11T16:07:00Z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A9-0074/2024</vt:lpwstr>
  </property>
  <property fmtid="{D5CDD505-2E9C-101B-9397-08002B2CF9AE}" pid="4" name="&lt;Type&gt;">
    <vt:lpwstr>RR</vt:lpwstr>
  </property>
</Properties>
</file>