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9E7" w:rsidTr="0010095E">
        <w:trPr>
          <w:trHeight w:hRule="exact" w:val="1418"/>
        </w:trPr>
        <w:tc>
          <w:tcPr>
            <w:tcW w:w="6804" w:type="dxa"/>
            <w:shd w:val="clear" w:color="auto" w:fill="auto"/>
            <w:vAlign w:val="center"/>
          </w:tcPr>
          <w:p w:rsidR="00751A4A" w:rsidRPr="00DD19E7" w:rsidRDefault="006E3E99" w:rsidP="0010095E">
            <w:pPr>
              <w:pStyle w:val="EPName"/>
            </w:pPr>
            <w:r w:rsidRPr="00DD19E7">
              <w:t>Europski parlament</w:t>
            </w:r>
          </w:p>
          <w:p w:rsidR="00751A4A" w:rsidRPr="00DD19E7" w:rsidRDefault="00817416" w:rsidP="00756632">
            <w:pPr>
              <w:pStyle w:val="EPTerm"/>
              <w:rPr>
                <w:rStyle w:val="HideTWBExt"/>
                <w:noProof w:val="0"/>
                <w:vanish w:val="0"/>
                <w:color w:val="auto"/>
              </w:rPr>
            </w:pPr>
            <w:r w:rsidRPr="00DD19E7">
              <w:t>2019-2024</w:t>
            </w:r>
          </w:p>
        </w:tc>
        <w:tc>
          <w:tcPr>
            <w:tcW w:w="2268" w:type="dxa"/>
            <w:shd w:val="clear" w:color="auto" w:fill="auto"/>
          </w:tcPr>
          <w:p w:rsidR="00751A4A" w:rsidRPr="00DD19E7" w:rsidRDefault="00187494" w:rsidP="0010095E">
            <w:pPr>
              <w:pStyle w:val="EPLogo"/>
            </w:pPr>
            <w:r w:rsidRPr="00DD19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19E7" w:rsidRDefault="00D058B8" w:rsidP="004C5D52">
      <w:pPr>
        <w:pStyle w:val="LineTop"/>
      </w:pPr>
    </w:p>
    <w:p w:rsidR="00680577" w:rsidRPr="00DD19E7" w:rsidRDefault="006E3E99" w:rsidP="00680577">
      <w:pPr>
        <w:pStyle w:val="EPBodyTA1"/>
      </w:pPr>
      <w:r w:rsidRPr="00DD19E7">
        <w:t>USVOJENI TEKSTOVI</w:t>
      </w:r>
    </w:p>
    <w:p w:rsidR="00D058B8" w:rsidRPr="00DD19E7" w:rsidRDefault="00D058B8" w:rsidP="00D058B8">
      <w:pPr>
        <w:pStyle w:val="LineBottom"/>
      </w:pPr>
    </w:p>
    <w:p w:rsidR="006E3E99" w:rsidRPr="00DD19E7" w:rsidRDefault="006E3E99" w:rsidP="006E3E99">
      <w:pPr>
        <w:pStyle w:val="ATHeading1"/>
      </w:pPr>
      <w:bookmarkStart w:id="0" w:name="TANumber"/>
      <w:r w:rsidRPr="00DD19E7">
        <w:t>P9_TA(2024)0</w:t>
      </w:r>
      <w:bookmarkEnd w:id="0"/>
      <w:r w:rsidR="00DD19E7" w:rsidRPr="00DD19E7">
        <w:t>231</w:t>
      </w:r>
    </w:p>
    <w:p w:rsidR="006E3E99" w:rsidRPr="00DD19E7" w:rsidRDefault="006E3E99" w:rsidP="006E3E99">
      <w:pPr>
        <w:pStyle w:val="ATHeading2"/>
      </w:pPr>
      <w:bookmarkStart w:id="1" w:name="title"/>
      <w:r w:rsidRPr="00DD19E7">
        <w:t>Razrješnica za 2022.: Opći proračun EU-a – Revizorski sud</w:t>
      </w:r>
      <w:bookmarkEnd w:id="1"/>
    </w:p>
    <w:p w:rsidR="006E3E99" w:rsidRPr="00DD19E7" w:rsidRDefault="006E3E99" w:rsidP="006E3E99">
      <w:pPr>
        <w:rPr>
          <w:i/>
          <w:vanish/>
        </w:rPr>
      </w:pPr>
      <w:r w:rsidRPr="00DD19E7">
        <w:rPr>
          <w:i/>
        </w:rPr>
        <w:fldChar w:fldCharType="begin"/>
      </w:r>
      <w:r w:rsidRPr="00DD19E7">
        <w:rPr>
          <w:i/>
        </w:rPr>
        <w:instrText xml:space="preserve"> TC"(</w:instrText>
      </w:r>
      <w:bookmarkStart w:id="2" w:name="DocNumber"/>
      <w:r w:rsidRPr="00DD19E7">
        <w:rPr>
          <w:i/>
        </w:rPr>
        <w:instrText>A9-0074/2024</w:instrText>
      </w:r>
      <w:bookmarkEnd w:id="2"/>
      <w:r w:rsidRPr="00DD19E7">
        <w:rPr>
          <w:i/>
        </w:rPr>
        <w:instrText xml:space="preserve"> - Izvjestitelj: Luke Ming Flanagan)"\l3 \n&gt; \* MERGEFORMAT </w:instrText>
      </w:r>
      <w:r w:rsidRPr="00DD19E7">
        <w:rPr>
          <w:i/>
        </w:rPr>
        <w:fldChar w:fldCharType="end"/>
      </w:r>
    </w:p>
    <w:p w:rsidR="006E3E99" w:rsidRPr="00DD19E7" w:rsidRDefault="006E3E99" w:rsidP="006E3E99">
      <w:pPr>
        <w:rPr>
          <w:vanish/>
        </w:rPr>
      </w:pPr>
      <w:bookmarkStart w:id="3" w:name="Commission"/>
      <w:r w:rsidRPr="00DD19E7">
        <w:rPr>
          <w:vanish/>
        </w:rPr>
        <w:t>Odbor za proračunski nadzor</w:t>
      </w:r>
      <w:bookmarkEnd w:id="3"/>
    </w:p>
    <w:p w:rsidR="006E3E99" w:rsidRPr="00DD19E7" w:rsidRDefault="006E3E99" w:rsidP="006E3E99">
      <w:pPr>
        <w:rPr>
          <w:vanish/>
        </w:rPr>
      </w:pPr>
      <w:bookmarkStart w:id="4" w:name="PE"/>
      <w:r w:rsidRPr="00DD19E7">
        <w:rPr>
          <w:vanish/>
        </w:rPr>
        <w:t>PE753.481</w:t>
      </w:r>
      <w:bookmarkEnd w:id="4"/>
    </w:p>
    <w:p w:rsidR="006E3E99" w:rsidRPr="00DD19E7" w:rsidRDefault="00053228" w:rsidP="006E3E99">
      <w:pPr>
        <w:pStyle w:val="ATHeading3"/>
      </w:pPr>
      <w:bookmarkStart w:id="5" w:name="Sujet"/>
      <w:r w:rsidRPr="00DD19E7">
        <w:t xml:space="preserve">1. </w:t>
      </w:r>
      <w:r w:rsidR="006E3E99" w:rsidRPr="00DD19E7">
        <w:t>Odl</w:t>
      </w:r>
      <w:r w:rsidRPr="00DD19E7">
        <w:t>uka Europskog parlamenta od 11. travnja</w:t>
      </w:r>
      <w:r w:rsidR="006E3E99" w:rsidRPr="00DD19E7">
        <w:t xml:space="preserve"> 2024. o razrješnici za izvršenje općeg proračuna Europske unije za financijsku godinu 2022., dio V. – Revizorski sud</w:t>
      </w:r>
      <w:bookmarkEnd w:id="5"/>
      <w:r w:rsidR="006E3E99" w:rsidRPr="00DD19E7">
        <w:t xml:space="preserve"> </w:t>
      </w:r>
      <w:bookmarkStart w:id="6" w:name="References"/>
      <w:r w:rsidR="006E3E99" w:rsidRPr="00DD19E7">
        <w:t>(2023/2133(DEC))</w:t>
      </w:r>
      <w:bookmarkEnd w:id="6"/>
    </w:p>
    <w:p w:rsidR="00E41E92" w:rsidRPr="00DD19E7" w:rsidRDefault="00E41E92" w:rsidP="00E41E92">
      <w:pPr>
        <w:pStyle w:val="EPComma"/>
      </w:pPr>
      <w:bookmarkStart w:id="7" w:name="TextBodyBegin"/>
      <w:bookmarkEnd w:id="7"/>
      <w:r w:rsidRPr="00DD19E7">
        <w:rPr>
          <w:i/>
        </w:rPr>
        <w:t>Europski parlament</w:t>
      </w:r>
      <w:r w:rsidRPr="00DD19E7">
        <w:t>,</w:t>
      </w:r>
    </w:p>
    <w:p w:rsidR="00E41E92" w:rsidRPr="00DD19E7" w:rsidRDefault="00E41E92" w:rsidP="00E41E92">
      <w:pPr>
        <w:pStyle w:val="NormalHanging12a"/>
      </w:pPr>
      <w:r w:rsidRPr="00DD19E7">
        <w:t>–</w:t>
      </w:r>
      <w:r w:rsidRPr="00DD19E7">
        <w:tab/>
        <w:t>uzimajući u obzir opći proračun Europske unije za financijsku godinu 2022..</w:t>
      </w:r>
      <w:r w:rsidRPr="00DD19E7">
        <w:rPr>
          <w:rStyle w:val="FootnoteReference"/>
        </w:rPr>
        <w:footnoteReference w:id="1"/>
      </w:r>
      <w:r w:rsidRPr="00DD19E7">
        <w:t>,</w:t>
      </w:r>
    </w:p>
    <w:p w:rsidR="00E41E92" w:rsidRPr="00DD19E7" w:rsidRDefault="00E41E92" w:rsidP="00E41E92">
      <w:pPr>
        <w:pStyle w:val="NormalHanging12a"/>
      </w:pPr>
      <w:r w:rsidRPr="00DD19E7">
        <w:t>–</w:t>
      </w:r>
      <w:r w:rsidRPr="00DD19E7">
        <w:tab/>
        <w:t>uzimajući u obzir konsolidiranu godišnju računovodstvenu dokumentaciju Europske un</w:t>
      </w:r>
      <w:r w:rsidR="00A41080">
        <w:t>ije za financijsku godinu 2022.</w:t>
      </w:r>
      <w:r w:rsidRPr="00DD19E7">
        <w:t xml:space="preserve"> (COM(2023)0391 – C9</w:t>
      </w:r>
      <w:r w:rsidRPr="00DD19E7">
        <w:noBreakHyphen/>
        <w:t>0252/2023)</w:t>
      </w:r>
      <w:r w:rsidRPr="00DD19E7">
        <w:rPr>
          <w:rStyle w:val="FootnoteReference"/>
        </w:rPr>
        <w:footnoteReference w:id="2"/>
      </w:r>
      <w:r w:rsidRPr="00DD19E7">
        <w:t>,</w:t>
      </w:r>
    </w:p>
    <w:p w:rsidR="00E41E92" w:rsidRPr="00DD19E7" w:rsidRDefault="00E41E92" w:rsidP="00E41E92">
      <w:pPr>
        <w:pStyle w:val="NormalHanging12a"/>
      </w:pPr>
      <w:r w:rsidRPr="00DD19E7">
        <w:t>–</w:t>
      </w:r>
      <w:r w:rsidRPr="00DD19E7">
        <w:tab/>
        <w:t>uzimajući u obzir godišnje izvješće Revizorskog suda tijelu koje daje razrješnicu o unutarnjim revizijama provedenima tijekom 2022.,</w:t>
      </w:r>
    </w:p>
    <w:p w:rsidR="00E41E92" w:rsidRPr="00DD19E7" w:rsidRDefault="00E41E92" w:rsidP="00E41E92">
      <w:pPr>
        <w:pStyle w:val="NormalHanging12a"/>
      </w:pPr>
      <w:r w:rsidRPr="00DD19E7">
        <w:t>–</w:t>
      </w:r>
      <w:r w:rsidRPr="00DD19E7">
        <w:tab/>
        <w:t>uzimajući u obzir godišnje izvješće Revizorskog suda o izvršenju proračuna za financijsku godinu 2022., s odgovorima institucija</w:t>
      </w:r>
      <w:r w:rsidRPr="00DD19E7">
        <w:rPr>
          <w:rStyle w:val="FootnoteReference"/>
        </w:rPr>
        <w:footnoteReference w:id="3"/>
      </w:r>
      <w:r w:rsidRPr="00DD19E7">
        <w:t>,</w:t>
      </w:r>
    </w:p>
    <w:p w:rsidR="00E41E92" w:rsidRPr="00DD19E7" w:rsidRDefault="00E41E92" w:rsidP="00E41E92">
      <w:pPr>
        <w:pStyle w:val="NormalHanging12a"/>
      </w:pPr>
      <w:r w:rsidRPr="00DD19E7">
        <w:t>–</w:t>
      </w:r>
      <w:r w:rsidRPr="00DD19E7">
        <w:tab/>
        <w:t>uzimajući u obzir izjavu o jamstvu</w:t>
      </w:r>
      <w:r w:rsidRPr="00DD19E7">
        <w:rPr>
          <w:rStyle w:val="FootnoteReference"/>
        </w:rPr>
        <w:footnoteReference w:id="4"/>
      </w:r>
      <w:r w:rsidRPr="00DD19E7">
        <w:t xml:space="preserve"> u pogledu pouzdanosti računovodstvene dokumentacije te zakonitosti i pravilnosti temeljnih transakcija koju je u skladu s člankom 287. Ugovora o funkcioniranju Europske unije Revizorski sud podnio za financijsku godinu 2022.,</w:t>
      </w:r>
    </w:p>
    <w:p w:rsidR="00E41E92" w:rsidRPr="00DD19E7" w:rsidRDefault="00E41E92" w:rsidP="00E41E92">
      <w:pPr>
        <w:pStyle w:val="NormalHanging12a"/>
      </w:pPr>
      <w:r w:rsidRPr="00DD19E7">
        <w:t>–</w:t>
      </w:r>
      <w:r w:rsidRPr="00DD19E7">
        <w:tab/>
        <w:t>uzimajući u obzir članak 314. stavak 10. te članke 317., 318. i 319. Ugovora o funkcioniranju Europske unije,</w:t>
      </w:r>
    </w:p>
    <w:p w:rsidR="00E41E92" w:rsidRPr="00DD19E7" w:rsidRDefault="00E41E92" w:rsidP="00E41E92">
      <w:pPr>
        <w:pStyle w:val="NormalHanging12a"/>
      </w:pPr>
      <w:r w:rsidRPr="00DD19E7">
        <w:t>–</w:t>
      </w:r>
      <w:r w:rsidRPr="00DD19E7">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DD19E7">
        <w:rPr>
          <w:rStyle w:val="FootnoteReference"/>
        </w:rPr>
        <w:footnoteReference w:id="5"/>
      </w:r>
      <w:r w:rsidRPr="00DD19E7">
        <w:t>, a posebno njezine članke 59., 118., 260., 261. i 262.,</w:t>
      </w:r>
    </w:p>
    <w:p w:rsidR="00E41E92" w:rsidRPr="00DD19E7" w:rsidRDefault="00E41E92" w:rsidP="00E41E92">
      <w:pPr>
        <w:pStyle w:val="NormalHanging12a"/>
      </w:pPr>
      <w:r w:rsidRPr="00DD19E7">
        <w:lastRenderedPageBreak/>
        <w:t>–</w:t>
      </w:r>
      <w:r w:rsidRPr="00DD19E7">
        <w:tab/>
        <w:t>uzimajući u obzir članak 100. Poslovnika i Prilog V. Poslovniku,</w:t>
      </w:r>
    </w:p>
    <w:p w:rsidR="00E41E92" w:rsidRPr="00DD19E7" w:rsidRDefault="00E41E92" w:rsidP="00E41E92">
      <w:pPr>
        <w:pStyle w:val="NormalHanging12a"/>
      </w:pPr>
      <w:r w:rsidRPr="00DD19E7">
        <w:t>–</w:t>
      </w:r>
      <w:r w:rsidRPr="00DD19E7">
        <w:tab/>
        <w:t>uzimajući u obzir izvješće Odbora za proračunski nadzor (A9</w:t>
      </w:r>
      <w:r w:rsidRPr="00DD19E7">
        <w:noBreakHyphen/>
        <w:t>0074/2024),</w:t>
      </w:r>
    </w:p>
    <w:p w:rsidR="00E41E92" w:rsidRPr="00DD19E7" w:rsidRDefault="00E41E92" w:rsidP="00E41E92">
      <w:pPr>
        <w:pStyle w:val="NormalHanging12a"/>
      </w:pPr>
      <w:r w:rsidRPr="00DD19E7">
        <w:t>1.</w:t>
      </w:r>
      <w:r w:rsidRPr="00DD19E7">
        <w:tab/>
        <w:t>daje razrješnicu glavnom tajniku Revizorskog suda za izvršenje proračuna Revizorskog suda za financijsku godinu 2022.;</w:t>
      </w:r>
    </w:p>
    <w:p w:rsidR="00E41E92" w:rsidRPr="00DD19E7" w:rsidRDefault="00E41E92" w:rsidP="00E41E92">
      <w:pPr>
        <w:pStyle w:val="NormalHanging12a"/>
      </w:pPr>
      <w:r w:rsidRPr="00DD19E7">
        <w:t>2.</w:t>
      </w:r>
      <w:r w:rsidRPr="00DD19E7">
        <w:tab/>
        <w:t>iznosi svoje primjedbe u Rezoluciji u nastavku;</w:t>
      </w:r>
    </w:p>
    <w:p w:rsidR="00E41E92" w:rsidRPr="00DD19E7" w:rsidRDefault="00053228" w:rsidP="00E41E92">
      <w:pPr>
        <w:pStyle w:val="NormalHanging12a"/>
      </w:pPr>
      <w:r w:rsidRPr="00DD19E7">
        <w:t>3.</w:t>
      </w:r>
      <w:r w:rsidRPr="00DD19E7">
        <w:tab/>
        <w:t>nalaže svojoj predsjednici</w:t>
      </w:r>
      <w:r w:rsidR="00E41E92" w:rsidRPr="00DD19E7">
        <w:t xml:space="preserve"> da ovu Odluku i Rezoluciju, koja je njezin sastavni dio, proslijedi Vijeću, Komisiji i Revizorskom sudu te da ih da na objavu u </w:t>
      </w:r>
      <w:r w:rsidR="00E41E92" w:rsidRPr="00DD19E7">
        <w:rPr>
          <w:i/>
        </w:rPr>
        <w:t>Službenom listu Europske unije</w:t>
      </w:r>
      <w:r w:rsidR="00E41E92" w:rsidRPr="00DD19E7">
        <w:t xml:space="preserve"> (serija L).</w:t>
      </w:r>
    </w:p>
    <w:p w:rsidR="00E41E92" w:rsidRPr="00DD19E7" w:rsidRDefault="00E41E92" w:rsidP="00E41E92"/>
    <w:p w:rsidR="00E41E92" w:rsidRPr="00DD19E7" w:rsidRDefault="00E41E92" w:rsidP="00E41E92">
      <w:pPr>
        <w:pStyle w:val="PageHeading"/>
        <w:sectPr w:rsidR="00E41E92" w:rsidRPr="00DD19E7" w:rsidSect="00D70E4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41E92" w:rsidRPr="00DD19E7" w:rsidRDefault="00053228" w:rsidP="00E41E92">
      <w:pPr>
        <w:pStyle w:val="NormalBold"/>
      </w:pPr>
      <w:bookmarkStart w:id="9" w:name="_Toc161838317"/>
      <w:r w:rsidRPr="00DD19E7">
        <w:lastRenderedPageBreak/>
        <w:t>2. Rezolucija Europskog parlamenta</w:t>
      </w:r>
      <w:bookmarkEnd w:id="9"/>
      <w:r w:rsidRPr="00DD19E7">
        <w:t xml:space="preserve"> od 11. travnja 2024. </w:t>
      </w:r>
      <w:r w:rsidR="00E41E92" w:rsidRPr="00DD19E7">
        <w:t>s primjedbama koje su sastavni dio Odluke o razrješnici za izvršenje općeg proračuna Europske un</w:t>
      </w:r>
      <w:r w:rsidRPr="00DD19E7">
        <w:t>ije za financijsku godinu 2022.</w:t>
      </w:r>
      <w:r w:rsidR="00E41E92" w:rsidRPr="00DD19E7">
        <w:t>, dio V. – Revizorski sud</w:t>
      </w:r>
      <w:r w:rsidRPr="00DD19E7">
        <w:t xml:space="preserve"> </w:t>
      </w:r>
      <w:r w:rsidR="00E41E92" w:rsidRPr="00DD19E7">
        <w:t>(2023/2133(DEC))</w:t>
      </w:r>
    </w:p>
    <w:p w:rsidR="00E41E92" w:rsidRPr="00DD19E7" w:rsidRDefault="00E41E92" w:rsidP="00E41E92">
      <w:pPr>
        <w:pStyle w:val="EPComma"/>
      </w:pPr>
      <w:r w:rsidRPr="00DD19E7">
        <w:rPr>
          <w:i/>
        </w:rPr>
        <w:t>Europski parlament</w:t>
      </w:r>
      <w:r w:rsidRPr="00DD19E7">
        <w:t>,</w:t>
      </w:r>
    </w:p>
    <w:p w:rsidR="00E41E92" w:rsidRPr="00DD19E7" w:rsidRDefault="00E41E92" w:rsidP="00E41E92">
      <w:pPr>
        <w:pStyle w:val="NormalHanging12a"/>
      </w:pPr>
      <w:r w:rsidRPr="00DD19E7">
        <w:t>–</w:t>
      </w:r>
      <w:r w:rsidRPr="00DD19E7">
        <w:tab/>
        <w:t>uzimajući u obzir svoju Odluku o razrješnici za izvršenje općeg proračuna Europske unije za financijsku godinu 2022., dio V. – Revizorski sud,</w:t>
      </w:r>
    </w:p>
    <w:p w:rsidR="00E41E92" w:rsidRPr="00DD19E7" w:rsidRDefault="00E41E92" w:rsidP="00E41E92">
      <w:pPr>
        <w:pStyle w:val="NormalHanging12a"/>
      </w:pPr>
      <w:r w:rsidRPr="00DD19E7">
        <w:t>–</w:t>
      </w:r>
      <w:r w:rsidRPr="00DD19E7">
        <w:tab/>
        <w:t>uzimajući u obzir članak 100. Poslovnika i Prilog V. Poslovniku,</w:t>
      </w:r>
    </w:p>
    <w:p w:rsidR="00E41E92" w:rsidRPr="00DD19E7" w:rsidRDefault="00E41E92" w:rsidP="00E41E92">
      <w:pPr>
        <w:pStyle w:val="NormalHanging12a"/>
      </w:pPr>
      <w:r w:rsidRPr="00DD19E7">
        <w:t>–</w:t>
      </w:r>
      <w:r w:rsidRPr="00DD19E7">
        <w:tab/>
        <w:t>uzimajući u obzir izvješće Odbora za proračunski nadzor (A9</w:t>
      </w:r>
      <w:r w:rsidRPr="00DD19E7">
        <w:noBreakHyphen/>
        <w:t>0074/2024),</w:t>
      </w:r>
    </w:p>
    <w:p w:rsidR="00E41E92" w:rsidRPr="00DD19E7" w:rsidRDefault="00E41E92" w:rsidP="00E41E92">
      <w:pPr>
        <w:pStyle w:val="NormalHanging12a"/>
        <w:rPr>
          <w:szCs w:val="24"/>
        </w:rPr>
      </w:pPr>
      <w:r w:rsidRPr="00DD19E7">
        <w:t>A.</w:t>
      </w:r>
      <w:r w:rsidRPr="00DD19E7">
        <w:tab/>
        <w:t xml:space="preserve">budući da u kontekstu postupka davanja razrješnice tijelo nadležno za davanje razrješnice želi istaknuti da je posebno važno dalje jačati demokratski legitimitet institucija Unije poboljšanjem transparentnosti i odgovornosti te uvođenjem koncepta izrade proračuna utemeljenog na uspješnosti kao i dobrim </w:t>
      </w:r>
      <w:r w:rsidR="004C1108">
        <w:t>upravljanjem ljudskim resursima;</w:t>
      </w:r>
    </w:p>
    <w:p w:rsidR="00E41E92" w:rsidRPr="00DD19E7" w:rsidRDefault="00E41E92" w:rsidP="00E41E92">
      <w:pPr>
        <w:pStyle w:val="NormalHanging12a"/>
        <w:rPr>
          <w:szCs w:val="24"/>
        </w:rPr>
      </w:pPr>
      <w:r w:rsidRPr="00DD19E7">
        <w:t>B.</w:t>
      </w:r>
      <w:r w:rsidRPr="00DD19E7">
        <w:tab/>
        <w:t>budući da je Europski revizorski sud („Revizorski sud”) vanjski revizor Unije kojemu je povjereno da kroz neovisan, stručan i učinkovit revizijski rad procijeni ekonomičnost, djelotvornost, učinkovitost, zakonitost i pravilnost djelovanja Unije s ciljem poboljšanja odgovornosti, transparentnosti i financijskog upravljanja, čime se jača povjerenje građana i djelotvorno odgovara na trenutačne i buduće izazove s kojima se Unija suočava;</w:t>
      </w:r>
    </w:p>
    <w:p w:rsidR="00E41E92" w:rsidRPr="00DD19E7" w:rsidRDefault="00E41E92" w:rsidP="00E41E92">
      <w:pPr>
        <w:pStyle w:val="NormalHanging12a"/>
        <w:rPr>
          <w:szCs w:val="24"/>
        </w:rPr>
      </w:pPr>
      <w:r w:rsidRPr="00DD19E7">
        <w:t>C.</w:t>
      </w:r>
      <w:r w:rsidRPr="00DD19E7">
        <w:tab/>
        <w:t>budući da, ne dovodeći u pitanje odredbe članka 287. i 319. Ugovora o funkcioniranju Europske unije (UFEU), od zaključenja financijske godine 1987. neovisni vanjski revizor svake godine obavlja reviziju računovodstvene dokumentacije o prihodima i rashodima Revizorskog suda, i da se od izvješća za financijsku godinu 1992. izvješća vanjskog revizora objavljuju u Službenom listu Europske unije;</w:t>
      </w:r>
    </w:p>
    <w:p w:rsidR="00E41E92" w:rsidRPr="00DD19E7" w:rsidRDefault="00E41E92" w:rsidP="00E41E92">
      <w:pPr>
        <w:pStyle w:val="NormalHanging12a"/>
        <w:rPr>
          <w:szCs w:val="24"/>
        </w:rPr>
      </w:pPr>
      <w:r w:rsidRPr="00DD19E7">
        <w:t>D.</w:t>
      </w:r>
      <w:r w:rsidRPr="00DD19E7">
        <w:tab/>
        <w:t>budući da Revizorski sud za svoje upravljanje odgovara proračunskim tijelima podnošenjem godišnjeg izvješća svojeg glavnog tajnika o radu, čija je svrha u skladu s člankom 74. stavkom 9. Financijske uredbe pružiti informacije o upravljanju resursima, uključujući sustave, te o učinkovitosti i djelotvornosti sustava unutarnje kontrole Revizorskog suda;</w:t>
      </w:r>
    </w:p>
    <w:p w:rsidR="00E41E92" w:rsidRPr="00DD19E7" w:rsidRDefault="00E41E92" w:rsidP="00E41E92">
      <w:pPr>
        <w:pStyle w:val="NormalHanging12a"/>
        <w:rPr>
          <w:szCs w:val="24"/>
        </w:rPr>
      </w:pPr>
      <w:r w:rsidRPr="00DD19E7">
        <w:t>E.</w:t>
      </w:r>
      <w:r w:rsidRPr="00DD19E7">
        <w:tab/>
        <w:t>budući da Revizorski sud transparentnim i neovisnim djelovanjem doprinosi demokratskom nadzoru, javnoj raspravi i dobrom financijskom upravljanju Unije;</w:t>
      </w:r>
    </w:p>
    <w:p w:rsidR="00E41E92" w:rsidRPr="00DD19E7" w:rsidRDefault="00E41E92" w:rsidP="00E41E92">
      <w:pPr>
        <w:pStyle w:val="NormalHanging12a"/>
        <w:rPr>
          <w:szCs w:val="24"/>
        </w:rPr>
      </w:pPr>
      <w:r w:rsidRPr="00DD19E7">
        <w:t>F.</w:t>
      </w:r>
      <w:r w:rsidRPr="00DD19E7">
        <w:tab/>
        <w:t>budući da je Revizorski sud zauzeo stajalište prema kojem bi za procjenu upravljanja Unijom, njezine odgovornosti i transparentnosti te kvalitete i pouzdanosti dostavljenih informacija i podataka o provedbi politika Unije bilo najbolje da Revizorski sud bude ovlašten za reviziju svih institucija, tijela, ureda i agencija Unije osnovanih Ugovorima ili na temelju njih te svih međuvladinih struktura od ključne važnosti za funkcioniranje Unije; budući da Parlament snažno podržava Revizorski sud u tom pogledu i da bi pozdravio svaku inicijativu kojom bi mu se povjerio širi mandat;</w:t>
      </w:r>
    </w:p>
    <w:p w:rsidR="00E41E92" w:rsidRPr="00DD19E7" w:rsidRDefault="00E41E92" w:rsidP="00E41E92">
      <w:pPr>
        <w:pStyle w:val="NormalHanging12a"/>
        <w:rPr>
          <w:szCs w:val="24"/>
        </w:rPr>
      </w:pPr>
      <w:r w:rsidRPr="00DD19E7">
        <w:t>1.</w:t>
      </w:r>
      <w:r w:rsidRPr="00DD19E7">
        <w:tab/>
        <w:t xml:space="preserve">konstatira da je proračun Revizorskog suda obuhvaćen naslovom 7. VFO-a „Europska javna uprava”, koji je 2022. iznosio 11,6 milijardi EUR (što predstavlja 5,9 % ukupnog </w:t>
      </w:r>
      <w:r w:rsidRPr="00DD19E7">
        <w:lastRenderedPageBreak/>
        <w:t>proračuna Unije); konstatira da je 2022. proračun Revizorskog suda iznosio približno 0,2 milijarde EUR, odnosno 1,4 % ukupnih administrativnih rashoda;</w:t>
      </w:r>
    </w:p>
    <w:p w:rsidR="00E41E92" w:rsidRPr="00DD19E7" w:rsidRDefault="00E41E92" w:rsidP="00E41E92">
      <w:pPr>
        <w:pStyle w:val="NormalHanging12a"/>
        <w:rPr>
          <w:szCs w:val="24"/>
        </w:rPr>
      </w:pPr>
      <w:r w:rsidRPr="00DD19E7">
        <w:t>2.</w:t>
      </w:r>
      <w:r w:rsidRPr="00DD19E7">
        <w:tab/>
        <w:t xml:space="preserve">konstatira da je Revizorski sud u godišnjem izvješću za financijsku godinu 2022. ispitao uzorak od 60 transakcija u području „Uprava”, koliko ih je ispitao i za 2021.; nadalje prima na znanje da Revizorski sud piše da administrativni rashodi obuhvaćaju rashode za ljudske resurse, uključujući rashode za mirovine, koji su 2022. činili oko 70 % ukupnih administrativnih rashoda, te rashode za zgrade, opremu, energiju, komunikacije i informacijsku tehnologiju te da njegov rad tijekom mnogo godina upućuje na to da je ta potrošnja općenito </w:t>
      </w:r>
      <w:proofErr w:type="spellStart"/>
      <w:r w:rsidRPr="00DD19E7">
        <w:t>niskorizična</w:t>
      </w:r>
      <w:proofErr w:type="spellEnd"/>
      <w:r w:rsidRPr="00DD19E7">
        <w:t>;</w:t>
      </w:r>
    </w:p>
    <w:p w:rsidR="00E41E92" w:rsidRPr="00DD19E7" w:rsidRDefault="00E41E92" w:rsidP="00E41E92">
      <w:pPr>
        <w:pStyle w:val="NormalHanging12a"/>
        <w:rPr>
          <w:szCs w:val="24"/>
        </w:rPr>
      </w:pPr>
      <w:r w:rsidRPr="00DD19E7">
        <w:t>3.</w:t>
      </w:r>
      <w:r w:rsidRPr="00DD19E7">
        <w:tab/>
        <w:t xml:space="preserve">poziva Revizorski sud da poveća broj transakcija u području administracije koje treba ispitati kako bi se provela revizija svih institucija i kako bi Parlament bolje ispunio svoju ulogu tijela nadležnog za davanje razrješnice drugim institucijama; </w:t>
      </w:r>
      <w:r w:rsidR="00DD19E7" w:rsidRPr="00DD19E7">
        <w:t xml:space="preserve">žali zbog toga što je plan za izradu tematskog izvješća o administrativnim rashodima </w:t>
      </w:r>
      <w:r w:rsidRPr="00DD19E7">
        <w:t>za ostale institucije osim Komisije</w:t>
      </w:r>
      <w:r w:rsidR="00DD19E7" w:rsidRPr="00DD19E7">
        <w:t xml:space="preserve"> izmijenjen kako bi se provela revizija javne službe EU-a, te će se u njemu vjerojatno razmotriti samo ograničeni dio administrativnih rashoda; ponavlja važnost temeljitije istrage administrativnih rashoda i ponavlja poziv da se u njegov rad uključe sveobuhvatni podaci o svim institucijama kako bi se pružila utemeljena osnova za dosljedan postupak davanja razrješnice</w:t>
      </w:r>
      <w:r w:rsidRPr="00DD19E7">
        <w:t>;</w:t>
      </w:r>
    </w:p>
    <w:p w:rsidR="00E41E92" w:rsidRPr="00DD19E7" w:rsidRDefault="00E41E92" w:rsidP="00E41E92">
      <w:pPr>
        <w:pStyle w:val="NormalHanging12a"/>
        <w:rPr>
          <w:szCs w:val="24"/>
        </w:rPr>
      </w:pPr>
      <w:r w:rsidRPr="00DD19E7">
        <w:t>4.</w:t>
      </w:r>
      <w:r w:rsidRPr="00DD19E7">
        <w:tab/>
        <w:t>konstatira da godišnju računovodstvenu dokumentaciju Revizorskog suda revidira neovisni vanjski revizor kako bi se osigurala ista načela transparentnosti, odgovornosti i neovisnosti Revizorskog suda koja Revizorski sud primjenjuje na subjekte svojih revizija; sa zadovoljstvom ističe da vanjski revizor pri obavljanju revizije Revizorskog suda nije utvrdio nijedno sporno pitanje;</w:t>
      </w:r>
    </w:p>
    <w:p w:rsidR="00E41E92" w:rsidRPr="00DD19E7" w:rsidRDefault="00E41E92" w:rsidP="00E41E92">
      <w:pPr>
        <w:pStyle w:val="NormalHanging12a"/>
        <w:rPr>
          <w:b/>
          <w:szCs w:val="24"/>
        </w:rPr>
      </w:pPr>
      <w:r w:rsidRPr="00DD19E7">
        <w:rPr>
          <w:b/>
        </w:rPr>
        <w:t>Upravljanje proračunom i financijama</w:t>
      </w:r>
    </w:p>
    <w:p w:rsidR="00E41E92" w:rsidRPr="00DD19E7" w:rsidRDefault="00E41E92" w:rsidP="00E41E92">
      <w:pPr>
        <w:pStyle w:val="NormalHanging12a"/>
        <w:rPr>
          <w:szCs w:val="24"/>
        </w:rPr>
      </w:pPr>
      <w:r w:rsidRPr="00DD19E7">
        <w:t>5.</w:t>
      </w:r>
      <w:r w:rsidRPr="00DD19E7">
        <w:tab/>
        <w:t xml:space="preserve">konstatira da je ukupni proračun Revizorskog suda za 2022. iznosio 162 141 175 EUR, što je povećanje od 5,5 % u odnosu na 153 721 727 EUR iz 2021.; napominje da je povećanje prvenstveno posljedica usklađivanja plaća i 20 novih privremenih radnih mjesta povezanih s instrumentom </w:t>
      </w:r>
      <w:proofErr w:type="spellStart"/>
      <w:r w:rsidRPr="00DD19E7">
        <w:rPr>
          <w:i/>
          <w:iCs/>
        </w:rPr>
        <w:t>NextGenerationEU</w:t>
      </w:r>
      <w:proofErr w:type="spellEnd"/>
      <w:r w:rsidRPr="00DD19E7">
        <w:t>; napominje da je za 2022. 90 % odobrenih sredstava bilo namijenjeno njegovim članovima i osoblju, a 10 % za zgrade, opremu i razne rashode;</w:t>
      </w:r>
    </w:p>
    <w:p w:rsidR="00E41E92" w:rsidRPr="00DD19E7" w:rsidRDefault="00E41E92" w:rsidP="00E41E92">
      <w:pPr>
        <w:pStyle w:val="NormalHanging12a"/>
        <w:rPr>
          <w:szCs w:val="24"/>
        </w:rPr>
      </w:pPr>
      <w:r w:rsidRPr="00DD19E7">
        <w:t>6.</w:t>
      </w:r>
      <w:r w:rsidRPr="00DD19E7">
        <w:tab/>
        <w:t>nadalje ponavlja da je važno zajamčiti da se Revizorskom sudu osigura dostatan broj osoblja kako bi na odgovarajući način ispunio svoj mandat, kao i nove zadaće povezane sa stupanjem na snagu novih financijskih instrumenata, kao što je Mehanizam za oporavak i otpornost (RRF);</w:t>
      </w:r>
    </w:p>
    <w:p w:rsidR="00E41E92" w:rsidRPr="00DD19E7" w:rsidRDefault="00E41E92" w:rsidP="00E41E92">
      <w:pPr>
        <w:pStyle w:val="NormalHanging12a"/>
        <w:rPr>
          <w:szCs w:val="24"/>
        </w:rPr>
      </w:pPr>
      <w:r w:rsidRPr="00DD19E7">
        <w:t>7.</w:t>
      </w:r>
      <w:r w:rsidRPr="00DD19E7">
        <w:tab/>
        <w:t>napominje da je Revizorski sud tijekom 2022. izvršio 26 proračunskih prijenosa u skladu s člankom 29. Financijske uredbe, što je ukupno 3,4 milijuna EUR ili 2,1 % odobrenih sredstava za tu financijsku godinu, što je uglavnom značilo smanjenje rashoda za službena putovanja, publikacije, usmeno prevođenje i pravnu službu te povećanje rashoda za opremanje prostora, uključujući obnovu krova, troškove energije, ugovorno osoblje i informatičku opremu; konstatira i da je stopa izvršenja proračuna za 2022. iznosila 98,5 %, što je blago povećanje u odnosu na prethodne dvije godine; pozdravlja činjenicu da je prosječno vrijeme plaćanja 2022. smanjeno na 9,8 dana u usporedbi s 10,7 dana 2021., najvjerojatnije zahvaljujući povećanju udjela elektroničkih računa, koji je iznosio 24 % u usporedbi s 19 % 2021.;</w:t>
      </w:r>
    </w:p>
    <w:p w:rsidR="00E41E92" w:rsidRPr="00DD19E7" w:rsidRDefault="00E41E92" w:rsidP="00E41E92">
      <w:pPr>
        <w:pStyle w:val="NormalHanging12a"/>
        <w:rPr>
          <w:szCs w:val="24"/>
        </w:rPr>
      </w:pPr>
      <w:r w:rsidRPr="00DD19E7">
        <w:lastRenderedPageBreak/>
        <w:t>8.</w:t>
      </w:r>
      <w:r w:rsidRPr="00DD19E7">
        <w:tab/>
        <w:t>sa zadovoljstvom primjećuje da je vanjski revizor izjavio da su dodijeljena sredstva iskorištena u skladu s njihovom namjenom i da su postupci kontrole koje su uspostavili dužnosnici za ovjeravanje pružili potrebna jamstva kako bi se osiguralo da su financijske operacije u skladu s primjenjivim pravilima i propisima;</w:t>
      </w:r>
    </w:p>
    <w:p w:rsidR="00E41E92" w:rsidRPr="00DD19E7" w:rsidRDefault="00E41E92" w:rsidP="00E41E92">
      <w:pPr>
        <w:pStyle w:val="NormalHanging12a"/>
        <w:rPr>
          <w:szCs w:val="24"/>
        </w:rPr>
      </w:pPr>
      <w:r w:rsidRPr="00DD19E7">
        <w:t>9.</w:t>
      </w:r>
      <w:r w:rsidRPr="00DD19E7">
        <w:tab/>
        <w:t>napominje da je nezakonita i neopravdana ruska ratna agresija na Ukrajinu na različite načine stvorila proračunske pritiske za Revizorski sud, među ostalim u vidu povećanja inflacije i usklađivanja plaća te znatnog povećanja troškova za električnu energiju i grijanje;</w:t>
      </w:r>
    </w:p>
    <w:p w:rsidR="00E41E92" w:rsidRPr="00DD19E7" w:rsidRDefault="00E41E92" w:rsidP="00E41E92">
      <w:pPr>
        <w:pStyle w:val="NormalHanging12a"/>
        <w:rPr>
          <w:szCs w:val="24"/>
        </w:rPr>
      </w:pPr>
      <w:r w:rsidRPr="00DD19E7">
        <w:t>10.</w:t>
      </w:r>
      <w:r w:rsidRPr="00DD19E7">
        <w:tab/>
        <w:t>konstatira da se opći proračun za službena putovanja Revizorskog suda 2022. smanjio s 2 988 000 EUR koliko je iznosio 2021. na 2 452 000 EUR, što je smanjenje od 18 % koje je posljedica nastavka ograničenja putovanja na početku 2022. i promjena u metodama rada s većim brojem sastanaka na daljinu; nadalje konstatira da Revizorski sud nema posebnu proračunsku liniju za službena putovanja i putovanja svojeg predsjednika; naposljetku konstatira da je proračunska linija za službena putovanja svih članova Revizorskog suda 2021. i 2022. iznosila 290 000 EUR;</w:t>
      </w:r>
    </w:p>
    <w:p w:rsidR="00E41E92" w:rsidRPr="00DD19E7" w:rsidRDefault="00E41E92" w:rsidP="00E41E92">
      <w:pPr>
        <w:pStyle w:val="NormalHanging12a"/>
        <w:rPr>
          <w:szCs w:val="24"/>
        </w:rPr>
      </w:pPr>
      <w:r w:rsidRPr="00DD19E7">
        <w:t>11.</w:t>
      </w:r>
      <w:r w:rsidRPr="00DD19E7">
        <w:tab/>
        <w:t xml:space="preserve">pozdravlja činjenicu da je Revizorski sud 2022. uspostavio detaljnu metodologiju kontrole za obradu troškova službenih putovanja u vidu </w:t>
      </w:r>
      <w:r w:rsidRPr="00DD19E7">
        <w:rPr>
          <w:i/>
          <w:iCs/>
        </w:rPr>
        <w:t>ex </w:t>
      </w:r>
      <w:proofErr w:type="spellStart"/>
      <w:r w:rsidRPr="00DD19E7">
        <w:rPr>
          <w:i/>
          <w:iCs/>
        </w:rPr>
        <w:t>ante</w:t>
      </w:r>
      <w:proofErr w:type="spellEnd"/>
      <w:r w:rsidRPr="00DD19E7">
        <w:t xml:space="preserve"> i </w:t>
      </w:r>
      <w:r w:rsidRPr="00DD19E7">
        <w:rPr>
          <w:i/>
          <w:iCs/>
        </w:rPr>
        <w:t>ex post</w:t>
      </w:r>
      <w:r w:rsidRPr="00DD19E7">
        <w:t xml:space="preserve"> kontrola;</w:t>
      </w:r>
    </w:p>
    <w:p w:rsidR="00E41E92" w:rsidRPr="00DD19E7" w:rsidRDefault="00E41E92" w:rsidP="00E41E92">
      <w:pPr>
        <w:pStyle w:val="NormalHanging12a"/>
        <w:rPr>
          <w:b/>
          <w:szCs w:val="24"/>
        </w:rPr>
      </w:pPr>
      <w:r w:rsidRPr="00DD19E7">
        <w:rPr>
          <w:b/>
        </w:rPr>
        <w:t>Unutarnje upravljanje, uspješnost i unutarnja kontrola</w:t>
      </w:r>
    </w:p>
    <w:p w:rsidR="00E41E92" w:rsidRPr="00DD19E7" w:rsidRDefault="00E41E92" w:rsidP="00E41E92">
      <w:pPr>
        <w:pStyle w:val="NormalHanging12a"/>
        <w:rPr>
          <w:szCs w:val="24"/>
        </w:rPr>
      </w:pPr>
      <w:r w:rsidRPr="00DD19E7">
        <w:t>12.</w:t>
      </w:r>
      <w:r w:rsidRPr="00DD19E7">
        <w:tab/>
        <w:t>napominje da je 2022. bila druga godina provedbe strategije Revizorskog suda za razdoblje 2021. – 2025. i da je krajem 2022. od 29 strateških mjera njih 18 provedeno u potpunosti ili je uspostavljen okvir za mjeru uz popratne aktivnosti u tijeku, dok je provedba 11 mjera bila u tijeku ili kontinuirana;</w:t>
      </w:r>
    </w:p>
    <w:p w:rsidR="00E41E92" w:rsidRPr="00DD19E7" w:rsidRDefault="00E41E92" w:rsidP="00E41E92">
      <w:pPr>
        <w:pStyle w:val="NormalHanging12a"/>
        <w:rPr>
          <w:szCs w:val="24"/>
        </w:rPr>
      </w:pPr>
      <w:r w:rsidRPr="00DD19E7">
        <w:t>13.</w:t>
      </w:r>
      <w:r w:rsidRPr="00DD19E7">
        <w:tab/>
        <w:t>konstatira da je Revizorski sud tijekom 2022. objavio sedam godišnjih izvješća, osam mišljenja, 28 tematskih izvješća i jedan pregled, što je vrlo slično broju izvješća, mišljenja, tematskih izvješća i pregleda objavljenih 2020. i 2021.;</w:t>
      </w:r>
    </w:p>
    <w:p w:rsidR="00E41E92" w:rsidRPr="00DD19E7" w:rsidRDefault="00E41E92" w:rsidP="00E41E92">
      <w:pPr>
        <w:pStyle w:val="NormalHanging12a"/>
        <w:rPr>
          <w:szCs w:val="24"/>
        </w:rPr>
      </w:pPr>
      <w:r w:rsidRPr="00DD19E7">
        <w:t>14.</w:t>
      </w:r>
      <w:r w:rsidRPr="00DD19E7">
        <w:tab/>
        <w:t>konstatira da Revizorski sud u potpunosti neovisno utvrđuje svoj program rada, uključujući tematska izvješća koja želi izraditi; i dalje poručuje Revizorskom sudu da će tematska izvješća koja su usmjerena na trenutačnu situaciju i izazove u Uniji s jasnim fokusom i važnosti na proračunu privući najveću pozornost ključnih dionika u Parlamentu i drugdje; u tom pogledu pozdravlja što je 2022. došlo do izmjene postupka izrade programa kojom se uvodi veća fleksibilnost u pogledu hvatanja u koštac s gorućim izazovima kako bi se bolje služilo interesima njegovih dionika;</w:t>
      </w:r>
    </w:p>
    <w:p w:rsidR="00E41E92" w:rsidRPr="00DD19E7" w:rsidRDefault="00E41E92" w:rsidP="00E41E92">
      <w:pPr>
        <w:pStyle w:val="NormalHanging12a"/>
        <w:rPr>
          <w:szCs w:val="24"/>
        </w:rPr>
      </w:pPr>
      <w:r w:rsidRPr="00DD19E7">
        <w:t>15.</w:t>
      </w:r>
      <w:r w:rsidRPr="00DD19E7">
        <w:tab/>
        <w:t>uvažava činjenicu da je, u skladu sa zahtjevom Parlamenta, Revizorski sud usmjerio svoj revizijski rad na trenutačne europske izazove, što je vidljivo iz vrlo brze izrade Mišljenja 3/2023 o Instrumentu za Ukrajinu i pozornosti koja se posvećuje praćenju njegove provedbe; zabrinut je zbog toga što, kad je riječ o reviziji Mehanizma za oporavak i otpornost (RRF), Revizorski sud i dalje nema potpuni pristup alatu FENIX, novom alatu za izvješćivanje o RRF-u, i zbog toga što se informacije u tom novom alatu ne ažuriraju pravodobno: podržava stajalište Revizorskog suda da su člankom 257. Financijske uredbe predviđena prava punog i neposrednog pristupa za Revizorski sud; nadalje poziva Komisiju da Revizorskom sudu omogući pristup drugim vrstama relevantnih informacija kako bi ispunio svoju ulogu;</w:t>
      </w:r>
    </w:p>
    <w:p w:rsidR="00E41E92" w:rsidRPr="00DD19E7" w:rsidRDefault="00E41E92" w:rsidP="00E41E92">
      <w:pPr>
        <w:pStyle w:val="NormalHanging12a"/>
        <w:rPr>
          <w:szCs w:val="24"/>
        </w:rPr>
      </w:pPr>
      <w:r w:rsidRPr="00DD19E7">
        <w:lastRenderedPageBreak/>
        <w:t>16.</w:t>
      </w:r>
      <w:r w:rsidRPr="00DD19E7">
        <w:tab/>
        <w:t>cijeni pravovremena i relevantna tematska izvješća o provedbi Mehanizma za oporavak i otpornost kojima se tijelu nadležnom za davanje razrješnice omogućuje da izvršava svoje ovlasti i upućuje preporuke Komisiji o tome kako poboljšati funkcioniranje tog instrumenta;</w:t>
      </w:r>
    </w:p>
    <w:p w:rsidR="00E41E92" w:rsidRPr="00DD19E7" w:rsidRDefault="00E41E92" w:rsidP="00E41E92">
      <w:pPr>
        <w:pStyle w:val="NormalHanging12a"/>
        <w:rPr>
          <w:szCs w:val="24"/>
        </w:rPr>
      </w:pPr>
      <w:r w:rsidRPr="00DD19E7">
        <w:t>17.</w:t>
      </w:r>
      <w:r w:rsidRPr="00DD19E7">
        <w:tab/>
        <w:t>pozdravlja činjenicu da je Revizorski sud dostavio sažeto izvješće o broju i vrsti unutarnjih revizija provedenih na Revizorskom sudu te sažetak preporuka i mjera poduzetih na temelju tih preporuka u skladu s člankom 118. stavkom 8. Financijske uredbe; konstatira da je godišnji program rada unutarnjeg revizora podrazumijevao zadaće koje se ponavljaju, odabrane zadaće i druge zadaće dovršene tijekom godine; konstatira da su neke mjere predviđene za provedbu 2022. odgođene za 2023. i traži od Revizorskog suda da izvijesti Parlament o njihovoj provedbi;</w:t>
      </w:r>
    </w:p>
    <w:p w:rsidR="00E41E92" w:rsidRPr="00DD19E7" w:rsidRDefault="00E41E92" w:rsidP="00E41E92">
      <w:pPr>
        <w:pStyle w:val="NormalHanging12a"/>
        <w:rPr>
          <w:szCs w:val="24"/>
        </w:rPr>
      </w:pPr>
      <w:r w:rsidRPr="00DD19E7">
        <w:t>18.</w:t>
      </w:r>
      <w:r w:rsidRPr="00DD19E7">
        <w:tab/>
        <w:t>potiče Revizorski sud da poveća svoj doprinos borbi protiv prijevara na štetu proračuna Unije, ne samo utvrđivanjem i prijavljivanjem nedostataka zbog kojih su prijevare u okviru programa koje financira Unija izložene prijevarama, već i uzimanjem u obzir trenutačne rasprave među različitim tijelima iz strukture za borbu protiv prijevara te intenziviranjem revizijskog rada u suradnji s tijelima zaduženima za otkrivanje prijevara, redovitom procjenom njihovih aktivnosti i pružanjem povratnih informacija tijelu nadležnom za davanje razrješnice koje su bitne za analizu koju provodi;</w:t>
      </w:r>
    </w:p>
    <w:p w:rsidR="00E41E92" w:rsidRPr="00DD19E7" w:rsidRDefault="00E41E92" w:rsidP="00E41E92">
      <w:pPr>
        <w:pStyle w:val="NormalHanging12a"/>
        <w:rPr>
          <w:szCs w:val="24"/>
        </w:rPr>
      </w:pPr>
      <w:r w:rsidRPr="00DD19E7">
        <w:t>19.</w:t>
      </w:r>
      <w:r w:rsidRPr="00DD19E7">
        <w:tab/>
        <w:t>pozdravlja to što Revizorski sud u svojoj strategiji za razdoblje 2021. 2025. navodi sastavljanje troškovno učinkovitih preporuka kako bi doprinio smanjenju birokracije u institucijama Unije; ističe da preporuke Revizorskog suda o povećanju učinkovitosti postupaka, primjeni najbolje prakse, poboljšanju koordinacije, uspostavi standardnih procesa, sprečavanju prekomjerne regulacije te pojednostavnjenju i digitalizaciji, posebno služe ostvarivanju tog cilja;</w:t>
      </w:r>
    </w:p>
    <w:p w:rsidR="00E41E92" w:rsidRPr="00DD19E7" w:rsidRDefault="00E41E92" w:rsidP="00E41E92">
      <w:pPr>
        <w:pStyle w:val="NormalHanging12a"/>
        <w:rPr>
          <w:szCs w:val="24"/>
        </w:rPr>
      </w:pPr>
      <w:r w:rsidRPr="00DD19E7">
        <w:t>20.</w:t>
      </w:r>
      <w:r w:rsidRPr="00DD19E7">
        <w:tab/>
        <w:t xml:space="preserve">potiče Revizorski sud da nastavi preporučivati razvoj i održavanje baza podataka na razini Unije i napore koji se ulažu u učinkovite kapacitete za rudarenje podataka kako bi se provela analiza podataka na razini Unije i utvrdili rizici relevantni za Uniju; poziva Revizorski sud da se pozabavi utvrđivanjem zahtjeva nužnih za prikupljanje, obradu i pohranu podataka potrebnih za jednostavnu i </w:t>
      </w:r>
      <w:proofErr w:type="spellStart"/>
      <w:r w:rsidRPr="00DD19E7">
        <w:t>interoperabilnu</w:t>
      </w:r>
      <w:proofErr w:type="spellEnd"/>
      <w:r w:rsidRPr="00DD19E7">
        <w:t xml:space="preserve"> reviziju upotrebe javnih sredstava u državama članicama;</w:t>
      </w:r>
    </w:p>
    <w:p w:rsidR="00E41E92" w:rsidRPr="00DD19E7" w:rsidRDefault="00E41E92" w:rsidP="00E41E92">
      <w:pPr>
        <w:pStyle w:val="NormalHanging12a"/>
        <w:rPr>
          <w:b/>
          <w:szCs w:val="24"/>
        </w:rPr>
      </w:pPr>
      <w:r w:rsidRPr="00DD19E7">
        <w:rPr>
          <w:b/>
        </w:rPr>
        <w:t>Ljudski resursi, ravnopravnost i dobrobit osoblja</w:t>
      </w:r>
    </w:p>
    <w:p w:rsidR="00E41E92" w:rsidRPr="00DD19E7" w:rsidRDefault="00E41E92" w:rsidP="00E41E92">
      <w:pPr>
        <w:pStyle w:val="NormalHanging12a"/>
        <w:rPr>
          <w:szCs w:val="24"/>
        </w:rPr>
      </w:pPr>
      <w:r w:rsidRPr="00DD19E7">
        <w:t>21.</w:t>
      </w:r>
      <w:r w:rsidRPr="00DD19E7">
        <w:tab/>
        <w:t>konstatira da je na kraju 2022. Revizorski sud zapošljavao 921 člana osoblja, što je blago povećanje u usporedbi s njih 917 na kraju 2021. i 910 na kraju 2020.; konstatira da je ukupna rodna raspodjela na kraju 2022. bila 434, odnosno 47,1 % muškarca i 487, odnosno 52,9 % žena; poziva Revizorski sud da nastavi ulagati napore u promicanje rodne ravnoteže za srednje i više rukovodstvo; konstatira i da se prema kategorijama osoblja radilo o 830 dužnosnika (90 %), od čega 620 administratora (AD) i 210 asistenata i tajnika (AST/SC) te o 91 ugovornom djelatniku (10 %);</w:t>
      </w:r>
    </w:p>
    <w:p w:rsidR="00E41E92" w:rsidRPr="00DD19E7" w:rsidRDefault="00E41E92" w:rsidP="00E41E92">
      <w:pPr>
        <w:pStyle w:val="NormalHanging12a"/>
        <w:rPr>
          <w:szCs w:val="24"/>
        </w:rPr>
      </w:pPr>
      <w:r w:rsidRPr="00DD19E7">
        <w:t>22.</w:t>
      </w:r>
      <w:r w:rsidRPr="00DD19E7">
        <w:tab/>
        <w:t>konstatira da je broj osoba u razredima AD 13 – 16 iznosio 79, od čega su njih 49 bili muškarci, a 30 žene, odnosno 62 % muškaraca i 38 % žena, što predstavlja malo povećanje postotka žena u tim kategorijama u odnosu na 37,5 % iz 2021. i 34,5 % iz 2020.;</w:t>
      </w:r>
    </w:p>
    <w:p w:rsidR="00E41E92" w:rsidRPr="00DD19E7" w:rsidRDefault="00E41E92" w:rsidP="00E41E92">
      <w:pPr>
        <w:pStyle w:val="NormalHanging12a"/>
        <w:rPr>
          <w:szCs w:val="24"/>
        </w:rPr>
      </w:pPr>
      <w:r w:rsidRPr="00DD19E7">
        <w:t>23.</w:t>
      </w:r>
      <w:r w:rsidRPr="00DD19E7">
        <w:tab/>
        <w:t xml:space="preserve">duboko žali zbog nedovoljne rodne ravnoteže u kolegiju Revizorskog suda: samo 10 od </w:t>
      </w:r>
      <w:r w:rsidRPr="00DD19E7">
        <w:lastRenderedPageBreak/>
        <w:t>25 članova u trenutačnom sastavu čine žene, uzimajući u obzir da zastupnici iz Portugala i Bugarske još nisu imenovani; shvaća da postupak imenovanja članova predstavlja izazov u pogledu postizanja rodne ravnoteže jer je imenovanje kandidata na nacionalnoj razini isključivo u nadležnosti država članica; međutim, poziva Revizorski sud da provede analizu svog cjelokupnog sastava i o rezultatima obavijesti Vijeće i relevantne države članice kako bi se pri donošenju odluka o imenovanju uzela u obzir rodna ravnoteža;</w:t>
      </w:r>
    </w:p>
    <w:p w:rsidR="00E41E92" w:rsidRPr="00DD19E7" w:rsidRDefault="00E41E92" w:rsidP="00E41E92">
      <w:pPr>
        <w:pStyle w:val="NormalHanging12a"/>
        <w:rPr>
          <w:szCs w:val="24"/>
        </w:rPr>
      </w:pPr>
      <w:r w:rsidRPr="00DD19E7">
        <w:t>24.</w:t>
      </w:r>
      <w:r w:rsidRPr="00DD19E7">
        <w:tab/>
        <w:t>žali zbog toga što Vijeće tijekom godina za članove Revizorskog suda opetovano imenuje kandidate o kojima Parlament izrazi negativno mišljenje; naglašava da bi Parlament trebao imati obvezujuću ulogu u procjeni prikladnosti kandidata za Revizorski sud;</w:t>
      </w:r>
    </w:p>
    <w:p w:rsidR="00E41E92" w:rsidRPr="00DD19E7" w:rsidRDefault="00E41E92" w:rsidP="00E41E92">
      <w:pPr>
        <w:pStyle w:val="NormalHanging12a"/>
        <w:rPr>
          <w:szCs w:val="24"/>
        </w:rPr>
      </w:pPr>
      <w:r w:rsidRPr="00DD19E7">
        <w:t>25.</w:t>
      </w:r>
      <w:r w:rsidRPr="00DD19E7">
        <w:tab/>
        <w:t>pozdravlja činjenicu da su među članovima osoblja Revizorskog suda zastupljene sve nacionalnosti, kako u kategoriji AD tako i u kategoriji AST/SC; ipak, sa žaljenjem konstatira da su neke nacionalnosti podzastupljene i pozdravlja činjenicu da je Revizorski sud poduzeo korake da se izravno oglašava u nekim državama članicama (Danska, Estonija i Latvija); pozdravlja učinkovitu upotrebu novih načina objave postupaka odabira osoblja kako bi se privukli raznoliki kandidati iz različitih država članica;</w:t>
      </w:r>
    </w:p>
    <w:p w:rsidR="00E41E92" w:rsidRPr="00DD19E7" w:rsidRDefault="00E41E92" w:rsidP="00E41E92">
      <w:pPr>
        <w:pStyle w:val="NormalHanging12a"/>
        <w:rPr>
          <w:szCs w:val="24"/>
        </w:rPr>
      </w:pPr>
      <w:r w:rsidRPr="00DD19E7">
        <w:t>26.</w:t>
      </w:r>
      <w:r w:rsidRPr="00DD19E7">
        <w:tab/>
        <w:t>konstatira da je Revizorski sud donio odluku o hibridnom radu, koja je stupila na snagu 1. siječnja 2022.; konstatira da Revizorski sud ima režim rada na daljinu koji omogućuje rad od kuće do 10 dana mjesečno i najviše 10 uzastopnih dana; nadalje, konstatira da se tim režimom osoblju omogućuje da radi do pet dana mjesečno i 30 radnih dana godišnje izvan svojeg glavnog mjesta boravišta; naposljetku konstatira da je anketa provedena među članovima osoblja u listopadu 2022. pokazala da 95 % podupire takav režim rada na daljinu i da 88 % smatra da je to pozitivno utjecalo na ravnotežu između njihova poslovnog i privatnog života;</w:t>
      </w:r>
    </w:p>
    <w:p w:rsidR="00E41E92" w:rsidRPr="00DD19E7" w:rsidRDefault="00E41E92" w:rsidP="00E41E92">
      <w:pPr>
        <w:pStyle w:val="NormalHanging12a"/>
        <w:rPr>
          <w:szCs w:val="24"/>
        </w:rPr>
      </w:pPr>
      <w:r w:rsidRPr="00DD19E7">
        <w:t>27.</w:t>
      </w:r>
      <w:r w:rsidRPr="00DD19E7">
        <w:tab/>
        <w:t>pozdravlja mjere koje je Revizorski sud poduzeo 2022. kako bi osigurao fizičku i mentalnu dobrobit osoblja;</w:t>
      </w:r>
    </w:p>
    <w:p w:rsidR="00E41E92" w:rsidRPr="00DD19E7" w:rsidRDefault="00E41E92" w:rsidP="00E41E92">
      <w:pPr>
        <w:pStyle w:val="NormalHanging12a"/>
        <w:rPr>
          <w:szCs w:val="24"/>
        </w:rPr>
      </w:pPr>
      <w:r w:rsidRPr="00DD19E7">
        <w:t>28.</w:t>
      </w:r>
      <w:r w:rsidRPr="00DD19E7">
        <w:tab/>
        <w:t xml:space="preserve">svjestan je izazova povezanih s privlačenjem osoblja da radi u Luksemburgu i potiče Revizorski sud da surađuje s drugim institucijama sa sjedištem u Luksemburgu u </w:t>
      </w:r>
      <w:proofErr w:type="spellStart"/>
      <w:r w:rsidRPr="00DD19E7">
        <w:t>međuinstitucijskoj</w:t>
      </w:r>
      <w:proofErr w:type="spellEnd"/>
      <w:r w:rsidRPr="00DD19E7">
        <w:t xml:space="preserve"> skupini na visokoj razini na povećanju privlačnosti Luksemburga za članove osoblja i na različitim utvrđenim mogućim mjerama, uključujući ideju o posebnoj naknadi za stanovanje kako bi se suzbili visoki troškovi najma koje posebno osjeća osoblje u nižim razredima i mogućnost ponude privremenog stanovanja po razumnim cijenama za kratkotrajne boravke;</w:t>
      </w:r>
    </w:p>
    <w:p w:rsidR="00E41E92" w:rsidRPr="00DD19E7" w:rsidRDefault="00E41E92" w:rsidP="00E41E92">
      <w:pPr>
        <w:pStyle w:val="NormalHanging12a"/>
        <w:rPr>
          <w:szCs w:val="24"/>
        </w:rPr>
      </w:pPr>
      <w:r w:rsidRPr="00DD19E7">
        <w:t>29.</w:t>
      </w:r>
      <w:r w:rsidRPr="00DD19E7">
        <w:tab/>
        <w:t xml:space="preserve">sa zabrinutošću prima na znanje da je broj dana bolovanja 2022. na Revizorskom sudu iznosio 11 622, što je povećanje od 54 % u odnosu na 2021., kada je broj dana bolovanja iznosio 7 524; istodobno napominje da je 2018. bilo 10 255 dana bolovanja i da bi relativno mali broj bolovanja 2021. mogao biti povezan s </w:t>
      </w:r>
      <w:proofErr w:type="spellStart"/>
      <w:r w:rsidRPr="00DD19E7">
        <w:t>pandemijom</w:t>
      </w:r>
      <w:proofErr w:type="spellEnd"/>
      <w:r w:rsidRPr="00DD19E7">
        <w:t xml:space="preserve"> bolesti COVID-19;</w:t>
      </w:r>
    </w:p>
    <w:p w:rsidR="00E41E92" w:rsidRPr="00DD19E7" w:rsidRDefault="00E41E92" w:rsidP="00E41E92">
      <w:pPr>
        <w:pStyle w:val="NormalHanging12a"/>
        <w:rPr>
          <w:szCs w:val="24"/>
        </w:rPr>
      </w:pPr>
      <w:r w:rsidRPr="00DD19E7">
        <w:t>30.</w:t>
      </w:r>
      <w:r w:rsidRPr="00DD19E7">
        <w:tab/>
        <w:t xml:space="preserve">sa zabrinutošću konstatira da je Revizorski sud 2022. prijavio sedam slučajeva sindroma izgaranja na poslu; nadalje konstatira da se svih sedam članova osoblja vratilo na posao, i to u okviru postupka postupnog vraćanja na nepuno radno vrijeme uz liječničko odobrenje; u tom pogledu cijeni to što je Revizorski sud 2022. počeo pripremati </w:t>
      </w:r>
      <w:r w:rsidRPr="00DD19E7">
        <w:lastRenderedPageBreak/>
        <w:t>smjernice za povratak na posao nakon dugotrajnog bolovanja; napominje da Revizorski sud navodi da se pri utvrđivanju godišnjeg programa rada uzima u obzir dostupnost resursa te da direktori i upravljački tim na razini uprava procjenjuju radno opterećenje kako bi osigurali ravnomjernu raspodjelu posla; ipak potiče Revizorski sud da svejedno prati taj problem i da poduzme sve potrebne mjere kako bi se osigurala dobrobit osoblja i smanjio broj slučajeva povezanih sa sindromom izgaranja na poslu;</w:t>
      </w:r>
    </w:p>
    <w:p w:rsidR="00E41E92" w:rsidRPr="00DD19E7" w:rsidRDefault="00E41E92" w:rsidP="00E41E92">
      <w:pPr>
        <w:pStyle w:val="NormalHanging12a"/>
        <w:rPr>
          <w:szCs w:val="24"/>
        </w:rPr>
      </w:pPr>
      <w:r w:rsidRPr="00DD19E7">
        <w:t>31.</w:t>
      </w:r>
      <w:r w:rsidRPr="00DD19E7">
        <w:tab/>
        <w:t>pozdravlja činjenicu da su nakon opsežnog suradničkog pristupa u prosincu 2022. donesene odluka i politika o radnoj okolini u kojoj vlada poštovanje i u kojoj nema uznemiravanja, s jasnim naglaskom na prevenciji, podizanju razine osviještenosti i ranom otkrivanju, uz istodobno utvrđivanje niza mjera koje treba primijeniti (povjerljivo savjetovanje, posredovanje i službene pritužbe) u slučaju da se pojavi percepcija uznemiravanja;</w:t>
      </w:r>
    </w:p>
    <w:p w:rsidR="00E41E92" w:rsidRPr="00DD19E7" w:rsidRDefault="00E41E92" w:rsidP="00E41E92">
      <w:pPr>
        <w:pStyle w:val="NormalHanging12a"/>
        <w:rPr>
          <w:szCs w:val="24"/>
        </w:rPr>
      </w:pPr>
      <w:r w:rsidRPr="00DD19E7">
        <w:t xml:space="preserve">32. </w:t>
      </w:r>
      <w:r w:rsidRPr="00DD19E7">
        <w:tab/>
        <w:t>pozdravlja akcijski plan Revizorskog suda za raznolikost i uključivanje za razdoblje 2021. – 2025., kao i korake poduzete 2022. kako bi se podigla razina osviještenosti o tom planu i rezultatima postignutima tijekom 2022. u pogledu deset utvrđenih prioriteta; napominje da je 2022. na Revizorskom sudu bila zaposlena samo jedna osoba s prijavljenim invaliditetom, i to na temelju ugovora na određeno vrijeme;</w:t>
      </w:r>
    </w:p>
    <w:p w:rsidR="00E41E92" w:rsidRPr="00DD19E7" w:rsidRDefault="00E41E92" w:rsidP="00E41E92">
      <w:pPr>
        <w:pStyle w:val="NormalHanging12a"/>
        <w:rPr>
          <w:szCs w:val="24"/>
        </w:rPr>
      </w:pPr>
      <w:r w:rsidRPr="00DD19E7">
        <w:t>33.</w:t>
      </w:r>
      <w:r w:rsidRPr="00DD19E7">
        <w:tab/>
        <w:t>prima na znanje da je Revizorski sud tijekom 2022. primio 54 stažista; sa zadovoljstvom primjećuje da su svi bili plaćeni sredstvima ili Revizorskog suda ili nacionalnih tijela;</w:t>
      </w:r>
    </w:p>
    <w:p w:rsidR="00E41E92" w:rsidRPr="00DD19E7" w:rsidRDefault="00E41E92" w:rsidP="00E41E92">
      <w:pPr>
        <w:pStyle w:val="NormalHanging12a"/>
        <w:rPr>
          <w:b/>
          <w:szCs w:val="24"/>
        </w:rPr>
      </w:pPr>
      <w:r w:rsidRPr="00DD19E7">
        <w:rPr>
          <w:b/>
        </w:rPr>
        <w:t>Etički okvir i transparentnost</w:t>
      </w:r>
    </w:p>
    <w:p w:rsidR="00E41E92" w:rsidRPr="00DD19E7" w:rsidRDefault="00E41E92" w:rsidP="00E41E92">
      <w:pPr>
        <w:pStyle w:val="NormalHanging12a"/>
        <w:rPr>
          <w:szCs w:val="24"/>
        </w:rPr>
      </w:pPr>
      <w:r w:rsidRPr="00DD19E7">
        <w:t>34.</w:t>
      </w:r>
      <w:r w:rsidRPr="00DD19E7">
        <w:tab/>
        <w:t>naglašava ulogu i važnost Revizorskog suda kao neovisnog vanjskog revizora Unije i čuvara njezinih financija, zbog čega se Revizorski sud mora pridržavati najviših mogućih standarda i djelovati kao model organizacije kako bi se nadahnulo povjerenje i vjerodostojnost; napominje da su u skladu s člankom 285. UFEU-a članovi Suda potpuno neovisni;</w:t>
      </w:r>
    </w:p>
    <w:p w:rsidR="00E41E92" w:rsidRPr="00DD19E7" w:rsidRDefault="00E41E92" w:rsidP="00E41E92">
      <w:pPr>
        <w:pStyle w:val="NormalHanging12a"/>
        <w:rPr>
          <w:szCs w:val="24"/>
        </w:rPr>
      </w:pPr>
      <w:r w:rsidRPr="00DD19E7">
        <w:t>35.</w:t>
      </w:r>
      <w:r w:rsidRPr="00DD19E7">
        <w:tab/>
        <w:t>pozdravlja izmijenjeni Kodeks ponašanja iz svibnja 2022. za članove i bivše članove Revizorskog suda, u skladu s preporukom Parlamenta, kojim se, među ostalim, utvrđuje obveza članova da imaju boravište u mjestu u kojem je sjedište Revizorskog suda, ograničavaju mogućnosti sudjelovanja članova u politici, reguliraju ugovorni odnosi između članova i osoblja te utvrđuje obveza članova da podnose godišnju izjavu o financijskim interesima; podsjeća da bi članovi Revizorskog suda uvijek trebali primjenjivati najviša etička načela i vrijednosti kako bi pokazali svoj puni integritet, neovisnost, objektivnost, profesionalno ponašanje, dostojanstvo, predanost i lojalnost;</w:t>
      </w:r>
    </w:p>
    <w:p w:rsidR="00E41E92" w:rsidRPr="00DD19E7" w:rsidRDefault="00E41E92" w:rsidP="00E41E92">
      <w:pPr>
        <w:pStyle w:val="NormalHanging12a"/>
        <w:rPr>
          <w:szCs w:val="24"/>
        </w:rPr>
      </w:pPr>
      <w:r w:rsidRPr="00DD19E7">
        <w:t>36.</w:t>
      </w:r>
      <w:r w:rsidRPr="00DD19E7">
        <w:tab/>
        <w:t>naglašava da Parlament i dalje smatra da bi se informacije o službenim putovanjima članova Revizorskog suda trebale objavljivati tijekom cijelog razdoblja obnašanja dužnosti i da članovi ne bi trebali imati formalizirane političke veze, uključujući počasne funkcije u političkim strankama ili organizacijama; nadalje, ponovno traži od Revizorskog suda da izmijeni pravila koja se odnose na njegov interni etički odbor kako predlaganje kandidata koji ispunjavaju uvjete više ne bi bilo pitanje isključive slobode predsjednika Revizorskog suda; također ponavlja zahtjev da ga odbor Revizorskog suda za etička pitanja obavijesti o glavnim nalazima izvješća o unutarnjoj reviziji o etici, koja se provodi već od 2020.;</w:t>
      </w:r>
    </w:p>
    <w:p w:rsidR="00E41E92" w:rsidRPr="00DD19E7" w:rsidRDefault="00E41E92" w:rsidP="00E41E92">
      <w:pPr>
        <w:pStyle w:val="NormalHanging12a"/>
        <w:rPr>
          <w:szCs w:val="24"/>
        </w:rPr>
      </w:pPr>
      <w:r w:rsidRPr="00DD19E7">
        <w:lastRenderedPageBreak/>
        <w:t>37.</w:t>
      </w:r>
      <w:r w:rsidRPr="00DD19E7">
        <w:tab/>
        <w:t>sa zadovoljstvom primjećuje da su svi članovi Revizorskog suda prijavili adresu luksemburškim vlastima i time ispunili zahtjev prema kojem članovi moraju imati boravište u mjestu u kojem je sjedište Suda;</w:t>
      </w:r>
    </w:p>
    <w:p w:rsidR="00E41E92" w:rsidRPr="00DD19E7" w:rsidRDefault="00E41E92" w:rsidP="00E41E92">
      <w:pPr>
        <w:pStyle w:val="NormalHanging12a"/>
        <w:rPr>
          <w:szCs w:val="24"/>
        </w:rPr>
      </w:pPr>
      <w:r w:rsidRPr="00DD19E7">
        <w:t>38.</w:t>
      </w:r>
      <w:r w:rsidRPr="00DD19E7">
        <w:tab/>
        <w:t>prima na znanje odluku iz 2022. o putovanjima članova, službenim putovanjima te korištenju vozača i automobila, što znači da će članovi morati pokriti sve tekuće troškove, uključujući troškove najma automobila, povezane s upotrebom automobila za putovanje dulje od 10 000 km koji nisu obuhvaćeni putnim nalogom; međutim, smatra da je 10 000 km previše i ponavlja zabrinutost izraženu u prethodnim rezolucijama o razrješnici da je uvedeni sustav nejasan; ponavlja mišljenje izraženo u prethodnim rezolucijama o dodjeli razrješnice da se korištenje voznog parka izvan strogog obavljanja dužnosti članova Revizorskog suda ne bi smjelo događati ni pod kojim okolnostima; poziva sve institucije Unije da postignu dogovor o jedinstvenom sustavu koji će se primjenjivati horizontalno, čime bi se smanjila zbunjenost i povećala transparentnost i učinkovitost u korištenju javnog novca;</w:t>
      </w:r>
    </w:p>
    <w:p w:rsidR="00E41E92" w:rsidRPr="00DD19E7" w:rsidRDefault="00E41E92" w:rsidP="00E41E92">
      <w:pPr>
        <w:pStyle w:val="NormalHanging12a"/>
        <w:rPr>
          <w:szCs w:val="24"/>
        </w:rPr>
      </w:pPr>
      <w:r w:rsidRPr="00DD19E7">
        <w:t>39.</w:t>
      </w:r>
      <w:r w:rsidRPr="00DD19E7">
        <w:tab/>
        <w:t>pozdravlja činjenicu da je Revizorski sud posljednjih godina radio na ažuriranju svojeg etičkog okvira, što je dosad dovelo do ažuriranja etičkih smjernica Revizorskog suda u listopadu 2022., ažuriranja politike o radnoj okolini u kojoj vlada poštovanja i nema uznemiravanja tijekom 2022. i ažuriranja pravila o zviždačima u srpnju 2023.; također pozdravlja činjenicu da su organizirane radionice, tečajevi osposobljavanja i tečajevi o etici za osoblje, uključujući osoblje u uredima članova Revizorskog suda; traži od Revizorskog suda da obavještava Parlament o svim daljnjim planovima u vezi s etičkim okvirom;</w:t>
      </w:r>
    </w:p>
    <w:p w:rsidR="00E41E92" w:rsidRPr="00DD19E7" w:rsidRDefault="00E41E92" w:rsidP="00E41E92">
      <w:pPr>
        <w:pStyle w:val="NormalHanging12a"/>
        <w:rPr>
          <w:szCs w:val="24"/>
        </w:rPr>
      </w:pPr>
      <w:r w:rsidRPr="00DD19E7">
        <w:t>40.</w:t>
      </w:r>
      <w:r w:rsidRPr="00DD19E7">
        <w:tab/>
        <w:t>naglašava da je Služba Revizorskog suda za unutarnju reviziju tijekom 2021. zaključila da ne postoji nijedan dokument u kojem je objedinjena politika Revizorskog suda o borbi protiv prijevara i da ne postoji strategija za borbu protiv prijevara na razini čitavog Revizorskog suda; potiče Revizorski sud da se hitno pozabavi tim pitanjem kako bi se osiguralo da trenutačni decentralizirani i fragmentirani pristup bude konsolidiran i kako bi bio jasniji način na koji Revizorski sud rješava ta pitanja;</w:t>
      </w:r>
    </w:p>
    <w:p w:rsidR="00E41E92" w:rsidRPr="00DD19E7" w:rsidRDefault="00E41E92" w:rsidP="00E41E92">
      <w:pPr>
        <w:pStyle w:val="NormalHanging12a"/>
        <w:rPr>
          <w:szCs w:val="24"/>
        </w:rPr>
      </w:pPr>
      <w:r w:rsidRPr="00DD19E7">
        <w:t>41.</w:t>
      </w:r>
      <w:r w:rsidRPr="00DD19E7">
        <w:tab/>
        <w:t xml:space="preserve">iznova odbacuje ocjenu i odluku Revizorskog suda da se ne pridruži registru transparentnosti EU-a, uspostavljenom </w:t>
      </w:r>
      <w:proofErr w:type="spellStart"/>
      <w:r w:rsidRPr="00DD19E7">
        <w:t>međuinstitucijskim</w:t>
      </w:r>
      <w:proofErr w:type="spellEnd"/>
      <w:r w:rsidRPr="00DD19E7">
        <w:t xml:space="preserve"> sporazumom od 20. svibnja 2021. između Europskog parlamenta, Vijeća Europske unije i Europske komisije o obveznom registru transparentnosti</w:t>
      </w:r>
      <w:r w:rsidRPr="00DD19E7">
        <w:rPr>
          <w:rStyle w:val="FootnoteReference"/>
          <w:szCs w:val="24"/>
        </w:rPr>
        <w:footnoteReference w:id="6"/>
      </w:r>
      <w:r w:rsidRPr="00DD19E7">
        <w:t>, te potiče Revizorski sud da ponovno razmotri to pitanje, ponavljajući odlučan poziv Revizorskom sudu da se pridruži registru transparentnosti EU-a kako bi se poštovala osnovna načela transparentnosti, a da se pritom ne stvaraju nikakve prepreke potpunoj neovisnosti Revizorskog suda;</w:t>
      </w:r>
    </w:p>
    <w:p w:rsidR="00E41E92" w:rsidRPr="00DD19E7" w:rsidRDefault="00E41E92" w:rsidP="00E41E92">
      <w:pPr>
        <w:pStyle w:val="NormalHanging12a"/>
        <w:rPr>
          <w:szCs w:val="24"/>
        </w:rPr>
      </w:pPr>
      <w:r w:rsidRPr="00DD19E7">
        <w:t>42.</w:t>
      </w:r>
      <w:r w:rsidRPr="00DD19E7">
        <w:tab/>
        <w:t>konstatira da je Europski ured za borbu protiv prijevara (OLAF) 2022. pokrenuo jednu istragu u vezi s jednim postupkom odabira koji je proveo Revizorski sud, zaključivši da postupanje relevantne osobe nije utjecalo na ishod postupka;</w:t>
      </w:r>
    </w:p>
    <w:p w:rsidR="00E41E92" w:rsidRPr="00DD19E7" w:rsidRDefault="00E41E92" w:rsidP="00E41E92">
      <w:pPr>
        <w:pStyle w:val="NormalHanging12a"/>
        <w:rPr>
          <w:szCs w:val="24"/>
        </w:rPr>
      </w:pPr>
      <w:r w:rsidRPr="00DD19E7">
        <w:t>43.</w:t>
      </w:r>
      <w:r w:rsidRPr="00DD19E7">
        <w:tab/>
        <w:t xml:space="preserve">konstatira da je Europski </w:t>
      </w:r>
      <w:proofErr w:type="spellStart"/>
      <w:r w:rsidRPr="00DD19E7">
        <w:t>ombudsman</w:t>
      </w:r>
      <w:proofErr w:type="spellEnd"/>
      <w:r w:rsidRPr="00DD19E7">
        <w:t xml:space="preserve"> proveo jednu istragu nakon pritužbe 2022., koja je zaključena nakon što je Revizorski sud odgovorio podnositelju pritužbe;</w:t>
      </w:r>
    </w:p>
    <w:p w:rsidR="00E41E92" w:rsidRPr="00DD19E7" w:rsidRDefault="00E41E92" w:rsidP="00E41E92">
      <w:pPr>
        <w:pStyle w:val="NormalHanging12a"/>
        <w:rPr>
          <w:szCs w:val="24"/>
        </w:rPr>
      </w:pPr>
      <w:r w:rsidRPr="00DD19E7">
        <w:t>44.</w:t>
      </w:r>
      <w:r w:rsidRPr="00DD19E7">
        <w:tab/>
        <w:t xml:space="preserve">ponovno izražava zadovoljstvo činjenicom da je Revizorski sud 2022. uspostavio evidenciju sudjelovanja članova Revizorskog suda na sastancima, nakon opetovanih </w:t>
      </w:r>
      <w:r w:rsidRPr="00DD19E7">
        <w:lastRenderedPageBreak/>
        <w:t>zahtjeva Parlamenta u tom pogledu; pozdravlja činjenicu da je ta evidencija na zahtjev stavljen na raspolaganje izvjestitelju Parlamenta za postupak davanja razrješnice u okviru postupka davanja razrješnice; poziva Revizorski sud da nastavi provoditi prakse kojima se povećavaju transparentnost i odgovornost, kao što je objava kalendara sastanaka;</w:t>
      </w:r>
    </w:p>
    <w:p w:rsidR="00E41E92" w:rsidRPr="00DD19E7" w:rsidRDefault="00E41E92" w:rsidP="00E41E92">
      <w:pPr>
        <w:pStyle w:val="NormalHanging12a"/>
        <w:rPr>
          <w:szCs w:val="24"/>
        </w:rPr>
      </w:pPr>
      <w:r w:rsidRPr="00DD19E7">
        <w:t>45.</w:t>
      </w:r>
      <w:r w:rsidRPr="00DD19E7">
        <w:tab/>
        <w:t>pozdravlja činjenicu da 2022. nije otkriven nijedan slučaj sukoba interesa; nadalje konstatira da nijedan član osoblja nije napustio Revizorski sud jer je njihov ugovor istekao ili iz bilo kojeg drugog razloga obavijestio Revizorski sud da se želi pridružiti privatnom poduzeću ili obavijestio Revizorski sud o preuzimanju aktivnosti povezanih s radom izvan Revizorskog suda tijekom posljednje tri godine službe; naposljetku konstatira da nijedan bivši zastupnik u Parlamentu, povjerenik ili visoki dužnosnik nije primio naknadu od Revizorskog suda;</w:t>
      </w:r>
    </w:p>
    <w:p w:rsidR="00E41E92" w:rsidRPr="00DD19E7" w:rsidRDefault="00E41E92" w:rsidP="00E41E92">
      <w:pPr>
        <w:pStyle w:val="NormalHanging12a"/>
        <w:rPr>
          <w:szCs w:val="24"/>
        </w:rPr>
      </w:pPr>
      <w:r w:rsidRPr="00DD19E7">
        <w:t>46.</w:t>
      </w:r>
      <w:r w:rsidRPr="00DD19E7">
        <w:tab/>
        <w:t>konstatira da 2022. nije bilo slučajeva zviždanja na Revizorskom sudu;</w:t>
      </w:r>
    </w:p>
    <w:p w:rsidR="00E41E92" w:rsidRPr="00DD19E7" w:rsidRDefault="00E41E92" w:rsidP="00E41E92">
      <w:pPr>
        <w:pStyle w:val="NormalHanging12a"/>
        <w:rPr>
          <w:szCs w:val="24"/>
        </w:rPr>
      </w:pPr>
      <w:r w:rsidRPr="00DD19E7">
        <w:t>47.</w:t>
      </w:r>
      <w:r w:rsidRPr="00DD19E7">
        <w:tab/>
        <w:t>žali zbog toga što godišnji popis ugovora, uključujući one u vrijednosti od 15 000 EUR do 60 000 EUR koji su sklopljeni 2022. na temelju pregovaračkog postupka, nije dostupan na internetskim stranicama Revizorskog suda, kako je navedeno u izvješću dužnosnika za ovjeravanje na osnovi delegiranja; poziva Revizorski sud da objavi taj popis u zasebnom dokumentu i osigura jednostavan pristup tom popisu;</w:t>
      </w:r>
    </w:p>
    <w:p w:rsidR="00E41E92" w:rsidRPr="00DD19E7" w:rsidRDefault="00E41E92" w:rsidP="00E41E92">
      <w:pPr>
        <w:spacing w:after="240"/>
        <w:rPr>
          <w:b/>
          <w:szCs w:val="24"/>
        </w:rPr>
      </w:pPr>
      <w:r w:rsidRPr="00DD19E7">
        <w:rPr>
          <w:b/>
        </w:rPr>
        <w:t xml:space="preserve">Digitalizacija, </w:t>
      </w:r>
      <w:proofErr w:type="spellStart"/>
      <w:r w:rsidRPr="00DD19E7">
        <w:rPr>
          <w:b/>
        </w:rPr>
        <w:t>kibernetička</w:t>
      </w:r>
      <w:proofErr w:type="spellEnd"/>
      <w:r w:rsidRPr="00DD19E7">
        <w:rPr>
          <w:b/>
        </w:rPr>
        <w:t xml:space="preserve"> sigurnost i zaštita podataka</w:t>
      </w:r>
    </w:p>
    <w:p w:rsidR="00E41E92" w:rsidRPr="00DD19E7" w:rsidRDefault="00E41E92" w:rsidP="00E41E92">
      <w:pPr>
        <w:pStyle w:val="NormalHanging12a"/>
        <w:rPr>
          <w:szCs w:val="24"/>
        </w:rPr>
      </w:pPr>
      <w:r w:rsidRPr="00DD19E7">
        <w:t>48.</w:t>
      </w:r>
      <w:r w:rsidRPr="00DD19E7">
        <w:tab/>
        <w:t xml:space="preserve">pozdravlja činjenicu da Revizorski sud ima opsežan plan za </w:t>
      </w:r>
      <w:proofErr w:type="spellStart"/>
      <w:r w:rsidRPr="00DD19E7">
        <w:t>kibersigurnost</w:t>
      </w:r>
      <w:proofErr w:type="spellEnd"/>
      <w:r w:rsidRPr="00DD19E7">
        <w:t xml:space="preserve"> za razdoblje 2022. 2024. i da planira preispitati svoj okvir za </w:t>
      </w:r>
      <w:proofErr w:type="spellStart"/>
      <w:r w:rsidRPr="00DD19E7">
        <w:t>kibersigurnost</w:t>
      </w:r>
      <w:proofErr w:type="spellEnd"/>
      <w:r w:rsidRPr="00DD19E7">
        <w:t xml:space="preserve"> krajem 2023. kako bi se osigurala potpuna usklađenost s predstojećom uredbom o mjerama za visoku zajedničku razinu </w:t>
      </w:r>
      <w:proofErr w:type="spellStart"/>
      <w:r w:rsidRPr="00DD19E7">
        <w:t>kibersigurnosti</w:t>
      </w:r>
      <w:proofErr w:type="spellEnd"/>
      <w:r w:rsidRPr="00DD19E7">
        <w:t xml:space="preserve"> institucija, tijela, ureda i agencija Unije; nadalje uvažava činjenicu da je Sud obustavio ugovor s dobavljačem koji je kupilo poduzeće iz Sjedinjenih Američkih Država jer bi preuzimanje dovelo do promjena u načinu obrade osobnih podataka;</w:t>
      </w:r>
    </w:p>
    <w:p w:rsidR="00E41E92" w:rsidRPr="00DD19E7" w:rsidRDefault="00E41E92" w:rsidP="00E41E92">
      <w:pPr>
        <w:pStyle w:val="NormalHanging12a"/>
        <w:rPr>
          <w:szCs w:val="24"/>
        </w:rPr>
      </w:pPr>
      <w:r w:rsidRPr="00DD19E7">
        <w:t>49.</w:t>
      </w:r>
      <w:r w:rsidRPr="00DD19E7">
        <w:tab/>
        <w:t xml:space="preserve">pozdravlja činjenicu da Revizorski sud 2022. nije doživio ozbiljne </w:t>
      </w:r>
      <w:proofErr w:type="spellStart"/>
      <w:r w:rsidRPr="00DD19E7">
        <w:t>kibernapade</w:t>
      </w:r>
      <w:proofErr w:type="spellEnd"/>
      <w:r w:rsidRPr="00DD19E7">
        <w:t xml:space="preserve"> i da su </w:t>
      </w:r>
      <w:proofErr w:type="spellStart"/>
      <w:r w:rsidRPr="00DD19E7">
        <w:t>phishing</w:t>
      </w:r>
      <w:proofErr w:type="spellEnd"/>
      <w:r w:rsidRPr="00DD19E7">
        <w:t xml:space="preserve"> e-poruke i dalje najopasnija prijetnja; svejedno potiče Sud da ostane na oprezu i surađuje s relevantnim </w:t>
      </w:r>
      <w:proofErr w:type="spellStart"/>
      <w:r w:rsidRPr="00DD19E7">
        <w:t>međuinstitucijskim</w:t>
      </w:r>
      <w:proofErr w:type="spellEnd"/>
      <w:r w:rsidRPr="00DD19E7">
        <w:t xml:space="preserve"> tijelima Unije kako bi se ojačala cjelokupna </w:t>
      </w:r>
      <w:proofErr w:type="spellStart"/>
      <w:r w:rsidRPr="00DD19E7">
        <w:t>kibernetička</w:t>
      </w:r>
      <w:proofErr w:type="spellEnd"/>
      <w:r w:rsidRPr="00DD19E7">
        <w:t xml:space="preserve"> sigurnost institucija Unije;</w:t>
      </w:r>
    </w:p>
    <w:p w:rsidR="00E41E92" w:rsidRPr="00DD19E7" w:rsidRDefault="00E41E92" w:rsidP="00E41E92">
      <w:pPr>
        <w:pStyle w:val="NormalHanging12a"/>
        <w:rPr>
          <w:szCs w:val="24"/>
        </w:rPr>
      </w:pPr>
      <w:r w:rsidRPr="00DD19E7">
        <w:t>50.</w:t>
      </w:r>
      <w:r w:rsidRPr="00DD19E7">
        <w:tab/>
        <w:t>napominje da Europski nadzornik za zaštitu podataka tijekom 2022. nije pokrenuo, nastavio ili zatvorio nikakve istrage u vezi s Revizorskim sudom;</w:t>
      </w:r>
    </w:p>
    <w:p w:rsidR="00E41E92" w:rsidRPr="00DD19E7" w:rsidRDefault="00E41E92" w:rsidP="00E41E92">
      <w:pPr>
        <w:pStyle w:val="NormalHanging12a"/>
        <w:rPr>
          <w:szCs w:val="24"/>
        </w:rPr>
      </w:pPr>
      <w:r w:rsidRPr="00DD19E7">
        <w:t>51.</w:t>
      </w:r>
      <w:r w:rsidRPr="00DD19E7">
        <w:tab/>
        <w:t xml:space="preserve">pozdravlja sve napore za poboljšanje digitalizacije revizijskog rada, čime se poboljšava učinkovitost i točnost takvog rada; posebno pozdravlja što je u listopadu 2022. uveden model „skladišta podataka kao usluge”, čime se korisnicima omogućilo da obrađuju i analiziraju strukturirane podatke s različitim stupnjevima autonomije; napominje da digitalizacija revizijskog rada ne ovisi samo o samom Revizorskom sudu, nego i u velikoj mjeri o podacima koje dostavljaju subjekti revizije te da i dalje postoje ograničenja u pogledu oblika podataka i raznolikosti korištenih sustava; nadalje uvažava činjenicu da je broj dana revizije na terenu 2022. iznosio 2984 dana, što je znatno više u odnosu na 2021. i 2020., na što su u velikoj mjeri utjecala ograničenja nametnuta zbog </w:t>
      </w:r>
      <w:proofErr w:type="spellStart"/>
      <w:r w:rsidRPr="00DD19E7">
        <w:t>pandemije</w:t>
      </w:r>
      <w:proofErr w:type="spellEnd"/>
      <w:r w:rsidRPr="00DD19E7">
        <w:t xml:space="preserve"> bolesti COVID-19, te da su dodana vrijednost i učinkovitost terenskih posjeta povećane njihovim kombiniranjem s radom na daljinu;</w:t>
      </w:r>
    </w:p>
    <w:p w:rsidR="00E41E92" w:rsidRPr="00DD19E7" w:rsidRDefault="00E41E92" w:rsidP="00E41E92">
      <w:pPr>
        <w:pStyle w:val="NormalHanging12a"/>
        <w:rPr>
          <w:szCs w:val="24"/>
        </w:rPr>
      </w:pPr>
      <w:r w:rsidRPr="00DD19E7">
        <w:lastRenderedPageBreak/>
        <w:t>52.</w:t>
      </w:r>
      <w:r w:rsidRPr="00DD19E7">
        <w:tab/>
        <w:t xml:space="preserve">prima na znanje činjenicu da je Revizorski sud u okviru svojih sustava uveo nekoliko elemenata softvera otvorenog koda, uključujući Linux, </w:t>
      </w:r>
      <w:proofErr w:type="spellStart"/>
      <w:r w:rsidRPr="00DD19E7">
        <w:t>Belenios</w:t>
      </w:r>
      <w:proofErr w:type="spellEnd"/>
      <w:r w:rsidRPr="00DD19E7">
        <w:t xml:space="preserve"> i </w:t>
      </w:r>
      <w:proofErr w:type="spellStart"/>
      <w:r w:rsidRPr="00DD19E7">
        <w:t>Nagios</w:t>
      </w:r>
      <w:proofErr w:type="spellEnd"/>
      <w:r w:rsidRPr="00DD19E7">
        <w:t>; potiče Revizorski sud da nastavi upotrebljavati softver otvorenog koda kada je to moguće;</w:t>
      </w:r>
    </w:p>
    <w:p w:rsidR="00E41E92" w:rsidRPr="00DD19E7" w:rsidRDefault="00E41E92" w:rsidP="00E41E92">
      <w:pPr>
        <w:spacing w:after="240"/>
        <w:rPr>
          <w:b/>
          <w:bCs/>
          <w:iCs/>
          <w:szCs w:val="24"/>
        </w:rPr>
      </w:pPr>
      <w:r w:rsidRPr="00DD19E7">
        <w:rPr>
          <w:b/>
        </w:rPr>
        <w:t>Zgrade</w:t>
      </w:r>
    </w:p>
    <w:p w:rsidR="00E41E92" w:rsidRPr="00DD19E7" w:rsidRDefault="00E41E92" w:rsidP="00E41E92">
      <w:pPr>
        <w:pStyle w:val="NormalHanging12a"/>
        <w:rPr>
          <w:szCs w:val="24"/>
        </w:rPr>
      </w:pPr>
      <w:r w:rsidRPr="00DD19E7">
        <w:t>53.</w:t>
      </w:r>
      <w:r w:rsidRPr="00DD19E7">
        <w:tab/>
        <w:t>konstatira da je Revizorski sud tijekom 2022. proveo opsežne radove na obnovi zgrade K2, koji su dovršeni početkom 2023. i koji su uključivali obnovu četiriju katova kako bi se osiguralo moderno radno mjesto koje je ugodno za članove osoblja i ekološki prihvatljivije;</w:t>
      </w:r>
    </w:p>
    <w:p w:rsidR="00E41E92" w:rsidRPr="00DD19E7" w:rsidRDefault="00E41E92" w:rsidP="00E41E92">
      <w:pPr>
        <w:pStyle w:val="NormalHanging12a"/>
        <w:rPr>
          <w:szCs w:val="24"/>
        </w:rPr>
      </w:pPr>
      <w:r w:rsidRPr="00DD19E7">
        <w:t>54.</w:t>
      </w:r>
      <w:r w:rsidRPr="00DD19E7">
        <w:tab/>
        <w:t>uvažava činjenicu da je Revizorski sud 2022. pokrenuo reviziju pristupačnosti svih zgrada Revizorskog suda kako bi se poboljšala pristupačnost i odgovorilo na potrebe osoba sa smanjenom pokretljivošću ili drugim invaliditetom, koja je provedena početkom 2023.; traži od Revizorskog suda da obavještava Parlament o konkretnim inicijativama za provedbu mjera predloženih u okviru revizije;</w:t>
      </w:r>
    </w:p>
    <w:p w:rsidR="00E41E92" w:rsidRPr="00DD19E7" w:rsidRDefault="00E41E92" w:rsidP="00E41E92">
      <w:pPr>
        <w:spacing w:after="240"/>
        <w:rPr>
          <w:b/>
          <w:szCs w:val="24"/>
        </w:rPr>
      </w:pPr>
      <w:r w:rsidRPr="00DD19E7">
        <w:rPr>
          <w:b/>
        </w:rPr>
        <w:t>Okoliš i održivost</w:t>
      </w:r>
    </w:p>
    <w:p w:rsidR="00E41E92" w:rsidRPr="00DD19E7" w:rsidRDefault="00E41E92" w:rsidP="00E41E92">
      <w:pPr>
        <w:pStyle w:val="NormalHanging12a"/>
        <w:rPr>
          <w:szCs w:val="24"/>
        </w:rPr>
      </w:pPr>
      <w:r w:rsidRPr="00DD19E7">
        <w:t>55.</w:t>
      </w:r>
      <w:r w:rsidRPr="00DD19E7">
        <w:tab/>
        <w:t>pozdravlja činjenicu da je Revizorski sud 2022. predstavio svoje drugo godišnje izvješće o okolišnoj održivosti svojih operacija u skladu s međunarodno prihvaćenim standardima izvještavanja;</w:t>
      </w:r>
    </w:p>
    <w:p w:rsidR="00E41E92" w:rsidRPr="00DD19E7" w:rsidRDefault="00E41E92" w:rsidP="00E41E92">
      <w:pPr>
        <w:pStyle w:val="NormalHanging12a"/>
        <w:rPr>
          <w:szCs w:val="24"/>
        </w:rPr>
      </w:pPr>
      <w:r w:rsidRPr="00DD19E7">
        <w:t>56.</w:t>
      </w:r>
      <w:r w:rsidRPr="00DD19E7">
        <w:tab/>
        <w:t>konstatira da je Revizorski sud od 2014. postigao impresivne rezultate u nekoliko područja koja se odnose na smanjenje opće potrošnje, pri čemu je potrošnja električne energije smanjena za 34,5 %, grijanje za 22,2 %, potrošnja papira za 83,5 %, vode za 45,3 %, emisije stakleničkih plinova za 29,5 %, a otpad za 33,7 %; potiče Revizorski sud da nastavi ulagati napore u daljnje smanjenje potrošnje tih elemenata i pozdravlja činjenicu da je Revizorski sud 2023. pokrenuo studiju o zgradi K2 u cilju obnove krova i ugradnje solarnih ploča;</w:t>
      </w:r>
    </w:p>
    <w:p w:rsidR="00E41E92" w:rsidRPr="00DD19E7" w:rsidRDefault="00E41E92" w:rsidP="00E41E92">
      <w:pPr>
        <w:pStyle w:val="NormalHanging12a"/>
        <w:rPr>
          <w:szCs w:val="24"/>
        </w:rPr>
      </w:pPr>
      <w:r w:rsidRPr="00DD19E7">
        <w:t>57.</w:t>
      </w:r>
      <w:r w:rsidRPr="00DD19E7">
        <w:tab/>
        <w:t>pozdravlja činjenicu da je Revizorski sud poduzeo nekoliko inicijativa za potporu održivoj mobilnosti, uključujući jačanje usluge organiziranog skupnog prijevoza koju pruža Revizorski sud, pružanje besplatnih pretplata članovima osoblja na uslugu za bicikle grada Luxembourga, povećanje broja parkirnih mjesta za bicikle, uključujući mjesta za električne bicikle, i postavljanje punjača za hibridne i električne automobile; poziva Revizorski sud da dodatno podupre održivu mobilnost, među ostalim razmjenom najboljih praksi s drugim institucijama i informiranjem Parlamenta o daljnjim inicijativama;</w:t>
      </w:r>
    </w:p>
    <w:p w:rsidR="00E41E92" w:rsidRPr="00DD19E7" w:rsidRDefault="00E41E92" w:rsidP="00E41E92">
      <w:pPr>
        <w:pStyle w:val="NormalHanging12a"/>
        <w:rPr>
          <w:szCs w:val="24"/>
        </w:rPr>
      </w:pPr>
      <w:r w:rsidRPr="00DD19E7">
        <w:t>58.</w:t>
      </w:r>
      <w:r w:rsidRPr="00DD19E7">
        <w:tab/>
        <w:t>konstatira da će Revizorski sud u ažuriranom vodiču za misije analizirati kako integrirati okolišne aspekte misija; nadalje konstatira da je za razdoblje 2023. – 2025. predloženo da se broj službenih putovanja po ekvivalentu punog radnog vremena smanji za 5 %; poziva Revizorski sud da pokuša provesti taj cilj i istodobno osigurati da se obave potrebna revizijska službena putovanja;</w:t>
      </w:r>
    </w:p>
    <w:p w:rsidR="00E41E92" w:rsidRPr="00DD19E7" w:rsidRDefault="00E41E92" w:rsidP="00E41E92">
      <w:pPr>
        <w:spacing w:after="240"/>
        <w:rPr>
          <w:b/>
          <w:szCs w:val="24"/>
        </w:rPr>
      </w:pPr>
      <w:proofErr w:type="spellStart"/>
      <w:r w:rsidRPr="00DD19E7">
        <w:rPr>
          <w:b/>
        </w:rPr>
        <w:t>Međuinstitucijska</w:t>
      </w:r>
      <w:proofErr w:type="spellEnd"/>
      <w:r w:rsidRPr="00DD19E7">
        <w:rPr>
          <w:b/>
        </w:rPr>
        <w:t xml:space="preserve"> suradnja</w:t>
      </w:r>
    </w:p>
    <w:p w:rsidR="00E41E92" w:rsidRPr="00DD19E7" w:rsidRDefault="00E41E92" w:rsidP="00E41E92">
      <w:pPr>
        <w:pStyle w:val="NormalHanging12a"/>
        <w:rPr>
          <w:szCs w:val="24"/>
        </w:rPr>
      </w:pPr>
      <w:r w:rsidRPr="00DD19E7">
        <w:t>59.</w:t>
      </w:r>
      <w:r w:rsidRPr="00DD19E7">
        <w:tab/>
        <w:t xml:space="preserve">konstatira da je tijekom 2022. ažurirano nekoliko sporazuma na razini službi i drugih </w:t>
      </w:r>
      <w:proofErr w:type="spellStart"/>
      <w:r w:rsidRPr="00DD19E7">
        <w:t>međuinstitucijskih</w:t>
      </w:r>
      <w:proofErr w:type="spellEnd"/>
      <w:r w:rsidRPr="00DD19E7">
        <w:t xml:space="preserve"> sporazuma o suradnji, uključujući sporazume s Uredom Komisije za istrage i stegovne postupke i Prevoditeljskim centrom za tijela Europske unije;</w:t>
      </w:r>
    </w:p>
    <w:p w:rsidR="00E41E92" w:rsidRPr="00DD19E7" w:rsidRDefault="00E41E92" w:rsidP="00E41E92">
      <w:pPr>
        <w:pStyle w:val="NormalHanging12a"/>
        <w:rPr>
          <w:szCs w:val="24"/>
        </w:rPr>
      </w:pPr>
      <w:r w:rsidRPr="00DD19E7">
        <w:lastRenderedPageBreak/>
        <w:t>60.</w:t>
      </w:r>
      <w:r w:rsidRPr="00DD19E7">
        <w:tab/>
        <w:t>prima na znanje potpisivanje trostranog sporazuma između Revizorskog suda, Komisije i Europske investicijske banke („EIB”) u studenome 2021.; pozdravlja mišljenje Revizorskog suda da su tim sporazumom pojašnjeni i pojednostavnjeni neki postupci te da je Revizorski sud dobio bolji pristup informacijama koje se odnose na operacije koje se financiraju iz proračuna Unije ili za koje se njime jamči; međutim, žali zbog toga što se tim sporazumom ne jamči barem da Revizorski sud može revidirati aspekte uspješnosti aktivnosti koje se izvode pri provedbi politika Unije;</w:t>
      </w:r>
    </w:p>
    <w:p w:rsidR="00E41E92" w:rsidRPr="00DD19E7" w:rsidRDefault="00E41E92" w:rsidP="00E41E92">
      <w:pPr>
        <w:pStyle w:val="NormalHanging12a"/>
        <w:rPr>
          <w:szCs w:val="24"/>
        </w:rPr>
      </w:pPr>
      <w:r w:rsidRPr="00DD19E7">
        <w:t>61.</w:t>
      </w:r>
      <w:r w:rsidRPr="00DD19E7">
        <w:tab/>
        <w:t>naglašava da Parlament u osnovi smatra da trenutačna ograničenja u ulozi revizora EIB-a stvaraju regulatorne i nadzorne praznine te da bi Revizorskom sudu trebalo omogućiti reviziju svih operacija Grupe EIB-a; istodobno naglašava da bi Parlamentu, kao demokratski izabranom tijelu, trebalo povjeriti davanje razrješnice EIB-u kako bi se ojačao demokratski legitimitet te važne institucije Unije i time poboljšala transparentnost i odgovornost te dobro upravljanje financijskim i ljudskim resursima;</w:t>
      </w:r>
    </w:p>
    <w:p w:rsidR="00E41E92" w:rsidRPr="00DD19E7" w:rsidRDefault="00E41E92" w:rsidP="00E41E92">
      <w:pPr>
        <w:pStyle w:val="NormalHanging12a"/>
        <w:rPr>
          <w:szCs w:val="24"/>
        </w:rPr>
      </w:pPr>
      <w:r w:rsidRPr="00DD19E7">
        <w:t>62.</w:t>
      </w:r>
      <w:r w:rsidRPr="00DD19E7">
        <w:tab/>
        <w:t>pozdravlja činjenicu da Revizorski sud blisko surađuje i s OLAF-om i s Uredom europskog javnog tužitelja (EPPO), među ostalim organiziranjem radionica, događanjima za podizanje razine osviještenosti te razmjenom znanja i iskustava; također sa zadovoljstvom prima na znanje da je Revizorski sud 2022. OLAF-u proslijedio 14 slučajeva sumnje na prijevaru i šest slučajeva EPPO-u; ističe svoje mišljenje da bi sumnje na prijevaru uvijek trebalo prosljeđivati OLAF-u i EPPO-u radi temeljite istrage;</w:t>
      </w:r>
    </w:p>
    <w:p w:rsidR="00E41E92" w:rsidRPr="00DD19E7" w:rsidRDefault="00E41E92" w:rsidP="00E41E92">
      <w:pPr>
        <w:pStyle w:val="NormalHanging12a"/>
        <w:rPr>
          <w:szCs w:val="24"/>
        </w:rPr>
      </w:pPr>
      <w:r w:rsidRPr="00DD19E7">
        <w:t>63.</w:t>
      </w:r>
      <w:r w:rsidRPr="00DD19E7">
        <w:tab/>
        <w:t>konstatira da Revizorski sud surađuje s Europskim nadzornikom za zaštitu podataka preko svoje službene osobe za zaštitu podataka i savjetuje se s Europskim nadzornikom za zaštitu podataka o pitanjima povezanima sa zaštitom podataka te da je predmet koji se odnosi na povredu osobnih podataka zaključen 2022. s nekoliko preporuka; pozdravlja činjenicu da službena osoba za zaštitu podataka s Revizorskog suda sudjeluje u mreži službenika za zaštitu podataka koja radi na čestim pitanjima, razmjenjuje primjere najbolje prakse i pomaže u organiziranju polugodišnjeg sastanka službenika za zaštitu podataka;</w:t>
      </w:r>
    </w:p>
    <w:p w:rsidR="00E41E92" w:rsidRPr="00DD19E7" w:rsidRDefault="00E41E92" w:rsidP="00E41E92">
      <w:pPr>
        <w:pStyle w:val="NormalHanging12a"/>
        <w:rPr>
          <w:szCs w:val="24"/>
        </w:rPr>
      </w:pPr>
      <w:r w:rsidRPr="00DD19E7">
        <w:t>64.</w:t>
      </w:r>
      <w:r w:rsidRPr="00DD19E7">
        <w:tab/>
        <w:t xml:space="preserve">konstatira da Revizorski sud surađuje s Europskim </w:t>
      </w:r>
      <w:proofErr w:type="spellStart"/>
      <w:r w:rsidRPr="00DD19E7">
        <w:t>ombudsmanom</w:t>
      </w:r>
      <w:proofErr w:type="spellEnd"/>
      <w:r w:rsidRPr="00DD19E7">
        <w:t xml:space="preserve"> i da je pružio sve informacije zatražene u istragama koje je pokrenuo Europski </w:t>
      </w:r>
      <w:proofErr w:type="spellStart"/>
      <w:r w:rsidRPr="00DD19E7">
        <w:t>ombudsman</w:t>
      </w:r>
      <w:proofErr w:type="spellEnd"/>
      <w:r w:rsidRPr="00DD19E7">
        <w:t xml:space="preserve">; pozdravlja činjenicu da je Revizorski sud sudjelovao u </w:t>
      </w:r>
      <w:proofErr w:type="spellStart"/>
      <w:r w:rsidRPr="00DD19E7">
        <w:t>međuinstitucijskim</w:t>
      </w:r>
      <w:proofErr w:type="spellEnd"/>
      <w:r w:rsidRPr="00DD19E7">
        <w:t xml:space="preserve"> raspravama o modernoj komunikaciji, uključujući trenutačnu razmjenu poruka, te da kao mjerilo uzima smjernice Europskog </w:t>
      </w:r>
      <w:proofErr w:type="spellStart"/>
      <w:r w:rsidRPr="00DD19E7">
        <w:t>ombudsmana</w:t>
      </w:r>
      <w:proofErr w:type="spellEnd"/>
      <w:r w:rsidRPr="00DD19E7">
        <w:t xml:space="preserve"> u tom području;</w:t>
      </w:r>
    </w:p>
    <w:p w:rsidR="00E41E92" w:rsidRPr="00DD19E7" w:rsidRDefault="00E41E92" w:rsidP="00E41E92">
      <w:pPr>
        <w:spacing w:after="240"/>
        <w:rPr>
          <w:b/>
          <w:szCs w:val="24"/>
        </w:rPr>
      </w:pPr>
      <w:r w:rsidRPr="00DD19E7">
        <w:rPr>
          <w:b/>
        </w:rPr>
        <w:t>Komunikacija</w:t>
      </w:r>
    </w:p>
    <w:p w:rsidR="00E365E1" w:rsidRPr="00DD19E7" w:rsidRDefault="00E41E92" w:rsidP="004C1108">
      <w:pPr>
        <w:pStyle w:val="NormalHanging12a"/>
      </w:pPr>
      <w:r w:rsidRPr="00DD19E7">
        <w:t>65.</w:t>
      </w:r>
      <w:r w:rsidRPr="00DD19E7">
        <w:tab/>
        <w:t>pozdravlja činjenicu da je Revizorski sud u siječnju 2022. donio novu komunikacijsku strategiju kojom se šira javnost stavlja u središte njegovih komunikacijskih napora i pohvaljuje činjenicu da Revizorski sud sada može održavati informativne sastanke za medije i konferencije koje se prenose internetom u skladu s dobrim tehničkim standardom; nadalje, pozdravlja činjenicu da je Revizorski sud 2023. ažurirao svoje internetske stranice kako bi korisnicima pružio bolje iskustvo i izradio portal na temelju kojeg podaci povezani s revizijama mogu postati pristupačniji široj publici, uključujući studente, akademsku zajednicu i širu javnost.</w:t>
      </w:r>
      <w:bookmarkStart w:id="10" w:name="TextBodyEnd"/>
      <w:bookmarkEnd w:id="10"/>
    </w:p>
    <w:sectPr w:rsidR="00E365E1" w:rsidRPr="00DD19E7" w:rsidSect="00D70E4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E99" w:rsidRPr="00D70E49" w:rsidRDefault="006E3E99">
      <w:r w:rsidRPr="00D70E49">
        <w:separator/>
      </w:r>
    </w:p>
  </w:endnote>
  <w:endnote w:type="continuationSeparator" w:id="0">
    <w:p w:rsidR="006E3E99" w:rsidRPr="00D70E49" w:rsidRDefault="006E3E99">
      <w:r w:rsidRPr="00D70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E92" w:rsidRPr="00D70E49" w:rsidRDefault="00E41E92" w:rsidP="003C43AB">
    <w:pPr>
      <w:pStyle w:val="EPFooter"/>
    </w:pPr>
    <w:r w:rsidRPr="00D70E49">
      <w:t>PE</w:t>
    </w:r>
    <w:r w:rsidRPr="00D70E49">
      <w:rPr>
        <w:rStyle w:val="HideTWBExt"/>
      </w:rPr>
      <w:t>&lt;NoPE&gt;</w:t>
    </w:r>
    <w:r w:rsidRPr="00D70E49">
      <w:t>753.481</w:t>
    </w:r>
    <w:r w:rsidRPr="00D70E49">
      <w:rPr>
        <w:rStyle w:val="HideTWBExt"/>
      </w:rPr>
      <w:t>&lt;/NoPE&gt;&lt;Version&gt;</w:t>
    </w:r>
    <w:r w:rsidRPr="00D70E49">
      <w:t>v02-00</w:t>
    </w:r>
    <w:r w:rsidRPr="00D70E49">
      <w:rPr>
        <w:rStyle w:val="HideTWBExt"/>
      </w:rPr>
      <w:t>&lt;/Version&gt;</w:t>
    </w:r>
    <w:r w:rsidRPr="00D70E49">
      <w:tab/>
    </w:r>
    <w:r w:rsidRPr="00D70E49">
      <w:fldChar w:fldCharType="begin"/>
    </w:r>
    <w:r w:rsidRPr="00D70E49">
      <w:instrText xml:space="preserve"> PAGE  \* MERGEFORMAT </w:instrText>
    </w:r>
    <w:r w:rsidRPr="00D70E49">
      <w:fldChar w:fldCharType="separate"/>
    </w:r>
    <w:r w:rsidR="00D70E49" w:rsidRPr="00D70E49">
      <w:rPr>
        <w:noProof/>
      </w:rPr>
      <w:t>2</w:t>
    </w:r>
    <w:r w:rsidRPr="00D70E49">
      <w:fldChar w:fldCharType="end"/>
    </w:r>
    <w:r w:rsidRPr="00D70E49">
      <w:t>/</w:t>
    </w:r>
    <w:r w:rsidR="003F63FF">
      <w:fldChar w:fldCharType="begin"/>
    </w:r>
    <w:r w:rsidR="003F63FF">
      <w:instrText xml:space="preserve"> NUMPAGES  \* MERGEFORMAT </w:instrText>
    </w:r>
    <w:r w:rsidR="003F63FF">
      <w:fldChar w:fldCharType="separate"/>
    </w:r>
    <w:r w:rsidR="00D70E49" w:rsidRPr="00D70E49">
      <w:rPr>
        <w:noProof/>
      </w:rPr>
      <w:t>3</w:t>
    </w:r>
    <w:r w:rsidR="003F63FF">
      <w:rPr>
        <w:noProof/>
      </w:rPr>
      <w:fldChar w:fldCharType="end"/>
    </w:r>
    <w:r w:rsidRPr="00D70E49">
      <w:tab/>
    </w:r>
    <w:r w:rsidRPr="00D70E49">
      <w:rPr>
        <w:rStyle w:val="HideTWBExt"/>
      </w:rPr>
      <w:t>&lt;PathFdR&gt;</w:t>
    </w:r>
    <w:r w:rsidRPr="00D70E49">
      <w:t>RR\1298500HR.docx</w:t>
    </w:r>
    <w:r w:rsidRPr="00D70E49">
      <w:rPr>
        <w:rStyle w:val="HideTWBExt"/>
      </w:rPr>
      <w:t>&lt;/PathFdR&gt;</w:t>
    </w:r>
  </w:p>
  <w:p w:rsidR="00E41E92" w:rsidRPr="00D70E49" w:rsidRDefault="00E41E92" w:rsidP="003C43AB">
    <w:pPr>
      <w:pStyle w:val="EPFooter2"/>
    </w:pPr>
    <w:r w:rsidRPr="00D70E49">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E92" w:rsidRPr="00D70E49" w:rsidRDefault="00E41E92" w:rsidP="003C43AB">
    <w:pPr>
      <w:pStyle w:val="EPFooter"/>
    </w:pPr>
    <w:r w:rsidRPr="00D70E49">
      <w:rPr>
        <w:rStyle w:val="HideTWBExt"/>
      </w:rPr>
      <w:t>&lt;PathFdR&gt;</w:t>
    </w:r>
    <w:r w:rsidRPr="00D70E49">
      <w:t>RR\1298500HR.docx</w:t>
    </w:r>
    <w:r w:rsidRPr="00D70E49">
      <w:rPr>
        <w:rStyle w:val="HideTWBExt"/>
      </w:rPr>
      <w:t>&lt;/PathFdR&gt;</w:t>
    </w:r>
    <w:r w:rsidRPr="00D70E49">
      <w:tab/>
    </w:r>
    <w:r w:rsidRPr="00D70E49">
      <w:tab/>
      <w:t>PE</w:t>
    </w:r>
    <w:r w:rsidRPr="00D70E49">
      <w:rPr>
        <w:rStyle w:val="HideTWBExt"/>
      </w:rPr>
      <w:t>&lt;NoPE&gt;</w:t>
    </w:r>
    <w:r w:rsidRPr="00D70E49">
      <w:t>753.481</w:t>
    </w:r>
    <w:r w:rsidRPr="00D70E49">
      <w:rPr>
        <w:rStyle w:val="HideTWBExt"/>
      </w:rPr>
      <w:t>&lt;/NoPE&gt;&lt;Version&gt;</w:t>
    </w:r>
    <w:r w:rsidRPr="00D70E49">
      <w:t>v02-00</w:t>
    </w:r>
    <w:r w:rsidRPr="00D70E49">
      <w:rPr>
        <w:rStyle w:val="HideTWBExt"/>
      </w:rPr>
      <w:t>&lt;/Version&gt;</w:t>
    </w:r>
  </w:p>
  <w:p w:rsidR="00E41E92" w:rsidRPr="00D70E49" w:rsidRDefault="00E41E92" w:rsidP="003C43AB">
    <w:pPr>
      <w:pStyle w:val="EPFooter2"/>
    </w:pPr>
    <w:r w:rsidRPr="00D70E49">
      <w:t>HR</w:t>
    </w:r>
    <w:r w:rsidRPr="00D70E49">
      <w:tab/>
    </w:r>
    <w:r w:rsidRPr="00D70E49">
      <w:rPr>
        <w:b w:val="0"/>
        <w:i/>
        <w:color w:val="C0C0C0"/>
        <w:sz w:val="22"/>
      </w:rPr>
      <w:t>Ujedinjena u raznolikosti</w:t>
    </w:r>
    <w:r w:rsidRPr="00D70E49">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E4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E4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E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E99" w:rsidRPr="00D70E49" w:rsidRDefault="006E3E99">
      <w:r w:rsidRPr="00D70E49">
        <w:separator/>
      </w:r>
    </w:p>
  </w:footnote>
  <w:footnote w:type="continuationSeparator" w:id="0">
    <w:p w:rsidR="006E3E99" w:rsidRPr="00D70E49" w:rsidRDefault="006E3E99">
      <w:r w:rsidRPr="00D70E49">
        <w:continuationSeparator/>
      </w:r>
    </w:p>
  </w:footnote>
  <w:footnote w:id="1">
    <w:p w:rsidR="00E41E92" w:rsidRPr="00D70E49" w:rsidRDefault="00E41E92" w:rsidP="00D70E49">
      <w:pPr>
        <w:pStyle w:val="FootnoteText"/>
        <w:ind w:left="567" w:hanging="567"/>
        <w:rPr>
          <w:sz w:val="24"/>
          <w:lang w:val="hr-HR"/>
        </w:rPr>
      </w:pPr>
      <w:r w:rsidRPr="00D70E49">
        <w:rPr>
          <w:rStyle w:val="FootnoteReference"/>
          <w:sz w:val="24"/>
          <w:lang w:val="hr-HR"/>
        </w:rPr>
        <w:footnoteRef/>
      </w:r>
      <w:r w:rsidR="00D70E49" w:rsidRPr="00D70E49">
        <w:rPr>
          <w:sz w:val="24"/>
          <w:lang w:val="hr-HR"/>
        </w:rPr>
        <w:t xml:space="preserve"> </w:t>
      </w:r>
      <w:r w:rsidR="00D70E49" w:rsidRPr="00D70E49">
        <w:rPr>
          <w:sz w:val="24"/>
          <w:lang w:val="hr-HR"/>
        </w:rPr>
        <w:tab/>
      </w:r>
      <w:r w:rsidRPr="00D70E49">
        <w:rPr>
          <w:sz w:val="24"/>
          <w:lang w:val="hr-HR"/>
        </w:rPr>
        <w:t>SL L 45, 24.2.2022.</w:t>
      </w:r>
    </w:p>
  </w:footnote>
  <w:footnote w:id="2">
    <w:p w:rsidR="00E41E92" w:rsidRPr="00D70E49" w:rsidRDefault="00E41E92" w:rsidP="00D70E49">
      <w:pPr>
        <w:pStyle w:val="FootnoteText"/>
        <w:ind w:left="567" w:hanging="567"/>
        <w:rPr>
          <w:sz w:val="24"/>
          <w:lang w:val="hr-HR"/>
        </w:rPr>
      </w:pPr>
      <w:r w:rsidRPr="00D70E49">
        <w:rPr>
          <w:rStyle w:val="FootnoteReference"/>
          <w:sz w:val="24"/>
          <w:lang w:val="hr-HR"/>
        </w:rPr>
        <w:footnoteRef/>
      </w:r>
      <w:r w:rsidR="00D70E49" w:rsidRPr="00D70E49">
        <w:rPr>
          <w:sz w:val="24"/>
          <w:lang w:val="hr-HR"/>
        </w:rPr>
        <w:t xml:space="preserve"> </w:t>
      </w:r>
      <w:r w:rsidR="00D70E49" w:rsidRPr="00D70E49">
        <w:rPr>
          <w:sz w:val="24"/>
          <w:lang w:val="hr-HR"/>
        </w:rPr>
        <w:tab/>
      </w:r>
      <w:r w:rsidRPr="00D70E49">
        <w:rPr>
          <w:sz w:val="24"/>
          <w:lang w:val="hr-HR"/>
        </w:rPr>
        <w:t xml:space="preserve">SL </w:t>
      </w:r>
      <w:r w:rsidR="003F63FF">
        <w:rPr>
          <w:sz w:val="24"/>
          <w:lang w:val="hr-HR"/>
        </w:rPr>
        <w:t xml:space="preserve">C, </w:t>
      </w:r>
      <w:r w:rsidRPr="00D70E49">
        <w:rPr>
          <w:sz w:val="24"/>
          <w:lang w:val="hr-HR"/>
        </w:rPr>
        <w:t>C /2023/2, 12.10.2023.</w:t>
      </w:r>
    </w:p>
  </w:footnote>
  <w:footnote w:id="3">
    <w:p w:rsidR="00E41E92" w:rsidRPr="00D70E49" w:rsidRDefault="00E41E92" w:rsidP="00D70E49">
      <w:pPr>
        <w:pStyle w:val="FootnoteText"/>
        <w:ind w:left="567" w:hanging="567"/>
        <w:rPr>
          <w:sz w:val="24"/>
          <w:lang w:val="hr-HR"/>
        </w:rPr>
      </w:pPr>
      <w:r w:rsidRPr="00D70E49">
        <w:rPr>
          <w:rStyle w:val="FootnoteReference"/>
          <w:sz w:val="24"/>
          <w:lang w:val="hr-HR"/>
        </w:rPr>
        <w:footnoteRef/>
      </w:r>
      <w:r w:rsidR="00D70E49" w:rsidRPr="00D70E49">
        <w:rPr>
          <w:sz w:val="24"/>
          <w:lang w:val="hr-HR"/>
        </w:rPr>
        <w:t xml:space="preserve"> </w:t>
      </w:r>
      <w:r w:rsidR="00D70E49" w:rsidRPr="00D70E49">
        <w:rPr>
          <w:sz w:val="24"/>
          <w:lang w:val="hr-HR"/>
        </w:rPr>
        <w:tab/>
      </w:r>
      <w:r w:rsidRPr="00D70E49">
        <w:rPr>
          <w:sz w:val="24"/>
          <w:lang w:val="hr-HR"/>
        </w:rPr>
        <w:t xml:space="preserve">SL </w:t>
      </w:r>
      <w:r w:rsidR="003F63FF">
        <w:rPr>
          <w:sz w:val="24"/>
          <w:lang w:val="hr-HR"/>
        </w:rPr>
        <w:t xml:space="preserve">C, </w:t>
      </w:r>
      <w:r w:rsidRPr="00D70E49">
        <w:rPr>
          <w:sz w:val="24"/>
          <w:lang w:val="hr-HR"/>
        </w:rPr>
        <w:t>C 2023/103, 4.10.2023.</w:t>
      </w:r>
    </w:p>
  </w:footnote>
  <w:footnote w:id="4">
    <w:p w:rsidR="00E41E92" w:rsidRPr="00D70E49" w:rsidRDefault="00E41E92" w:rsidP="00D70E49">
      <w:pPr>
        <w:pStyle w:val="FootnoteText"/>
        <w:ind w:left="567" w:hanging="567"/>
        <w:rPr>
          <w:sz w:val="24"/>
          <w:lang w:val="hr-HR"/>
        </w:rPr>
      </w:pPr>
      <w:r w:rsidRPr="00D70E49">
        <w:rPr>
          <w:rStyle w:val="FootnoteReference"/>
          <w:sz w:val="24"/>
          <w:lang w:val="hr-HR"/>
        </w:rPr>
        <w:footnoteRef/>
      </w:r>
      <w:r w:rsidR="00D70E49" w:rsidRPr="00D70E49">
        <w:rPr>
          <w:sz w:val="24"/>
          <w:lang w:val="hr-HR"/>
        </w:rPr>
        <w:t xml:space="preserve"> </w:t>
      </w:r>
      <w:r w:rsidR="00D70E49" w:rsidRPr="00D70E49">
        <w:rPr>
          <w:sz w:val="24"/>
          <w:lang w:val="hr-HR"/>
        </w:rPr>
        <w:tab/>
      </w:r>
      <w:r w:rsidRPr="00D70E49">
        <w:rPr>
          <w:sz w:val="24"/>
          <w:lang w:val="hr-HR"/>
        </w:rPr>
        <w:t xml:space="preserve">SL </w:t>
      </w:r>
      <w:r w:rsidR="003F63FF">
        <w:rPr>
          <w:sz w:val="24"/>
          <w:lang w:val="hr-HR"/>
        </w:rPr>
        <w:t xml:space="preserve">C, </w:t>
      </w:r>
      <w:bookmarkStart w:id="8" w:name="_GoBack"/>
      <w:bookmarkEnd w:id="8"/>
      <w:r w:rsidRPr="00D70E49">
        <w:rPr>
          <w:sz w:val="24"/>
          <w:lang w:val="hr-HR"/>
        </w:rPr>
        <w:t>C 2023/112, 12.10.2023.</w:t>
      </w:r>
    </w:p>
  </w:footnote>
  <w:footnote w:id="5">
    <w:p w:rsidR="00E41E92" w:rsidRPr="00D70E49" w:rsidRDefault="00E41E92" w:rsidP="00D70E49">
      <w:pPr>
        <w:pStyle w:val="FootnoteText"/>
        <w:ind w:left="567" w:hanging="567"/>
        <w:rPr>
          <w:sz w:val="24"/>
          <w:lang w:val="hr-HR"/>
        </w:rPr>
      </w:pPr>
      <w:r w:rsidRPr="00D70E49">
        <w:rPr>
          <w:rStyle w:val="FootnoteReference"/>
          <w:sz w:val="24"/>
          <w:lang w:val="hr-HR"/>
        </w:rPr>
        <w:footnoteRef/>
      </w:r>
      <w:r w:rsidR="00D70E49" w:rsidRPr="00D70E49">
        <w:rPr>
          <w:sz w:val="24"/>
          <w:lang w:val="hr-HR"/>
        </w:rPr>
        <w:t xml:space="preserve"> </w:t>
      </w:r>
      <w:r w:rsidR="00D70E49" w:rsidRPr="00D70E49">
        <w:rPr>
          <w:sz w:val="24"/>
          <w:lang w:val="hr-HR"/>
        </w:rPr>
        <w:tab/>
      </w:r>
      <w:r w:rsidRPr="00D70E49">
        <w:rPr>
          <w:sz w:val="24"/>
          <w:lang w:val="hr-HR"/>
        </w:rPr>
        <w:t>SL L 193, 30.7.2018., str. 1.</w:t>
      </w:r>
    </w:p>
  </w:footnote>
  <w:footnote w:id="6">
    <w:p w:rsidR="00E41E92" w:rsidRPr="00D70E49" w:rsidRDefault="00E41E92" w:rsidP="00D70E49">
      <w:pPr>
        <w:pStyle w:val="FootnoteText"/>
        <w:ind w:left="567" w:hanging="567"/>
        <w:rPr>
          <w:sz w:val="24"/>
          <w:lang w:val="hr-HR"/>
        </w:rPr>
      </w:pPr>
      <w:r w:rsidRPr="00D70E49">
        <w:rPr>
          <w:rStyle w:val="FootnoteReference"/>
          <w:sz w:val="24"/>
          <w:lang w:val="hr-HR"/>
        </w:rPr>
        <w:footnoteRef/>
      </w:r>
      <w:r w:rsidR="00D70E49" w:rsidRPr="00D70E49">
        <w:rPr>
          <w:sz w:val="24"/>
          <w:lang w:val="hr-HR"/>
        </w:rPr>
        <w:t xml:space="preserve"> </w:t>
      </w:r>
      <w:r w:rsidR="00D70E49" w:rsidRPr="00D70E49">
        <w:rPr>
          <w:sz w:val="24"/>
          <w:lang w:val="hr-HR"/>
        </w:rPr>
        <w:tab/>
      </w:r>
      <w:r w:rsidRPr="00D70E49">
        <w:rPr>
          <w:sz w:val="24"/>
          <w:lang w:val="hr-HR"/>
        </w:rPr>
        <w:t>SL L 207, 11.6.2021.,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E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E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0E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HR"/>
    <w:docVar w:name="dvnumam" w:val="0"/>
    <w:docVar w:name="dvpe" w:val="753.481"/>
    <w:docVar w:name="dvrapporteur" w:val="Izvjestitelj: "/>
    <w:docVar w:name="dvtitre" w:val="Odluka Europskog parlamenta od .... 2024. o razrješnici za izvršenje općeg proračuna Europske unije za financijsku godinu 2022., dio V. – Revizorski sud(2023/2133(DEC))"/>
  </w:docVars>
  <w:rsids>
    <w:rsidRoot w:val="006E3E99"/>
    <w:rsid w:val="00002272"/>
    <w:rsid w:val="0005322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63FF"/>
    <w:rsid w:val="00411CCE"/>
    <w:rsid w:val="0041666E"/>
    <w:rsid w:val="00421060"/>
    <w:rsid w:val="00471C19"/>
    <w:rsid w:val="004867E3"/>
    <w:rsid w:val="00494A28"/>
    <w:rsid w:val="004C0004"/>
    <w:rsid w:val="004C1108"/>
    <w:rsid w:val="004C5D52"/>
    <w:rsid w:val="0050519A"/>
    <w:rsid w:val="005072A1"/>
    <w:rsid w:val="00514517"/>
    <w:rsid w:val="00545827"/>
    <w:rsid w:val="00560270"/>
    <w:rsid w:val="005C2568"/>
    <w:rsid w:val="006037C0"/>
    <w:rsid w:val="006631B6"/>
    <w:rsid w:val="00680577"/>
    <w:rsid w:val="006E3E9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170"/>
    <w:rsid w:val="00A1687D"/>
    <w:rsid w:val="00A4108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4AD"/>
    <w:rsid w:val="00C23CD4"/>
    <w:rsid w:val="00C61C0C"/>
    <w:rsid w:val="00C941CB"/>
    <w:rsid w:val="00CC2357"/>
    <w:rsid w:val="00CF071A"/>
    <w:rsid w:val="00D058B8"/>
    <w:rsid w:val="00D56C11"/>
    <w:rsid w:val="00D70E49"/>
    <w:rsid w:val="00D834A0"/>
    <w:rsid w:val="00D872DF"/>
    <w:rsid w:val="00D91E21"/>
    <w:rsid w:val="00DA7FCD"/>
    <w:rsid w:val="00DD19E7"/>
    <w:rsid w:val="00E365E1"/>
    <w:rsid w:val="00E41E9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FD8F1"/>
  <w15:chartTrackingRefBased/>
  <w15:docId w15:val="{A85201A9-DE74-4DD4-84D2-6E49DB4F5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1E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1E92"/>
    <w:pPr>
      <w:spacing w:before="480" w:after="240"/>
    </w:pPr>
  </w:style>
  <w:style w:type="paragraph" w:customStyle="1" w:styleId="PageHeading">
    <w:name w:val="PageHeading"/>
    <w:basedOn w:val="Normal"/>
    <w:rsid w:val="00E41E92"/>
    <w:pPr>
      <w:keepNext/>
      <w:spacing w:after="480"/>
      <w:jc w:val="center"/>
    </w:pPr>
    <w:rPr>
      <w:rFonts w:ascii="Arial" w:hAnsi="Arial" w:cs="Arial"/>
      <w:b/>
    </w:rPr>
  </w:style>
  <w:style w:type="paragraph" w:customStyle="1" w:styleId="NormalBold">
    <w:name w:val="NormalBold"/>
    <w:basedOn w:val="Normal"/>
    <w:rsid w:val="00E41E92"/>
    <w:rPr>
      <w:b/>
    </w:rPr>
  </w:style>
  <w:style w:type="paragraph" w:customStyle="1" w:styleId="NormalHanging12a">
    <w:name w:val="NormalHanging12a"/>
    <w:basedOn w:val="Normal"/>
    <w:link w:val="NormalHanging12aChar"/>
    <w:qFormat/>
    <w:rsid w:val="00E41E92"/>
    <w:pPr>
      <w:spacing w:after="240"/>
      <w:ind w:left="567" w:hanging="567"/>
    </w:pPr>
  </w:style>
  <w:style w:type="paragraph" w:styleId="Header">
    <w:name w:val="header"/>
    <w:basedOn w:val="Normal"/>
    <w:link w:val="HeaderChar"/>
    <w:rsid w:val="00E41E92"/>
    <w:pPr>
      <w:tabs>
        <w:tab w:val="center" w:pos="4513"/>
        <w:tab w:val="right" w:pos="9026"/>
      </w:tabs>
    </w:pPr>
  </w:style>
  <w:style w:type="character" w:customStyle="1" w:styleId="HeaderChar">
    <w:name w:val="Header Char"/>
    <w:basedOn w:val="DefaultParagraphFont"/>
    <w:link w:val="Header"/>
    <w:rsid w:val="00E41E92"/>
    <w:rPr>
      <w:sz w:val="24"/>
      <w:lang w:val="hr-HR"/>
    </w:rPr>
  </w:style>
  <w:style w:type="paragraph" w:customStyle="1" w:styleId="EPFooter">
    <w:name w:val="EPFooter"/>
    <w:basedOn w:val="Normal"/>
    <w:rsid w:val="00E41E9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41E92"/>
    <w:rPr>
      <w:sz w:val="24"/>
      <w:lang w:val="hr-HR"/>
    </w:rPr>
  </w:style>
  <w:style w:type="paragraph" w:styleId="Footer">
    <w:name w:val="footer"/>
    <w:basedOn w:val="Normal"/>
    <w:link w:val="FooterChar"/>
    <w:rsid w:val="004C1108"/>
    <w:pPr>
      <w:tabs>
        <w:tab w:val="center" w:pos="4513"/>
        <w:tab w:val="right" w:pos="9026"/>
      </w:tabs>
    </w:pPr>
  </w:style>
  <w:style w:type="character" w:customStyle="1" w:styleId="FooterChar">
    <w:name w:val="Footer Char"/>
    <w:basedOn w:val="DefaultParagraphFont"/>
    <w:link w:val="Footer"/>
    <w:rsid w:val="004C110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5920D-8889-41C2-BE59-4E1F117A5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5008</Words>
  <Characters>29758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2024-05-22T15:02:00Z</dcterms:created>
  <dcterms:modified xsi:type="dcterms:W3CDTF">2024-10-31T10:55:00Z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P9_TA(2024)0231_</vt:lpwstr>
  </property>
  <property fmtid="{D5CDD505-2E9C-101B-9397-08002B2CF9AE}" pid="4" name="&lt;Type&gt;">
    <vt:lpwstr>RR</vt:lpwstr>
  </property>
</Properties>
</file>