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4E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14ED0" w:rsidRDefault="00D53746" w:rsidP="0010095E">
            <w:pPr>
              <w:pStyle w:val="EPName"/>
            </w:pPr>
            <w:bookmarkStart w:id="0" w:name="_GoBack"/>
            <w:bookmarkEnd w:id="0"/>
            <w:r w:rsidRPr="00414ED0">
              <w:t>Európai Parlament</w:t>
            </w:r>
          </w:p>
          <w:p w:rsidR="00751A4A" w:rsidRPr="00414E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4ED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14ED0" w:rsidRDefault="00187494" w:rsidP="0010095E">
            <w:pPr>
              <w:pStyle w:val="EPLogo"/>
            </w:pPr>
            <w:r w:rsidRPr="00414ED0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14ED0" w:rsidRDefault="00D058B8" w:rsidP="004C5D52">
      <w:pPr>
        <w:pStyle w:val="LineTop"/>
      </w:pPr>
    </w:p>
    <w:p w:rsidR="00680577" w:rsidRPr="00414ED0" w:rsidRDefault="00D53746" w:rsidP="00680577">
      <w:pPr>
        <w:pStyle w:val="EPBodyTA1"/>
      </w:pPr>
      <w:r w:rsidRPr="00414ED0">
        <w:t>ELFOGADOTT SZÖVEGEK</w:t>
      </w:r>
    </w:p>
    <w:p w:rsidR="00D058B8" w:rsidRPr="00414ED0" w:rsidRDefault="00D058B8" w:rsidP="00D058B8">
      <w:pPr>
        <w:pStyle w:val="LineBottom"/>
      </w:pPr>
    </w:p>
    <w:p w:rsidR="00D53746" w:rsidRPr="00414ED0" w:rsidRDefault="00D53746" w:rsidP="00D53746">
      <w:pPr>
        <w:pStyle w:val="ATHeading1"/>
      </w:pPr>
      <w:bookmarkStart w:id="1" w:name="TANumber"/>
      <w:r w:rsidRPr="00414ED0">
        <w:t>P9_</w:t>
      </w:r>
      <w:proofErr w:type="gramStart"/>
      <w:r w:rsidRPr="00414ED0">
        <w:t>TA(</w:t>
      </w:r>
      <w:proofErr w:type="gramEnd"/>
      <w:r w:rsidRPr="00414ED0">
        <w:t>2024)0</w:t>
      </w:r>
      <w:r w:rsidR="007835B2" w:rsidRPr="00414ED0">
        <w:t>231</w:t>
      </w:r>
      <w:bookmarkEnd w:id="1"/>
    </w:p>
    <w:p w:rsidR="00D53746" w:rsidRPr="00414ED0" w:rsidRDefault="008F35E5" w:rsidP="00D53746">
      <w:pPr>
        <w:pStyle w:val="ATHeading2"/>
      </w:pPr>
      <w:bookmarkStart w:id="2" w:name="title"/>
      <w:r w:rsidRPr="00414ED0">
        <w:rPr>
          <w:bCs/>
        </w:rPr>
        <w:t xml:space="preserve">2022. évi </w:t>
      </w:r>
      <w:proofErr w:type="gramStart"/>
      <w:r w:rsidRPr="00414ED0">
        <w:rPr>
          <w:bCs/>
        </w:rPr>
        <w:t>mentesítés</w:t>
      </w:r>
      <w:proofErr w:type="gramEnd"/>
      <w:r w:rsidRPr="00414ED0">
        <w:rPr>
          <w:bCs/>
        </w:rPr>
        <w:t>: Az EU általános költségvetése – Számvevőszék</w:t>
      </w:r>
      <w:bookmarkEnd w:id="2"/>
    </w:p>
    <w:p w:rsidR="00D53746" w:rsidRPr="00414ED0" w:rsidRDefault="00D53746" w:rsidP="00D53746">
      <w:pPr>
        <w:rPr>
          <w:i/>
          <w:vanish/>
        </w:rPr>
      </w:pPr>
      <w:r w:rsidRPr="00414ED0">
        <w:rPr>
          <w:i/>
        </w:rPr>
        <w:fldChar w:fldCharType="begin"/>
      </w:r>
      <w:r w:rsidRPr="00414ED0">
        <w:rPr>
          <w:i/>
        </w:rPr>
        <w:instrText xml:space="preserve"> TC"(</w:instrText>
      </w:r>
      <w:bookmarkStart w:id="3" w:name="DocNumber"/>
      <w:r w:rsidRPr="00414ED0">
        <w:rPr>
          <w:i/>
        </w:rPr>
        <w:instrText>A9-0074/2024</w:instrText>
      </w:r>
      <w:bookmarkEnd w:id="3"/>
      <w:r w:rsidRPr="00414ED0">
        <w:rPr>
          <w:i/>
        </w:rPr>
        <w:instrText xml:space="preserve"> - Előadó: </w:instrText>
      </w:r>
      <w:proofErr w:type="spellStart"/>
      <w:r w:rsidRPr="00414ED0">
        <w:rPr>
          <w:i/>
        </w:rPr>
        <w:instrText>Luke</w:instrText>
      </w:r>
      <w:proofErr w:type="spellEnd"/>
      <w:r w:rsidRPr="00414ED0">
        <w:rPr>
          <w:i/>
        </w:rPr>
        <w:instrText xml:space="preserve"> </w:instrText>
      </w:r>
      <w:proofErr w:type="spellStart"/>
      <w:r w:rsidRPr="00414ED0">
        <w:rPr>
          <w:i/>
        </w:rPr>
        <w:instrText>Ming</w:instrText>
      </w:r>
      <w:proofErr w:type="spellEnd"/>
      <w:r w:rsidRPr="00414ED0">
        <w:rPr>
          <w:i/>
        </w:rPr>
        <w:instrText xml:space="preserve"> </w:instrText>
      </w:r>
      <w:proofErr w:type="spellStart"/>
      <w:r w:rsidRPr="00414ED0">
        <w:rPr>
          <w:i/>
        </w:rPr>
        <w:instrText>Flanagan</w:instrText>
      </w:r>
      <w:proofErr w:type="spellEnd"/>
      <w:r w:rsidRPr="00414ED0">
        <w:rPr>
          <w:i/>
        </w:rPr>
        <w:instrText xml:space="preserve">)"\l3 \n&gt; \* MERGEFORMAT </w:instrText>
      </w:r>
      <w:r w:rsidRPr="00414ED0">
        <w:rPr>
          <w:i/>
        </w:rPr>
        <w:fldChar w:fldCharType="end"/>
      </w:r>
    </w:p>
    <w:p w:rsidR="00D53746" w:rsidRPr="00414ED0" w:rsidRDefault="00D53746" w:rsidP="00D53746">
      <w:pPr>
        <w:rPr>
          <w:vanish/>
        </w:rPr>
      </w:pPr>
      <w:bookmarkStart w:id="4" w:name="Commission"/>
      <w:r w:rsidRPr="00414ED0">
        <w:rPr>
          <w:vanish/>
        </w:rPr>
        <w:t>Költségvetési Ellenőrző Bizottság</w:t>
      </w:r>
      <w:bookmarkEnd w:id="4"/>
    </w:p>
    <w:p w:rsidR="00D53746" w:rsidRPr="00414ED0" w:rsidRDefault="00D53746" w:rsidP="00D53746">
      <w:pPr>
        <w:rPr>
          <w:vanish/>
        </w:rPr>
      </w:pPr>
      <w:bookmarkStart w:id="5" w:name="PE"/>
      <w:r w:rsidRPr="00414ED0">
        <w:rPr>
          <w:vanish/>
        </w:rPr>
        <w:t>PE753.481</w:t>
      </w:r>
      <w:bookmarkEnd w:id="5"/>
    </w:p>
    <w:p w:rsidR="00D53746" w:rsidRPr="00414ED0" w:rsidRDefault="008F35E5" w:rsidP="00D53746">
      <w:pPr>
        <w:pStyle w:val="ATHeading3"/>
      </w:pPr>
      <w:bookmarkStart w:id="6" w:name="Sujet"/>
      <w:r w:rsidRPr="00414ED0">
        <w:t xml:space="preserve">1. </w:t>
      </w:r>
      <w:r w:rsidR="00D53746" w:rsidRPr="00414ED0">
        <w:t xml:space="preserve">Az Európai Parlament 2024. </w:t>
      </w:r>
      <w:r w:rsidRPr="00414ED0">
        <w:t>április 11</w:t>
      </w:r>
      <w:r w:rsidR="00D53746" w:rsidRPr="00414ED0">
        <w:t>-i határozata az Európai Unió 2022. pénzügyi évre szóló általános költségvetésének végrehajtására vonatkozó mentesítésről, V. szakasz – Számvevőszék</w:t>
      </w:r>
      <w:bookmarkEnd w:id="6"/>
      <w:r w:rsidR="00D53746" w:rsidRPr="00414ED0">
        <w:t xml:space="preserve"> </w:t>
      </w:r>
      <w:bookmarkStart w:id="7" w:name="References"/>
      <w:r w:rsidR="00D53746" w:rsidRPr="00414ED0">
        <w:t>(2023/</w:t>
      </w:r>
      <w:proofErr w:type="gramStart"/>
      <w:r w:rsidR="00D53746" w:rsidRPr="00414ED0">
        <w:t>2133(</w:t>
      </w:r>
      <w:proofErr w:type="gramEnd"/>
      <w:r w:rsidR="00D53746" w:rsidRPr="00414ED0">
        <w:t>DEC))</w:t>
      </w:r>
      <w:bookmarkEnd w:id="7"/>
    </w:p>
    <w:p w:rsidR="00775E17" w:rsidRPr="00414ED0" w:rsidRDefault="00775E17" w:rsidP="00775E17">
      <w:pPr>
        <w:pStyle w:val="EPComma"/>
      </w:pPr>
      <w:bookmarkStart w:id="8" w:name="TextBodyBegin"/>
      <w:bookmarkEnd w:id="8"/>
      <w:r w:rsidRPr="00414ED0">
        <w:rPr>
          <w:i/>
          <w:iCs/>
        </w:rPr>
        <w:t>Az Európai Parlament</w:t>
      </w:r>
      <w:r w:rsidRPr="00414ED0">
        <w:t>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az Európai Unió 2022. évi pénzügyi évre vonatkozó általános költségvetésére</w:t>
      </w:r>
      <w:r w:rsidRPr="00414ED0">
        <w:rPr>
          <w:rStyle w:val="FootnoteReference"/>
        </w:rPr>
        <w:footnoteReference w:id="1"/>
      </w:r>
      <w:r w:rsidRPr="00414ED0">
        <w:t>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az Európai Unió 2022. évi pénzügyi évre vonatkozó összevont éves beszámolójára (</w:t>
      </w:r>
      <w:proofErr w:type="gramStart"/>
      <w:r w:rsidRPr="00414ED0">
        <w:t>COM(</w:t>
      </w:r>
      <w:proofErr w:type="gramEnd"/>
      <w:r w:rsidRPr="00414ED0">
        <w:t>2023)0391 – C9</w:t>
      </w:r>
      <w:r w:rsidRPr="00414ED0">
        <w:noBreakHyphen/>
        <w:t>0252/2023)</w:t>
      </w:r>
      <w:r w:rsidRPr="00414ED0">
        <w:rPr>
          <w:rStyle w:val="FootnoteReference"/>
        </w:rPr>
        <w:footnoteReference w:id="2"/>
      </w:r>
      <w:r w:rsidRPr="00414ED0">
        <w:t>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 Számvevőszéknek a 2022-ben elvégzett belső ellenőrzésekről a mentesítésért felelős hatóság számára készített éves jelentésére,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 Számvevőszéknek a 2022. évi pénzügyi év költségvetésének végrehajtásáról szóló éves jelentésére, az intézmények válaszaival együtt</w:t>
      </w:r>
      <w:r w:rsidRPr="00414ED0">
        <w:rPr>
          <w:rStyle w:val="FootnoteReference"/>
        </w:rPr>
        <w:footnoteReference w:id="3"/>
      </w:r>
      <w:r w:rsidRPr="00414ED0">
        <w:t>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 Számvevőszéknek a 2022. évi pénzügyi évre vonatkozóan az elszámolás megbízhatóságát, valamint az alapjául szolgáló ügyletek jogszerűségét és szabályszerűségét igazoló, az Európai Unió működéséről szóló szerződés 287. cikke szerinti megbízhatósági nyilatkozatára</w:t>
      </w:r>
      <w:r w:rsidRPr="00414ED0">
        <w:rPr>
          <w:rStyle w:val="FootnoteReference"/>
        </w:rPr>
        <w:footnoteReference w:id="4"/>
      </w:r>
      <w:r w:rsidRPr="00414ED0">
        <w:t>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az Európai Unió működéséről szóló szerződés 314. cikkének (10) bekezdésére, valamint 317., 318. és 319. cikkére,</w:t>
      </w:r>
    </w:p>
    <w:p w:rsidR="00775E17" w:rsidRPr="00414ED0" w:rsidRDefault="00775E17" w:rsidP="008F35E5">
      <w:pPr>
        <w:pStyle w:val="NormalHanging12a"/>
        <w:widowControl/>
      </w:pPr>
      <w:proofErr w:type="gramStart"/>
      <w:r w:rsidRPr="00414ED0">
        <w:t>–</w:t>
      </w:r>
      <w:r w:rsidRPr="00414ED0">
        <w:tab/>
        <w:t xml:space="preserve">tekintettel az Unió általános költségvetésére alkalmazandó pénzügyi szabályokról, az 1296/2013/EU, az 1301/2013/EU, az 1303/2013/EU, az 1304/2013/EU, az 1309/2013/EU, az 1316/2013/EU, a 223/2014/EU és a 283/2014/EU rendelet és az 541/2014/EU határozat módosításáról, valamint a 966/2012/EU, Euratom rendelet hatályon kívül helyezéséről szóló, 2018. július 18-i (EU, Euratom) 2018/1046 európai </w:t>
      </w:r>
      <w:r w:rsidRPr="00414ED0">
        <w:lastRenderedPageBreak/>
        <w:t>parlamenti és tanácsi rendeletre</w:t>
      </w:r>
      <w:r w:rsidRPr="00414ED0">
        <w:rPr>
          <w:rStyle w:val="FootnoteReference"/>
        </w:rPr>
        <w:footnoteReference w:id="5"/>
      </w:r>
      <w:r w:rsidRPr="00414ED0">
        <w:t xml:space="preserve"> és különösen annak 59., 118., 260., 261. és 262. cikkére,</w:t>
      </w:r>
      <w:proofErr w:type="gramEnd"/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eljárási szabályzata 100. cikkére és V. mellékletére,</w:t>
      </w:r>
    </w:p>
    <w:p w:rsidR="00775E17" w:rsidRPr="00414ED0" w:rsidRDefault="00775E17" w:rsidP="008F35E5">
      <w:pPr>
        <w:pStyle w:val="NormalHanging12a"/>
        <w:widowControl/>
      </w:pPr>
      <w:r w:rsidRPr="00414ED0">
        <w:t>–</w:t>
      </w:r>
      <w:r w:rsidRPr="00414ED0">
        <w:tab/>
        <w:t>tekintettel a Költségvetési Ellenőrző Bizottság jelentésére (A9-0074/2024),</w:t>
      </w:r>
    </w:p>
    <w:p w:rsidR="00775E17" w:rsidRPr="00414ED0" w:rsidRDefault="00775E17" w:rsidP="008F35E5">
      <w:pPr>
        <w:pStyle w:val="NormalHanging12a"/>
        <w:widowControl/>
      </w:pPr>
      <w:r w:rsidRPr="00414ED0">
        <w:t>1.</w:t>
      </w:r>
      <w:r w:rsidRPr="00414ED0">
        <w:tab/>
      </w:r>
      <w:proofErr w:type="gramStart"/>
      <w:r w:rsidRPr="00414ED0">
        <w:t>mentesítést</w:t>
      </w:r>
      <w:proofErr w:type="gramEnd"/>
      <w:r w:rsidRPr="00414ED0">
        <w:t xml:space="preserve"> ad a Számvevőszék főtitkára számára a Számvevőszék 2022. évi pénzügyi évre szóló költségvetésének végrehajtására vonatkozóan;</w:t>
      </w:r>
    </w:p>
    <w:p w:rsidR="00775E17" w:rsidRPr="00414ED0" w:rsidRDefault="00775E17" w:rsidP="008F35E5">
      <w:pPr>
        <w:pStyle w:val="NormalHanging12a"/>
        <w:widowControl/>
      </w:pPr>
      <w:r w:rsidRPr="00414ED0">
        <w:t>2.</w:t>
      </w:r>
      <w:r w:rsidRPr="00414ED0">
        <w:tab/>
        <w:t>megjegyzéseit a mellékelt állásfoglalásban foglalja össze;</w:t>
      </w:r>
    </w:p>
    <w:p w:rsidR="00775E17" w:rsidRPr="00414ED0" w:rsidRDefault="00775E17" w:rsidP="008F35E5">
      <w:pPr>
        <w:pStyle w:val="NormalHanging12a"/>
        <w:widowControl/>
      </w:pPr>
      <w:r w:rsidRPr="00414ED0">
        <w:t>3.</w:t>
      </w:r>
      <w:r w:rsidRPr="00414ED0">
        <w:tab/>
        <w:t xml:space="preserve">utasítja elnökét, hogy továbbítsa ezt a határozatot, valamint az annak szerves részét képező állásfoglalást a Tanácsnak, a Bizottságnak és a Számvevőszéknek, </w:t>
      </w:r>
      <w:r w:rsidR="00342827" w:rsidRPr="00414ED0">
        <w:t>és</w:t>
      </w:r>
      <w:r w:rsidRPr="00414ED0">
        <w:t xml:space="preserve"> gondoskodjon az </w:t>
      </w:r>
      <w:r w:rsidRPr="00414ED0">
        <w:rPr>
          <w:i/>
        </w:rPr>
        <w:t>Európai Unió Hivatalos Lapjában</w:t>
      </w:r>
      <w:r w:rsidRPr="00414ED0">
        <w:t xml:space="preserve"> (L sorozat) való közzétételükről.</w:t>
      </w:r>
    </w:p>
    <w:p w:rsidR="00775E17" w:rsidRPr="00414ED0" w:rsidRDefault="00775E17" w:rsidP="008F35E5">
      <w:pPr>
        <w:widowControl/>
        <w:spacing w:after="240"/>
        <w:ind w:left="567" w:hanging="567"/>
      </w:pPr>
    </w:p>
    <w:p w:rsidR="00775E17" w:rsidRPr="00414ED0" w:rsidRDefault="00775E17" w:rsidP="008F35E5">
      <w:pPr>
        <w:pStyle w:val="PageHeading"/>
        <w:keepNext w:val="0"/>
        <w:widowControl/>
        <w:spacing w:after="240"/>
        <w:ind w:left="567" w:hanging="567"/>
        <w:sectPr w:rsidR="00775E17" w:rsidRPr="00414ED0" w:rsidSect="004B506A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75E17" w:rsidRPr="00414ED0" w:rsidRDefault="00775E17" w:rsidP="00414ED0">
      <w:pPr>
        <w:pStyle w:val="ATHeading3"/>
      </w:pPr>
      <w:bookmarkStart w:id="9" w:name="_Toc161846115"/>
      <w:r w:rsidRPr="00414ED0">
        <w:lastRenderedPageBreak/>
        <w:t xml:space="preserve">2. </w:t>
      </w:r>
      <w:r w:rsidR="008F35E5" w:rsidRPr="00414ED0">
        <w:t>Az Európai Parlament 2024. április 11-i állásfoglalása</w:t>
      </w:r>
      <w:bookmarkEnd w:id="9"/>
      <w:r w:rsidR="008F35E5" w:rsidRPr="00414ED0">
        <w:t xml:space="preserve"> </w:t>
      </w:r>
      <w:r w:rsidRPr="00414ED0">
        <w:t>az Európai Unió 2022. pénzügyi évre szóló általános költségvetésének végrehajtására vonatkozó mentesítésről szóló határozat szerves részét képező megjegyzésekkel, V. szakasz – Számvevőszék</w:t>
      </w:r>
      <w:r w:rsidR="008F35E5" w:rsidRPr="00414ED0">
        <w:t xml:space="preserve"> </w:t>
      </w:r>
      <w:r w:rsidRPr="00414ED0">
        <w:t>(2023/</w:t>
      </w:r>
      <w:proofErr w:type="gramStart"/>
      <w:r w:rsidRPr="00414ED0">
        <w:t>2133(</w:t>
      </w:r>
      <w:proofErr w:type="gramEnd"/>
      <w:r w:rsidRPr="00414ED0">
        <w:t>DEC))</w:t>
      </w:r>
    </w:p>
    <w:p w:rsidR="00987B37" w:rsidRPr="00414ED0" w:rsidRDefault="00987B37" w:rsidP="008F35E5">
      <w:pPr>
        <w:pStyle w:val="EPComma"/>
        <w:widowControl/>
        <w:spacing w:before="0"/>
        <w:ind w:left="567" w:hanging="567"/>
        <w:rPr>
          <w:i/>
          <w:iCs/>
        </w:rPr>
      </w:pPr>
    </w:p>
    <w:p w:rsidR="00775E17" w:rsidRPr="00414ED0" w:rsidRDefault="00775E17" w:rsidP="008F35E5">
      <w:pPr>
        <w:pStyle w:val="EPComma"/>
        <w:widowControl/>
        <w:spacing w:before="0"/>
        <w:ind w:left="567" w:hanging="567"/>
      </w:pPr>
      <w:r w:rsidRPr="00414ED0">
        <w:rPr>
          <w:i/>
          <w:iCs/>
        </w:rPr>
        <w:t>Az Európai Parlament</w:t>
      </w:r>
      <w:r w:rsidRPr="00414ED0">
        <w:t>,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–</w:t>
      </w:r>
      <w:r w:rsidRPr="00414ED0">
        <w:tab/>
        <w:t xml:space="preserve">tekintettel az Európai Unió 2022. pénzügyi évre szóló általános költségvetésének végrehajtására vonatkozó </w:t>
      </w:r>
      <w:proofErr w:type="gramStart"/>
      <w:r w:rsidRPr="00414ED0">
        <w:t>mentesítésről</w:t>
      </w:r>
      <w:proofErr w:type="gramEnd"/>
      <w:r w:rsidRPr="00414ED0">
        <w:t xml:space="preserve"> szóló határozatára, V. szakasz – Számvevőszék,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–</w:t>
      </w:r>
      <w:r w:rsidRPr="00414ED0">
        <w:tab/>
        <w:t>tekintettel eljárási szabályzata 100. cikkére és V. mellékletére,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–</w:t>
      </w:r>
      <w:r w:rsidRPr="00414ED0">
        <w:tab/>
        <w:t>tekintettel a Költségvetési Ellenőrző Bizottság jelentésére (A9-0074/2024),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A.</w:t>
      </w:r>
      <w:proofErr w:type="gramEnd"/>
      <w:r w:rsidRPr="00414ED0">
        <w:tab/>
        <w:t xml:space="preserve">mivel a mentesítésért felelős hatóság a mentesítési eljárás keretében hangsúlyozni kívánja, hogy különösen fontos az uniós intézmények demokratikus legitimitásának további erősítése az átláthatóság és az elszámoltathatóság javítása, a teljesítményalapú költségvetés-tervezés </w:t>
      </w:r>
      <w:proofErr w:type="gramStart"/>
      <w:r w:rsidRPr="00414ED0">
        <w:t>koncepciójának</w:t>
      </w:r>
      <w:proofErr w:type="gramEnd"/>
      <w:r w:rsidRPr="00414ED0">
        <w:t xml:space="preserve"> végrehajtása és az emberi erőforrások megfelelő irányítása révén;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B.</w:t>
      </w:r>
      <w:r w:rsidRPr="00414ED0">
        <w:tab/>
        <w:t xml:space="preserve">mivel az Európai Számvevőszék (a továbbiakban: a Számvevőszék) az Unió külső ellenőre, amelynek feladata, hogy független, szakszerű és hatásos ellenőrzési munkája révén értékelje az uniós tevékenységek gazdaságosságát, eredményességét, hatékonyságát, jogszerűségét és szabályszerűségét az elszámoltathatóság, az átláthatóság és a pénzgazdálkodás javítása érdekében, erősítve </w:t>
      </w:r>
      <w:proofErr w:type="gramStart"/>
      <w:r w:rsidRPr="00414ED0">
        <w:t>ezáltal</w:t>
      </w:r>
      <w:proofErr w:type="gramEnd"/>
      <w:r w:rsidRPr="00414ED0">
        <w:t xml:space="preserve"> a polgárok bizalmát, valamint hatékony választ adjon az Unió előtt álló jelenlegi és jövőbeli kihívásokra;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C.</w:t>
      </w:r>
      <w:r w:rsidRPr="00414ED0">
        <w:tab/>
        <w:t>mivel az Európai Unió működéséről szóló szerződés (EUMSZ) 287. és 319. cikke rendelkezéseinek sérelme nélkül, az 1987. pénzügyi év lezárása óta a Számvevőszék bevételi és kiadási elszámolásait minden évben független külső ellenőr ellenőrzi, és az 1992. pénzügyi évről szóló jelentés óta a külső ellenőr jelentéseit közzétették az Európai Unió Hivatalos Lapjában;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D.</w:t>
      </w:r>
      <w:r w:rsidRPr="00414ED0">
        <w:tab/>
        <w:t>mivel az irányítás elszámoltathatósága a költségvetési hatóságokkal szemben a Számvevőszék főtitkárának éves tevékenységi jelentésén keresztül történik, amelynek célja a költségvetési rendelet 74. cikkének (9) bekezdésével összhangban, hogy tájékoztatást nyújtson a források kezeléséről, beleértve a rendszereket, valamint a Számvevőszék belső ellenőrzési rendszereinek hatékonyságáról és eredményességéről;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E.</w:t>
      </w:r>
      <w:r w:rsidRPr="00414ED0">
        <w:tab/>
      </w:r>
      <w:proofErr w:type="gramStart"/>
      <w:r w:rsidRPr="00414ED0">
        <w:t>mivel</w:t>
      </w:r>
      <w:proofErr w:type="gramEnd"/>
      <w:r w:rsidRPr="00414ED0">
        <w:t xml:space="preserve"> a Számvevőszék átlátható és független működésével hozzájárul a demokratikus felügyelethez, a nyilvános vitához és az Unió hatékony és eredményes pénzgazdálkodásához;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F.</w:t>
      </w:r>
      <w:r w:rsidRPr="00414ED0">
        <w:tab/>
      </w:r>
      <w:proofErr w:type="gramStart"/>
      <w:r w:rsidRPr="00414ED0">
        <w:t xml:space="preserve">mivel a Számvevőszék azon az állásponton van, hogy az uniós kormányzás, annak elszámoltathatósága és az átláthatósága, valamint az uniós politikák végrehajtására vonatkozó információk és adatok minőségének és megbízhatóságának értékelése érdekében a legjobb megoldás az lenne, ha a Számvevőszék megbízást kapna a Szerződések által vagy azok alapján létrehozott valamennyi uniós intézmény, szerv, hivatal és ügynökség, valamint az Unió működése szempontjából kulcsfontosságú </w:t>
      </w:r>
      <w:r w:rsidRPr="00414ED0">
        <w:lastRenderedPageBreak/>
        <w:t>valamennyi kormányközi struktúra ellenőrzésére; mivel a Parlament határozottan támogatja a Számvevőszéket e tekintetben, és üdvözölne</w:t>
      </w:r>
      <w:proofErr w:type="gramEnd"/>
      <w:r w:rsidRPr="00414ED0">
        <w:t xml:space="preserve"> </w:t>
      </w:r>
      <w:proofErr w:type="gramStart"/>
      <w:r w:rsidRPr="00414ED0">
        <w:t>minden</w:t>
      </w:r>
      <w:proofErr w:type="gramEnd"/>
      <w:r w:rsidRPr="00414ED0">
        <w:t xml:space="preserve"> olyan kezdeményezést, amely a Számvevőszéket szélesebb körű megbízatással ruházná fel;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 Számvevőszék költségvetése a többéves pénzügyi keret „Európai közigazgatás” elnevezésű 7. fejezetébe tartozik, amely 2022-ben 11,6 milliárd EUR-t tett ki (ami a teljes uniós költségvetés 5,9%-</w:t>
      </w:r>
      <w:proofErr w:type="spellStart"/>
      <w:r w:rsidRPr="00414ED0">
        <w:t>ának</w:t>
      </w:r>
      <w:proofErr w:type="spellEnd"/>
      <w:r w:rsidRPr="00414ED0">
        <w:t xml:space="preserve"> felel meg); </w:t>
      </w:r>
      <w:proofErr w:type="spellStart"/>
      <w:r w:rsidRPr="00414ED0">
        <w:t>megjegyzi</w:t>
      </w:r>
      <w:proofErr w:type="spellEnd"/>
      <w:r w:rsidRPr="00414ED0">
        <w:t>, hogy 2022-ben a Számvevőszék mintegy 0,2 milliárd EUR összegű költségvetése az összes igazgatási kiadás 1,4%-át tette ki;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a 2022. pénzügyi évre vonatkozó éves jelentésében 2021-hez hasonlóan egy olyan mintát vizsgált meg, amely az „Igazgatás” alá tartozó 60 ügyletből állt; </w:t>
      </w:r>
      <w:proofErr w:type="spellStart"/>
      <w:r w:rsidRPr="00414ED0">
        <w:t>megjegyzi</w:t>
      </w:r>
      <w:proofErr w:type="spellEnd"/>
      <w:r w:rsidRPr="00414ED0">
        <w:t xml:space="preserve"> továbbá, hogy a Számvevőszék azt írja, hogy az igazgatási kiadások magukban foglalják a humánerőforrás-kiadásokat – beleértve a nyugdíjkiadásokat –, amelyek 2022-ben az összes igazgatási kiadás mintegy 70%-át tették ki, valamint az épületekre, berendezésekre, energiára, kommunikációra és információtechnológiára fordított kiadásokat, és hogy a Számvevőszék a többéves munkája alapján ezeket a kiadásokat</w:t>
      </w:r>
      <w:proofErr w:type="gramEnd"/>
      <w:r w:rsidRPr="00414ED0">
        <w:t xml:space="preserve"> </w:t>
      </w:r>
      <w:proofErr w:type="gramStart"/>
      <w:r w:rsidRPr="00414ED0">
        <w:t>összességében</w:t>
      </w:r>
      <w:proofErr w:type="gramEnd"/>
      <w:r w:rsidRPr="00414ED0">
        <w:t xml:space="preserve"> alacsony kockázatúnak tartja;</w:t>
      </w:r>
    </w:p>
    <w:p w:rsidR="00775E17" w:rsidRPr="00014389" w:rsidRDefault="00775E17" w:rsidP="008F35E5">
      <w:pPr>
        <w:pStyle w:val="NormalHanging12a"/>
        <w:widowControl/>
        <w:rPr>
          <w:szCs w:val="24"/>
        </w:rPr>
      </w:pPr>
      <w:proofErr w:type="gramStart"/>
      <w:r w:rsidRPr="00014389">
        <w:t>3.</w:t>
      </w:r>
      <w:r w:rsidRPr="00014389">
        <w:tab/>
      </w:r>
      <w:r w:rsidR="0047767E" w:rsidRPr="00014389">
        <w:t xml:space="preserve">felhívja a Számvevőszéket, hogy az összes </w:t>
      </w:r>
      <w:proofErr w:type="spellStart"/>
      <w:r w:rsidR="0047767E" w:rsidRPr="00014389">
        <w:t>ellenőrizendő</w:t>
      </w:r>
      <w:proofErr w:type="spellEnd"/>
      <w:r w:rsidR="0047767E" w:rsidRPr="00014389">
        <w:t xml:space="preserve"> intézmény esetében növelje az igazgatás alá tartozó, megvizsgálandó ügyletek számát annak érdekében, hogy a Parlament a többi intézmény tekintetében mentesítésért felelős hatóságként hatékonyabban láthassa el feladatát; sajnálatát fejezi ki amiatt, hogy a Bizottságtól eltérő intézmények igazgatási kiadásairól szóló </w:t>
      </w:r>
      <w:proofErr w:type="spellStart"/>
      <w:r w:rsidR="0047767E" w:rsidRPr="00014389">
        <w:t>különjelentés</w:t>
      </w:r>
      <w:proofErr w:type="spellEnd"/>
      <w:r w:rsidR="0047767E" w:rsidRPr="00014389">
        <w:t xml:space="preserve"> elkészítésére vonatkozó tervet felülvizsgálták az uniós közszolgálat auditálása érdekében, ami valószínűleg csak az igazgatási kiadások egy korlátozott részét fogja vizsgálni; ismételten hangsúlyozza az igazgatási</w:t>
      </w:r>
      <w:proofErr w:type="gramEnd"/>
      <w:r w:rsidR="0047767E" w:rsidRPr="00014389">
        <w:t xml:space="preserve"> </w:t>
      </w:r>
      <w:proofErr w:type="gramStart"/>
      <w:r w:rsidR="0047767E" w:rsidRPr="00014389">
        <w:t>kiadások</w:t>
      </w:r>
      <w:proofErr w:type="gramEnd"/>
      <w:r w:rsidR="0047767E" w:rsidRPr="00014389">
        <w:t xml:space="preserve"> alaposabb vizsgálatának fontosságát, és ismételten kéri, hogy munkájába építsenek be átfogó adatokat valamennyi intézményről egy koherens alapnak a következetes mentesítési eljárás számára történő megteremtése érdekében</w:t>
      </w:r>
      <w:r w:rsidRPr="00014389">
        <w:t>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éves beszámolóját független külső ellenőr ellenőrzi annak biztosítása érdekében, hogy az átláthatóság, az elszámoltathatóság és a függetlenség tekintetében ugyanazon elvek vonatkozzanak a Számvevőszék külső ellenőrére, mint amelyeket a Számvevőszék alkalmaz az általa ellenőrzött szervekre; megelégedéssel veszi tudomásul, hogy a külső ellenőr a számvevőszéki ellenőrzés nyomán nem jelzett különösebb </w:t>
      </w:r>
      <w:proofErr w:type="gramStart"/>
      <w:r w:rsidRPr="00414ED0">
        <w:t>problémákat</w:t>
      </w:r>
      <w:proofErr w:type="gramEnd"/>
      <w:r w:rsidRPr="00414ED0">
        <w:t>;</w:t>
      </w:r>
    </w:p>
    <w:p w:rsidR="00775E17" w:rsidRPr="00414ED0" w:rsidRDefault="00775E17" w:rsidP="008F35E5">
      <w:pPr>
        <w:pStyle w:val="NormalHanging12a"/>
        <w:widowControl/>
        <w:rPr>
          <w:b/>
          <w:i/>
          <w:szCs w:val="24"/>
        </w:rPr>
      </w:pPr>
      <w:r w:rsidRPr="00414ED0">
        <w:rPr>
          <w:b/>
          <w:i/>
        </w:rPr>
        <w:t>Költségvetési és pénzgazdálkodás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5.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 Számvevőszék 2022. évi teljes költségvetése 162 141 175 EUR-t tett ki, ami a 2021. évi 153 721 727 EUR-hoz képest 5,5%-</w:t>
      </w:r>
      <w:proofErr w:type="spellStart"/>
      <w:r w:rsidRPr="00414ED0">
        <w:t>os</w:t>
      </w:r>
      <w:proofErr w:type="spellEnd"/>
      <w:r w:rsidRPr="00414ED0">
        <w:t xml:space="preserve"> növekedést jelent; </w:t>
      </w:r>
      <w:proofErr w:type="spellStart"/>
      <w:r w:rsidRPr="00414ED0">
        <w:t>megjegyzi</w:t>
      </w:r>
      <w:proofErr w:type="spellEnd"/>
      <w:r w:rsidRPr="00414ED0">
        <w:t xml:space="preserve">, hogy a növekedés elsősorban az illetménykiigazításoknak és a </w:t>
      </w:r>
      <w:proofErr w:type="spellStart"/>
      <w:r w:rsidRPr="00414ED0">
        <w:t>NextGenerationEU</w:t>
      </w:r>
      <w:proofErr w:type="spellEnd"/>
      <w:r w:rsidRPr="00414ED0">
        <w:t xml:space="preserve">-hoz kapcsolódó 20 új ideiglenes álláshelynek tulajdonítható; </w:t>
      </w:r>
      <w:proofErr w:type="spellStart"/>
      <w:r w:rsidRPr="00414ED0">
        <w:t>megjegyzi</w:t>
      </w:r>
      <w:proofErr w:type="spellEnd"/>
      <w:r w:rsidRPr="00414ED0">
        <w:t>, hogy 2022-ben az előirányzatok 90%-át a tagokra és a személyzetre, 10%-át pedig az épületekre, berendezésekre és egyéb kiadásokra fordították;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6.</w:t>
      </w:r>
      <w:r w:rsidRPr="00414ED0">
        <w:tab/>
        <w:t xml:space="preserve">ismételten hangsúlyozza továbbá annak fontosságát, hogy a Számvevőszék megfelelő személyzettel rendelkezzen megbízatásának megfelelő ellátásához, valamint az új </w:t>
      </w:r>
      <w:proofErr w:type="gramStart"/>
      <w:r w:rsidRPr="00414ED0">
        <w:t>finanszírozási</w:t>
      </w:r>
      <w:proofErr w:type="gramEnd"/>
      <w:r w:rsidRPr="00414ED0">
        <w:t xml:space="preserve"> eszközök, például a Helyreállítási és </w:t>
      </w:r>
      <w:proofErr w:type="spellStart"/>
      <w:r w:rsidRPr="00414ED0">
        <w:t>Rezilienciaépítési</w:t>
      </w:r>
      <w:proofErr w:type="spellEnd"/>
      <w:r w:rsidRPr="00414ED0">
        <w:t xml:space="preserve"> Eszköz hatálybalépésével kapcsolatos új feladatok ellátásához;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lastRenderedPageBreak/>
        <w:t>7.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2022-ben a Számvevőszék a költségvetési rendelet 29. cikke alapján 26 költségvetési átcsoportosítást hajtott végre, összesen 3,4 millió EUR értékben, ami az adott pénzügyi évre vonatkozó előirányzatok 2,1%-át tette ki, ami elsősorban a kiküldetések, a kiadványok, a tolmácsolás és a jogi szolgálat kiadásainak csökkenését, valamint a helyiségek belső kialakításával kapcsolatos kiadások növekedését jelentette, beleértve a tetőfelújítást, az energiaköltségeket, a szerződéses alkalmazottakat és az informatikai eszközöket; </w:t>
      </w:r>
      <w:proofErr w:type="spellStart"/>
      <w:r w:rsidRPr="00414ED0">
        <w:t>megjegyzi</w:t>
      </w:r>
      <w:proofErr w:type="spellEnd"/>
      <w:r w:rsidRPr="00414ED0">
        <w:t xml:space="preserve"> ezenkívül, hogy a 2022. évi költségvetés végrehajtási</w:t>
      </w:r>
      <w:proofErr w:type="gramEnd"/>
      <w:r w:rsidRPr="00414ED0">
        <w:t xml:space="preserve"> </w:t>
      </w:r>
      <w:proofErr w:type="gramStart"/>
      <w:r w:rsidRPr="00414ED0">
        <w:t>aránya</w:t>
      </w:r>
      <w:proofErr w:type="gramEnd"/>
      <w:r w:rsidRPr="00414ED0">
        <w:t xml:space="preserve"> 98,5% volt, ami csekély növekedést jelent az előző két évhez képest; üdvözli, hogy az átlagos kifizetési idő 2022-ben 9,8 napra csökkent a 2021. évi 10,7 naphoz képest, nagy valószínűséggel az elektronikus számlák arányának növekedése miatt, amely a 2021. évi 19%-hoz képest 24%-</w:t>
      </w:r>
      <w:proofErr w:type="spellStart"/>
      <w:r w:rsidRPr="00414ED0">
        <w:t>os</w:t>
      </w:r>
      <w:proofErr w:type="spellEnd"/>
      <w:r w:rsidRPr="00414ED0">
        <w:t xml:space="preserve"> volt;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8.</w:t>
      </w:r>
      <w:r w:rsidRPr="00414ED0">
        <w:tab/>
        <w:t xml:space="preserve">megelégedéssel veszi tudomásul, hogy a külső ellenőr szerint az allokált forrásokat az eredetileg tervezett célra használták fel, és hogy az engedélyezésre jogosult tisztviselő által bevezetett </w:t>
      </w:r>
      <w:proofErr w:type="gramStart"/>
      <w:r w:rsidRPr="00414ED0">
        <w:t>kontroll</w:t>
      </w:r>
      <w:proofErr w:type="gramEnd"/>
      <w:r w:rsidRPr="00414ED0">
        <w:t>eljárások megfelelően biztosították, hogy a pénzügyi műveletek megfeleljenek az alkalmazandó szabályoknak és előírásoknak;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9.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Oroszország Ukrajna elleni jogellenes és indokolatlan </w:t>
      </w:r>
      <w:proofErr w:type="gramStart"/>
      <w:r w:rsidRPr="00414ED0">
        <w:t>agressziós</w:t>
      </w:r>
      <w:proofErr w:type="gramEnd"/>
      <w:r w:rsidRPr="00414ED0">
        <w:t xml:space="preserve"> háborúja többféle módon is költségvetési nyomást gyakorolt a Számvevőszékre, többek között a növekvő infláció és az illetménykiigazítások, valamint a villamosenergia- és fűtési költségek jelentős növekedése miatt;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10.</w:t>
      </w:r>
      <w:r w:rsidRPr="00414ED0">
        <w:tab/>
        <w:t>megállapítja, hogy a Számvevőszék általános kiküldetési költségvetése a 2021. évi 2 988 000 EUR-ról 2022-ben 2 452 000 EUR-ra csökkent, ami 18%-</w:t>
      </w:r>
      <w:proofErr w:type="spellStart"/>
      <w:r w:rsidRPr="00414ED0">
        <w:t>os</w:t>
      </w:r>
      <w:proofErr w:type="spellEnd"/>
      <w:r w:rsidRPr="00414ED0">
        <w:t xml:space="preserve"> csökkenésnek felel meg, ami a 2022. év eleji folyamatos utazási korlátozásoknak és a munkamódszerekben bekövetkezett változásoknak, valamint annak tulajdonítható, hogy megnövekedett a távülések száma; </w:t>
      </w:r>
      <w:proofErr w:type="spellStart"/>
      <w:r w:rsidRPr="00414ED0">
        <w:t>megjegyzi</w:t>
      </w:r>
      <w:proofErr w:type="spellEnd"/>
      <w:r w:rsidRPr="00414ED0">
        <w:t xml:space="preserve"> továbbá, hogy a Számvevőszék nem rendelkezik az elnök kiküldetéseire és utazásaira vonatkozó külön költségvetési sorral; végül </w:t>
      </w:r>
      <w:proofErr w:type="spellStart"/>
      <w:r w:rsidRPr="00414ED0">
        <w:t>megjegyzi</w:t>
      </w:r>
      <w:proofErr w:type="spellEnd"/>
      <w:r w:rsidRPr="00414ED0">
        <w:t>, hogy a Számvevőszék valamennyi tagját érintő, a kiküldetésekre vonatkozó költségvetési sor 2021-ben</w:t>
      </w:r>
      <w:proofErr w:type="gramEnd"/>
      <w:r w:rsidRPr="00414ED0">
        <w:t xml:space="preserve"> </w:t>
      </w:r>
      <w:proofErr w:type="gramStart"/>
      <w:r w:rsidRPr="00414ED0">
        <w:t>és</w:t>
      </w:r>
      <w:proofErr w:type="gramEnd"/>
      <w:r w:rsidRPr="00414ED0">
        <w:t xml:space="preserve"> 2022-ben egyaránt 290 000 EUR volt;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11.</w:t>
      </w:r>
      <w:r w:rsidRPr="00414ED0">
        <w:tab/>
        <w:t>üdvözli, hogy 2022-en a Számvevőszék a kiküldetési költségek vonatkozásában részletes, előzetes és utólagos ellenőrzéseket is tartalmazó ellenőrzési módszertant vezetett be;</w:t>
      </w:r>
    </w:p>
    <w:p w:rsidR="00775E17" w:rsidRPr="00414ED0" w:rsidRDefault="00775E17" w:rsidP="008F35E5">
      <w:pPr>
        <w:pStyle w:val="NormalHanging12a"/>
        <w:widowControl/>
        <w:rPr>
          <w:b/>
          <w:i/>
          <w:szCs w:val="24"/>
        </w:rPr>
      </w:pPr>
      <w:r w:rsidRPr="00414ED0">
        <w:rPr>
          <w:b/>
          <w:i/>
        </w:rPr>
        <w:t xml:space="preserve">Belső irányítás, teljesítmény és belső </w:t>
      </w:r>
      <w:proofErr w:type="gramStart"/>
      <w:r w:rsidRPr="00414ED0">
        <w:rPr>
          <w:b/>
          <w:i/>
        </w:rPr>
        <w:t>kontroll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12.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2022 a Számvevőszék 2021 és 2025 közötti időszakra szóló stratégiája végrehajtásának második éve volt, és hogy 2022 végére a 29 stratégiai intézkedés közül 18-at teljes mértékben végrehajtottak vagy létrehozták az intézkedés keretét, míg 11 intézkedés végrehajtása folyamatban volt vagy ismétlődött;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13.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2022-ben a Számvevőszék 7 éves jelentést, 8 véleményt, 28 </w:t>
      </w:r>
      <w:proofErr w:type="spellStart"/>
      <w:r w:rsidRPr="00414ED0">
        <w:t>különjelentést</w:t>
      </w:r>
      <w:proofErr w:type="spellEnd"/>
      <w:r w:rsidRPr="00414ED0">
        <w:t xml:space="preserve"> és 1 felülvizsgálatot nyújtott be, ami nagyon hasonló a 2020-ban és 2021-ben benyújtott jelentések, vélemények, </w:t>
      </w:r>
      <w:proofErr w:type="spellStart"/>
      <w:r w:rsidRPr="00414ED0">
        <w:t>különjelentések</w:t>
      </w:r>
      <w:proofErr w:type="spellEnd"/>
      <w:r w:rsidRPr="00414ED0">
        <w:t xml:space="preserve"> és felülvizsgálatok számához;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14.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teljesen önállóan határozza meg munkaprogramját, beleértve azt is, hogy milyen </w:t>
      </w:r>
      <w:proofErr w:type="spellStart"/>
      <w:r w:rsidRPr="00414ED0">
        <w:t>különjelentéseket</w:t>
      </w:r>
      <w:proofErr w:type="spellEnd"/>
      <w:r w:rsidRPr="00414ED0">
        <w:t xml:space="preserve"> kell elkészíteni; továbbra is arról tájékoztatja a Számvevőszéket, hogy a legfontosabb érdekeltek körében – a Parlamentben és máshol is – azok a </w:t>
      </w:r>
      <w:proofErr w:type="spellStart"/>
      <w:r w:rsidRPr="00414ED0">
        <w:t>különjelentések</w:t>
      </w:r>
      <w:proofErr w:type="spellEnd"/>
      <w:r w:rsidRPr="00414ED0">
        <w:t xml:space="preserve"> fogják a legnagyobb figyelmet kiváltani, amelyek az Unió jelenlegi helyzetére és kihívásaira összpontosítanak, és </w:t>
      </w:r>
      <w:r w:rsidRPr="00414ED0">
        <w:lastRenderedPageBreak/>
        <w:t>egyértelműen a költségvetésre és a költségvetési vonatkozásokra helyezik a hangsúlyt; e tekintetben üdvözli a programozási folyamat 2022-es felülvizsgálatát, amely nagyobb rugalmasságot biztosít</w:t>
      </w:r>
      <w:proofErr w:type="gramEnd"/>
      <w:r w:rsidRPr="00414ED0">
        <w:t xml:space="preserve"> </w:t>
      </w:r>
      <w:proofErr w:type="gramStart"/>
      <w:r w:rsidRPr="00414ED0">
        <w:t>a</w:t>
      </w:r>
      <w:proofErr w:type="gramEnd"/>
      <w:r w:rsidRPr="00414ED0">
        <w:t xml:space="preserve"> sürgető kihívások kezelésében, hogy jobban szolgálja az érdekelt felek érdekeit;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15.</w:t>
      </w:r>
      <w:r w:rsidRPr="00414ED0">
        <w:tab/>
        <w:t xml:space="preserve">nagyra értékeli, hogy a Parlament kérésének megfelelően a Számvevőszék az aktuális európai kihívásokra összpontosította ellenőrzési munkáját, amire példa az Ukrajna-eszközről szóló 3/2023. számú vélemény igen gyors elkészítése és a végrehajtásának nyomon követésére fordított figyelem; aggodalmát fejezi ki amiatt, hogy a Helyreállítási és </w:t>
      </w:r>
      <w:proofErr w:type="spellStart"/>
      <w:r w:rsidRPr="00414ED0">
        <w:t>Rezilienciaépítési</w:t>
      </w:r>
      <w:proofErr w:type="spellEnd"/>
      <w:r w:rsidRPr="00414ED0">
        <w:t xml:space="preserve"> Eszközzel kapcsolatos ellenőrzési munka tekintetében a Számvevőszék még mindig nem rendelkezik teljes körű hozzáféréssel a FENIX-</w:t>
      </w:r>
      <w:proofErr w:type="spellStart"/>
      <w:r w:rsidRPr="00414ED0">
        <w:t>hez</w:t>
      </w:r>
      <w:proofErr w:type="spellEnd"/>
      <w:r w:rsidRPr="00414ED0">
        <w:t xml:space="preserve"> (a Helyreállítási és </w:t>
      </w:r>
      <w:proofErr w:type="spellStart"/>
      <w:r w:rsidRPr="00414ED0">
        <w:t>Rezilienciaépítési</w:t>
      </w:r>
      <w:proofErr w:type="spellEnd"/>
      <w:r w:rsidRPr="00414ED0">
        <w:t xml:space="preserve"> Eszközzel kapcsolatos jelentéstételi eszközhöz), és hogy nem frissítik</w:t>
      </w:r>
      <w:proofErr w:type="gramEnd"/>
      <w:r w:rsidRPr="00414ED0">
        <w:t xml:space="preserve"> </w:t>
      </w:r>
      <w:proofErr w:type="gramStart"/>
      <w:r w:rsidRPr="00414ED0">
        <w:t>időben</w:t>
      </w:r>
      <w:proofErr w:type="gramEnd"/>
      <w:r w:rsidRPr="00414ED0">
        <w:t xml:space="preserve"> az ebben az informatikai eszközben található információkat; támogatja a Számvevőszék azon álláspontját, hogy a költségvetési rendelet 257. cikke teljes körű azonnali betekintési jogot biztosít a Számvevőszék számára; felhívja továbbá a Bizottságot, hogy feladatainak ellátása érdekében biztosítson hozzáférést a Számvevőszék számára más típusú releváns információkhoz;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16.</w:t>
      </w:r>
      <w:r w:rsidRPr="00414ED0">
        <w:tab/>
        <w:t xml:space="preserve">nagyra értékeli a Helyreállítási és </w:t>
      </w:r>
      <w:proofErr w:type="spellStart"/>
      <w:r w:rsidRPr="00414ED0">
        <w:t>Rezilienciaépítési</w:t>
      </w:r>
      <w:proofErr w:type="spellEnd"/>
      <w:r w:rsidRPr="00414ED0">
        <w:t xml:space="preserve"> Eszköz végrehajtásáról szóló, időszerű és releváns </w:t>
      </w:r>
      <w:proofErr w:type="spellStart"/>
      <w:r w:rsidRPr="00414ED0">
        <w:t>különjelentéseket</w:t>
      </w:r>
      <w:proofErr w:type="spellEnd"/>
      <w:r w:rsidRPr="00414ED0">
        <w:t>, amelyek lehetővé teszik a mentesítésért felelős hatóság számára, hogy gyakorolja előjogait, és ajánlásokat intézzen a Bizottsághoz az eszköz működésének javítására vonatkozóan;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17.</w:t>
      </w:r>
      <w:r w:rsidRPr="00414ED0">
        <w:tab/>
        <w:t xml:space="preserve">üdvözli, hogy a Számvevőszék a költségvetési rendelet 118. cikkének (8) bekezdésével összhangban összefoglalót készített a Számvevőszéknél végrehajtott belső ellenőrzések számáról és típusáról, összesítést nyújtva a megfogalmazott ajánlásokról és az azok alapján hozott intézkedésekről; </w:t>
      </w:r>
      <w:proofErr w:type="spellStart"/>
      <w:r w:rsidRPr="00414ED0">
        <w:t>megjegyzi</w:t>
      </w:r>
      <w:proofErr w:type="spellEnd"/>
      <w:r w:rsidRPr="00414ED0">
        <w:t xml:space="preserve">, hogy a belső ellenőr éves munkaprogramja magában foglalja a rendszeres feladatokat, a kiválasztott feladatokat és az év során elvégzett egyéb feladatokat; </w:t>
      </w:r>
      <w:proofErr w:type="spellStart"/>
      <w:r w:rsidRPr="00414ED0">
        <w:t>megjegyzi</w:t>
      </w:r>
      <w:proofErr w:type="spellEnd"/>
      <w:r w:rsidRPr="00414ED0">
        <w:t>, hogy a 2022-re tervezett intézkedések közül néhányat 2023-ra halasztottak, és kéri a Számvevőszéket, hogy tegyen jelentést a Parlamentnek</w:t>
      </w:r>
      <w:proofErr w:type="gramEnd"/>
      <w:r w:rsidRPr="00414ED0">
        <w:t xml:space="preserve"> </w:t>
      </w:r>
      <w:proofErr w:type="gramStart"/>
      <w:r w:rsidRPr="00414ED0">
        <w:t>ezek</w:t>
      </w:r>
      <w:proofErr w:type="gramEnd"/>
      <w:r w:rsidRPr="00414ED0">
        <w:t xml:space="preserve"> végrehajtásáról;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18.</w:t>
      </w:r>
      <w:r w:rsidRPr="00414ED0">
        <w:tab/>
        <w:t xml:space="preserve">arra </w:t>
      </w:r>
      <w:proofErr w:type="spellStart"/>
      <w:r w:rsidRPr="00414ED0">
        <w:t>ösztönzi</w:t>
      </w:r>
      <w:proofErr w:type="spellEnd"/>
      <w:r w:rsidRPr="00414ED0">
        <w:t xml:space="preserve"> a Számvevőszéket, hogy fokozottabban járuljon hozzá az uniós költségvetést érintő csalás elleni küzdelemhez, nemcsak azáltal, hogy azonosítja és jelenti azokat a hiányosságokat, amelyek a csalásokkal szemben sebezhetővé teszik az uniós finanszírozású programokat, hanem azáltal is, hogy figyelembe veszi a csalás elleni struktúra elemeiről szóló jelenleg is zajló vitát, és fokozza az ellenőrzési munkát a csalás felderítéséért felelős szervekkel együttműködve, miközben rendszeresen értékeli tevékenységüket, és az elemzés céljából fontos visszajelzéseket ad a mentesítésért felelős</w:t>
      </w:r>
      <w:proofErr w:type="gramEnd"/>
      <w:r w:rsidRPr="00414ED0">
        <w:t xml:space="preserve"> </w:t>
      </w:r>
      <w:proofErr w:type="gramStart"/>
      <w:r w:rsidRPr="00414ED0">
        <w:t>hatóságnak</w:t>
      </w:r>
      <w:proofErr w:type="gramEnd"/>
      <w:r w:rsidRPr="00414ED0">
        <w:t>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19.</w:t>
      </w:r>
      <w:r w:rsidRPr="00414ED0">
        <w:tab/>
        <w:t xml:space="preserve">üdvözli, hogy a Számvevőszék 2021 és 2025 közötti időszakra szóló stratégiája költséghatékonyságot célzó ajánlások megfogalmazására utal, amelyek hozzájárulnak az uniós intézmények </w:t>
      </w:r>
      <w:proofErr w:type="gramStart"/>
      <w:r w:rsidRPr="00414ED0">
        <w:t>bürokráciától</w:t>
      </w:r>
      <w:proofErr w:type="gramEnd"/>
      <w:r w:rsidRPr="00414ED0">
        <w:t xml:space="preserve"> való mentesítéséhez; rámutat, hogy ezt a célt különösen a Számvevőszék azon ajánlásai szolgálják, amelyek az eljárások hatékonyságának növelésére, a legjobb gyakorlatok alkalmazására, a koordináció javítására, a szabványos folyamatok kialakítására, a túlszabályozás megelőzésére, valamint az egyszerűsítésre és a digitalizálásra vonatkoznak;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20.</w:t>
      </w:r>
      <w:r w:rsidRPr="00414ED0">
        <w:tab/>
        <w:t xml:space="preserve">arra </w:t>
      </w:r>
      <w:proofErr w:type="spellStart"/>
      <w:r w:rsidRPr="00414ED0">
        <w:t>ösztönzi</w:t>
      </w:r>
      <w:proofErr w:type="spellEnd"/>
      <w:r w:rsidRPr="00414ED0">
        <w:t xml:space="preserve"> a Számvevőszéket, hogy továbbra is fogalmazzon meg ajánlásokat az uniós szintű adatbázisok fejlesztésére és fenntartására, valamint azon erőfeszítésekre </w:t>
      </w:r>
      <w:r w:rsidRPr="00414ED0">
        <w:lastRenderedPageBreak/>
        <w:t xml:space="preserve">vonatkozóan, amelyek az uniós szintű adatelemzés elvégzésére és az uniós vonatkozású kockázatok azonosítására szolgáló hatékony adatbányászati kapacitások megvalósítására irányulnak; felhívja a Számvevőszéket, hogy foglalkozzon a </w:t>
      </w:r>
      <w:proofErr w:type="gramStart"/>
      <w:r w:rsidRPr="00414ED0">
        <w:t>közpénzek</w:t>
      </w:r>
      <w:proofErr w:type="gramEnd"/>
      <w:r w:rsidRPr="00414ED0">
        <w:t xml:space="preserve"> tagállamok általi felhasználásának egyszerű és </w:t>
      </w:r>
      <w:proofErr w:type="spellStart"/>
      <w:r w:rsidRPr="00414ED0">
        <w:t>interoperábilis</w:t>
      </w:r>
      <w:proofErr w:type="spellEnd"/>
      <w:r w:rsidRPr="00414ED0">
        <w:t xml:space="preserve"> ellenőrzéséhez szükséges adatok gyűjtéséhez, kezeléséhez és tárolásához elengedhetetlen követelmények meghatározásával;</w:t>
      </w:r>
    </w:p>
    <w:p w:rsidR="00775E17" w:rsidRPr="00414ED0" w:rsidRDefault="00775E17" w:rsidP="008F35E5">
      <w:pPr>
        <w:pStyle w:val="NormalHanging12a"/>
        <w:widowControl/>
        <w:rPr>
          <w:b/>
          <w:i/>
          <w:szCs w:val="24"/>
        </w:rPr>
      </w:pPr>
      <w:r w:rsidRPr="00414ED0">
        <w:rPr>
          <w:b/>
          <w:i/>
        </w:rPr>
        <w:t>Emberi erőforrások, egyenlőség és a személyzet jólléte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21.</w:t>
      </w:r>
      <w:r w:rsidRPr="00414ED0">
        <w:tab/>
        <w:t xml:space="preserve">megállapítja, hogy 2022 végén a Számvevőszéknek 921 alkalmazottja volt, kicsivel több, mint 2021 és 2020 végén, amikor is 917, illetve 910 volt; </w:t>
      </w:r>
      <w:proofErr w:type="spellStart"/>
      <w:r w:rsidRPr="00414ED0">
        <w:t>megjegyzi</w:t>
      </w:r>
      <w:proofErr w:type="spellEnd"/>
      <w:r w:rsidRPr="00414ED0">
        <w:t xml:space="preserve">, hogy 2022 végén a nemek szerinti általános megoszlás a következő volt: 434 férfi, (47,1%), és 487 nő (52,9%); felhívja a Számvevőszéket, hogy folytassa a közép- és felső vezetésben a nemek közötti egyensúly előmozdítására irányuló erőfeszítéseit; </w:t>
      </w:r>
      <w:proofErr w:type="spellStart"/>
      <w:r w:rsidRPr="00414ED0">
        <w:t>megjegyzi</w:t>
      </w:r>
      <w:proofErr w:type="spellEnd"/>
      <w:r w:rsidRPr="00414ED0">
        <w:t xml:space="preserve"> továbbá, hogy a személyzeti kategóriák közötti általános megoszlás a következőképpen alakult: 830 tisztviselő (90%), közülük 620 ügykezelő (AD) és 210 asszisztens és titkár (AST/SC),</w:t>
      </w:r>
      <w:proofErr w:type="gramEnd"/>
      <w:r w:rsidRPr="00414ED0">
        <w:t xml:space="preserve"> </w:t>
      </w:r>
      <w:proofErr w:type="gramStart"/>
      <w:r w:rsidRPr="00414ED0">
        <w:t>valamint</w:t>
      </w:r>
      <w:proofErr w:type="gramEnd"/>
      <w:r w:rsidRPr="00414ED0">
        <w:t xml:space="preserve"> 91 szerződéses alkalmazott (10%);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22.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az AD 13–16 besorolási fokozatba 79-en tartoztak, 49 férfi és 30 nő, azaz a férfiak aránya 62% volt, a nőké pedig 38%, ami azt jelenti, hogy ezekben a </w:t>
      </w:r>
      <w:proofErr w:type="gramStart"/>
      <w:r w:rsidRPr="00414ED0">
        <w:t>kategóriákban</w:t>
      </w:r>
      <w:proofErr w:type="gramEnd"/>
      <w:r w:rsidRPr="00414ED0">
        <w:t xml:space="preserve"> kismértékben nőtt a nők aránya a 2021. évi 37,5%-hoz és a 2020. évi 34,5%-hoz képest;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23.</w:t>
      </w:r>
      <w:r w:rsidRPr="00414ED0">
        <w:tab/>
        <w:t>mély sajnálatát fejezi ki amiatt, hogy a Számvevőszék kollégiumán belül hiányzik a nemek közötti egyensúly: a jelenlegi összetételben a 25 tagból mindössze 10 nő, figyelembe véve, hogy a portugál és bulgáriai képviselőket még nem nevezték ki; tisztában van azzal, hogy a tagok kinevezési eljárása kihívást jelent a nemek közötti egyensúly elérése szempontjából, mivel a nemzeti jelölés kizárólag a tagállamok hatáskörébe tartozik; felhívja ugyanakkor a Számvevőszéket, hogy elemezze személyi állománya általános összetételét annak érdekében, hogy tájékoztassa a Tanácsot és az érintett tagállamokat</w:t>
      </w:r>
      <w:proofErr w:type="gramEnd"/>
      <w:r w:rsidRPr="00414ED0">
        <w:t xml:space="preserve"> </w:t>
      </w:r>
      <w:proofErr w:type="gramStart"/>
      <w:r w:rsidRPr="00414ED0">
        <w:t>különösen</w:t>
      </w:r>
      <w:proofErr w:type="gramEnd"/>
      <w:r w:rsidRPr="00414ED0">
        <w:t xml:space="preserve"> a nemek egyensúlyának a jelölési határozatokban való figyelembevétele érdekében;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24.</w:t>
      </w:r>
      <w:r w:rsidRPr="00414ED0">
        <w:tab/>
        <w:t xml:space="preserve">sajnálatosnak tartja, hogy a Tanács évről évre ismételten olyan számvevőszéki tagokat nevez ki, akiket a Parlament elutasított; kiemeli, hogy a Parlamentnek kötelező szerepet kell betöltenie a számvevőszéki tagjelöltek </w:t>
      </w:r>
      <w:proofErr w:type="spellStart"/>
      <w:r w:rsidRPr="00414ED0">
        <w:t>alkalmasságának</w:t>
      </w:r>
      <w:proofErr w:type="spellEnd"/>
      <w:r w:rsidRPr="00414ED0">
        <w:t xml:space="preserve"> értékelésében;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25.</w:t>
      </w:r>
      <w:r w:rsidRPr="00414ED0">
        <w:tab/>
        <w:t xml:space="preserve">üdvözli, hogy a Számvevőszék személyzetének tagjai között az Unión belüli valamennyi állampolgárság képviselteti magát, mind az AD, mind az AST/SC kategóriában; sajnálattal </w:t>
      </w:r>
      <w:proofErr w:type="spellStart"/>
      <w:r w:rsidRPr="00414ED0">
        <w:t>jegyzi</w:t>
      </w:r>
      <w:proofErr w:type="spellEnd"/>
      <w:r w:rsidRPr="00414ED0">
        <w:t xml:space="preserve"> meg azonban, hogy egyes nemzetek </w:t>
      </w:r>
      <w:proofErr w:type="spellStart"/>
      <w:r w:rsidRPr="00414ED0">
        <w:t>alulreprezentáltak</w:t>
      </w:r>
      <w:proofErr w:type="spellEnd"/>
      <w:r w:rsidRPr="00414ED0">
        <w:t>, és örül, hogy a Számvevőszék néhány tagállamban (Dánia, Észtország és Lettország) megpróbálta közvetlenül meghirdetni az állásokat; üdvözli az új közzétételi módok hatékony alkalmazását a kiválasztási eljárások során annak érdekében, hogy a különböző tagállamok különböző közönségeit vonzzák;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26.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hibrid munkavégzésről a Számvevőszék határozatot fogadott el, amely 2022. január 1-jén lépett hatályba; </w:t>
      </w:r>
      <w:proofErr w:type="spellStart"/>
      <w:r w:rsidRPr="00414ED0">
        <w:t>megjegyzi</w:t>
      </w:r>
      <w:proofErr w:type="spellEnd"/>
      <w:r w:rsidRPr="00414ED0">
        <w:t xml:space="preserve">, hogy a Számvevőszéknél olyan távmunkarendszer van érvényben, amely lehetővé teszi az otthonról történő munkavégzést havonta legfeljebb 10 napon keresztül, és legfeljebb 10 egymást követő napon keresztül; </w:t>
      </w:r>
      <w:proofErr w:type="spellStart"/>
      <w:r w:rsidRPr="00414ED0">
        <w:t>megjegyzi</w:t>
      </w:r>
      <w:proofErr w:type="spellEnd"/>
      <w:r w:rsidRPr="00414ED0">
        <w:t xml:space="preserve"> továbbá, hogy a rendszer lehetővé teszi a személyzet tagjai számára, hogy havonta legfeljebb 5 napot és évente legfeljebb 30 munkanapot az </w:t>
      </w:r>
      <w:r w:rsidRPr="00414ED0">
        <w:lastRenderedPageBreak/>
        <w:t xml:space="preserve">állandó lakóhelyüktől eltérő helyen dolgozzanak; végül </w:t>
      </w:r>
      <w:proofErr w:type="spellStart"/>
      <w:r w:rsidRPr="00414ED0">
        <w:t>megjegyzi</w:t>
      </w:r>
      <w:proofErr w:type="spellEnd"/>
      <w:r w:rsidRPr="00414ED0">
        <w:t>, hogy a 2022 októberében a személyzet tagjainak</w:t>
      </w:r>
      <w:proofErr w:type="gramEnd"/>
      <w:r w:rsidRPr="00414ED0">
        <w:t xml:space="preserve"> </w:t>
      </w:r>
      <w:proofErr w:type="gramStart"/>
      <w:r w:rsidRPr="00414ED0">
        <w:t>körében</w:t>
      </w:r>
      <w:proofErr w:type="gramEnd"/>
      <w:r w:rsidRPr="00414ED0">
        <w:t xml:space="preserve"> végzett felmérés szerint 95%-</w:t>
      </w:r>
      <w:proofErr w:type="spellStart"/>
      <w:r w:rsidRPr="00414ED0">
        <w:t>uk</w:t>
      </w:r>
      <w:proofErr w:type="spellEnd"/>
      <w:r w:rsidRPr="00414ED0">
        <w:t xml:space="preserve"> támogatta a távmunkavégzést, és 88%-</w:t>
      </w:r>
      <w:proofErr w:type="spellStart"/>
      <w:r w:rsidRPr="00414ED0">
        <w:t>uk</w:t>
      </w:r>
      <w:proofErr w:type="spellEnd"/>
      <w:r w:rsidRPr="00414ED0">
        <w:t xml:space="preserve"> úgy érezte, hogy az pozitív hatással van a munka és a magánélet közötti egyensúlyra;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27.</w:t>
      </w:r>
      <w:r w:rsidRPr="00414ED0">
        <w:tab/>
        <w:t xml:space="preserve">üdvözli a Számvevőszék által 2022-ben a személyzet fizikai és </w:t>
      </w:r>
      <w:proofErr w:type="gramStart"/>
      <w:r w:rsidRPr="00414ED0">
        <w:t>mentális</w:t>
      </w:r>
      <w:proofErr w:type="gramEnd"/>
      <w:r w:rsidRPr="00414ED0">
        <w:t xml:space="preserve"> jóllétének biztosítása érdekében hozott intézkedéseket;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28.</w:t>
      </w:r>
      <w:r w:rsidRPr="00414ED0">
        <w:tab/>
        <w:t xml:space="preserve">elismeri a személyzet Luxembourgba vonzásával kapcsolatos kihívásokat, és arra </w:t>
      </w:r>
      <w:proofErr w:type="spellStart"/>
      <w:r w:rsidRPr="00414ED0">
        <w:t>ösztönzi</w:t>
      </w:r>
      <w:proofErr w:type="spellEnd"/>
      <w:r w:rsidRPr="00414ED0">
        <w:t xml:space="preserve"> a Számvevőszéket, hogy a magas szintű intézményközi csoportban dolgozzon együtt a többi luxembourgi székhelyű intézménnyel Luxembourg </w:t>
      </w:r>
      <w:proofErr w:type="spellStart"/>
      <w:r w:rsidRPr="00414ED0">
        <w:t>vonzerejének</w:t>
      </w:r>
      <w:proofErr w:type="spellEnd"/>
      <w:r w:rsidRPr="00414ED0">
        <w:t xml:space="preserve"> növelésén a személyzet tagjai számára, valamint a meghatározott különböző lehetséges intézkedéseken, többek között egy speciális lakhatási támogatással kapcsolatos elképzelésen annak érdekében, hogy ellensúlyozzák a különösen az alacsonyabb besorolási fokozatba tartozó személyzetet érintő magas bérleti költségeket, valamint azon a lehetőségen, hogy rövid távú</w:t>
      </w:r>
      <w:proofErr w:type="gramEnd"/>
      <w:r w:rsidRPr="00414ED0">
        <w:t xml:space="preserve"> tartózkodásra észszerű </w:t>
      </w:r>
      <w:proofErr w:type="gramStart"/>
      <w:r w:rsidRPr="00414ED0">
        <w:t>árú</w:t>
      </w:r>
      <w:proofErr w:type="gramEnd"/>
      <w:r w:rsidRPr="00414ED0">
        <w:t xml:space="preserve"> ideiglenes lakhatást biztosítsanak;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29.</w:t>
      </w:r>
      <w:r w:rsidRPr="00414ED0">
        <w:tab/>
        <w:t>aggodalommal veszi tudomásul, hogy 2022-ben a betegszabadság napjainak száma 11 622 volt, ami 54%-</w:t>
      </w:r>
      <w:proofErr w:type="spellStart"/>
      <w:r w:rsidRPr="00414ED0">
        <w:t>os</w:t>
      </w:r>
      <w:proofErr w:type="spellEnd"/>
      <w:r w:rsidRPr="00414ED0">
        <w:t xml:space="preserve"> növekedést jelent 2021-hez képest, amikor a betegszabadság napjainak száma 7524 volt; </w:t>
      </w:r>
      <w:proofErr w:type="spellStart"/>
      <w:r w:rsidRPr="00414ED0">
        <w:t>megjegyzi</w:t>
      </w:r>
      <w:proofErr w:type="spellEnd"/>
      <w:r w:rsidRPr="00414ED0">
        <w:t xml:space="preserve"> ugyanakkor, hogy 2018-ban a Számvevőszéknél a betegszabadság napjainak száma 10 255 volt, és hogy a 2021. évi viszonylag alacsony szám a Covid19-világjárvánnyal kapcsolatos helyzettel állhatott összefüggésben;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30.</w:t>
      </w:r>
      <w:r w:rsidRPr="00414ED0">
        <w:tab/>
        <w:t xml:space="preserve">aggodalommal veszi tudomásul, hogy 2022-ben a Számvevőszék hét kiégési esetről számolt be; </w:t>
      </w:r>
      <w:proofErr w:type="spellStart"/>
      <w:r w:rsidRPr="00414ED0">
        <w:t>megjegyzi</w:t>
      </w:r>
      <w:proofErr w:type="spellEnd"/>
      <w:r w:rsidRPr="00414ED0">
        <w:t xml:space="preserve"> továbbá, hogy mind a hét alkalmazott újra munkába állt, és az orvosilag jóváhagyott részmunkaidős visszahelyezési eljárás keretében fokozatosan tért vissza; e tekintetben nagyra értékeli, hogy a Számvevőszék 2022-ben megkezdte a hosszú távú betegszabadságot követően a munkába való visszatérésre vonatkozó iránymutatások kidolgozását; </w:t>
      </w:r>
      <w:proofErr w:type="spellStart"/>
      <w:r w:rsidRPr="00414ED0">
        <w:t>megjegyzi</w:t>
      </w:r>
      <w:proofErr w:type="spellEnd"/>
      <w:r w:rsidRPr="00414ED0">
        <w:t>, hogy a Számvevőszék állítása szerint az éves munkaprogram kialakításakor figyelembe veszik az erőforrások rendelkezésre állását, és hogy az igazgatók</w:t>
      </w:r>
      <w:proofErr w:type="gramEnd"/>
      <w:r w:rsidRPr="00414ED0">
        <w:t xml:space="preserve"> és az igazgatósági szintű vezetőség a munka egyenletes elosztásának biztosítása érdekében felmérik a munkaterhelést; mindazonáltal arra </w:t>
      </w:r>
      <w:proofErr w:type="spellStart"/>
      <w:r w:rsidRPr="00414ED0">
        <w:t>ösztönzi</w:t>
      </w:r>
      <w:proofErr w:type="spellEnd"/>
      <w:r w:rsidRPr="00414ED0">
        <w:t xml:space="preserve"> a Számvevőszéket, hogy továbbra is összpontosítson erre a </w:t>
      </w:r>
      <w:proofErr w:type="gramStart"/>
      <w:r w:rsidRPr="00414ED0">
        <w:t>problémára</w:t>
      </w:r>
      <w:proofErr w:type="gramEnd"/>
      <w:r w:rsidRPr="00414ED0">
        <w:t>, és tegyen meg minden szükséges intézkedést a személyzet jóllétének biztosítása érdekében a kiégéssel kapcsolatos esetek számának csökkentése érdekében;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31.</w:t>
      </w:r>
      <w:r w:rsidRPr="00414ED0">
        <w:tab/>
        <w:t>üdvözli, hogy széles körű együttműködésen alapuló megközelítést követően 2022 decemberében elfogadták a tiszteletteljes és zaklatásmentes munkahely biztosításáról szóló határozatot és politikát, amely egyértelműen a megelőzésre, a tudatosság növelésére és a korai felismerésre összpontosít, ugyanakkor számos intézkedést (bizalmas tanácsadás, közvetítés és hivatalos panaszok) határoz meg arra az esetre, ha zaklatás fordulna elő.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 xml:space="preserve">32. </w:t>
      </w:r>
      <w:r w:rsidRPr="00414ED0">
        <w:tab/>
        <w:t xml:space="preserve">üdvözli a Számvevőszéknek a 2021 és 2025 közötti időszakra szóló sokszínűségi és befogadási cselekvési tervét, és üdvözli a 2022 során a tervvel kapcsolatos figyelemfelkeltés érdekében tett lépéseket, valamint a tervben meghatározott 10 prioritás tekintetében 2022-ben elért eredményeket; </w:t>
      </w:r>
      <w:proofErr w:type="spellStart"/>
      <w:r w:rsidRPr="00414ED0">
        <w:t>megjegyzi</w:t>
      </w:r>
      <w:proofErr w:type="spellEnd"/>
      <w:r w:rsidRPr="00414ED0">
        <w:t>, hogy a Számvevőszék 2022-ben csak egy bejelentetten fogyatékossággal élő személyt alkalmazott határozott idejű szerződéssel;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lastRenderedPageBreak/>
        <w:t>33.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 Számvevőszék 2022-ben 54 gyakornokot fogadott; elismeréssel veszi tudomásul, hogy mindegyikőjük fizetést kapott a Számvevőszéktől vagy a nemzeti hatóságoktól;</w:t>
      </w:r>
    </w:p>
    <w:p w:rsidR="00775E17" w:rsidRPr="00414ED0" w:rsidRDefault="00775E17" w:rsidP="008F35E5">
      <w:pPr>
        <w:pStyle w:val="NormalHanging12a"/>
        <w:widowControl/>
        <w:rPr>
          <w:b/>
          <w:i/>
          <w:szCs w:val="24"/>
        </w:rPr>
      </w:pPr>
      <w:proofErr w:type="gramStart"/>
      <w:r w:rsidRPr="00414ED0">
        <w:rPr>
          <w:b/>
          <w:i/>
        </w:rPr>
        <w:t>Etikai</w:t>
      </w:r>
      <w:proofErr w:type="gramEnd"/>
      <w:r w:rsidRPr="00414ED0">
        <w:rPr>
          <w:b/>
          <w:i/>
        </w:rPr>
        <w:t xml:space="preserve"> keret és átláthatóság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34.</w:t>
      </w:r>
      <w:r w:rsidRPr="00414ED0">
        <w:tab/>
        <w:t xml:space="preserve">hangsúlyozza a Számvevőszéknek az Unió független külső ellenőreként és pénzügyeinek őreként betöltött szerepét, ami megköveteli, hogy a Számvevőszék a lehető legszigorúbb normákhoz tartsa magát, és mintaszervezetként működjön annak érdekében, hogy bizalmat és hitelességet keltsen; </w:t>
      </w:r>
      <w:proofErr w:type="spellStart"/>
      <w:r w:rsidRPr="00414ED0">
        <w:t>megjegyzi</w:t>
      </w:r>
      <w:proofErr w:type="spellEnd"/>
      <w:r w:rsidRPr="00414ED0">
        <w:t>, hogy az EUMSZ 285. cikke szerint a Számvevőszék tagjai teljesen függetlenek;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35.</w:t>
      </w:r>
      <w:r w:rsidRPr="00414ED0">
        <w:tab/>
        <w:t>üdvözli a Számvevőszék tagjaira és volt tagjaira vonatkozó, a Parlament ajánlása nyomán 2022 májusában felülvizsgált magatartási kódexet, amely többek között előírja, hogy a tagoknak a Számvevőszék székhelyén kell lakniuk, korlátozza a tagok politikai szerepvállalásának lehetőségét, szabályozza a tagok és a személyzet közötti szerződéses kapcsolatokat, és előírja a tagok számára, hogy kötelesek évente érdekeltségi nyilatkozatot benyújtani; emlékeztet arra, hogy a Számvevőszék tagjainak mindig a legszigorúbb etikai elveket és értékeket kell alkalmazniuk annak érdekében, hogy teljes feddhetetlenségüket,</w:t>
      </w:r>
      <w:proofErr w:type="gramEnd"/>
      <w:r w:rsidRPr="00414ED0">
        <w:t xml:space="preserve"> </w:t>
      </w:r>
      <w:proofErr w:type="gramStart"/>
      <w:r w:rsidRPr="00414ED0">
        <w:t>függetlenségüket</w:t>
      </w:r>
      <w:proofErr w:type="gramEnd"/>
      <w:r w:rsidRPr="00414ED0">
        <w:t>, objektivitásukat, szakmai magatartásukat, méltóságukat, elkötelezettségüket és lojalitásukat bizonyítsák;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36.</w:t>
      </w:r>
      <w:r w:rsidRPr="00414ED0">
        <w:tab/>
        <w:t>hangsúlyozza, hogy a Parlament továbbra is azon a véleményen van, hogy a Számvevőszék tagjainak kiküldetéseiről szóló információkat a tagság teljes időtartama alatt nyilvánosságra kell hozni, és hogy a tagoknak nem lehetnek hivatalos politikai kapcsolataik, beleértve a politikai pártokban vagy szervezetekben betöltött tiszteletbeli funkciókat is; továbbá ismételten kéri a Számvevőszéket, hogy változtassa meg a belső etikai bizottságra vonatkozó szabályait annak érdekében, hogy a továbbiakban az alkalmas jelöltek felterjesztése ne a Számvevőszék elnökének kizárólagos előjoga legyen; megismétli</w:t>
      </w:r>
      <w:proofErr w:type="gramEnd"/>
      <w:r w:rsidRPr="00414ED0">
        <w:t xml:space="preserve"> azt a kérését is, hogy a Számvevőszék </w:t>
      </w:r>
      <w:proofErr w:type="gramStart"/>
      <w:r w:rsidRPr="00414ED0">
        <w:t>etikai</w:t>
      </w:r>
      <w:proofErr w:type="gramEnd"/>
      <w:r w:rsidRPr="00414ED0">
        <w:t xml:space="preserve"> bizottsága tájékoztassa a már 2020 óta folyamatban levő etikai belső ellenőrzés jelentésének főbb megállapításairól;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37.</w:t>
      </w:r>
      <w:r w:rsidRPr="00414ED0">
        <w:tab/>
        <w:t>megelégedéssel veszi tudomásul, hogy a Számvevőszék valamennyi tagja bejelentett lakcímet a luxemburgi hatóságoknak, és ezzel teljesíti a tagokra vonatkozó azon követelményt, hogy a Számvevőszék székhelyén kell lakniuk;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38.</w:t>
      </w:r>
      <w:r w:rsidRPr="00414ED0">
        <w:tab/>
        <w:t>tudomásul veszi a tagok utazásairól, kiküldetéseiről, valamint a gépjárművezetők igénybevételéről és gépjárművek használatáról szóló 2022. évi határozatot, amely szerint a tagoknak fedezniük kell a 10 000 km-t meghaladó, kiküldetési megbízások hatálya alá nem tartozó utazáshoz használt gépjárművek összes üzemeltetési költségét, beleértve az autóbérlés költségeit is; úgy véli azonban, hogy a 10 000 km túl magas, és megismétli a korábbi mentesítési állásfoglalásokban megfogalmazott aggályokat, miszerint a bevezetett rendszer megtévesztő; megismétli a korábbi mentesítési határozatokban megfogalmazott</w:t>
      </w:r>
      <w:proofErr w:type="gramEnd"/>
      <w:r w:rsidRPr="00414ED0">
        <w:t xml:space="preserve"> azon véleményét, hogy a gépjárműflottának a Számvevőszék tagjai feladatainak szigorú teljesítésén kívüli használatára semmilyen körülmények között nem kerülhet sor; felkéri az összes uniós intézményt, hogy állapodjanak meg egy </w:t>
      </w:r>
      <w:proofErr w:type="gramStart"/>
      <w:r w:rsidRPr="00414ED0">
        <w:t>horizontálisan</w:t>
      </w:r>
      <w:proofErr w:type="gramEnd"/>
      <w:r w:rsidRPr="00414ED0">
        <w:t xml:space="preserve"> alkalmazandó egységes rendszerről, amely csökkentené a zavart és növelné az átláthatóságot és a hatékonyságot a közpénzek felhasználása terén;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lastRenderedPageBreak/>
        <w:t>39.</w:t>
      </w:r>
      <w:r w:rsidRPr="00414ED0">
        <w:tab/>
        <w:t>üdvözli, hogy a Számvevőszék az elmúlt években megkezdte etikai keretrendszerének naprakésszé tételét, aminek eredményeképpen 2022 októberében aktualizálták a Számvevőszék etikai iránymutatásait, 2022-ben a tiszteletteljes és zaklatásmentes munkahelyet biztosító politikát, 2023 júliusában pedig a visszaélések bejelentésére vonatkozó szabályokat; üdvözli továbbá, hogy etikai témájú munkaértekezleteket, képzéseket és foglalkozásokat szerveztek a személyzet számára, beleértve a tagok kabinetjében dolgozókat is; kéri a Számvevőszéket, hogy nyújtson naprakész tájékoztatást a Parlamentnek az etikai</w:t>
      </w:r>
      <w:proofErr w:type="gramEnd"/>
      <w:r w:rsidRPr="00414ED0">
        <w:t xml:space="preserve"> </w:t>
      </w:r>
      <w:proofErr w:type="gramStart"/>
      <w:r w:rsidRPr="00414ED0">
        <w:t>kerettel</w:t>
      </w:r>
      <w:proofErr w:type="gramEnd"/>
      <w:r w:rsidRPr="00414ED0">
        <w:t xml:space="preserve"> kapcsolatos további tervekről;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40.</w:t>
      </w:r>
      <w:r w:rsidRPr="00414ED0">
        <w:tab/>
        <w:t xml:space="preserve">hangsúlyozza, hogy a Számvevőszék belső ellenőrzési szolgálata 2021-ben arra a következtetésre jutott, hogy nincs egy külön, a Számvevőszék csalás elleni politikáját egységes szerkezetbe foglaló </w:t>
      </w:r>
      <w:proofErr w:type="gramStart"/>
      <w:r w:rsidRPr="00414ED0">
        <w:t>dokumentum</w:t>
      </w:r>
      <w:proofErr w:type="gramEnd"/>
      <w:r w:rsidRPr="00414ED0">
        <w:t xml:space="preserve">, és nincs a Számvevőszék egészére kiterjedő csalás elleni stratégia; arra </w:t>
      </w:r>
      <w:proofErr w:type="spellStart"/>
      <w:r w:rsidRPr="00414ED0">
        <w:t>ösztönzi</w:t>
      </w:r>
      <w:proofErr w:type="spellEnd"/>
      <w:r w:rsidRPr="00414ED0">
        <w:t xml:space="preserve"> a Számvevőszéket, hogy prioritásként foglalkozzon ezzel a kérdéssel annak érdekében, hogy a jelenlegi decentralizált és </w:t>
      </w:r>
      <w:proofErr w:type="spellStart"/>
      <w:r w:rsidRPr="00414ED0">
        <w:t>fragmentált</w:t>
      </w:r>
      <w:proofErr w:type="spellEnd"/>
      <w:r w:rsidRPr="00414ED0">
        <w:t xml:space="preserve"> megközelítést egységesítsék, és egyértelműbbé váljon, hogy a Számvevőszék hogyan kezeli ezeket a kérdéseket;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41.</w:t>
      </w:r>
      <w:r w:rsidRPr="00414ED0">
        <w:tab/>
        <w:t>továbbra is elutasítja a Számvevőszék értékelését és döntését, miszerint nem csatlakozik az Európai Parlament, az Európai Unió Tanácsa és az Európai Bizottság között a kötelező átláthatósági nyilvántartásról szóló, 2021. május 20-i intézményközi megállapodással</w:t>
      </w:r>
      <w:r w:rsidRPr="00414ED0">
        <w:rPr>
          <w:rStyle w:val="FootnoteReference"/>
          <w:szCs w:val="24"/>
        </w:rPr>
        <w:footnoteReference w:id="6"/>
      </w:r>
      <w:r w:rsidRPr="00414ED0">
        <w:t xml:space="preserve"> létrehozott uniós átláthatósági nyilvántartáshoz, és arra </w:t>
      </w:r>
      <w:proofErr w:type="spellStart"/>
      <w:r w:rsidRPr="00414ED0">
        <w:t>ösztönzi</w:t>
      </w:r>
      <w:proofErr w:type="spellEnd"/>
      <w:r w:rsidRPr="00414ED0">
        <w:t xml:space="preserve"> a Számvevőszéket, hogy gondolja át újra a kérdést, és ismételten határozottan felszólítja a Számvevőszéket, hogy csatlakozzon az uniós átláthatósági nyilvántartáshoz az átláthatóság alapelveinek betartása érdekében, ugyanakkor semmivel sem gátolja a Számvevőszék teljes</w:t>
      </w:r>
      <w:proofErr w:type="gramEnd"/>
      <w:r w:rsidRPr="00414ED0">
        <w:t xml:space="preserve"> </w:t>
      </w:r>
      <w:proofErr w:type="gramStart"/>
      <w:r w:rsidRPr="00414ED0">
        <w:t>függetlenségét</w:t>
      </w:r>
      <w:proofErr w:type="gramEnd"/>
      <w:r w:rsidRPr="00414ED0">
        <w:t>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42.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az Európai Csalás Elleni Hivatal (OLAF) 2022-ben vizsgálatot indított a Számvevőszék kiválasztási eljárásával kapcsolatban, és arra a következtetésre jutott, hogy az érintett személy magatartása nem befolyásolta az eljárás eredményét;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43.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az európai ombudsman 2022-ben egy panasz nyomán vizsgálatot folytatott, amelyet azt követően zárt le, hogy a Számvevőszék válaszolt a panaszosnak;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44.</w:t>
      </w:r>
      <w:r w:rsidRPr="00414ED0">
        <w:tab/>
        <w:t xml:space="preserve">ismételten elégedettségének ad hangot azzal kapcsolatban, hogy a Parlament többszöri ilyen irányú kérésének megfelelően 2022-ben a Számvevőszék nyilvántartást hozott létre a Számvevőszék tagjainak az üléseken való részvételéről; üdvözli, hogy kérésre a nyilvántartást a </w:t>
      </w:r>
      <w:proofErr w:type="gramStart"/>
      <w:r w:rsidRPr="00414ED0">
        <w:t>mentesítési</w:t>
      </w:r>
      <w:proofErr w:type="gramEnd"/>
      <w:r w:rsidRPr="00414ED0">
        <w:t xml:space="preserve"> eljárás részeként a mentesítési eljárás parlamenti előadójának rendelkezésére bocsátották; felkéri a Számvevőszéket, hogy folytassa az átláthatóságot és az </w:t>
      </w:r>
      <w:proofErr w:type="spellStart"/>
      <w:r w:rsidRPr="00414ED0">
        <w:t>elszámoltathatóságot</w:t>
      </w:r>
      <w:proofErr w:type="spellEnd"/>
      <w:r w:rsidRPr="00414ED0">
        <w:t xml:space="preserve"> fokozó gyakorlatokat, például a nyilvános </w:t>
      </w:r>
      <w:proofErr w:type="spellStart"/>
      <w:r w:rsidRPr="00414ED0">
        <w:t>ülésnaptárat</w:t>
      </w:r>
      <w:proofErr w:type="spellEnd"/>
      <w:r w:rsidRPr="00414ED0">
        <w:t>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45.</w:t>
      </w:r>
      <w:r w:rsidRPr="00414ED0">
        <w:tab/>
        <w:t xml:space="preserve">örvendetesnek tartja, hogy 2022-ben nem észleltek egyetlen összeférhetetlenségi esetet sem; </w:t>
      </w:r>
      <w:proofErr w:type="spellStart"/>
      <w:r w:rsidRPr="00414ED0">
        <w:t>megjegyzi</w:t>
      </w:r>
      <w:proofErr w:type="spellEnd"/>
      <w:r w:rsidRPr="00414ED0">
        <w:t xml:space="preserve"> továbbá, hogy a Számvevőszéktől szerződésük lejárta miatt vagy más okból távozó alkalmazottak egyike sem tájékoztatta a Számvevőszéket arról, hogy magáncéghez kíván csatlakozni, illetve nem értesítette a Számvevőszéket arról, hogy szolgálatuk utolsó három éve alatt a Számvevőszéken kívüli munkavégzéssel kapcsolatos tevékenységet végzett; végül megállapítja, hogy egyetlen volt parlamenti </w:t>
      </w:r>
      <w:r w:rsidRPr="00414ED0">
        <w:lastRenderedPageBreak/>
        <w:t>képviselő, biztos vagy magas rangú tisztviselő sem részesült díjazásban a Számvevőszék részéről;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46.</w:t>
      </w:r>
      <w:r w:rsidRPr="00414ED0">
        <w:tab/>
        <w:t>megállapítja, hogy 2022-ben a Számvevőszéknél nem volt visszaélés bejelentésével kapcsolatos eljárás;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47.</w:t>
      </w:r>
      <w:r w:rsidRPr="00414ED0">
        <w:tab/>
        <w:t xml:space="preserve">sajnálatát fejezi ki amiatt, hogy a megbízott, engedélyezésre jogosult tisztviselő jelentésében említettek szerint a Számvevőszék honlapján nem érhető el a szerződések éves listája, beleértve a 15 000 és 60 000 EUR közötti értékű szerződéseket is, amelyeket tárgyalásos eljárást követően kötöttek meg; felhívja a Számvevőszéket, hogy a listát külön </w:t>
      </w:r>
      <w:proofErr w:type="gramStart"/>
      <w:r w:rsidRPr="00414ED0">
        <w:t>dokumentumban</w:t>
      </w:r>
      <w:proofErr w:type="gramEnd"/>
      <w:r w:rsidRPr="00414ED0">
        <w:t xml:space="preserve"> tegye közzé, és biztosítsa az ahhoz való felhasználóbarát hozzáférést;</w:t>
      </w:r>
    </w:p>
    <w:p w:rsidR="00775E17" w:rsidRPr="00414ED0" w:rsidRDefault="00775E17" w:rsidP="008F35E5">
      <w:pPr>
        <w:widowControl/>
        <w:spacing w:after="240"/>
        <w:ind w:left="567" w:hanging="567"/>
        <w:rPr>
          <w:b/>
          <w:i/>
          <w:szCs w:val="24"/>
        </w:rPr>
      </w:pPr>
      <w:proofErr w:type="spellStart"/>
      <w:r w:rsidRPr="00414ED0">
        <w:rPr>
          <w:b/>
          <w:i/>
        </w:rPr>
        <w:t>Digitalizáció</w:t>
      </w:r>
      <w:proofErr w:type="spellEnd"/>
      <w:r w:rsidRPr="00414ED0">
        <w:rPr>
          <w:b/>
          <w:i/>
        </w:rPr>
        <w:t xml:space="preserve">, </w:t>
      </w:r>
      <w:proofErr w:type="spellStart"/>
      <w:r w:rsidRPr="00414ED0">
        <w:rPr>
          <w:b/>
          <w:i/>
        </w:rPr>
        <w:t>kiberbiztonság</w:t>
      </w:r>
      <w:proofErr w:type="spellEnd"/>
      <w:r w:rsidRPr="00414ED0">
        <w:rPr>
          <w:b/>
          <w:i/>
        </w:rPr>
        <w:t xml:space="preserve"> és adatvédelem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48.</w:t>
      </w:r>
      <w:r w:rsidRPr="00414ED0">
        <w:tab/>
        <w:t xml:space="preserve">üdvözli, hogy a Számvevőszék a 2022 és 2024 közötti időszakra vonatkozó, széles körű </w:t>
      </w:r>
      <w:proofErr w:type="spellStart"/>
      <w:r w:rsidRPr="00414ED0">
        <w:t>kiberbiztonsági</w:t>
      </w:r>
      <w:proofErr w:type="spellEnd"/>
      <w:r w:rsidRPr="00414ED0">
        <w:t xml:space="preserve"> tervvel rendelkezik és úgy tervezte, hogy 2023 vége felé újraértékeli </w:t>
      </w:r>
      <w:proofErr w:type="spellStart"/>
      <w:r w:rsidRPr="00414ED0">
        <w:t>kiberbiztonsági</w:t>
      </w:r>
      <w:proofErr w:type="spellEnd"/>
      <w:r w:rsidRPr="00414ED0">
        <w:t xml:space="preserve"> keretrendszerét, hogy teljes mértékben megfeleljen a készülő, az uniós intézmények, szervek, hivatalok és ügynökségek egységesen magas szintű </w:t>
      </w:r>
      <w:proofErr w:type="spellStart"/>
      <w:r w:rsidRPr="00414ED0">
        <w:t>kiberbiztonságát</w:t>
      </w:r>
      <w:proofErr w:type="spellEnd"/>
      <w:r w:rsidRPr="00414ED0">
        <w:t xml:space="preserve"> biztosító intézkedések meghatározásáról szóló rendeletnek; méltányolja továbbá, hogy a Számvevőszék felmondta a szerződést egy olyan beszállítóval, amelyet egy amerikai egyesült államokbeli vállalat vásárolt meg, mivel a felvásárlás következtében változások</w:t>
      </w:r>
      <w:proofErr w:type="gramEnd"/>
      <w:r w:rsidRPr="00414ED0">
        <w:t xml:space="preserve"> </w:t>
      </w:r>
      <w:proofErr w:type="gramStart"/>
      <w:r w:rsidRPr="00414ED0">
        <w:t>történnének</w:t>
      </w:r>
      <w:proofErr w:type="gramEnd"/>
      <w:r w:rsidRPr="00414ED0">
        <w:t xml:space="preserve"> a személyes adatok kezelésének módja tekintetében;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49.</w:t>
      </w:r>
      <w:r w:rsidRPr="00414ED0">
        <w:tab/>
        <w:t xml:space="preserve">örvendetesnek tartja, hogy a Számvevőszéket 2022-ben nem érte komoly </w:t>
      </w:r>
      <w:proofErr w:type="spellStart"/>
      <w:r w:rsidRPr="00414ED0">
        <w:t>kibertámadás</w:t>
      </w:r>
      <w:proofErr w:type="spellEnd"/>
      <w:r w:rsidRPr="00414ED0">
        <w:t xml:space="preserve">, és hogy továbbra is az adathalász e-mailek jelentették a legveszélyesebb fenyegetést; mindazonáltal arra </w:t>
      </w:r>
      <w:proofErr w:type="spellStart"/>
      <w:r w:rsidRPr="00414ED0">
        <w:t>ösztönzi</w:t>
      </w:r>
      <w:proofErr w:type="spellEnd"/>
      <w:r w:rsidRPr="00414ED0">
        <w:t xml:space="preserve"> a Számvevőszéket, hogy maradjon éber és az uniós intézmények általános </w:t>
      </w:r>
      <w:proofErr w:type="spellStart"/>
      <w:r w:rsidRPr="00414ED0">
        <w:t>kiberbiztonságának</w:t>
      </w:r>
      <w:proofErr w:type="spellEnd"/>
      <w:r w:rsidRPr="00414ED0">
        <w:t xml:space="preserve"> megerősítése érdekében működjön együtt az Unió érintett intézményközi szerveivel;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50.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az európai adatvédelmi biztos a Számvevőszékkel kapcsolatban 2022-ben nem indított, nem folytatott és nem zárt le vizsgálatokat;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51.</w:t>
      </w:r>
      <w:r w:rsidRPr="00414ED0">
        <w:tab/>
        <w:t xml:space="preserve">üdvözli az ellenőrzési munka digitalizálásának fokozására irányuló valamennyi erőfeszítést, mivel ezáltal javítani lehet a munka hatékonyságát és pontosságát; különösen üdvözli az „adatraktár mint szolgáltatás” modell 2022. októberi elindítását, amely lehetővé teszi a felhasználók számára, hogy különböző fokú autonómiával strukturált adatokat dolgozzanak fel és elemezzenek; </w:t>
      </w:r>
      <w:proofErr w:type="spellStart"/>
      <w:r w:rsidRPr="00414ED0">
        <w:t>megjegyzi</w:t>
      </w:r>
      <w:proofErr w:type="spellEnd"/>
      <w:r w:rsidRPr="00414ED0">
        <w:t>, hogy az ellenőrzési munka digitalizálása nemcsak magától a Számvevőszéktől függ, hanem nagymértékben az ellenőrzött szervek által szolgáltatott adatoktól is, és hogy az adatok formátumát és az alkalmazott rendszerek</w:t>
      </w:r>
      <w:proofErr w:type="gramEnd"/>
      <w:r w:rsidRPr="00414ED0">
        <w:t xml:space="preserve"> sokféleségét illetően még mindig vannak megkötések; méltányolja továbbá, hogy 2022-ben a helyszíni ellenőrzési munkanapok száma 2984 volt, ami lényegesen </w:t>
      </w:r>
      <w:proofErr w:type="gramStart"/>
      <w:r w:rsidRPr="00414ED0">
        <w:t>több, mint</w:t>
      </w:r>
      <w:proofErr w:type="gramEnd"/>
      <w:r w:rsidRPr="00414ED0">
        <w:t xml:space="preserve"> amennyi 2021-ben és 2020-ban volt, mert erre az utóbb említett két évre nagymértékben kihatottak a Covid19-világjárvány miatt bevezetett korlátozások, és hogy a helyszíni látogatások hozzáadott értéke és hatékonysága fokozódott a távolról végzett munkával való kombinálás révén;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52.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rendszerei részeként a Számvevőszék a nyílt forráskódú szoftverek számos elemét alkalmazza, beleértve a Linuxot, a </w:t>
      </w:r>
      <w:proofErr w:type="spellStart"/>
      <w:r w:rsidRPr="00414ED0">
        <w:t>Beleniost</w:t>
      </w:r>
      <w:proofErr w:type="spellEnd"/>
      <w:r w:rsidRPr="00414ED0">
        <w:t xml:space="preserve"> és a </w:t>
      </w:r>
      <w:proofErr w:type="spellStart"/>
      <w:r w:rsidRPr="00414ED0">
        <w:t>Nagiost</w:t>
      </w:r>
      <w:proofErr w:type="spellEnd"/>
      <w:r w:rsidRPr="00414ED0">
        <w:t xml:space="preserve">; arra </w:t>
      </w:r>
      <w:proofErr w:type="spellStart"/>
      <w:r w:rsidRPr="00414ED0">
        <w:t>ösztönzi</w:t>
      </w:r>
      <w:proofErr w:type="spellEnd"/>
      <w:r w:rsidRPr="00414ED0">
        <w:t xml:space="preserve"> a </w:t>
      </w:r>
      <w:r w:rsidRPr="00414ED0">
        <w:lastRenderedPageBreak/>
        <w:t>Számvevőszéket, hogy lehetőség szerint továbbra is nyílt forráskódú szoftvereket használjon;</w:t>
      </w:r>
    </w:p>
    <w:p w:rsidR="00775E17" w:rsidRPr="00414ED0" w:rsidRDefault="00775E17" w:rsidP="008F35E5">
      <w:pPr>
        <w:widowControl/>
        <w:spacing w:after="240"/>
        <w:ind w:left="567" w:hanging="567"/>
        <w:rPr>
          <w:b/>
          <w:bCs/>
          <w:i/>
          <w:iCs/>
          <w:szCs w:val="24"/>
        </w:rPr>
      </w:pPr>
      <w:r w:rsidRPr="00414ED0">
        <w:rPr>
          <w:b/>
          <w:i/>
        </w:rPr>
        <w:t>Épületek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53.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a személyzet tagjai által kedvelt, </w:t>
      </w:r>
      <w:proofErr w:type="spellStart"/>
      <w:r w:rsidRPr="00414ED0">
        <w:t>környezetbarátabb</w:t>
      </w:r>
      <w:proofErr w:type="spellEnd"/>
      <w:r w:rsidRPr="00414ED0">
        <w:t xml:space="preserve"> és modern munkahely biztosítása érdekében 2022-ben jelentős felújítási munkálatokat végzett a K2 épületben, amelynek négy emeletét újították fel, és a munkálatok 2023 elején </w:t>
      </w:r>
      <w:proofErr w:type="spellStart"/>
      <w:r w:rsidRPr="00414ED0">
        <w:t>fejeződtek</w:t>
      </w:r>
      <w:proofErr w:type="spellEnd"/>
      <w:r w:rsidRPr="00414ED0">
        <w:t xml:space="preserve"> be;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54.</w:t>
      </w:r>
      <w:r w:rsidRPr="00414ED0">
        <w:tab/>
        <w:t xml:space="preserve">nagyra értékeli, hogy a Számvevőszék 2022-ben valamennyi épületének akadálymentességével kapcsolatban ellenőrzést kezdeményezett a hozzáférhetőség javítása és a csökkent mozgásképességű vagy más fogyatékossággal élő személyek igényeinek kielégítése érdekében, amely ellenőrzés 2023 elején zárult le; kéri a Számvevőszéket, hogy tájékoztassa a Parlamentet az ellenőrzés keretében javasolt intézkedések végrehajtására irányuló </w:t>
      </w:r>
      <w:proofErr w:type="gramStart"/>
      <w:r w:rsidRPr="00414ED0">
        <w:t>konkrét</w:t>
      </w:r>
      <w:proofErr w:type="gramEnd"/>
      <w:r w:rsidRPr="00414ED0">
        <w:t xml:space="preserve"> kezdeményezésekről;</w:t>
      </w:r>
    </w:p>
    <w:p w:rsidR="00775E17" w:rsidRPr="00414ED0" w:rsidRDefault="00775E17" w:rsidP="008F35E5">
      <w:pPr>
        <w:widowControl/>
        <w:spacing w:after="240"/>
        <w:ind w:left="567" w:hanging="567"/>
        <w:rPr>
          <w:b/>
          <w:i/>
          <w:szCs w:val="24"/>
        </w:rPr>
      </w:pPr>
      <w:r w:rsidRPr="00414ED0">
        <w:rPr>
          <w:b/>
          <w:i/>
        </w:rPr>
        <w:t>Környezetvédelem és fenntarthatóság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55.</w:t>
      </w:r>
      <w:r w:rsidRPr="00414ED0">
        <w:tab/>
        <w:t>üdvözli, hogy a Számvevőszék 2022-ben a nemzetközileg elfogadott jelentéstételi standardokkal összhangban benyújtotta második éves jelentését műveleteinek környezeti fenntarthatóságáról;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56.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>, hogy a Számvevőszék 2014 óta több területen is látványos eredményeket ért el az általános fogyasztás csökkentése terén: a villamosenergia-fogyasztás 34,5%-</w:t>
      </w:r>
      <w:proofErr w:type="spellStart"/>
      <w:r w:rsidRPr="00414ED0">
        <w:t>kal</w:t>
      </w:r>
      <w:proofErr w:type="spellEnd"/>
      <w:r w:rsidRPr="00414ED0">
        <w:t>, a fűtés 22,2%-</w:t>
      </w:r>
      <w:proofErr w:type="spellStart"/>
      <w:r w:rsidRPr="00414ED0">
        <w:t>kal</w:t>
      </w:r>
      <w:proofErr w:type="spellEnd"/>
      <w:r w:rsidRPr="00414ED0">
        <w:t>, a papírfogyasztás 83,5%-</w:t>
      </w:r>
      <w:proofErr w:type="spellStart"/>
      <w:r w:rsidRPr="00414ED0">
        <w:t>kal</w:t>
      </w:r>
      <w:proofErr w:type="spellEnd"/>
      <w:r w:rsidRPr="00414ED0">
        <w:t>, a vízfogyasztás 45,3%-</w:t>
      </w:r>
      <w:proofErr w:type="spellStart"/>
      <w:r w:rsidRPr="00414ED0">
        <w:t>kal</w:t>
      </w:r>
      <w:proofErr w:type="spellEnd"/>
      <w:r w:rsidRPr="00414ED0">
        <w:t>, az üvegházhatásúgáz-kibocsátás 29,5%-</w:t>
      </w:r>
      <w:proofErr w:type="spellStart"/>
      <w:r w:rsidRPr="00414ED0">
        <w:t>kal</w:t>
      </w:r>
      <w:proofErr w:type="spellEnd"/>
      <w:r w:rsidRPr="00414ED0">
        <w:t>, a hulladéktermelés pedig 33,7%-</w:t>
      </w:r>
      <w:proofErr w:type="spellStart"/>
      <w:r w:rsidRPr="00414ED0">
        <w:t>kal</w:t>
      </w:r>
      <w:proofErr w:type="spellEnd"/>
      <w:r w:rsidRPr="00414ED0">
        <w:t xml:space="preserve"> csökkent; arra </w:t>
      </w:r>
      <w:proofErr w:type="spellStart"/>
      <w:r w:rsidRPr="00414ED0">
        <w:t>ösztönzi</w:t>
      </w:r>
      <w:proofErr w:type="spellEnd"/>
      <w:r w:rsidRPr="00414ED0">
        <w:t xml:space="preserve"> a Számvevőszéket, hogy folytassa a fogyasztás további csökkentésére irányuló erőfeszítéseit, és üdvözli, hogy a Számvevőszék 2023-ban kezdeményezte a K2 épülettel kapcsolatos tanulmány elkészítését a tető felújításának és napelemek telepítésének céljából;</w:t>
      </w:r>
      <w:proofErr w:type="gramEnd"/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57.</w:t>
      </w:r>
      <w:r w:rsidRPr="00414ED0">
        <w:tab/>
        <w:t>üdvözli, hogy a Számvevőszék számos kezdeményezést tett a fenntartható mobilitás támogatása érdekében, többek között megerősítette a Számvevőszék buszjáratát, a személyzet tagjainak ingyenes előfizetést biztosított a Luxembourg városa által létrehozott kerékpárszolgálatra, növelte a kerékpárparkolók számát, beleértve az elektromos kerékpárok számára fenntartott helyeket, és töltőket helyezett ki a hibrid és elektromos autók számára; felhívja a Számvevőszéket, hogy továbbra is támogassa a fenntartható mobilitást, többek között a bevált gyakorlatok más intézményekkel való cseréje és a Parlament</w:t>
      </w:r>
      <w:proofErr w:type="gramEnd"/>
      <w:r w:rsidRPr="00414ED0">
        <w:t xml:space="preserve"> </w:t>
      </w:r>
      <w:proofErr w:type="gramStart"/>
      <w:r w:rsidRPr="00414ED0">
        <w:t>újabb</w:t>
      </w:r>
      <w:proofErr w:type="gramEnd"/>
      <w:r w:rsidRPr="00414ED0">
        <w:t xml:space="preserve"> kezdeményezésekről való tájékoztatása révén;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58.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elemezni fogja, hogyan lehet a kiküldetések környezetvédelmi szempontjait beépíteni egy </w:t>
      </w:r>
      <w:proofErr w:type="gramStart"/>
      <w:r w:rsidRPr="00414ED0">
        <w:t>aktualizált</w:t>
      </w:r>
      <w:proofErr w:type="gramEnd"/>
      <w:r w:rsidRPr="00414ED0">
        <w:t xml:space="preserve"> kiküldetési útmutatóba; </w:t>
      </w:r>
      <w:proofErr w:type="spellStart"/>
      <w:r w:rsidRPr="00414ED0">
        <w:t>megjegyzi</w:t>
      </w:r>
      <w:proofErr w:type="spellEnd"/>
      <w:r w:rsidRPr="00414ED0">
        <w:t xml:space="preserve"> továbbá, hogy javaslat született arra vonatkozóan, hogy a 2023 és 2025 közötti időszakban teljes munkaidős egyenértékre vetítve 5%-</w:t>
      </w:r>
      <w:proofErr w:type="spellStart"/>
      <w:r w:rsidRPr="00414ED0">
        <w:t>kal</w:t>
      </w:r>
      <w:proofErr w:type="spellEnd"/>
      <w:r w:rsidRPr="00414ED0">
        <w:t xml:space="preserve"> csökkentsék az üzleti utazásokat; felhívja a Számvevőszéket, hogy törekedjen e cél megvalósítására, ugyanakkor biztosítsa a szükséges ellenőrzési kiküldetések elvégzését;</w:t>
      </w:r>
    </w:p>
    <w:p w:rsidR="00775E17" w:rsidRPr="00414ED0" w:rsidRDefault="00775E17" w:rsidP="008F35E5">
      <w:pPr>
        <w:widowControl/>
        <w:spacing w:after="240"/>
        <w:ind w:left="567" w:hanging="567"/>
        <w:rPr>
          <w:b/>
          <w:i/>
          <w:szCs w:val="24"/>
        </w:rPr>
      </w:pPr>
      <w:r w:rsidRPr="00414ED0">
        <w:rPr>
          <w:b/>
          <w:i/>
        </w:rPr>
        <w:t>Intézményközi együttműködés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r w:rsidRPr="00414ED0">
        <w:t>59.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2022-ben számos, szolgáltatási szintre vonatkozó megállapodást és egyéb intézményközi együttműködési megállapodást frissítettek, beleértve a Bizottság </w:t>
      </w:r>
      <w:r w:rsidRPr="00414ED0">
        <w:lastRenderedPageBreak/>
        <w:t>Vizsgálati és Fegyelmi Hivatalával és az Európai Unió Szerveinek Fordítóközpontjával kötött megállapodásokat;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60.</w:t>
      </w:r>
      <w:r w:rsidRPr="00414ED0">
        <w:tab/>
        <w:t>tudomásul veszi, hogy 2021 novemberében létrejött a Számvevőszék, a Bizottság és az Európai Beruházási Bank (a továbbiakban: EBB) közötti háromoldalú megállapodás; üdvözli, hogy a Számvevőszék véleménye szerint ez a megállapodás pontosított és racionalizált néhány folyamatot, és hogy a Számvevőszék számára jobb hozzáférést biztosítottak az uniós költségvetésből finanszírozott vagy garantált műveletekkel kapcsolatos információkhoz; mindazonáltal sajnálatosnak tartja, hogy ez a megállapodás nem biztosítja legalább azt, hogy a Számvevőszék ellenőrizhesse az uniós politikák végrehajtása során</w:t>
      </w:r>
      <w:proofErr w:type="gramEnd"/>
      <w:r w:rsidRPr="00414ED0">
        <w:t xml:space="preserve"> </w:t>
      </w:r>
      <w:proofErr w:type="gramStart"/>
      <w:r w:rsidRPr="00414ED0">
        <w:t>végzett</w:t>
      </w:r>
      <w:proofErr w:type="gramEnd"/>
      <w:r w:rsidRPr="00414ED0">
        <w:t xml:space="preserve"> tevékenységek teljesítményével kapcsolatos szempontokat;</w:t>
      </w:r>
    </w:p>
    <w:p w:rsidR="00775E17" w:rsidRPr="00414ED0" w:rsidRDefault="00775E17" w:rsidP="008F35E5">
      <w:pPr>
        <w:pStyle w:val="NormalHanging12a"/>
        <w:widowControl/>
        <w:rPr>
          <w:szCs w:val="24"/>
        </w:rPr>
      </w:pPr>
      <w:proofErr w:type="gramStart"/>
      <w:r w:rsidRPr="00414ED0">
        <w:t>61.</w:t>
      </w:r>
      <w:r w:rsidRPr="00414ED0">
        <w:tab/>
        <w:t>hangsúlyozza, hogy a Parlament alapvetően azon a véleményen van, hogy a Számvevőszéknek az EBB ellenőreként betöltött szerepének jelenlegi korlátozása szabályozási és felügyeleti hiányosságot teremt, és hogy a Számvevőszék számára lehetővé kell tenni, hogy az EBB csoport valamennyi műveletét ellenőrizze; hangsúlyozza ugyanakkor, hogy a Parlamentet mint demokratikusan választott testületet kell megbízni azzal, hogy megadja a mentesítést az EBB-</w:t>
      </w:r>
      <w:proofErr w:type="spellStart"/>
      <w:r w:rsidRPr="00414ED0">
        <w:t>nek</w:t>
      </w:r>
      <w:proofErr w:type="spellEnd"/>
      <w:r w:rsidRPr="00414ED0">
        <w:t>, annak érdekében, hogy erősödjön e fontos uniós intézmény demokratikus legitimitása, és ezáltal javuljon az átláthatóság és az elszámoltathatóság,</w:t>
      </w:r>
      <w:proofErr w:type="gramEnd"/>
      <w:r w:rsidRPr="00414ED0">
        <w:t xml:space="preserve"> </w:t>
      </w:r>
      <w:proofErr w:type="gramStart"/>
      <w:r w:rsidRPr="00414ED0">
        <w:t>valamint</w:t>
      </w:r>
      <w:proofErr w:type="gramEnd"/>
      <w:r w:rsidRPr="00414ED0">
        <w:t xml:space="preserve"> megfelelő legyen a pénzügyi és emberi erőforrások irányítása;</w:t>
      </w:r>
    </w:p>
    <w:p w:rsidR="00775E17" w:rsidRPr="00414ED0" w:rsidRDefault="00775E17" w:rsidP="008F35E5">
      <w:pPr>
        <w:pStyle w:val="NormalHanging12a"/>
        <w:widowControl/>
      </w:pPr>
      <w:proofErr w:type="gramStart"/>
      <w:r w:rsidRPr="00414ED0">
        <w:t>62.</w:t>
      </w:r>
      <w:r w:rsidRPr="00414ED0">
        <w:tab/>
        <w:t>üdvözli, hogy a Számvevőszék szorosan együttműködik mind az OLAF-fal, mind az Európai Ügyészséggel (EPPO), többek között munkaértekezletek, figyelemfelkeltő rendezvények szervezése, valamint ismeretek és tapasztalatok cseréje révén; továbbá elismeréssel veszi tudomásul, hogy a Számvevőszék 2022-ben 14 csalásgyanús ügyet továbbított az OLAF-</w:t>
      </w:r>
      <w:proofErr w:type="spellStart"/>
      <w:r w:rsidRPr="00414ED0">
        <w:t>nak</w:t>
      </w:r>
      <w:proofErr w:type="spellEnd"/>
      <w:r w:rsidRPr="00414ED0">
        <w:t>, 6-ot pedig az EPPO-</w:t>
      </w:r>
      <w:proofErr w:type="spellStart"/>
      <w:r w:rsidRPr="00414ED0">
        <w:t>nak</w:t>
      </w:r>
      <w:proofErr w:type="spellEnd"/>
      <w:r w:rsidRPr="00414ED0">
        <w:t>; hangsúlyozza azon véleményét, hogy a csalás gyanúját alapos kivizsgálás céljából mindig közölni kell az OLAF-fal és az Európai Ügyészséggel;</w:t>
      </w:r>
      <w:proofErr w:type="gramEnd"/>
    </w:p>
    <w:p w:rsidR="008F35E5" w:rsidRPr="00414ED0" w:rsidRDefault="008F35E5" w:rsidP="008F35E5">
      <w:pPr>
        <w:pStyle w:val="NormalHanging12a"/>
        <w:rPr>
          <w:szCs w:val="24"/>
        </w:rPr>
      </w:pPr>
      <w:r w:rsidRPr="00414ED0">
        <w:t>63.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az adatvédelmi tisztviselőjén keresztül együttműködik az európai adatvédelmi biztossal, és konzultál </w:t>
      </w:r>
      <w:proofErr w:type="gramStart"/>
      <w:r w:rsidRPr="00414ED0">
        <w:t>vele</w:t>
      </w:r>
      <w:proofErr w:type="gramEnd"/>
      <w:r w:rsidRPr="00414ED0">
        <w:t xml:space="preserve"> az adatvédelemmel kapcsolatos kérdésekben, valamint hogy 2022-ben sor került egy adatvédelmi incidenssel kapcsolatos ügy néhány ajánlással történő lezárására; üdvözli, hogy a Számvevőszék adatvédelmi tisztviselője részt vesz az adatvédelmi tisztviselők hálózatában, amely visszatérő problémákkal foglalkozik, megosztja a legjobb gyakorlatok példáit, és segít megszervezni az adatvédelmi tisztviselők félévenként megrendezésre kerülő találkozóját;</w:t>
      </w:r>
    </w:p>
    <w:p w:rsidR="008F35E5" w:rsidRPr="00414ED0" w:rsidRDefault="008F35E5" w:rsidP="008F35E5">
      <w:pPr>
        <w:pStyle w:val="NormalHanging12a"/>
        <w:rPr>
          <w:szCs w:val="24"/>
        </w:rPr>
      </w:pPr>
      <w:r w:rsidRPr="00414ED0">
        <w:t>64.</w:t>
      </w:r>
      <w:r w:rsidRPr="00414ED0">
        <w:tab/>
      </w:r>
      <w:proofErr w:type="spellStart"/>
      <w:r w:rsidRPr="00414ED0">
        <w:t>megjegyzi</w:t>
      </w:r>
      <w:proofErr w:type="spellEnd"/>
      <w:r w:rsidRPr="00414ED0">
        <w:t xml:space="preserve">, hogy a Számvevőszék együttműködik az európai ombudsmannal, és az európai ombudsman által indított vizsgálatok során kért valamennyi </w:t>
      </w:r>
      <w:proofErr w:type="gramStart"/>
      <w:r w:rsidRPr="00414ED0">
        <w:t>információt</w:t>
      </w:r>
      <w:proofErr w:type="gramEnd"/>
      <w:r w:rsidRPr="00414ED0">
        <w:t xml:space="preserve"> rendelkezésre bocsátotta; örvendetesnek tartja, hogy a Számvevőszék részt vett a modern kommunikációról – többek között az azonnali üzenetküldésről – folytatott intézményközi megbeszéléseken, és hogy a Számvevőszék az európai ombudsman e területre vonatkozó iránymutatásait tekinti irányadónak;</w:t>
      </w:r>
    </w:p>
    <w:p w:rsidR="008F35E5" w:rsidRPr="00414ED0" w:rsidRDefault="008F35E5" w:rsidP="008F35E5">
      <w:pPr>
        <w:spacing w:after="240"/>
        <w:rPr>
          <w:b/>
          <w:i/>
          <w:szCs w:val="24"/>
        </w:rPr>
      </w:pPr>
      <w:r w:rsidRPr="00414ED0">
        <w:rPr>
          <w:b/>
          <w:i/>
        </w:rPr>
        <w:t>Kommunikáció</w:t>
      </w:r>
    </w:p>
    <w:p w:rsidR="008F35E5" w:rsidRPr="00477FF8" w:rsidRDefault="008F35E5" w:rsidP="008F35E5">
      <w:pPr>
        <w:pStyle w:val="NormalHanging12a"/>
        <w:rPr>
          <w:szCs w:val="24"/>
        </w:rPr>
      </w:pPr>
      <w:proofErr w:type="gramStart"/>
      <w:r w:rsidRPr="00414ED0">
        <w:t>65.</w:t>
      </w:r>
      <w:r w:rsidRPr="00414ED0">
        <w:tab/>
        <w:t xml:space="preserve">üdvözli, hogy a Számvevőszék 2022 januárjában új kommunikációs stratégiát fogadott el, amely a nyilvánosságot helyezi a kommunikációs erőfeszítések középpontjába, és </w:t>
      </w:r>
      <w:r w:rsidRPr="00414ED0">
        <w:lastRenderedPageBreak/>
        <w:t>üdvözli, hogy a Számvevőszék most már képes megfelelő technikai színvonalú sajtótájékoztatókat és online közvetített konferenciákat tartani; üdvözli továbbá, hogy a Számvevőszék 2023-ban frissítette honlapját, hogy jobb felhasználói élményt nyújtson, és létrehozott egy olyan portált, amely az ellenőrzésekkel kapcsolatos adatokat szélesebb körben, többek között a diákok, a tudományos körök és a nagyközönség számára is könnyebben</w:t>
      </w:r>
      <w:proofErr w:type="gramEnd"/>
      <w:r w:rsidRPr="00414ED0">
        <w:t xml:space="preserve"> </w:t>
      </w:r>
      <w:proofErr w:type="gramStart"/>
      <w:r w:rsidRPr="00414ED0">
        <w:t>hozzáférhetővé</w:t>
      </w:r>
      <w:proofErr w:type="gramEnd"/>
      <w:r w:rsidRPr="00414ED0">
        <w:t xml:space="preserve"> teheti.</w:t>
      </w:r>
    </w:p>
    <w:p w:rsidR="008F35E5" w:rsidRPr="004B506A" w:rsidRDefault="008F35E5" w:rsidP="008F35E5">
      <w:pPr>
        <w:pStyle w:val="NormalHanging12a"/>
        <w:widowControl/>
      </w:pPr>
    </w:p>
    <w:sectPr w:rsidR="008F35E5" w:rsidRPr="004B506A" w:rsidSect="004B506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746" w:rsidRPr="004B506A" w:rsidRDefault="00D53746">
      <w:r w:rsidRPr="004B506A">
        <w:separator/>
      </w:r>
    </w:p>
  </w:endnote>
  <w:endnote w:type="continuationSeparator" w:id="0">
    <w:p w:rsidR="00D53746" w:rsidRPr="004B506A" w:rsidRDefault="00D53746">
      <w:r w:rsidRPr="004B50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E17" w:rsidRPr="004B506A" w:rsidRDefault="00775E17" w:rsidP="00E5541B">
    <w:pPr>
      <w:pStyle w:val="EPFooter"/>
    </w:pPr>
    <w:proofErr w:type="gramStart"/>
    <w:r w:rsidRPr="004B506A">
      <w:t>PE</w:t>
    </w:r>
    <w:r w:rsidRPr="004B506A">
      <w:rPr>
        <w:rStyle w:val="HideTWBExt"/>
      </w:rPr>
      <w:t>&lt;</w:t>
    </w:r>
    <w:proofErr w:type="spellStart"/>
    <w:proofErr w:type="gramEnd"/>
    <w:r w:rsidRPr="004B506A">
      <w:rPr>
        <w:rStyle w:val="HideTWBExt"/>
      </w:rPr>
      <w:t>NoPE</w:t>
    </w:r>
    <w:proofErr w:type="spellEnd"/>
    <w:r w:rsidRPr="004B506A">
      <w:rPr>
        <w:rStyle w:val="HideTWBExt"/>
      </w:rPr>
      <w:t>&gt;</w:t>
    </w:r>
    <w:r w:rsidRPr="004B506A">
      <w:t>753.481</w:t>
    </w:r>
    <w:r w:rsidRPr="004B506A">
      <w:rPr>
        <w:rStyle w:val="HideTWBExt"/>
      </w:rPr>
      <w:t>&lt;/</w:t>
    </w:r>
    <w:proofErr w:type="spellStart"/>
    <w:r w:rsidRPr="004B506A">
      <w:rPr>
        <w:rStyle w:val="HideTWBExt"/>
      </w:rPr>
      <w:t>NoPE</w:t>
    </w:r>
    <w:proofErr w:type="spellEnd"/>
    <w:r w:rsidRPr="004B506A">
      <w:rPr>
        <w:rStyle w:val="HideTWBExt"/>
      </w:rPr>
      <w:t>&gt;&lt;Version&gt;</w:t>
    </w:r>
    <w:r w:rsidRPr="004B506A">
      <w:t>v02-00</w:t>
    </w:r>
    <w:r w:rsidRPr="004B506A">
      <w:rPr>
        <w:rStyle w:val="HideTWBExt"/>
      </w:rPr>
      <w:t>&lt;/Version&gt;</w:t>
    </w:r>
    <w:r w:rsidRPr="004B506A">
      <w:tab/>
    </w:r>
    <w:r w:rsidRPr="004B506A">
      <w:fldChar w:fldCharType="begin"/>
    </w:r>
    <w:r w:rsidRPr="004B506A">
      <w:instrText xml:space="preserve"> PAGE  \* MERGEFORMAT </w:instrText>
    </w:r>
    <w:r w:rsidRPr="004B506A">
      <w:fldChar w:fldCharType="separate"/>
    </w:r>
    <w:r w:rsidR="004B506A" w:rsidRPr="004B506A">
      <w:rPr>
        <w:noProof/>
      </w:rPr>
      <w:t>2</w:t>
    </w:r>
    <w:r w:rsidRPr="004B506A">
      <w:fldChar w:fldCharType="end"/>
    </w:r>
    <w:r w:rsidRPr="004B506A">
      <w:t>/</w:t>
    </w:r>
    <w:fldSimple w:instr=" NUMPAGES  \* MERGEFORMAT ">
      <w:r w:rsidR="004B506A" w:rsidRPr="004B506A">
        <w:rPr>
          <w:noProof/>
        </w:rPr>
        <w:t>3</w:t>
      </w:r>
    </w:fldSimple>
    <w:r w:rsidRPr="004B506A">
      <w:tab/>
    </w:r>
    <w:r w:rsidRPr="004B506A">
      <w:rPr>
        <w:rStyle w:val="HideTWBExt"/>
      </w:rPr>
      <w:t>&lt;PathFdR&gt;</w:t>
    </w:r>
    <w:r w:rsidRPr="004B506A">
      <w:t>RR\1298500HU.docx</w:t>
    </w:r>
    <w:r w:rsidRPr="004B506A">
      <w:rPr>
        <w:rStyle w:val="HideTWBExt"/>
      </w:rPr>
      <w:t>&lt;/</w:t>
    </w:r>
    <w:proofErr w:type="spellStart"/>
    <w:r w:rsidRPr="004B506A">
      <w:rPr>
        <w:rStyle w:val="HideTWBExt"/>
      </w:rPr>
      <w:t>PathFdR</w:t>
    </w:r>
    <w:proofErr w:type="spellEnd"/>
    <w:r w:rsidRPr="004B506A">
      <w:rPr>
        <w:rStyle w:val="HideTWBExt"/>
      </w:rPr>
      <w:t>&gt;</w:t>
    </w:r>
  </w:p>
  <w:p w:rsidR="00775E17" w:rsidRPr="004B506A" w:rsidRDefault="00775E17" w:rsidP="00E5541B">
    <w:pPr>
      <w:pStyle w:val="EPFooter2"/>
    </w:pPr>
    <w:r w:rsidRPr="004B506A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E17" w:rsidRPr="008F35E5" w:rsidRDefault="00775E17" w:rsidP="00414E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5E17" w:rsidRPr="004B506A" w:rsidRDefault="00775E17" w:rsidP="00E5541B">
    <w:pPr>
      <w:pStyle w:val="EPFooter"/>
    </w:pPr>
    <w:r w:rsidRPr="004B506A">
      <w:rPr>
        <w:rStyle w:val="HideTWBExt"/>
      </w:rPr>
      <w:t>&lt;PathFdR</w:t>
    </w:r>
    <w:proofErr w:type="gramStart"/>
    <w:r w:rsidRPr="004B506A">
      <w:rPr>
        <w:rStyle w:val="HideTWBExt"/>
      </w:rPr>
      <w:t>&gt;</w:t>
    </w:r>
    <w:r w:rsidRPr="004B506A">
      <w:t>RR</w:t>
    </w:r>
    <w:proofErr w:type="gramEnd"/>
    <w:r w:rsidRPr="004B506A">
      <w:t>\1298500HU.docx</w:t>
    </w:r>
    <w:r w:rsidRPr="004B506A">
      <w:rPr>
        <w:rStyle w:val="HideTWBExt"/>
      </w:rPr>
      <w:t>&lt;/</w:t>
    </w:r>
    <w:proofErr w:type="spellStart"/>
    <w:r w:rsidRPr="004B506A">
      <w:rPr>
        <w:rStyle w:val="HideTWBExt"/>
      </w:rPr>
      <w:t>PathFdR</w:t>
    </w:r>
    <w:proofErr w:type="spellEnd"/>
    <w:r w:rsidRPr="004B506A">
      <w:rPr>
        <w:rStyle w:val="HideTWBExt"/>
      </w:rPr>
      <w:t>&gt;</w:t>
    </w:r>
    <w:r w:rsidRPr="004B506A">
      <w:tab/>
    </w:r>
    <w:r w:rsidRPr="004B506A">
      <w:tab/>
      <w:t>PE</w:t>
    </w:r>
    <w:r w:rsidRPr="004B506A">
      <w:rPr>
        <w:rStyle w:val="HideTWBExt"/>
      </w:rPr>
      <w:t>&lt;</w:t>
    </w:r>
    <w:proofErr w:type="spellStart"/>
    <w:r w:rsidRPr="004B506A">
      <w:rPr>
        <w:rStyle w:val="HideTWBExt"/>
      </w:rPr>
      <w:t>NoPE</w:t>
    </w:r>
    <w:proofErr w:type="spellEnd"/>
    <w:r w:rsidRPr="004B506A">
      <w:rPr>
        <w:rStyle w:val="HideTWBExt"/>
      </w:rPr>
      <w:t>&gt;</w:t>
    </w:r>
    <w:r w:rsidRPr="004B506A">
      <w:t>753.481</w:t>
    </w:r>
    <w:r w:rsidRPr="004B506A">
      <w:rPr>
        <w:rStyle w:val="HideTWBExt"/>
      </w:rPr>
      <w:t>&lt;/</w:t>
    </w:r>
    <w:proofErr w:type="spellStart"/>
    <w:r w:rsidRPr="004B506A">
      <w:rPr>
        <w:rStyle w:val="HideTWBExt"/>
      </w:rPr>
      <w:t>NoPE</w:t>
    </w:r>
    <w:proofErr w:type="spellEnd"/>
    <w:r w:rsidRPr="004B506A">
      <w:rPr>
        <w:rStyle w:val="HideTWBExt"/>
      </w:rPr>
      <w:t>&gt;&lt;Version&gt;</w:t>
    </w:r>
    <w:r w:rsidRPr="004B506A">
      <w:t>v02-00</w:t>
    </w:r>
    <w:r w:rsidRPr="004B506A">
      <w:rPr>
        <w:rStyle w:val="HideTWBExt"/>
      </w:rPr>
      <w:t>&lt;/Version&gt;</w:t>
    </w:r>
  </w:p>
  <w:p w:rsidR="00775E17" w:rsidRPr="004B506A" w:rsidRDefault="00775E17" w:rsidP="00E5541B">
    <w:pPr>
      <w:pStyle w:val="EPFooter2"/>
    </w:pPr>
    <w:proofErr w:type="gramStart"/>
    <w:r w:rsidRPr="004B506A">
      <w:t>HU</w:t>
    </w:r>
    <w:proofErr w:type="gramEnd"/>
    <w:r w:rsidRPr="004B506A">
      <w:tab/>
    </w:r>
    <w:r w:rsidRPr="004B506A">
      <w:rPr>
        <w:b w:val="0"/>
        <w:i/>
        <w:color w:val="C0C0C0"/>
        <w:sz w:val="22"/>
      </w:rPr>
      <w:t>Egyesülve a sokféleségben</w:t>
    </w:r>
    <w:r w:rsidRPr="004B506A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506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F35E5" w:rsidRDefault="00064002" w:rsidP="00414ED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50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746" w:rsidRPr="004B506A" w:rsidRDefault="00D53746">
      <w:r w:rsidRPr="004B506A">
        <w:separator/>
      </w:r>
    </w:p>
  </w:footnote>
  <w:footnote w:type="continuationSeparator" w:id="0">
    <w:p w:rsidR="00D53746" w:rsidRPr="004B506A" w:rsidRDefault="00D53746">
      <w:r w:rsidRPr="004B506A">
        <w:continuationSeparator/>
      </w:r>
    </w:p>
  </w:footnote>
  <w:footnote w:id="1">
    <w:p w:rsidR="00775E17" w:rsidRPr="004B506A" w:rsidRDefault="00775E17" w:rsidP="004B506A">
      <w:pPr>
        <w:pStyle w:val="FootnoteText"/>
        <w:ind w:left="567" w:hanging="567"/>
        <w:rPr>
          <w:sz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L 45., 2022.2.24.</w:t>
      </w:r>
    </w:p>
  </w:footnote>
  <w:footnote w:id="2">
    <w:p w:rsidR="00775E17" w:rsidRPr="004B506A" w:rsidRDefault="00775E17" w:rsidP="004B506A">
      <w:pPr>
        <w:pStyle w:val="FootnoteText"/>
        <w:ind w:left="567" w:hanging="567"/>
        <w:rPr>
          <w:sz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C, C/2023/2, 2023.10.12.</w:t>
      </w:r>
    </w:p>
  </w:footnote>
  <w:footnote w:id="3">
    <w:p w:rsidR="00775E17" w:rsidRPr="004B506A" w:rsidRDefault="00775E17" w:rsidP="004B506A">
      <w:pPr>
        <w:pStyle w:val="FootnoteText"/>
        <w:ind w:left="567" w:hanging="567"/>
        <w:rPr>
          <w:sz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C, C/2023/103, 2023.10.4.</w:t>
      </w:r>
    </w:p>
  </w:footnote>
  <w:footnote w:id="4">
    <w:p w:rsidR="00775E17" w:rsidRPr="004B506A" w:rsidRDefault="00775E17" w:rsidP="004B506A">
      <w:pPr>
        <w:pStyle w:val="FootnoteText"/>
        <w:ind w:left="567" w:hanging="567"/>
        <w:rPr>
          <w:sz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C, C/2023/112, 2023.10.12.</w:t>
      </w:r>
    </w:p>
  </w:footnote>
  <w:footnote w:id="5">
    <w:p w:rsidR="00775E17" w:rsidRPr="004B506A" w:rsidRDefault="00775E17" w:rsidP="004B506A">
      <w:pPr>
        <w:pStyle w:val="FootnoteText"/>
        <w:ind w:left="567" w:hanging="567"/>
        <w:rPr>
          <w:sz w:val="24"/>
          <w:szCs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L 193., 2018.7.30</w:t>
      </w:r>
      <w:proofErr w:type="gramStart"/>
      <w:r w:rsidR="008F35E5">
        <w:rPr>
          <w:sz w:val="24"/>
          <w:lang w:val="hu-HU"/>
        </w:rPr>
        <w:t>.</w:t>
      </w:r>
      <w:r w:rsidRPr="004B506A">
        <w:rPr>
          <w:sz w:val="24"/>
          <w:lang w:val="hu-HU"/>
        </w:rPr>
        <w:t>,</w:t>
      </w:r>
      <w:proofErr w:type="gramEnd"/>
      <w:r w:rsidRPr="004B506A">
        <w:rPr>
          <w:sz w:val="24"/>
          <w:lang w:val="hu-HU"/>
        </w:rPr>
        <w:t xml:space="preserve"> 1. o.</w:t>
      </w:r>
    </w:p>
  </w:footnote>
  <w:footnote w:id="6">
    <w:p w:rsidR="00775E17" w:rsidRPr="004B506A" w:rsidRDefault="00775E17" w:rsidP="004B506A">
      <w:pPr>
        <w:pStyle w:val="FootnoteText"/>
        <w:ind w:left="567" w:hanging="567"/>
        <w:rPr>
          <w:sz w:val="24"/>
          <w:lang w:val="hu-HU"/>
        </w:rPr>
      </w:pPr>
      <w:r w:rsidRPr="004B506A">
        <w:rPr>
          <w:rStyle w:val="FootnoteReference"/>
          <w:sz w:val="24"/>
          <w:lang w:val="hu-HU"/>
        </w:rPr>
        <w:footnoteRef/>
      </w:r>
      <w:r w:rsidR="004B506A" w:rsidRPr="004B506A">
        <w:rPr>
          <w:sz w:val="24"/>
          <w:lang w:val="hu-HU"/>
        </w:rPr>
        <w:t xml:space="preserve"> </w:t>
      </w:r>
      <w:r w:rsidR="004B506A" w:rsidRPr="004B506A">
        <w:rPr>
          <w:sz w:val="24"/>
          <w:lang w:val="hu-HU"/>
        </w:rPr>
        <w:tab/>
      </w:r>
      <w:r w:rsidRPr="004B506A">
        <w:rPr>
          <w:sz w:val="24"/>
          <w:lang w:val="hu-HU"/>
        </w:rPr>
        <w:t>HL L 207., 2021.6.11</w:t>
      </w:r>
      <w:proofErr w:type="gramStart"/>
      <w:r w:rsidR="008F35E5">
        <w:rPr>
          <w:sz w:val="24"/>
          <w:lang w:val="hu-HU"/>
        </w:rPr>
        <w:t>.</w:t>
      </w:r>
      <w:r w:rsidRPr="004B506A">
        <w:rPr>
          <w:sz w:val="24"/>
          <w:lang w:val="hu-HU"/>
        </w:rPr>
        <w:t>,</w:t>
      </w:r>
      <w:proofErr w:type="gramEnd"/>
      <w:r w:rsidRPr="004B506A">
        <w:rPr>
          <w:sz w:val="24"/>
          <w:lang w:val="hu-HU"/>
        </w:rPr>
        <w:t xml:space="preserve"> 1. 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50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50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B50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4/2024"/>
    <w:docVar w:name="dvlangue" w:val="HU"/>
    <w:docVar w:name="dvnumam" w:val="0"/>
    <w:docVar w:name="dvpe" w:val="753.481"/>
    <w:docVar w:name="dvrapporteur" w:val="Előadó: "/>
    <w:docVar w:name="dvtitre" w:val="Az Európai Parlament 2024.  ...-i határozata az Európai Unió 2022. pénzügyi évre szóló általános költségvetésének végrehajtására vonatkozó mentesítésről, V. szakasz – Számvevőszék(2023/2133(DEC))"/>
  </w:docVars>
  <w:rsids>
    <w:rsidRoot w:val="00D53746"/>
    <w:rsid w:val="00002272"/>
    <w:rsid w:val="0001438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2827"/>
    <w:rsid w:val="00343214"/>
    <w:rsid w:val="00361C00"/>
    <w:rsid w:val="00395FA1"/>
    <w:rsid w:val="003E15D4"/>
    <w:rsid w:val="00411CCE"/>
    <w:rsid w:val="00414ED0"/>
    <w:rsid w:val="0041666E"/>
    <w:rsid w:val="00421060"/>
    <w:rsid w:val="00471C19"/>
    <w:rsid w:val="0047767E"/>
    <w:rsid w:val="004867E3"/>
    <w:rsid w:val="00494A28"/>
    <w:rsid w:val="004B506A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E17"/>
    <w:rsid w:val="007835B2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F20"/>
    <w:rsid w:val="008F35E5"/>
    <w:rsid w:val="00930C23"/>
    <w:rsid w:val="0093193B"/>
    <w:rsid w:val="009509D8"/>
    <w:rsid w:val="00950B64"/>
    <w:rsid w:val="00981893"/>
    <w:rsid w:val="00987B3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374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0E531-2F01-4A7D-838C-EF7A6B76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75E1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75E17"/>
    <w:pPr>
      <w:spacing w:before="480" w:after="240"/>
    </w:pPr>
  </w:style>
  <w:style w:type="paragraph" w:customStyle="1" w:styleId="PageHeading">
    <w:name w:val="PageHeading"/>
    <w:basedOn w:val="Normal"/>
    <w:rsid w:val="00775E1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775E17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775E1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75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5E17"/>
    <w:rPr>
      <w:sz w:val="24"/>
      <w:lang w:val="hu-HU"/>
    </w:rPr>
  </w:style>
  <w:style w:type="paragraph" w:customStyle="1" w:styleId="EPFooter">
    <w:name w:val="EPFooter"/>
    <w:basedOn w:val="Normal"/>
    <w:rsid w:val="00775E1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775E17"/>
    <w:rPr>
      <w:sz w:val="24"/>
      <w:lang w:val="hu-HU"/>
    </w:rPr>
  </w:style>
  <w:style w:type="paragraph" w:styleId="Footer">
    <w:name w:val="footer"/>
    <w:basedOn w:val="Normal"/>
    <w:link w:val="FooterChar"/>
    <w:rsid w:val="008F35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F35E5"/>
    <w:rPr>
      <w:sz w:val="24"/>
      <w:lang w:val="hu-HU"/>
    </w:rPr>
  </w:style>
  <w:style w:type="paragraph" w:styleId="BalloonText">
    <w:name w:val="Balloon Text"/>
    <w:basedOn w:val="Normal"/>
    <w:link w:val="BalloonTextChar"/>
    <w:rsid w:val="00987B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7B37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5C873-3FB4-4279-AA7C-79445D568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4696</Words>
  <Characters>33843</Characters>
  <Application>Microsoft Office Word</Application>
  <DocSecurity>0</DocSecurity>
  <Lines>282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ILLY_D_relec</cp:lastModifiedBy>
  <cp:revision>2</cp:revision>
  <cp:lastPrinted>2004-11-19T15:42:00Z</cp:lastPrinted>
  <dcterms:created xsi:type="dcterms:W3CDTF">2024-04-11T13:56:00Z</dcterms:created>
  <dcterms:modified xsi:type="dcterms:W3CDTF">2024-04-11T13:56:00Z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A9-0074/2024</vt:lpwstr>
  </property>
  <property fmtid="{D5CDD505-2E9C-101B-9397-08002B2CF9AE}" pid="4" name="&lt;Type&gt;">
    <vt:lpwstr>RR</vt:lpwstr>
  </property>
</Properties>
</file>