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463A" w:rsidTr="0010095E">
        <w:trPr>
          <w:trHeight w:hRule="exact" w:val="1418"/>
        </w:trPr>
        <w:tc>
          <w:tcPr>
            <w:tcW w:w="6804" w:type="dxa"/>
            <w:shd w:val="clear" w:color="auto" w:fill="auto"/>
            <w:vAlign w:val="center"/>
          </w:tcPr>
          <w:p w:rsidR="00751A4A" w:rsidRPr="0030463A" w:rsidRDefault="00F94702" w:rsidP="0010095E">
            <w:pPr>
              <w:pStyle w:val="EPName"/>
            </w:pPr>
            <w:r w:rsidRPr="0030463A">
              <w:t>Europos Parlamentas</w:t>
            </w:r>
          </w:p>
          <w:p w:rsidR="00751A4A" w:rsidRPr="0030463A" w:rsidRDefault="00817416" w:rsidP="00756632">
            <w:pPr>
              <w:pStyle w:val="EPTerm"/>
              <w:rPr>
                <w:rStyle w:val="HideTWBExt"/>
                <w:noProof w:val="0"/>
                <w:vanish w:val="0"/>
                <w:color w:val="auto"/>
              </w:rPr>
            </w:pPr>
            <w:r w:rsidRPr="0030463A">
              <w:t>2019-2024</w:t>
            </w:r>
          </w:p>
        </w:tc>
        <w:tc>
          <w:tcPr>
            <w:tcW w:w="2268" w:type="dxa"/>
            <w:shd w:val="clear" w:color="auto" w:fill="auto"/>
          </w:tcPr>
          <w:p w:rsidR="00751A4A" w:rsidRPr="0030463A" w:rsidRDefault="00187494" w:rsidP="0010095E">
            <w:pPr>
              <w:pStyle w:val="EPLogo"/>
            </w:pPr>
            <w:r w:rsidRPr="0030463A">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463A" w:rsidRDefault="00D058B8" w:rsidP="004C5D52">
      <w:pPr>
        <w:pStyle w:val="LineTop"/>
      </w:pPr>
    </w:p>
    <w:p w:rsidR="00680577" w:rsidRPr="0030463A" w:rsidRDefault="00F94702" w:rsidP="00680577">
      <w:pPr>
        <w:pStyle w:val="EPBodyTA1"/>
      </w:pPr>
      <w:r w:rsidRPr="0030463A">
        <w:t>PRIIMTI TEKSTAI</w:t>
      </w:r>
    </w:p>
    <w:p w:rsidR="00D058B8" w:rsidRPr="0030463A" w:rsidRDefault="00D058B8" w:rsidP="00D058B8">
      <w:pPr>
        <w:pStyle w:val="LineBottom"/>
      </w:pPr>
    </w:p>
    <w:p w:rsidR="00F94702" w:rsidRPr="0030463A" w:rsidRDefault="00F94702" w:rsidP="00F94702">
      <w:pPr>
        <w:pStyle w:val="ATHeading1"/>
      </w:pPr>
      <w:bookmarkStart w:id="0" w:name="TANumber"/>
      <w:r w:rsidRPr="0030463A">
        <w:t>P9_TA(2024)0</w:t>
      </w:r>
      <w:r w:rsidR="00C14196">
        <w:t>231</w:t>
      </w:r>
      <w:bookmarkEnd w:id="0"/>
    </w:p>
    <w:p w:rsidR="00F94702" w:rsidRPr="0030463A" w:rsidRDefault="00F94702" w:rsidP="00F94702">
      <w:pPr>
        <w:pStyle w:val="ATHeading2"/>
      </w:pPr>
      <w:bookmarkStart w:id="1" w:name="title"/>
      <w:r w:rsidRPr="0030463A">
        <w:t>2022 m. biudžeto įvykdymo patvirtinimas: ES bendrasis biudžetas – Audito Rūmai</w:t>
      </w:r>
      <w:bookmarkEnd w:id="1"/>
    </w:p>
    <w:p w:rsidR="00F94702" w:rsidRPr="0030463A" w:rsidRDefault="00F94702" w:rsidP="00F94702">
      <w:pPr>
        <w:rPr>
          <w:i/>
          <w:vanish/>
        </w:rPr>
      </w:pPr>
      <w:r w:rsidRPr="0030463A">
        <w:rPr>
          <w:i/>
        </w:rPr>
        <w:fldChar w:fldCharType="begin"/>
      </w:r>
      <w:r w:rsidRPr="0030463A">
        <w:rPr>
          <w:i/>
        </w:rPr>
        <w:instrText xml:space="preserve"> TC"(</w:instrText>
      </w:r>
      <w:bookmarkStart w:id="2" w:name="DocNumber"/>
      <w:r w:rsidRPr="0030463A">
        <w:rPr>
          <w:i/>
        </w:rPr>
        <w:instrText>A9-0074/2024</w:instrText>
      </w:r>
      <w:bookmarkEnd w:id="2"/>
      <w:r w:rsidRPr="0030463A">
        <w:rPr>
          <w:i/>
        </w:rPr>
        <w:instrText xml:space="preserve"> - Pranešėjas: Luke </w:instrText>
      </w:r>
      <w:proofErr w:type="spellStart"/>
      <w:r w:rsidRPr="0030463A">
        <w:rPr>
          <w:i/>
        </w:rPr>
        <w:instrText>Ming</w:instrText>
      </w:r>
      <w:proofErr w:type="spellEnd"/>
      <w:r w:rsidRPr="0030463A">
        <w:rPr>
          <w:i/>
        </w:rPr>
        <w:instrText xml:space="preserve"> </w:instrText>
      </w:r>
      <w:proofErr w:type="spellStart"/>
      <w:r w:rsidRPr="0030463A">
        <w:rPr>
          <w:i/>
        </w:rPr>
        <w:instrText>Flanagan</w:instrText>
      </w:r>
      <w:proofErr w:type="spellEnd"/>
      <w:r w:rsidRPr="0030463A">
        <w:rPr>
          <w:i/>
        </w:rPr>
        <w:instrText xml:space="preserve">)"\l3 \n&gt; \* MERGEFORMAT </w:instrText>
      </w:r>
      <w:r w:rsidRPr="0030463A">
        <w:rPr>
          <w:i/>
        </w:rPr>
        <w:fldChar w:fldCharType="end"/>
      </w:r>
    </w:p>
    <w:p w:rsidR="00F94702" w:rsidRPr="0030463A" w:rsidRDefault="00F94702" w:rsidP="00F94702">
      <w:pPr>
        <w:rPr>
          <w:vanish/>
        </w:rPr>
      </w:pPr>
      <w:bookmarkStart w:id="3" w:name="Commission"/>
      <w:r w:rsidRPr="0030463A">
        <w:rPr>
          <w:vanish/>
        </w:rPr>
        <w:t>Biudžeto kontrolės komitetas</w:t>
      </w:r>
      <w:bookmarkEnd w:id="3"/>
    </w:p>
    <w:p w:rsidR="00F94702" w:rsidRPr="0030463A" w:rsidRDefault="00F94702" w:rsidP="00F94702">
      <w:pPr>
        <w:rPr>
          <w:vanish/>
        </w:rPr>
      </w:pPr>
      <w:bookmarkStart w:id="4" w:name="PE"/>
      <w:r w:rsidRPr="0030463A">
        <w:rPr>
          <w:vanish/>
        </w:rPr>
        <w:t>PE753.481</w:t>
      </w:r>
      <w:bookmarkEnd w:id="4"/>
    </w:p>
    <w:p w:rsidR="00F94702" w:rsidRPr="0030463A" w:rsidRDefault="0025540F" w:rsidP="0025540F">
      <w:pPr>
        <w:pStyle w:val="ATHeading3"/>
      </w:pPr>
      <w:bookmarkStart w:id="5" w:name="Sujet"/>
      <w:r>
        <w:t xml:space="preserve">1. 2024 m. balandžio 11 d. </w:t>
      </w:r>
      <w:r w:rsidR="00F94702" w:rsidRPr="0030463A">
        <w:t>Europos Parlamento sprendimas dėl 2022 finansinių metų Europos Sąjungos bendrojo biudžeto įvykdymo patvirtinimo, V skirsnis – Audito Rūmai</w:t>
      </w:r>
      <w:bookmarkEnd w:id="5"/>
      <w:r w:rsidR="00F94702" w:rsidRPr="0030463A">
        <w:t xml:space="preserve"> </w:t>
      </w:r>
      <w:bookmarkStart w:id="6" w:name="References"/>
      <w:r w:rsidR="00F94702" w:rsidRPr="0030463A">
        <w:t>(2023/2133(DEC))</w:t>
      </w:r>
      <w:bookmarkEnd w:id="6"/>
    </w:p>
    <w:p w:rsidR="000317A2" w:rsidRPr="0030463A" w:rsidRDefault="000317A2" w:rsidP="000317A2">
      <w:pPr>
        <w:pStyle w:val="EPComma"/>
      </w:pPr>
      <w:bookmarkStart w:id="7" w:name="TextBodyBegin"/>
      <w:bookmarkEnd w:id="7"/>
      <w:r w:rsidRPr="0030463A">
        <w:rPr>
          <w:i/>
        </w:rPr>
        <w:t>Europos Parlamentas</w:t>
      </w:r>
      <w:r w:rsidRPr="0030463A">
        <w:t>,</w:t>
      </w:r>
    </w:p>
    <w:p w:rsidR="000317A2" w:rsidRPr="0030463A" w:rsidRDefault="000317A2" w:rsidP="000317A2">
      <w:pPr>
        <w:pStyle w:val="NormalHanging12a"/>
      </w:pPr>
      <w:r w:rsidRPr="0030463A">
        <w:t>–</w:t>
      </w:r>
      <w:r w:rsidRPr="0030463A">
        <w:tab/>
        <w:t>atsižvelgdamas į 2022 finansinių metų Europos Sąjungos bendrąjį biudžetą</w:t>
      </w:r>
      <w:r w:rsidRPr="0030463A">
        <w:rPr>
          <w:rStyle w:val="FootnoteReference"/>
        </w:rPr>
        <w:footnoteReference w:id="1"/>
      </w:r>
      <w:r w:rsidRPr="0030463A">
        <w:t>,</w:t>
      </w:r>
    </w:p>
    <w:p w:rsidR="000317A2" w:rsidRPr="0030463A" w:rsidRDefault="000317A2" w:rsidP="000317A2">
      <w:pPr>
        <w:pStyle w:val="NormalHanging12a"/>
      </w:pPr>
      <w:r w:rsidRPr="0030463A">
        <w:t>–</w:t>
      </w:r>
      <w:r w:rsidRPr="0030463A">
        <w:tab/>
        <w:t>atsižvelgdamas į 2022 finansinių metų Europos Sąjungos konsoliduotąsias metines ataskaitas (COM(2023)0391 – C9-0252/2023)</w:t>
      </w:r>
      <w:r w:rsidRPr="0030463A">
        <w:rPr>
          <w:rStyle w:val="FootnoteReference"/>
        </w:rPr>
        <w:footnoteReference w:id="2"/>
      </w:r>
      <w:r w:rsidRPr="0030463A">
        <w:t>,</w:t>
      </w:r>
    </w:p>
    <w:p w:rsidR="000317A2" w:rsidRPr="0030463A" w:rsidRDefault="000317A2" w:rsidP="000317A2">
      <w:pPr>
        <w:pStyle w:val="NormalHanging12a"/>
      </w:pPr>
      <w:r w:rsidRPr="0030463A">
        <w:t>–</w:t>
      </w:r>
      <w:r w:rsidRPr="0030463A">
        <w:tab/>
        <w:t>atsižvelgdamas į Audito Rūmų metinę 2022 m. atlikto vidaus audito ataskaitą biudžeto įvykdymą tvirtinančiai institucijai,</w:t>
      </w:r>
    </w:p>
    <w:p w:rsidR="000317A2" w:rsidRPr="0030463A" w:rsidRDefault="000317A2" w:rsidP="000317A2">
      <w:pPr>
        <w:pStyle w:val="NormalHanging12a"/>
      </w:pPr>
      <w:r w:rsidRPr="0030463A">
        <w:t>–</w:t>
      </w:r>
      <w:r w:rsidRPr="0030463A">
        <w:tab/>
        <w:t>atsižvelgdamas į Audito Rūmų 2022 finansinių metų metinę biudžeto vykdymo ataskaitą kartu su institucijų atsakymais</w:t>
      </w:r>
      <w:r w:rsidRPr="0030463A">
        <w:rPr>
          <w:rStyle w:val="FootnoteReference"/>
        </w:rPr>
        <w:footnoteReference w:id="3"/>
      </w:r>
      <w:r w:rsidRPr="0030463A">
        <w:t>,</w:t>
      </w:r>
    </w:p>
    <w:p w:rsidR="000317A2" w:rsidRPr="0030463A" w:rsidRDefault="000317A2" w:rsidP="000317A2">
      <w:pPr>
        <w:pStyle w:val="NormalHanging12a"/>
      </w:pPr>
      <w:r w:rsidRPr="0030463A">
        <w:t>–</w:t>
      </w:r>
      <w:r w:rsidRPr="0030463A">
        <w:tab/>
        <w:t>atsižvelgdamas į Audito Rūmų pagal Sutarties dėl Europos Sąjungos veikimo 287 straipsnį pateiktą 2022 finansinių metų sąskaitų patikimumo ir pagal jas atliktų operacijų teisėtumo ir tvarkingumo patikinimo pareiškimą</w:t>
      </w:r>
      <w:r w:rsidRPr="0030463A">
        <w:rPr>
          <w:rStyle w:val="FootnoteReference"/>
        </w:rPr>
        <w:footnoteReference w:id="4"/>
      </w:r>
      <w:r w:rsidRPr="0030463A">
        <w:t>,</w:t>
      </w:r>
    </w:p>
    <w:p w:rsidR="000317A2" w:rsidRPr="0030463A" w:rsidRDefault="000317A2" w:rsidP="000317A2">
      <w:pPr>
        <w:pStyle w:val="NormalHanging12a"/>
      </w:pPr>
      <w:r w:rsidRPr="0030463A">
        <w:t>–</w:t>
      </w:r>
      <w:r w:rsidRPr="0030463A">
        <w:tab/>
        <w:t>atsižvelgdamas į Sutarties dėl Europos Sąjungos veikimo 314 straipsnio 10 dalį ir 317, 318 ir 319 straipsnius,</w:t>
      </w:r>
    </w:p>
    <w:p w:rsidR="000317A2" w:rsidRPr="0030463A" w:rsidRDefault="000317A2" w:rsidP="000317A2">
      <w:pPr>
        <w:pStyle w:val="NormalHanging12a"/>
      </w:pPr>
      <w:r w:rsidRPr="0030463A">
        <w:t>–</w:t>
      </w:r>
      <w:r w:rsidRPr="0030463A">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w:t>
      </w:r>
      <w:r w:rsidRPr="0030463A">
        <w:lastRenderedPageBreak/>
        <w:t>panaikinamas Reglamentas (ES, Euratomas) Nr. 966/2012</w:t>
      </w:r>
      <w:r w:rsidRPr="0030463A">
        <w:rPr>
          <w:rStyle w:val="FootnoteReference"/>
        </w:rPr>
        <w:footnoteReference w:id="5"/>
      </w:r>
      <w:r w:rsidRPr="0030463A">
        <w:t>, ypač į jo 59, 118, 260, 261 ir 262 straipsnius,</w:t>
      </w:r>
    </w:p>
    <w:p w:rsidR="000317A2" w:rsidRPr="0030463A" w:rsidRDefault="000317A2" w:rsidP="000317A2">
      <w:pPr>
        <w:pStyle w:val="NormalHanging12a"/>
      </w:pPr>
      <w:r w:rsidRPr="0030463A">
        <w:t>–</w:t>
      </w:r>
      <w:r w:rsidRPr="0030463A">
        <w:tab/>
        <w:t>atsižvelgdamas į Darbo tvarkos taisyklių 100 straipsnį ir V priedą,</w:t>
      </w:r>
    </w:p>
    <w:p w:rsidR="000317A2" w:rsidRPr="0030463A" w:rsidRDefault="000317A2" w:rsidP="000317A2">
      <w:pPr>
        <w:pStyle w:val="NormalHanging12a"/>
      </w:pPr>
      <w:r w:rsidRPr="0030463A">
        <w:t>–</w:t>
      </w:r>
      <w:r w:rsidRPr="0030463A">
        <w:tab/>
        <w:t>atsižvelgdamas į Biudžeto kontrolės komiteto pranešimą (A9-0074/2024),</w:t>
      </w:r>
    </w:p>
    <w:p w:rsidR="000317A2" w:rsidRPr="0030463A" w:rsidRDefault="000317A2" w:rsidP="000317A2">
      <w:pPr>
        <w:pStyle w:val="NormalHanging12a"/>
      </w:pPr>
      <w:r w:rsidRPr="0030463A">
        <w:t>1.</w:t>
      </w:r>
      <w:r w:rsidRPr="0030463A">
        <w:tab/>
        <w:t>patvirtina Audito Rūmų generaliniam sekretoriui, kad Audito Rūmų 2022 finansinių metų biudžetas įvykdytas;</w:t>
      </w:r>
    </w:p>
    <w:p w:rsidR="000317A2" w:rsidRPr="0030463A" w:rsidRDefault="000317A2" w:rsidP="000317A2">
      <w:pPr>
        <w:pStyle w:val="NormalHanging12a"/>
      </w:pPr>
      <w:r w:rsidRPr="0030463A">
        <w:t>2.</w:t>
      </w:r>
      <w:r w:rsidRPr="0030463A">
        <w:tab/>
        <w:t>išdėsto savo pastabas toliau pateikiamoje rezoliucijoje;</w:t>
      </w:r>
    </w:p>
    <w:p w:rsidR="000317A2" w:rsidRPr="0030463A" w:rsidRDefault="000317A2" w:rsidP="000317A2">
      <w:pPr>
        <w:pStyle w:val="NormalHanging12a"/>
      </w:pPr>
      <w:r w:rsidRPr="0030463A">
        <w:t>3.</w:t>
      </w:r>
      <w:r w:rsidRPr="0030463A">
        <w:tab/>
        <w:t xml:space="preserve">paveda Pirmininkei perduoti šį sprendimą ir rezoliuciją, kuri yra neatskiriama jo dalis, Tarybai, Komisijai ir Audito Rūmams ir pasirūpinti, kad jie būtų paskelbti </w:t>
      </w:r>
      <w:r w:rsidRPr="0030463A">
        <w:rPr>
          <w:i/>
          <w:iCs/>
        </w:rPr>
        <w:t>Europos Sąjungos oficialiajame leidinyje</w:t>
      </w:r>
      <w:r w:rsidRPr="0030463A">
        <w:t xml:space="preserve"> (L serijoje).</w:t>
      </w:r>
    </w:p>
    <w:p w:rsidR="000317A2" w:rsidRPr="0030463A" w:rsidRDefault="000317A2" w:rsidP="000317A2"/>
    <w:p w:rsidR="000317A2" w:rsidRPr="0030463A" w:rsidRDefault="000317A2" w:rsidP="000317A2">
      <w:pPr>
        <w:pStyle w:val="PageHeading"/>
        <w:sectPr w:rsidR="000317A2" w:rsidRPr="0030463A" w:rsidSect="0030463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317A2" w:rsidRPr="0030463A" w:rsidRDefault="0025540F" w:rsidP="0025540F">
      <w:pPr>
        <w:pStyle w:val="ATHeading3"/>
      </w:pPr>
      <w:r>
        <w:lastRenderedPageBreak/>
        <w:t xml:space="preserve">2. 2024 m. balandžio 11 d. </w:t>
      </w:r>
      <w:r w:rsidRPr="0030463A">
        <w:t xml:space="preserve">Europos Parlamento </w:t>
      </w:r>
      <w:r>
        <w:t xml:space="preserve">rezoliucija </w:t>
      </w:r>
      <w:r w:rsidR="000317A2" w:rsidRPr="0030463A">
        <w:t>su pastabomis, sudarančiomis neatskiriamą sprendimo dėl 2022 finansinių metų Europos Sąjungos bendrojo biudžeto įvykdymo patvirtinimo, V skirsnis – Audito Rūmai, dalį</w:t>
      </w:r>
      <w:r>
        <w:t xml:space="preserve"> </w:t>
      </w:r>
      <w:r w:rsidR="000317A2" w:rsidRPr="0030463A">
        <w:t>(2023/2133(DEC))</w:t>
      </w:r>
    </w:p>
    <w:p w:rsidR="000317A2" w:rsidRPr="0030463A" w:rsidRDefault="000317A2" w:rsidP="000317A2">
      <w:pPr>
        <w:pStyle w:val="EPComma"/>
      </w:pPr>
      <w:r w:rsidRPr="0030463A">
        <w:rPr>
          <w:i/>
        </w:rPr>
        <w:t>Europos Parlamentas</w:t>
      </w:r>
      <w:r w:rsidRPr="0030463A">
        <w:t>,</w:t>
      </w:r>
    </w:p>
    <w:p w:rsidR="000317A2" w:rsidRPr="0030463A" w:rsidRDefault="000317A2" w:rsidP="000317A2">
      <w:pPr>
        <w:pStyle w:val="NormalHanging12a"/>
        <w:rPr>
          <w:szCs w:val="24"/>
        </w:rPr>
      </w:pPr>
      <w:r w:rsidRPr="0030463A">
        <w:t>–</w:t>
      </w:r>
      <w:r w:rsidRPr="0030463A">
        <w:tab/>
        <w:t>atsižvelgdamas į savo sprendimą dėl 2022 finansinių metų Europos Sąjungos bendrojo biudžeto įvykdymo patvirtinimo, V skirsnis – Audito Rūmai,</w:t>
      </w:r>
    </w:p>
    <w:p w:rsidR="000317A2" w:rsidRPr="0030463A" w:rsidRDefault="000317A2" w:rsidP="000317A2">
      <w:pPr>
        <w:pStyle w:val="NormalHanging12a"/>
        <w:rPr>
          <w:szCs w:val="24"/>
        </w:rPr>
      </w:pPr>
      <w:r w:rsidRPr="0030463A">
        <w:t>–</w:t>
      </w:r>
      <w:r w:rsidRPr="0030463A">
        <w:tab/>
        <w:t>atsižvelgdamas į Darbo tvarkos taisyklių 100 straipsnį ir V priedą,</w:t>
      </w:r>
    </w:p>
    <w:p w:rsidR="000317A2" w:rsidRPr="0030463A" w:rsidRDefault="000317A2" w:rsidP="000317A2">
      <w:pPr>
        <w:pStyle w:val="NormalHanging12a"/>
        <w:rPr>
          <w:szCs w:val="24"/>
        </w:rPr>
      </w:pPr>
      <w:r w:rsidRPr="0030463A">
        <w:t>–</w:t>
      </w:r>
      <w:r w:rsidRPr="0030463A">
        <w:tab/>
        <w:t>atsižvelgdamas į Biudžeto kontrolės komiteto pranešimą (A9-0074/2024),</w:t>
      </w:r>
    </w:p>
    <w:p w:rsidR="000317A2" w:rsidRPr="0030463A" w:rsidRDefault="000317A2" w:rsidP="000317A2">
      <w:pPr>
        <w:pStyle w:val="NormalHanging12a"/>
        <w:rPr>
          <w:szCs w:val="24"/>
        </w:rPr>
      </w:pPr>
      <w:r w:rsidRPr="0030463A">
        <w:t>A.</w:t>
      </w:r>
      <w:r w:rsidRPr="0030463A">
        <w:tab/>
        <w:t>kadangi vykdant biudžeto įvykdymo patvirtinimo procedūrą biudžeto įvykdymą tvirtinanti institucija nori pabrėžti, jog ypač svarbu toliau stiprinti Sąjungos institucijų demokratinį teisėtumą didinant skaidrumą ir atskaitomybę, taip pat įgyvendinti rezultatais grindžiamo biudžeto sudarymo koncepciją ir užtikrinti gerą žmogiškųjų išteklių valdymą;</w:t>
      </w:r>
    </w:p>
    <w:p w:rsidR="000317A2" w:rsidRPr="0030463A" w:rsidRDefault="000317A2" w:rsidP="000317A2">
      <w:pPr>
        <w:pStyle w:val="NormalHanging12a"/>
        <w:rPr>
          <w:szCs w:val="24"/>
        </w:rPr>
      </w:pPr>
      <w:r w:rsidRPr="0030463A">
        <w:t>B.</w:t>
      </w:r>
      <w:r w:rsidRPr="0030463A">
        <w:tab/>
        <w:t>kadangi Europos Audito Rūmai (toliau – Audito Rūmai) yra Sąjungos išorės auditorius, kuriam patikėta atliekant nepriklausomą, profesionalų ir veiksmingą auditą įvertinti Sąjungos veiksmų ekonomiškumą, veiksmingumą, efektyvumą, teisėtumą ir tvarkingumą siekiant pagerinti atskaitomybę, skaidrumą ir finansų valdymą, taip didinant piliečių pasitikėjimą, taip pat veiksmingai reaguoti į dabartinius ir būsimus iššūkius, su kuriais susiduriama Sąjungoje;</w:t>
      </w:r>
    </w:p>
    <w:p w:rsidR="000317A2" w:rsidRPr="0030463A" w:rsidRDefault="000317A2" w:rsidP="000317A2">
      <w:pPr>
        <w:pStyle w:val="NormalHanging12a"/>
        <w:rPr>
          <w:szCs w:val="24"/>
        </w:rPr>
      </w:pPr>
      <w:r w:rsidRPr="0030463A">
        <w:t>C.</w:t>
      </w:r>
      <w:r w:rsidRPr="0030463A">
        <w:tab/>
        <w:t xml:space="preserve">kadangi, nepažeidžiant Sutarties dėl Europos Sąjungos veikimo (SESV) 287 ir 319 straipsnių nuostatų, nuo 1987 finansinių metų pabaigos Audito Rūmų pajamų ir išlaidų ataskaitų auditą kasmet atlieka nepriklausomas išorės auditorius, o nuo tada, kai parengta 1992 finansinių metų ataskaita, išorės auditoriaus ataskaitos skelbiamos </w:t>
      </w:r>
      <w:r w:rsidRPr="0030463A">
        <w:rPr>
          <w:i/>
          <w:iCs/>
        </w:rPr>
        <w:t>Europos Sąjungos oficialiajame leidinyje</w:t>
      </w:r>
      <w:r w:rsidRPr="0030463A">
        <w:t>;</w:t>
      </w:r>
    </w:p>
    <w:p w:rsidR="000317A2" w:rsidRPr="0030463A" w:rsidRDefault="000317A2" w:rsidP="000317A2">
      <w:pPr>
        <w:pStyle w:val="NormalHanging12a"/>
        <w:rPr>
          <w:szCs w:val="24"/>
        </w:rPr>
      </w:pPr>
      <w:r w:rsidRPr="0030463A">
        <w:t>D.</w:t>
      </w:r>
      <w:r w:rsidRPr="0030463A">
        <w:tab/>
        <w:t>kadangi vadovybės atskaitomybė biudžeto valdymo institucijoms išdėstoma Audito Rūmų generalinio sekretoriaus metinėje veiklos ataskaitoje, kurios tikslas pagal Finansinio reglamento 74 straipsnio 9 dalį – teikti informaciją apie išteklių valdymą, įskaitant sistemas, ir apie Audito Rūmų vidaus kontrolės sistemų efektyvumą ir veiksmingumą;</w:t>
      </w:r>
    </w:p>
    <w:p w:rsidR="000317A2" w:rsidRPr="0030463A" w:rsidRDefault="000317A2" w:rsidP="000317A2">
      <w:pPr>
        <w:pStyle w:val="NormalHanging12a"/>
        <w:rPr>
          <w:szCs w:val="24"/>
        </w:rPr>
      </w:pPr>
      <w:r w:rsidRPr="0030463A">
        <w:t>E.</w:t>
      </w:r>
      <w:r w:rsidRPr="0030463A">
        <w:tab/>
        <w:t>kadangi, atlikdami savo užduotis skaidriai ir nepriklausomai, Audito Rūmai prisideda prie demokratinės priežiūros, viešų diskusijų ir patikimo Sąjungos finansų valdymo;</w:t>
      </w:r>
    </w:p>
    <w:p w:rsidR="000317A2" w:rsidRPr="0030463A" w:rsidRDefault="000317A2" w:rsidP="000317A2">
      <w:pPr>
        <w:pStyle w:val="NormalHanging12a"/>
        <w:rPr>
          <w:szCs w:val="24"/>
        </w:rPr>
      </w:pPr>
      <w:r w:rsidRPr="0030463A">
        <w:t>F.</w:t>
      </w:r>
      <w:r w:rsidRPr="0030463A">
        <w:tab/>
        <w:t>kadangi Audito Rūmai laikosi pozicijos, jog siekiant įvertinti Sąjungos valdymą, jos atskaitomybę ir skaidrumą bei informacijos ir duomenų apie Sąjungos politikos įgyvendinimą kokybę ir patikimumą, geriausias sprendimas būtų įpareigoti Audito Rūmus vykdyti visų Sąjungos institucijų, įstaigų, organų ir agentūrų, įsteigtų pagal Sutartis, ir visų tarptautinių programų, kurios yra labai svarbios Sąjungos veikimui, auditą; kadangi Parlamentas šiuo požiūriu tvirtai remia Audito Rūmus ir palankiai vertintų bet kokią iniciatyvą, kuria Audito Rūmams būtų suteikiami platesni įgaliojimai;</w:t>
      </w:r>
    </w:p>
    <w:p w:rsidR="000317A2" w:rsidRPr="0030463A" w:rsidRDefault="000317A2" w:rsidP="000317A2">
      <w:pPr>
        <w:pStyle w:val="NormalHanging12a"/>
        <w:rPr>
          <w:szCs w:val="24"/>
        </w:rPr>
      </w:pPr>
      <w:r w:rsidRPr="0030463A">
        <w:t>1.</w:t>
      </w:r>
      <w:r w:rsidRPr="0030463A">
        <w:tab/>
        <w:t xml:space="preserve">pažymi, kad Audito Rūmų biudžetas patenka į DFP 7 išlaidų kategoriją „Europos </w:t>
      </w:r>
      <w:r w:rsidRPr="0030463A">
        <w:lastRenderedPageBreak/>
        <w:t>viešasis administravimas“, kurią 2022 m. sudarė 11,6 mlrd. EUR (t. y. 5,9 proc. viso Sąjungos biudžeto); pažymi, kad 2022 m. maždaug 0,2 mlrd. EUR Audito Rūmų biudžetas sudarė apie 1,4 proc. visų administracinių išlaidų;</w:t>
      </w:r>
    </w:p>
    <w:p w:rsidR="000317A2" w:rsidRPr="0030463A" w:rsidRDefault="000317A2" w:rsidP="000317A2">
      <w:pPr>
        <w:pStyle w:val="NormalHanging12a"/>
        <w:rPr>
          <w:szCs w:val="24"/>
        </w:rPr>
      </w:pPr>
      <w:r w:rsidRPr="0030463A">
        <w:t>2.</w:t>
      </w:r>
      <w:r w:rsidRPr="0030463A">
        <w:tab/>
        <w:t>pažymi, kad Audito Rūmai savo 2022 finansinių metų metinėje ataskaitoje išanalizavo 60 administravimo srities operacijų imtį – tiek pat kiek 2021 m.; taip pat pažymi, kad Audito Rūmai rašo, jog administracines išlaidas sudaro išlaidos žmogiškiesiems ištekliams, įskaitant išlaidas pensijoms, kurios 2022 m. sudarė apie 70 proc. visų administracinių išlaidų, taip pat išlaidos pastatams, įrangai, energijai, ryšių ir informacinėms technologijoms, ir kad jų daugelio metų darbo patirtis rodo, jog apskritai šios išlaidos yra nedidelės rizikos išlaidos;</w:t>
      </w:r>
    </w:p>
    <w:p w:rsidR="000317A2" w:rsidRPr="00F9072B" w:rsidRDefault="000317A2" w:rsidP="000317A2">
      <w:pPr>
        <w:pStyle w:val="NormalHanging12a"/>
        <w:rPr>
          <w:szCs w:val="24"/>
        </w:rPr>
      </w:pPr>
      <w:r w:rsidRPr="0030463A">
        <w:t>3.</w:t>
      </w:r>
      <w:r w:rsidRPr="0030463A">
        <w:tab/>
      </w:r>
      <w:r w:rsidR="00C14196" w:rsidRPr="008D49D1">
        <w:t>ragina Audito Rūmus padidinti su administravimu susijusių operacijų, kurios turi būti analizuojamos visose audituojamose institucijose, skaičių, kad Parlamentas galėtų geriau atlikti savo, kaip kitų institucijų biudžeto įvykdymą tvirtinančios institucijos, vaidmenį;</w:t>
      </w:r>
      <w:bookmarkStart w:id="8" w:name="_GoBack"/>
      <w:r w:rsidR="00C14196" w:rsidRPr="00F9072B">
        <w:t xml:space="preserve"> apgailestauja dėl to, kad buvo persvarstytas planas parengti specialiąją ataskaitą dėl kitų nei Komisija institucijų administracinių išlaidų, vietoj jos nuspręsta atlikti ES viešosios tarnybos auditą, kuriame tikriausiai bus nagrinėjama tik nedidelė administracinių išlaidų dalis; pakartoja, kad svarbu atlikti išsamesnį administracinių išlaidų nagrinėjimą, ir pakartoja savo raginimą į jų darbą įtraukti išsamius duomenis apie visas institucijas, kad būtų sukurtas nuoseklus pagrindas nuosekliai biudžeto įvykdymo patvirtinimo procedūrai</w:t>
      </w:r>
      <w:r w:rsidRPr="00F9072B">
        <w:t>;</w:t>
      </w:r>
    </w:p>
    <w:bookmarkEnd w:id="8"/>
    <w:p w:rsidR="000317A2" w:rsidRPr="0030463A" w:rsidRDefault="000317A2" w:rsidP="000317A2">
      <w:pPr>
        <w:pStyle w:val="NormalHanging12a"/>
        <w:rPr>
          <w:szCs w:val="24"/>
        </w:rPr>
      </w:pPr>
      <w:r w:rsidRPr="0030463A">
        <w:t>4.</w:t>
      </w:r>
      <w:r w:rsidRPr="0030463A">
        <w:tab/>
        <w:t>pažymi, kad Audito Rūmų metinių ataskaitų auditą atlieka nepriklausomas išorės auditorius, siekiant, kad Audito Rūmams būtų taikomi tokie patys skaidrumo, atskaitomybės ir nepriklausomumo principai, kokius Audito Rūmai taiko savo audituojamiems subjektams; džiaugdamasis pažymi, kad atlikęs Audito Rūmų auditą išorės auditorius nenurodė jokių konkrečių problemų;</w:t>
      </w:r>
    </w:p>
    <w:p w:rsidR="000317A2" w:rsidRPr="0030463A" w:rsidRDefault="000317A2" w:rsidP="000317A2">
      <w:pPr>
        <w:pStyle w:val="NormalHanging12a"/>
        <w:rPr>
          <w:b/>
          <w:szCs w:val="24"/>
        </w:rPr>
      </w:pPr>
      <w:r w:rsidRPr="0030463A">
        <w:rPr>
          <w:b/>
        </w:rPr>
        <w:t>Biudžeto ir finansų valdymas</w:t>
      </w:r>
    </w:p>
    <w:p w:rsidR="000317A2" w:rsidRPr="0030463A" w:rsidRDefault="000317A2" w:rsidP="000317A2">
      <w:pPr>
        <w:pStyle w:val="NormalHanging12a"/>
        <w:rPr>
          <w:szCs w:val="24"/>
        </w:rPr>
      </w:pPr>
      <w:r w:rsidRPr="0030463A">
        <w:t>5.</w:t>
      </w:r>
      <w:r w:rsidRPr="0030463A">
        <w:tab/>
        <w:t>pažymi, kad bendras Audito Rūmų 2022 m. biudžetas sudarė 162 141 175 EUR, t. y. jis buvo 5,5 proc. didesnis, palyginti su 153 721 727 EUR 2021 m.; pažymi, kad padidėjimą visų pirma lėmė atlyginimų koregavimas ir 20 naujų laikinų etatų, susijusių su priemone „</w:t>
      </w:r>
      <w:proofErr w:type="spellStart"/>
      <w:r w:rsidRPr="0030463A">
        <w:t>NextGenerationEU</w:t>
      </w:r>
      <w:proofErr w:type="spellEnd"/>
      <w:r w:rsidRPr="0030463A">
        <w:t>“; pažymi, kad 2022 m. 90 proc. asignavimų buvo skirta Audito Rūmų nariams ir darbuotojams, o 10 proc. pastatams, įrangai ir įvairioms išlaidoms;</w:t>
      </w:r>
    </w:p>
    <w:p w:rsidR="000317A2" w:rsidRPr="0030463A" w:rsidRDefault="000317A2" w:rsidP="000317A2">
      <w:pPr>
        <w:pStyle w:val="NormalHanging12a"/>
        <w:rPr>
          <w:szCs w:val="24"/>
        </w:rPr>
      </w:pPr>
      <w:r w:rsidRPr="0030463A">
        <w:t>6.</w:t>
      </w:r>
      <w:r w:rsidRPr="0030463A">
        <w:tab/>
        <w:t>taip pat pakartoja, kad svarbu užtikrinti, jog Audito Rūmams būtų skirta pakankamai darbuotojų, kad jie galėtų tinkamai vykdyti savo įgaliojimus, taip pat naujas užduotis, susijusias su naujų finansavimo priemonių, pvz., Ekonomikos gaivinimo ir atsparumo didinimo priemonės (EGADP), įsigaliojimu;</w:t>
      </w:r>
    </w:p>
    <w:p w:rsidR="000317A2" w:rsidRPr="0030463A" w:rsidRDefault="000317A2" w:rsidP="000317A2">
      <w:pPr>
        <w:pStyle w:val="NormalHanging12a"/>
        <w:rPr>
          <w:szCs w:val="24"/>
        </w:rPr>
      </w:pPr>
      <w:r w:rsidRPr="0030463A">
        <w:t>7.</w:t>
      </w:r>
      <w:r w:rsidRPr="0030463A">
        <w:tab/>
        <w:t xml:space="preserve">pažymi, kad 2022 m. Audito Rūmai pagal Finansinio reglamento 29 straipsnį atliko 26 biudžeto </w:t>
      </w:r>
      <w:proofErr w:type="spellStart"/>
      <w:r w:rsidRPr="0030463A">
        <w:t>perkėlimus</w:t>
      </w:r>
      <w:proofErr w:type="spellEnd"/>
      <w:r w:rsidRPr="0030463A">
        <w:t xml:space="preserve">, kurie sudaro 3,4 mln. EUR arba 2,1 proc. tų finansinių metų asignavimų; tai daugiausia buvo susiję su mažesnėmis komandiruočių, leidinių, vertimo žodžiu ir teisės tarnybos išlaidomis ir didesnėmis patalpų įrengimo išlaidomis, kurios, be kita ko, apima stogo renovaciją, energijos išlaidas, sutartininkų darbo užmokestį ir IT įrangą; taip pat pažymi, kad 2022 m. biudžeto įvykdymo lygis buvo 98,5 proc., t. y. šiek tiek didesnis, palyginti su ankstesniais dvejais metais; palankiai vertina tai, kad vidutinis mokėjimo laikas 2022 m. buvo sutrumpintas iki 9,8 dienos, palyginti su 10,7 dienos </w:t>
      </w:r>
      <w:r w:rsidRPr="0030463A">
        <w:lastRenderedPageBreak/>
        <w:t>2021 m., greičiausiai dėl padidėjusios elektroninių sąskaitų faktūrų dalies, kuri siekė 24 proc., palyginti su 19 proc. 2021 m.;</w:t>
      </w:r>
    </w:p>
    <w:p w:rsidR="000317A2" w:rsidRPr="0030463A" w:rsidRDefault="000317A2" w:rsidP="000317A2">
      <w:pPr>
        <w:pStyle w:val="NormalHanging12a"/>
        <w:rPr>
          <w:szCs w:val="24"/>
        </w:rPr>
      </w:pPr>
      <w:r w:rsidRPr="0030463A">
        <w:t>8.</w:t>
      </w:r>
      <w:r w:rsidRPr="0030463A">
        <w:tab/>
        <w:t>džiaugdamasis pažymi, kad išorės auditorius pareiškė, jog skirti ištekliai buvo panaudoti pagal paskirtį ir kad leidimus suteikiančių pareigūnų įdiegtos kontrolės procedūros suteikė būtinas garantijas užtikrinant, kad finansinės operacijos atitiktų taikomas taisykles ir reglamentus;</w:t>
      </w:r>
    </w:p>
    <w:p w:rsidR="000317A2" w:rsidRPr="0030463A" w:rsidRDefault="000317A2" w:rsidP="000317A2">
      <w:pPr>
        <w:pStyle w:val="NormalHanging12a"/>
        <w:rPr>
          <w:szCs w:val="24"/>
        </w:rPr>
      </w:pPr>
      <w:r w:rsidRPr="0030463A">
        <w:t>9.</w:t>
      </w:r>
      <w:r w:rsidRPr="0030463A">
        <w:tab/>
        <w:t>pažymi, kad dėl Rusijos neteisėto ir nepateisinamo agresijos karo prieš Ukrainą Audito Rūmų biudžetas patyrė įvairaus pobūdžio spaudimą, be kita ko, dėl didėjančios infliacijos ir atlyginimų koregavimo bei labai išaugusių sąnaudų elektros energijai ir šildymui;</w:t>
      </w:r>
    </w:p>
    <w:p w:rsidR="000317A2" w:rsidRPr="0030463A" w:rsidRDefault="000317A2" w:rsidP="000317A2">
      <w:pPr>
        <w:pStyle w:val="NormalHanging12a"/>
        <w:rPr>
          <w:szCs w:val="24"/>
        </w:rPr>
      </w:pPr>
      <w:r w:rsidRPr="0030463A">
        <w:t>10.</w:t>
      </w:r>
      <w:r w:rsidRPr="0030463A">
        <w:tab/>
        <w:t>pažymi, kad Audito Rūmų bendras komandiruočių biudžetas sumažėjo nuo 2 988 000 EUR 2021 m. iki 2 452 000 EUR 2022 m., t. y. 18 proc., tai lėmė 2022 m. pradžioje tebetaikyti kelionių apribojimai ir darbo metodų pokyčiai, kadangi buvo rengiama daugiau nuotolinių posėdžių; be to, pažymi, kad Audito Rūmai neturi atskiros biudžeto eilutės, skirtos Audito Rūmų pirmininko komandiruotėms ir kelionėms; galiausiai pažymi, kad visų Audito Rūmų narių komandiruotėms skirta biudžeto eilutė tiek 2021, tiek 2022 m. sudarė 290 000 EUR;</w:t>
      </w:r>
    </w:p>
    <w:p w:rsidR="000317A2" w:rsidRPr="0030463A" w:rsidRDefault="000317A2" w:rsidP="000317A2">
      <w:pPr>
        <w:pStyle w:val="NormalHanging12a"/>
        <w:rPr>
          <w:szCs w:val="24"/>
        </w:rPr>
      </w:pPr>
      <w:r w:rsidRPr="0030463A">
        <w:t>11.</w:t>
      </w:r>
      <w:r w:rsidRPr="0030463A">
        <w:tab/>
        <w:t xml:space="preserve">palankiai vertina tai, kad nuo 2022 m. Audito Rūmai taiko išsamią kontrolės metodiką, pagal kurią tvarkomos komandiruočių išlaidos atliekant ir </w:t>
      </w:r>
      <w:proofErr w:type="spellStart"/>
      <w:r w:rsidRPr="0030463A">
        <w:rPr>
          <w:i/>
          <w:iCs/>
        </w:rPr>
        <w:t>ex</w:t>
      </w:r>
      <w:proofErr w:type="spellEnd"/>
      <w:r w:rsidRPr="0030463A">
        <w:rPr>
          <w:i/>
          <w:iCs/>
        </w:rPr>
        <w:t> ante</w:t>
      </w:r>
      <w:r w:rsidRPr="0030463A">
        <w:t xml:space="preserve">, ir </w:t>
      </w:r>
      <w:proofErr w:type="spellStart"/>
      <w:r w:rsidRPr="0030463A">
        <w:rPr>
          <w:i/>
          <w:iCs/>
        </w:rPr>
        <w:t>ex</w:t>
      </w:r>
      <w:proofErr w:type="spellEnd"/>
      <w:r w:rsidRPr="0030463A">
        <w:rPr>
          <w:i/>
          <w:iCs/>
        </w:rPr>
        <w:t> </w:t>
      </w:r>
      <w:proofErr w:type="spellStart"/>
      <w:r w:rsidRPr="0030463A">
        <w:rPr>
          <w:i/>
          <w:iCs/>
        </w:rPr>
        <w:t>post</w:t>
      </w:r>
      <w:proofErr w:type="spellEnd"/>
      <w:r w:rsidRPr="0030463A">
        <w:t xml:space="preserve"> kontrolę;</w:t>
      </w:r>
    </w:p>
    <w:p w:rsidR="000317A2" w:rsidRPr="0030463A" w:rsidRDefault="000317A2" w:rsidP="000317A2">
      <w:pPr>
        <w:pStyle w:val="NormalHanging12a"/>
        <w:rPr>
          <w:b/>
          <w:szCs w:val="24"/>
        </w:rPr>
      </w:pPr>
      <w:r w:rsidRPr="0030463A">
        <w:rPr>
          <w:b/>
        </w:rPr>
        <w:t>Vidaus valdymas, veikla ir vidaus kontrolė</w:t>
      </w:r>
    </w:p>
    <w:p w:rsidR="000317A2" w:rsidRPr="0030463A" w:rsidRDefault="000317A2" w:rsidP="000317A2">
      <w:pPr>
        <w:pStyle w:val="NormalHanging12a"/>
        <w:rPr>
          <w:szCs w:val="24"/>
        </w:rPr>
      </w:pPr>
      <w:r w:rsidRPr="0030463A">
        <w:t>12.</w:t>
      </w:r>
      <w:r w:rsidRPr="0030463A">
        <w:tab/>
        <w:t>pažymi, kad 2022 m. buvo antrieji Audito Rūmų 2021–2025 m. strategijos įgyvendinimo metai ir kad 2022 m. pabaigoje iš 29 strateginių priemonių 18 buvo visiškai įgyvendintos arba buvo sukurta priemonės sistema ir vykdomi tolesni veiksmai, o 11 priemonių buvo vykdomos arba pasikartojančios priemonės;</w:t>
      </w:r>
    </w:p>
    <w:p w:rsidR="000317A2" w:rsidRPr="0030463A" w:rsidRDefault="000317A2" w:rsidP="000317A2">
      <w:pPr>
        <w:pStyle w:val="NormalHanging12a"/>
        <w:rPr>
          <w:szCs w:val="24"/>
        </w:rPr>
      </w:pPr>
      <w:r w:rsidRPr="0030463A">
        <w:t>13.</w:t>
      </w:r>
      <w:r w:rsidRPr="0030463A">
        <w:tab/>
        <w:t>pažymi, kad 2022 m. Audito Rūmai pateikė 7 metines ataskaitas, 8 nuomones, 28 specialiąsias ataskaitas ir 1 peržiūrą, o tai labai panašus kiekis į 2020 ir 2021 m. pateiktų ataskaitų, nuomonių, specialiųjų ataskaitų ir peržiūrų skaičių;</w:t>
      </w:r>
    </w:p>
    <w:p w:rsidR="000317A2" w:rsidRPr="0030463A" w:rsidRDefault="000317A2" w:rsidP="000317A2">
      <w:pPr>
        <w:pStyle w:val="NormalHanging12a"/>
        <w:rPr>
          <w:szCs w:val="24"/>
        </w:rPr>
      </w:pPr>
      <w:r w:rsidRPr="0030463A">
        <w:t>14.</w:t>
      </w:r>
      <w:r w:rsidRPr="0030463A">
        <w:tab/>
        <w:t>pažymi, kad Audito Rūmai savo darbo programą rengia visiškai nepriklausomai, įskaitant tai, kad jie patys sprendžia, kokios specialiosios ataskaitos turi būti rengiamos; dar kartą primena Audito Rūmams, kad specialiosios ataskaitos, kuriose daugiausia dėmesio skiriama dabartinei Sąjungos padėčiai ir iššūkiams, aiškiai orientuojantis į biudžetą ir į aktualumą, sulauks daugiausiai dėmesio iš pagrindinių Parlamento ir kitų organizacijų suinteresuotųjų subjektų; atsižvelgdamas į tai, palankiai vertina 2022 m. atliktą programavimo proceso peržiūrą ir tai, kad suteikiama daugiau lankstumo neatidėliotinų uždavinių sprendimo srityje siekiant geriau atsižvelgti į institucijos suinteresuotųjų subjektų interesus;</w:t>
      </w:r>
    </w:p>
    <w:p w:rsidR="000317A2" w:rsidRPr="0030463A" w:rsidRDefault="000317A2" w:rsidP="000317A2">
      <w:pPr>
        <w:pStyle w:val="NormalHanging12a"/>
        <w:rPr>
          <w:szCs w:val="24"/>
        </w:rPr>
      </w:pPr>
      <w:r w:rsidRPr="0030463A">
        <w:t>15.</w:t>
      </w:r>
      <w:r w:rsidRPr="0030463A">
        <w:tab/>
        <w:t xml:space="preserve">palankiai vertina tai, kad, kaip prašė Parlamentas, Audito Rūmai savo audito darbą sutelkė į dabartinius Europos iššūkius, pavyzdžiui, itin greitai parengė Nuomonę Nr. 3/2023 dėl Ukrainos priemonės, ir skyrė daug dėmesio jos įgyvendinimo stebėsenai; yra susirūpinęs dėl to, kad atlikdami auditą, susijusį su Ekonomikos gaivinimo ir atsparumo didinimo priemone (EGADP), Audito Rūmai vis dar neturi visapusiškos prieigos prie naujos EGADP ataskaitų teikimo priemonės FENIX ir kad šioje naujoje </w:t>
      </w:r>
      <w:r w:rsidRPr="0030463A">
        <w:lastRenderedPageBreak/>
        <w:t>priemonėje esanti informacija nėra laiku atnaujinama: pritaria Audito Rūmų nuomonei, kad Finansinio reglamento 257 straipsnyje numatytos visapusiškos ir neatidėliotinos Audito Rūmų prieigos teisės; be to, ragina Komisiją suteikti Audito Rūmams galimybę susipažinti su kitų rūšių svarbia informacija, kad jis galėtų atlikti savo vaidmenį;</w:t>
      </w:r>
    </w:p>
    <w:p w:rsidR="000317A2" w:rsidRPr="0030463A" w:rsidRDefault="000317A2" w:rsidP="000317A2">
      <w:pPr>
        <w:pStyle w:val="NormalHanging12a"/>
        <w:rPr>
          <w:szCs w:val="24"/>
        </w:rPr>
      </w:pPr>
      <w:r w:rsidRPr="0030463A">
        <w:t>16.</w:t>
      </w:r>
      <w:r w:rsidRPr="0030463A">
        <w:tab/>
        <w:t>palankiai vertina laiku pateiktas aktualias specialiąsias ataskaitas dėl EGADP įgyvendinimo, kurios leidžia biudžeto įvykdymą tvirtinančiai institucijai pasinaudoti savo prerogatyvomis ir teikti Komisijai rekomendacijas dėl tos priemonės veikimo gerinimo;</w:t>
      </w:r>
    </w:p>
    <w:p w:rsidR="000317A2" w:rsidRPr="0030463A" w:rsidRDefault="000317A2" w:rsidP="000317A2">
      <w:pPr>
        <w:pStyle w:val="NormalHanging12a"/>
        <w:rPr>
          <w:szCs w:val="24"/>
        </w:rPr>
      </w:pPr>
      <w:r w:rsidRPr="0030463A">
        <w:t>17.</w:t>
      </w:r>
      <w:r w:rsidRPr="0030463A">
        <w:tab/>
        <w:t>palankiai vertina tai, kad Audito Rūmai pateikė juose atliktų vidaus auditų skaičiaus ir rūšies santrauką ir rekomendacijų bei veiksmų, kurių imtasi dėl tų rekomendacijų, apibendrinimą pagal Finansinio reglamento 118 straipsnio 8 dalį; pažymi, kad vidaus auditoriaus metinėje darbo programoje buvo numatytos pasikartojančios užduotys, pasirinktos užduotys ir kitos užduotys, atliktos per metus; pažymi, kad kai kurie 2022 m. įgyvendinti numatyti veiksmai buvo atidėti 2023 metams, ir prašo Audito Rūmų informuoti Parlamentą apie jų įgyvendinimą;</w:t>
      </w:r>
    </w:p>
    <w:p w:rsidR="000317A2" w:rsidRPr="0030463A" w:rsidRDefault="000317A2" w:rsidP="000317A2">
      <w:pPr>
        <w:pStyle w:val="NormalHanging12a"/>
        <w:rPr>
          <w:szCs w:val="24"/>
        </w:rPr>
      </w:pPr>
      <w:r w:rsidRPr="0030463A">
        <w:t>18.</w:t>
      </w:r>
      <w:r w:rsidRPr="0030463A">
        <w:tab/>
        <w:t>ragina Audito Rūmus didinti savo indėlį kovojant su sukčiavimu naudojant Sąjungos biudžeto lėšas, ne tik nustatant trūkumus, dėl kurių Sąjungos finansuojamose programose kyla sukčiavimo grėsmė, ir pranešant apie juos, bet ir atsižvelgiant į šiuo metu vykstančias diskusijas dėl kovos su sukčiavimu schemos komponentų ir sustiprinant audito darbą bendradarbiaujant su institucijomis, atsakingomis už sukčiavimo atvejų atskleidimą, reguliariai vertinant jų veiklą ir teikiant biudžeto įvykdymą tvirtinančiai institucijai grįžtamąją informaciją, reikalingą jos analizei atlikti;</w:t>
      </w:r>
    </w:p>
    <w:p w:rsidR="000317A2" w:rsidRPr="0030463A" w:rsidRDefault="000317A2" w:rsidP="000317A2">
      <w:pPr>
        <w:pStyle w:val="NormalHanging12a"/>
        <w:rPr>
          <w:szCs w:val="24"/>
        </w:rPr>
      </w:pPr>
      <w:r w:rsidRPr="0030463A">
        <w:t>19.</w:t>
      </w:r>
      <w:r w:rsidRPr="0030463A">
        <w:tab/>
        <w:t>palankiai vertina tai, kad pagal Audito Rūmų 2021–2025 m. strategiją įsipareigojama parengti ekonomiškai efektyvias rekomendacijas, galinčias padėti sumažinti Sąjungos institucijų biurokratiją; atkreipia dėmesį į tai, kad Audito Rūmų rekomendacijos dėl procedūrų veiksmingumo didinimo, geriausios patirties panaudojimo, geresnio koordinavimo, standartinių procesų nustatymo, perteklinio reglamentavimo prevencijos ir supaprastinimo bei skaitmeninimo yra ypač tinkamos siekiant šio tikslo;</w:t>
      </w:r>
    </w:p>
    <w:p w:rsidR="000317A2" w:rsidRPr="0030463A" w:rsidRDefault="000317A2" w:rsidP="000317A2">
      <w:pPr>
        <w:pStyle w:val="NormalHanging12a"/>
        <w:rPr>
          <w:szCs w:val="24"/>
        </w:rPr>
      </w:pPr>
      <w:r w:rsidRPr="0030463A">
        <w:t>20.</w:t>
      </w:r>
      <w:r w:rsidRPr="0030463A">
        <w:tab/>
        <w:t xml:space="preserve">ragina Audito Rūmus ir toliau rekomenduoti kurti ir prižiūrėti Sąjungos masto duomenų bazes ir dėti pastangas ieškoti veiksmingų duomenų gavybos </w:t>
      </w:r>
      <w:proofErr w:type="spellStart"/>
      <w:r w:rsidRPr="0030463A">
        <w:t>pajėgumų</w:t>
      </w:r>
      <w:proofErr w:type="spellEnd"/>
      <w:r w:rsidRPr="0030463A">
        <w:t>, kuriuos naudojant būtų galima atlikti duomenų analizę Sąjungos lygmeniu ir nustatyti Sąjungai svarbią riziką; ragina Audito Rūmus tęsti darbą nustatant būtinus reikalavimus, kuriais vadovaujantis būtų galima rinkti, apdoroti ir saugoti duomenis, reikalingus nesudėtingai ir sąveikiai audituoti valstybių narių viešųjų lėšų panaudojimą;</w:t>
      </w:r>
    </w:p>
    <w:p w:rsidR="000317A2" w:rsidRPr="0030463A" w:rsidRDefault="000317A2" w:rsidP="000317A2">
      <w:pPr>
        <w:pStyle w:val="NormalHanging12a"/>
        <w:rPr>
          <w:b/>
          <w:szCs w:val="24"/>
        </w:rPr>
      </w:pPr>
      <w:r w:rsidRPr="0030463A">
        <w:rPr>
          <w:b/>
        </w:rPr>
        <w:t>Žmogiškieji ištekliai, lygybė ir darbuotojų gerovė</w:t>
      </w:r>
    </w:p>
    <w:p w:rsidR="000317A2" w:rsidRPr="0030463A" w:rsidRDefault="000317A2" w:rsidP="000317A2">
      <w:pPr>
        <w:pStyle w:val="NormalHanging12a"/>
        <w:rPr>
          <w:szCs w:val="24"/>
        </w:rPr>
      </w:pPr>
      <w:r w:rsidRPr="0030463A">
        <w:t>21.</w:t>
      </w:r>
      <w:r w:rsidRPr="0030463A">
        <w:tab/>
        <w:t xml:space="preserve">pažymi, kad 2022 m. pabaigoje Audito Rūmai turėjo 921 darbuotoją, t. y. šiek tiek daugiau nei 917 darbuotojų 2021 m. pabaigoje ir 910 darbuotojų 2020 m. pabaigoje; pažymi, kad 2022 m. pabaigoje bendras pasiskirstymas pagal lytį buvo toks: 434 vyrai (atitinkamai 47,1 proc.) ir 487 moterys (atitinkamai 52,9 proc.); ragina Audito Rūmus toliau dėti pastangas siekiant skatinti lyčių pusiausvyrą </w:t>
      </w:r>
      <w:proofErr w:type="spellStart"/>
      <w:r w:rsidRPr="0030463A">
        <w:t>viduriniosios</w:t>
      </w:r>
      <w:proofErr w:type="spellEnd"/>
      <w:r w:rsidRPr="0030463A">
        <w:t xml:space="preserve"> ir vyresniosios vadovybės lygmeniu; taip pat pažymi, kad bendras pasiskirstymas pagal darbuotojų kategorijas buvo toks: 830 pareigūnų (90 proc.), iš jų – 620 administratorių (AD) ir 210 padėjėjų ir sekretorių (AST/SC), ir 91 sutartininkas (10 proc.);</w:t>
      </w:r>
    </w:p>
    <w:p w:rsidR="000317A2" w:rsidRPr="0030463A" w:rsidRDefault="000317A2" w:rsidP="000317A2">
      <w:pPr>
        <w:pStyle w:val="NormalHanging12a"/>
        <w:rPr>
          <w:szCs w:val="24"/>
        </w:rPr>
      </w:pPr>
      <w:r w:rsidRPr="0030463A">
        <w:lastRenderedPageBreak/>
        <w:t>22.</w:t>
      </w:r>
      <w:r w:rsidRPr="0030463A">
        <w:tab/>
        <w:t>pažymi, kad Audito Rūmuose dirbo 79 13–16 AD kategorijai priklausantys asmenys, iš jų – 49 vyrai (atitinkamai 62 proc.) ir 30 moterų (atitinkamai 38 proc.); šioms kategorijoms priklausančių moterų procentinė dalis šiek tiek padidėjo: nuo 37,5 proc. 2021 m. ir 34,5 proc. 2020 m.;</w:t>
      </w:r>
    </w:p>
    <w:p w:rsidR="000317A2" w:rsidRPr="0030463A" w:rsidRDefault="000317A2" w:rsidP="000317A2">
      <w:pPr>
        <w:pStyle w:val="NormalHanging12a"/>
        <w:rPr>
          <w:szCs w:val="24"/>
        </w:rPr>
      </w:pPr>
      <w:r w:rsidRPr="0030463A">
        <w:t>23.</w:t>
      </w:r>
      <w:r w:rsidRPr="0030463A">
        <w:tab/>
        <w:t>labai apgailestauja dėl to, kad Audito Rūmų kolegijoje neužtikrinta lyčių pusiausvyra: tik 10 iš 25 dabartinės sudėties kolegijos narių yra moterys, atsižvelgiant į tai, kad dar nepaskirti nariai iš Portugalijos ir Bulgarijos; supranta, kad jos narių skyrimo procedūra yra iššūkis siekiant lyčių pusiausvyros, nes už šalių atstovų skyrimą atsakingos tik valstybės narės; tačiau ragina Audito Rūmus išanalizuoti bendrą Audito Rūmų sudėtį siekiant informuoti Tarybą ir atitinkamas valstybes nares, kad sprendimuose dėl skyrimo būtų atsižvelgiama į lyčių pusiausvyrą;</w:t>
      </w:r>
    </w:p>
    <w:p w:rsidR="000317A2" w:rsidRPr="0030463A" w:rsidRDefault="000317A2" w:rsidP="000317A2">
      <w:pPr>
        <w:pStyle w:val="NormalHanging12a"/>
        <w:rPr>
          <w:szCs w:val="24"/>
        </w:rPr>
      </w:pPr>
      <w:r w:rsidRPr="0030463A">
        <w:t>24.</w:t>
      </w:r>
      <w:r w:rsidRPr="0030463A">
        <w:tab/>
        <w:t>apgailestauja dėl to, kad daugelį metų Taryba ne kartą skyrė Audito Rūmų narius, nepaisydama to, kad jų kandidatūras Parlamentas atmetė; pabrėžia, kad Parlamentas turėtų atlikti privalomą vaidmenį vertinant kandidatų į Audito Rūmus tinkamumą;</w:t>
      </w:r>
    </w:p>
    <w:p w:rsidR="000317A2" w:rsidRPr="0030463A" w:rsidRDefault="000317A2" w:rsidP="000317A2">
      <w:pPr>
        <w:pStyle w:val="NormalHanging12a"/>
        <w:rPr>
          <w:szCs w:val="24"/>
        </w:rPr>
      </w:pPr>
      <w:r w:rsidRPr="0030463A">
        <w:t>25.</w:t>
      </w:r>
      <w:r w:rsidRPr="0030463A">
        <w:tab/>
        <w:t>palankiai vertina tai, kad Audito Rūmuose dirba visų Sąjungos valstybių narių piliečiai – tiek AD kategorijos, tiek AST/SC kategorijos darbuotojai; vis dėlto su apgailestavimu pažymi, kad kai kurių tautybių atstovų dirba nepakankamai, ir palankiai vertina tai, kad Audito Rūmai ėmėsi veiksmų ir kai kuriose valstybėse narėse (Danijoje, Estijoje ir Latvijoje) vykdė tiesiogines informacines kampanijas; palankiai vertina tai, kad atrankos procedūroms veiksmingai naudojami nauji skelbimo būdai, siekiant pritraukti skirtingą auditoriją iš įvairių valstybių narių;</w:t>
      </w:r>
    </w:p>
    <w:p w:rsidR="000317A2" w:rsidRPr="0030463A" w:rsidRDefault="000317A2" w:rsidP="000317A2">
      <w:pPr>
        <w:pStyle w:val="NormalHanging12a"/>
        <w:rPr>
          <w:szCs w:val="24"/>
        </w:rPr>
      </w:pPr>
      <w:r w:rsidRPr="0030463A">
        <w:t>26.</w:t>
      </w:r>
      <w:r w:rsidRPr="0030463A">
        <w:tab/>
        <w:t>pažymi, kad Audito Rūmai priėmė sprendimą dėl mišraus darbo, kuris įsigaliojo 2022 m. sausio 1 d.; pažymi, kad Audito Rūmai taiko nuotolinio darbo sistemą, pagal kurią suteikiama galimybė dirbti iš namų iki 10 dienų per mėnesį ir iki 10 dienų iš eilės; taip pat pažymi, kad pagal šią sistemą darbuotojai iki 5 darbo dienų per mėnesį ir 30 darbo dienų per metus gali dirbti ne savo pagrindinėje gyvenamojoje vietoje; galiausiai pažymi, kad 2022 m. spalio mėn. atlikta darbuotojų apklausa parodė, jog 95 proc. remia tokią nuotolinio darbo tvarką, o 88 proc. teigė, kad ji turėjo teigiamą poveikį jų profesinio ir asmeninio gyvenimo pusiausvyrai;</w:t>
      </w:r>
    </w:p>
    <w:p w:rsidR="000317A2" w:rsidRPr="0030463A" w:rsidRDefault="000317A2" w:rsidP="000317A2">
      <w:pPr>
        <w:pStyle w:val="NormalHanging12a"/>
        <w:rPr>
          <w:szCs w:val="24"/>
        </w:rPr>
      </w:pPr>
      <w:r w:rsidRPr="0030463A">
        <w:t>27.</w:t>
      </w:r>
      <w:r w:rsidRPr="0030463A">
        <w:tab/>
        <w:t>palankiai vertina priemones, kurių Audito Rūmai ėmėsi 2022 m. siekdami užtikrinti fizinę ir psichinę darbuotojų gerovę;</w:t>
      </w:r>
    </w:p>
    <w:p w:rsidR="000317A2" w:rsidRPr="0030463A" w:rsidRDefault="000317A2" w:rsidP="000317A2">
      <w:pPr>
        <w:pStyle w:val="NormalHanging12a"/>
        <w:rPr>
          <w:szCs w:val="24"/>
        </w:rPr>
      </w:pPr>
      <w:r w:rsidRPr="0030463A">
        <w:t>28.</w:t>
      </w:r>
      <w:r w:rsidRPr="0030463A">
        <w:tab/>
        <w:t xml:space="preserve">pripažįsta, kad yra sunkumų siekiant pritraukti darbuotojų dirbti į Liuksemburgą, ir ragina Audito Rūmus kartu su kitomis Liuksemburge įsikūrusiomis institucijomis Aukšto lygio </w:t>
      </w:r>
      <w:proofErr w:type="spellStart"/>
      <w:r w:rsidRPr="0030463A">
        <w:t>tarpinstitucinėje</w:t>
      </w:r>
      <w:proofErr w:type="spellEnd"/>
      <w:r w:rsidRPr="0030463A">
        <w:t xml:space="preserve"> grupėje dėti pastangas sprendžiant Liuksemburgo patrauklumo darbuotojams didinimo klausimą ir imtis įvairių įvardytų galimų veiksmų, įskaitant idėją skirti specialią būsto išmoką, siekiant įveikti aukštų nuomos kainų problemą, su kuria ypač susiduria žemesnių kategorijų darbuotojai, ir galimybę pasiūlyti nebrangų laikiną būstą trumpalaikiam apsigyvenimui;</w:t>
      </w:r>
    </w:p>
    <w:p w:rsidR="000317A2" w:rsidRPr="0030463A" w:rsidRDefault="000317A2" w:rsidP="000317A2">
      <w:pPr>
        <w:pStyle w:val="NormalHanging12a"/>
        <w:rPr>
          <w:szCs w:val="24"/>
        </w:rPr>
      </w:pPr>
      <w:r w:rsidRPr="0030463A">
        <w:t>29.</w:t>
      </w:r>
      <w:r w:rsidRPr="0030463A">
        <w:tab/>
        <w:t>susirūpinęs pažymi, kad 2022 m. laikinojo nedarbingumo atostogų dienų skaičius siekė 11 622, t. y. 54 proc. daugiau nei 2021 m., kuriais laikinojo nedarbingumo atostogų dienų skaičius buvo 7 524; sykiu pažymi, kad 2018 m. Audito Rūmuose užregistruotos 10 255 dienos laikinojo nedarbingumo atostogų, ir kad palyginti mažas skaičius 2021 m. galėjo būti susijęs su padėtimi per COVID-19 pandemiją;</w:t>
      </w:r>
    </w:p>
    <w:p w:rsidR="000317A2" w:rsidRPr="0030463A" w:rsidRDefault="000317A2" w:rsidP="000317A2">
      <w:pPr>
        <w:pStyle w:val="NormalHanging12a"/>
        <w:rPr>
          <w:szCs w:val="24"/>
        </w:rPr>
      </w:pPr>
      <w:r w:rsidRPr="0030463A">
        <w:lastRenderedPageBreak/>
        <w:t>30.</w:t>
      </w:r>
      <w:r w:rsidRPr="0030463A">
        <w:tab/>
        <w:t xml:space="preserve">susirūpinęs pažymi, kad 2022 m. Audito Rūmuose užregistruoti septyni profesinio perdegimo atvejai; taip pat pažymi, kad visi septyni darbuotojai buvo </w:t>
      </w:r>
      <w:proofErr w:type="spellStart"/>
      <w:r w:rsidRPr="0030463A">
        <w:t>reintegruoti</w:t>
      </w:r>
      <w:proofErr w:type="spellEnd"/>
      <w:r w:rsidRPr="0030463A">
        <w:t xml:space="preserve"> ir pradėjo dirbti palaipsniui pagal mediciniškai patvirtintą darbuotojo grįžimo į darbo vietą dirbant ne visą darbo laiką procedūrą; šiuo požiūriu palankiai vertina tai, kad 2022 m. Audito Rūmai pradėjo rengti grįžimo į darbą po ilgalaikių laikinojo nedarbingumo atostogų gaires; pažymi, kad Audito Rūmai nurodo, jog rengiant metinę darbo programą atsižvelgiama į turimus išteklius ir kad direktoriai ir valdymo grupė direktoratų lygmeniu vertina darbo krūvį, siekdami užtikrinti, kad darbas būtų paskirstytas tolygiai; vis dėlto ragina Audito Rūmus ir toliau daug dėmesio skirti šiai problemai ir imtis visų reikiamų priemonių siekiant užtikrinti darbuotojų gerovę, kad būtų sumažintas su profesiniu perdegimu susijusių atvejų skaičius;</w:t>
      </w:r>
    </w:p>
    <w:p w:rsidR="000317A2" w:rsidRPr="0030463A" w:rsidRDefault="000317A2" w:rsidP="000317A2">
      <w:pPr>
        <w:pStyle w:val="NormalHanging12a"/>
        <w:rPr>
          <w:szCs w:val="24"/>
        </w:rPr>
      </w:pPr>
      <w:r w:rsidRPr="0030463A">
        <w:t>31.</w:t>
      </w:r>
      <w:r w:rsidRPr="0030463A">
        <w:tab/>
        <w:t>palankiai vertina tai, kad, laikantis plataus bendradarbiavimo požiūrio, 2022 m. gruodžio mėn. buvo priimtas sprendimas ir politika dėl pagarbios ir be priekabiavimo darbo aplinkos užtikrinimo; juose daug dėmesio skiriama prevencijai, informuotumo didinimui ir ankstyvam nustatymui, taip pat numatoma įvairių priemonių (konfidencialios konsultacijos, tarpininkavimas ir oficialūs skundai), kuriomis galima pasinaudoti tariamo priekabiavimo atveju;</w:t>
      </w:r>
    </w:p>
    <w:p w:rsidR="000317A2" w:rsidRPr="0030463A" w:rsidRDefault="000317A2" w:rsidP="000317A2">
      <w:pPr>
        <w:pStyle w:val="NormalHanging12a"/>
        <w:rPr>
          <w:szCs w:val="24"/>
        </w:rPr>
      </w:pPr>
      <w:r w:rsidRPr="0030463A">
        <w:t xml:space="preserve">32. </w:t>
      </w:r>
      <w:r w:rsidRPr="0030463A">
        <w:tab/>
        <w:t xml:space="preserve">palankiai vertina Audito Rūmų 2021–2025 m. įvairovės ir </w:t>
      </w:r>
      <w:proofErr w:type="spellStart"/>
      <w:r w:rsidRPr="0030463A">
        <w:t>įtraukties</w:t>
      </w:r>
      <w:proofErr w:type="spellEnd"/>
      <w:r w:rsidRPr="0030463A">
        <w:t xml:space="preserve"> veiksmų planą ir veiksmus, kurių imtasi 2022 m. siekiant informuoti apie šį planą ir 2022 m. pasiektus rezultatus dešimtyje plane nustatytų prioritetinių sričių; pažymi, kad 2022 m. Audito Rūmuose pagal laikinąją sutartį dirbo tik vienas neįgalumo statusą turintis asmuo;</w:t>
      </w:r>
    </w:p>
    <w:p w:rsidR="000317A2" w:rsidRPr="0030463A" w:rsidRDefault="000317A2" w:rsidP="000317A2">
      <w:pPr>
        <w:pStyle w:val="NormalHanging12a"/>
        <w:rPr>
          <w:szCs w:val="24"/>
        </w:rPr>
      </w:pPr>
      <w:r w:rsidRPr="0030463A">
        <w:t>33.</w:t>
      </w:r>
      <w:r w:rsidRPr="0030463A">
        <w:tab/>
        <w:t>pažymi, kad 2022 m. Audito Rūmai priėmė 54 stažuotojus; džiaugdamasis pažymi, kad visiems jiems atlyginimą mokėjo Audito Rūmai arba nacionalinės valdžios institucijos;</w:t>
      </w:r>
    </w:p>
    <w:p w:rsidR="000317A2" w:rsidRPr="0030463A" w:rsidRDefault="000317A2" w:rsidP="000317A2">
      <w:pPr>
        <w:pStyle w:val="NormalHanging12a"/>
        <w:rPr>
          <w:b/>
          <w:szCs w:val="24"/>
        </w:rPr>
      </w:pPr>
      <w:r w:rsidRPr="0030463A">
        <w:rPr>
          <w:b/>
        </w:rPr>
        <w:t>Etikos sistema ir skaidrumas</w:t>
      </w:r>
    </w:p>
    <w:p w:rsidR="000317A2" w:rsidRPr="0030463A" w:rsidRDefault="000317A2" w:rsidP="000317A2">
      <w:pPr>
        <w:pStyle w:val="NormalHanging12a"/>
        <w:rPr>
          <w:szCs w:val="24"/>
        </w:rPr>
      </w:pPr>
      <w:r w:rsidRPr="0030463A">
        <w:t>34.</w:t>
      </w:r>
      <w:r w:rsidRPr="0030463A">
        <w:tab/>
        <w:t>pabrėžia Audito Rūmų, kaip Sąjungos nepriklausomo išorės auditoriaus ir jos finansų sergėtojo, vaidmenį ir svarbą, o tai reiškia, kad Audito Rūmai turi laikytis aukščiausių įmanomų standartų ir veikti kaip pavyzdinė organizacija, siekianti įkvėpti pasitikėjimą ir patikimumą; pažymi, kad pagal SESV 285 straipsnį Audito Rūmų nariai yra visiškai nepriklausomi;</w:t>
      </w:r>
    </w:p>
    <w:p w:rsidR="000317A2" w:rsidRPr="0030463A" w:rsidRDefault="000317A2" w:rsidP="000317A2">
      <w:pPr>
        <w:pStyle w:val="NormalHanging12a"/>
        <w:rPr>
          <w:szCs w:val="24"/>
        </w:rPr>
      </w:pPr>
      <w:r w:rsidRPr="0030463A">
        <w:t>35.</w:t>
      </w:r>
      <w:r w:rsidRPr="0030463A">
        <w:tab/>
        <w:t>palankiai vertina atsižvelgiant į Parlamento rekomendaciją 2022 m. gegužės mėn. persvarstytą Audito Rūmų narių ir buvusių narių elgesio kodeksą, kuriuo, be kita ko, nustatoma narių pareiga gyventi ten, kur yra Audito Rūmai, ribojamos narių galimybės dalyvauti politikoje, reglamentuojami narių ir darbuotojų sutartiniai santykiai ir nustatoma narių pareiga pateikti metinę interesų deklaraciją; primena, kad Audito Rūmų nariai visada turėtų laikytis aukščiausių etikos principų ir vertybių, kad įrodytų visišką sąžiningumą, nepriklausomumą, objektyvumą, profesionalų elgesį, orumą, atsidavimą ir lojalumą;</w:t>
      </w:r>
    </w:p>
    <w:p w:rsidR="000317A2" w:rsidRPr="0030463A" w:rsidRDefault="000317A2" w:rsidP="000317A2">
      <w:pPr>
        <w:pStyle w:val="NormalHanging12a"/>
        <w:rPr>
          <w:szCs w:val="24"/>
        </w:rPr>
      </w:pPr>
      <w:r w:rsidRPr="0030463A">
        <w:t>36.</w:t>
      </w:r>
      <w:r w:rsidRPr="0030463A">
        <w:tab/>
        <w:t xml:space="preserve">pabrėžia, kad Parlamentas ir toliau laikosi nuomonės, kad informacija apie Audito Rūmų narių komandiruotes turėtų būti skelbiama per visą laikotarpį, kurį narys eina pareigas, ir kad nariai neturėtų turėti oficialių politinių ryšių, įskaitant garbės pareigas politinėse partijose ar organizacijose; taip pat dar kartą prašo Audito Rūmų pakeisti savo su vidaus etikos komitetu susijusias taisykles, kad reikalavimus atitinkančių kandidatų siūlymas nebebūtų išimtinė Audito Rūmų pirmininko prerogatyva; taip pat pakartoja savo prašymą, kad Audito Rūmų etikos komitetas informuotų Parlamentą apie </w:t>
      </w:r>
      <w:r w:rsidRPr="0030463A">
        <w:lastRenderedPageBreak/>
        <w:t>pagrindines vidaus audito ataskaitos dėl etikos išvadas, kadangi šis vidaus auditas vykdomas jau nuo 2020 m.;</w:t>
      </w:r>
    </w:p>
    <w:p w:rsidR="000317A2" w:rsidRPr="0030463A" w:rsidRDefault="000317A2" w:rsidP="000317A2">
      <w:pPr>
        <w:pStyle w:val="NormalHanging12a"/>
        <w:rPr>
          <w:szCs w:val="24"/>
        </w:rPr>
      </w:pPr>
      <w:r w:rsidRPr="0030463A">
        <w:t>37.</w:t>
      </w:r>
      <w:r w:rsidRPr="0030463A">
        <w:tab/>
        <w:t>džiaugdamasis pažymi, kad visi Audito Rūmų nariai yra deklaravę gyvenamąją vietą Liuksemburgo valdžios institucijoms ir kad tokiu būdu vykdomas reikalavimas nariams gyventi ten, kur yra Audito Rūmų būstinė;</w:t>
      </w:r>
    </w:p>
    <w:p w:rsidR="000317A2" w:rsidRPr="0030463A" w:rsidRDefault="000317A2" w:rsidP="000317A2">
      <w:pPr>
        <w:pStyle w:val="NormalHanging12a"/>
        <w:rPr>
          <w:szCs w:val="24"/>
        </w:rPr>
      </w:pPr>
      <w:r w:rsidRPr="0030463A">
        <w:t>38.</w:t>
      </w:r>
      <w:r w:rsidRPr="0030463A">
        <w:tab/>
        <w:t>atkreipia dėmesį į 2022 m. sprendimą dėl narių kelionių, komandiruočių ir vairuotojų bei automobilių naudojimo, kuriame nustatyta, kad nariai turės padengti visas einamąsias išlaidas, įskaitant automobilių nuomos išlaidas, susijusias su automobilio naudojimu kelionėms, viršijančioms 10 000 km, jei tai nėra komandiruotė; vis dėlto laikosi nuomonės, kad 10 000 km atstumas yra per didelis, ir pakartoja ankstesnėse rezoliucijose dėl biudžeto įvykdymo patvirtinimo išreikštą susirūpinimą, kad nustatyta sistema yra paini; pakartoja savo ankstesnėse rezoliucijose dėl biudžeto įvykdymo patvirtinimo išdėstytą nuomonę, kad automobilių parku turėtų būti naudojamasi išskirtinai tik vykdant Audito Rūmų narių pareigas ir nesinaudojama kitais atvejais jokiomis aplinkybėmis; ragina visas Sąjungos institucijas susitarti dėl bendros sistemos, kuri būtų taikoma horizontaliai, nes tai sumažintų painiavą ir padidintų viešųjų lėšų naudojimo skaidrumą ir veiksmingumą;</w:t>
      </w:r>
    </w:p>
    <w:p w:rsidR="000317A2" w:rsidRPr="0030463A" w:rsidRDefault="000317A2" w:rsidP="000317A2">
      <w:pPr>
        <w:pStyle w:val="NormalHanging12a"/>
        <w:rPr>
          <w:szCs w:val="24"/>
        </w:rPr>
      </w:pPr>
      <w:r w:rsidRPr="0030463A">
        <w:t>39.</w:t>
      </w:r>
      <w:r w:rsidRPr="0030463A">
        <w:tab/>
        <w:t>palankiai vertina tai, kad pastaraisiais metais Audito Rūmai pradėjo savo etikos sistemos atnaujinimo procesą; iki šiol, t. y. 2022 m. spalio mėn., yra atnaujintos Audito Rūmų etikos gairės, 2022 m. buvo atnaujinta politika, kuria užtikrinama pagarbi ir be priekabiavimo darbo aplinka, o 2023 m. liepos mėn. atnaujintos taisyklės dėl informavimo apie pažeidimą; taip pat palankiai vertina tai, kad darbuotojams, įskaitant privačiuose narių kabinetuose dirbančius darbuotojus, buvo surengti praktiniai seminarai, mokymo kursai ir informaciniai renginiai etikos klausimais; prašo Audito Rūmų nuolat informuoti Parlamentą apie visus tolesnius planus, susijusius su etikos sistema;</w:t>
      </w:r>
    </w:p>
    <w:p w:rsidR="000317A2" w:rsidRPr="0030463A" w:rsidRDefault="000317A2" w:rsidP="000317A2">
      <w:pPr>
        <w:pStyle w:val="NormalHanging12a"/>
        <w:rPr>
          <w:szCs w:val="24"/>
        </w:rPr>
      </w:pPr>
      <w:r w:rsidRPr="0030463A">
        <w:t>40.</w:t>
      </w:r>
      <w:r w:rsidRPr="0030463A">
        <w:tab/>
        <w:t>pabrėžia, kad 2021 m. Audito Rūmų Vidaus audito tarnyba padarė išvadą, jog nėra vieno bendro dokumento, apimančio Audito Rūmų kovos su sukčiavimu politiką, taip pat kad nėra visų Audito Rūmų mastu nustatytos kovos su sukčiavimu strategijos; ragina Audito Rūmus šį klausimą spręsti pirmumo tvarka, siekiant užtikrinti, kad dabartinis decentralizuotas ir fragmentiškas požiūris būtų konsoliduotas, ir aiškiau išdėstyti, kaip Audito Rūmai sprendžia šiuos klausimus;</w:t>
      </w:r>
    </w:p>
    <w:p w:rsidR="000317A2" w:rsidRPr="0030463A" w:rsidRDefault="000317A2" w:rsidP="000317A2">
      <w:pPr>
        <w:pStyle w:val="NormalHanging12a"/>
        <w:rPr>
          <w:szCs w:val="24"/>
        </w:rPr>
      </w:pPr>
      <w:r w:rsidRPr="0030463A">
        <w:t>41.</w:t>
      </w:r>
      <w:r w:rsidRPr="0030463A">
        <w:tab/>
        <w:t xml:space="preserve">ir toliau nepritaria Audito Rūmų vertinimui ir sprendimui neprisijungti prie ES skaidrumo registro, sukurto pagal 2021 m. gegužės 20 d. Europos Parlamento, Europos Sąjungos Tarybos ir Europos Komisijos </w:t>
      </w:r>
      <w:proofErr w:type="spellStart"/>
      <w:r w:rsidRPr="0030463A">
        <w:t>tarpinstitucinį</w:t>
      </w:r>
      <w:proofErr w:type="spellEnd"/>
      <w:r w:rsidRPr="0030463A">
        <w:t xml:space="preserve"> susitarimą dėl privalomo skaidrumo registro</w:t>
      </w:r>
      <w:r w:rsidRPr="0030463A">
        <w:rPr>
          <w:rStyle w:val="FootnoteReference"/>
          <w:szCs w:val="24"/>
        </w:rPr>
        <w:footnoteReference w:id="6"/>
      </w:r>
      <w:r w:rsidRPr="0030463A">
        <w:t>, ir ragina Audito Rūmus dar kartą apsvarstyti šį klausimą, primindamas savo tvirtą raginimą Audito Rūmams prisijungti prie ES skaidrumo registro, kad būtų laikomasi pagrindinių skaidrumo principų, tačiau nesukuriant jokių kliūčių visiškam Audito Rūmų nepriklausomumui;</w:t>
      </w:r>
    </w:p>
    <w:p w:rsidR="000317A2" w:rsidRPr="0030463A" w:rsidRDefault="000317A2" w:rsidP="000317A2">
      <w:pPr>
        <w:pStyle w:val="NormalHanging12a"/>
        <w:rPr>
          <w:szCs w:val="24"/>
        </w:rPr>
      </w:pPr>
      <w:r w:rsidRPr="0030463A">
        <w:t>42.</w:t>
      </w:r>
      <w:r w:rsidRPr="0030463A">
        <w:tab/>
        <w:t>pažymi, kad Europos kovos su sukčiavimu tarnyba (OLAF) 2022 m. pradėjo vieną tyrimą dėl Audito Rūmų atrankos procedūros ir padarė išvadą, kad atitinkamo asmens elgesys neturėjo įtakos procedūros rezultatams;</w:t>
      </w:r>
    </w:p>
    <w:p w:rsidR="000317A2" w:rsidRPr="0030463A" w:rsidRDefault="000317A2" w:rsidP="000317A2">
      <w:pPr>
        <w:pStyle w:val="NormalHanging12a"/>
        <w:rPr>
          <w:szCs w:val="24"/>
        </w:rPr>
      </w:pPr>
      <w:r w:rsidRPr="0030463A">
        <w:lastRenderedPageBreak/>
        <w:t>43.</w:t>
      </w:r>
      <w:r w:rsidRPr="0030463A">
        <w:tab/>
        <w:t>pažymi, kad 2022 m. Europos ombudsmenas gavo vieną skundą ir atliko tyrimą, kuris buvo baigtas po to, kai Audito Rūmai atsakė skundo pateikėjui;</w:t>
      </w:r>
    </w:p>
    <w:p w:rsidR="000317A2" w:rsidRPr="0030463A" w:rsidRDefault="000317A2" w:rsidP="000317A2">
      <w:pPr>
        <w:pStyle w:val="NormalHanging12a"/>
        <w:rPr>
          <w:szCs w:val="24"/>
        </w:rPr>
      </w:pPr>
      <w:r w:rsidRPr="0030463A">
        <w:t>44.</w:t>
      </w:r>
      <w:r w:rsidRPr="0030463A">
        <w:tab/>
        <w:t>pakartoja, kad yra patenkintas tuo, jog 2022 m. Audito Rūmai pradėjo pildyti Audito Rūmų narių dalyvavimo posėdžiuose registrą, atsižvelgdamas į pakartotinius Parlamento prašymus šiuo klausimu; palankiai vertina tai, kad vykdant biudžeto įvykdymo patvirtinimo procedūrą šis registras pateikus prašymą buvo pateiktas Parlamento pranešėjui kaip biudžeto įvykdymo patvirtinimo procedūros dalis; ragina Audito Rūmus toliau taikyti praktiką, kuria didinamas skaidrumas ir atskaitomybė, pvz., viešai skelbti posėdžių kalendorių;</w:t>
      </w:r>
    </w:p>
    <w:p w:rsidR="000317A2" w:rsidRPr="0030463A" w:rsidRDefault="000317A2" w:rsidP="000317A2">
      <w:pPr>
        <w:pStyle w:val="NormalHanging12a"/>
        <w:rPr>
          <w:szCs w:val="24"/>
        </w:rPr>
      </w:pPr>
      <w:r w:rsidRPr="0030463A">
        <w:t>45.</w:t>
      </w:r>
      <w:r w:rsidRPr="0030463A">
        <w:tab/>
        <w:t>palankiai vertina tai, kad 2022 m. apie jokius interesų konfliktus pranešta nebuvo; be to, pažymi, kad nė vienas iš darbuotojų, paliekančių Audito Rūmus pasibaigus sutarčiai ar dėl kitos priežasties, neinformavo Audito Rūmų, kad nori įsidarbinti privačioje įmonėje, taip pat nepranešė Audito Rūmams, kad per paskutinius trejus jų tarnybos metus pradėjo vykdyti veiklą, nesusijusią su jų darbu Audito Rūmuose; galiausiai pažymi, kad nė vienas buvęs Parlamento narys, Komisijos narys ar aukšto lygio pareigūnas negavo atlyginimo iš Audito Rūmų;</w:t>
      </w:r>
    </w:p>
    <w:p w:rsidR="000317A2" w:rsidRPr="0030463A" w:rsidRDefault="000317A2" w:rsidP="000317A2">
      <w:pPr>
        <w:pStyle w:val="NormalHanging12a"/>
        <w:rPr>
          <w:szCs w:val="24"/>
        </w:rPr>
      </w:pPr>
      <w:r w:rsidRPr="0030463A">
        <w:t>46.</w:t>
      </w:r>
      <w:r w:rsidRPr="0030463A">
        <w:tab/>
        <w:t>pažymi, kad 2022 m. Audito Rūmuose neužregistruota informavimo apie pažeidimus atvejų;</w:t>
      </w:r>
    </w:p>
    <w:p w:rsidR="000317A2" w:rsidRPr="0030463A" w:rsidRDefault="000317A2" w:rsidP="000317A2">
      <w:pPr>
        <w:pStyle w:val="NormalHanging12a"/>
        <w:rPr>
          <w:szCs w:val="24"/>
        </w:rPr>
      </w:pPr>
      <w:r w:rsidRPr="0030463A">
        <w:t>47.</w:t>
      </w:r>
      <w:r w:rsidRPr="0030463A">
        <w:tab/>
        <w:t>apgailestauja, kad Audito Rūmų interneto svetainėje nepateikiamas metinis sutarčių sąrašas, be kita ko, sutarčių, kurių vertė siekia nuo 15 000 EUR iki 60 000 EUR ir kurios buvo sudarytos 2022 m. po derybų, kaip nurodyta deleguotojo leidimus suteikiančio pareigūno ataskaitoje; ragina Audito Rūmus paskelbti šį sąrašą atskirame dokumente ir užtikrinti patogią naudoti prieigą prie jo;</w:t>
      </w:r>
    </w:p>
    <w:p w:rsidR="000317A2" w:rsidRPr="0030463A" w:rsidRDefault="000317A2" w:rsidP="000317A2">
      <w:pPr>
        <w:spacing w:after="240"/>
        <w:rPr>
          <w:b/>
          <w:szCs w:val="24"/>
        </w:rPr>
      </w:pPr>
      <w:r w:rsidRPr="0030463A">
        <w:rPr>
          <w:b/>
        </w:rPr>
        <w:t>Skaitmeninimas, kibernetinis saugumas ir duomenų apsauga</w:t>
      </w:r>
    </w:p>
    <w:p w:rsidR="000317A2" w:rsidRPr="0030463A" w:rsidRDefault="000317A2" w:rsidP="000317A2">
      <w:pPr>
        <w:pStyle w:val="NormalHanging12a"/>
        <w:rPr>
          <w:szCs w:val="24"/>
        </w:rPr>
      </w:pPr>
      <w:r w:rsidRPr="0030463A">
        <w:t>48.</w:t>
      </w:r>
      <w:r w:rsidRPr="0030463A">
        <w:tab/>
        <w:t>palankiai vertina tai, kad Audito Rūmai vadovaujasi plataus masto 2022–2024 m. kibernetinio saugumo planu ir planavo 2023 m. pabaigoje iš naujo įvertinti savo kibernetinio saugumo sistemą, kad būtų užtikrinta visapusiška atitiktis būsimam reglamentui, kuriuo nustatomos priemonės aukštam bendram Sąjungos institucijų, įstaigų, organų ir agentūrų kibernetinio saugumo lygiui užtikrinti; taip pat palankiai vertina tai, kad Audito Rūmai nutraukė sutartį su tiekėju, kurį įsigijo Jungtinių Amerikos Valstijų bendrovė, nes dėl perėmimo keičiasi asmens duomenų tvarkymo būdas;</w:t>
      </w:r>
    </w:p>
    <w:p w:rsidR="000317A2" w:rsidRPr="0030463A" w:rsidRDefault="000317A2" w:rsidP="000317A2">
      <w:pPr>
        <w:pStyle w:val="NormalHanging12a"/>
        <w:rPr>
          <w:szCs w:val="24"/>
        </w:rPr>
      </w:pPr>
      <w:r w:rsidRPr="0030463A">
        <w:t>49.</w:t>
      </w:r>
      <w:r w:rsidRPr="0030463A">
        <w:tab/>
        <w:t xml:space="preserve">palankiai vertina tai, kad 2022 m. Audito Rūmai nepatyrė jokių rimtų kibernetinių išpuolių ir kad duomenų viliojimo e. laiškai tebebuvo didžiausia grėsmė; vis dėlto ragina Audito Rūmus išlikti budrius ir bendradarbiauti su atitinkamomis </w:t>
      </w:r>
      <w:proofErr w:type="spellStart"/>
      <w:r w:rsidRPr="0030463A">
        <w:t>tarpinstitucinėmis</w:t>
      </w:r>
      <w:proofErr w:type="spellEnd"/>
      <w:r w:rsidRPr="0030463A">
        <w:t xml:space="preserve"> Sąjungos įstaigomis siekiant sustiprinti bendrą Sąjungos institucijų kibernetinį saugumą;</w:t>
      </w:r>
    </w:p>
    <w:p w:rsidR="000317A2" w:rsidRPr="0030463A" w:rsidRDefault="000317A2" w:rsidP="000317A2">
      <w:pPr>
        <w:pStyle w:val="NormalHanging12a"/>
        <w:rPr>
          <w:szCs w:val="24"/>
        </w:rPr>
      </w:pPr>
      <w:r w:rsidRPr="0030463A">
        <w:t>50.</w:t>
      </w:r>
      <w:r w:rsidRPr="0030463A">
        <w:tab/>
        <w:t>pažymi, kad 2022 m. Europos duomenų apsaugos priežiūros pareigūnas (EDAPP) nepradėjo, netęsė ir neužbaigė jokių su Audito Rūmais susijusių tyrimų;</w:t>
      </w:r>
    </w:p>
    <w:p w:rsidR="000317A2" w:rsidRPr="0030463A" w:rsidRDefault="000317A2" w:rsidP="000317A2">
      <w:pPr>
        <w:pStyle w:val="NormalHanging12a"/>
        <w:rPr>
          <w:szCs w:val="24"/>
        </w:rPr>
      </w:pPr>
      <w:r w:rsidRPr="0030463A">
        <w:t>51.</w:t>
      </w:r>
      <w:r w:rsidRPr="0030463A">
        <w:tab/>
        <w:t xml:space="preserve">palankiai vertina visas pastangas gerinti audito darbo skaitmeninimą, taip didinant šio darbo veiksmingumą ir tikslumą; visų pirma palankiai vertina tai, kad 2022 m. spalio mėn. pradėtas taikyti duomenų saugyklos kaip paslaugos modelis, pagal kurį </w:t>
      </w:r>
      <w:r w:rsidRPr="0030463A">
        <w:lastRenderedPageBreak/>
        <w:t>naudotojai gali tvarkyti ir analizuoti struktūrizuotus duomenis, pasižyminčius skirtingu savarankiškumo laipsniu; pažymi, kad audito darbo skaitmeninimas priklauso ne tik nuo pačių Audito Rūmų, bet didele dalimi ir nuo duomenų, kuriuos teikia audituojami subjektai, ir kad vis dar esama apribojimų dėl duomenų formato ir naudojamų sistemų įvairovės; taip pat palankiai vertina tai, kad 2022 m. vietoje atlikto audito darbo trukmė buvo 2 984 dienos, daug daugiau nei 2021 m. ir 2020 m. (tas metais didelį poveikį padarė dėl COVID-19 pandemijos nustatyti apribojimai), ir kad patikrinimų vietoje pridėtinė vertė ir veiksmingumas buvo padidinti derinant juos su nuotoliniu darbu;</w:t>
      </w:r>
    </w:p>
    <w:p w:rsidR="000317A2" w:rsidRPr="0030463A" w:rsidRDefault="000317A2" w:rsidP="000317A2">
      <w:pPr>
        <w:pStyle w:val="NormalHanging12a"/>
        <w:rPr>
          <w:szCs w:val="24"/>
        </w:rPr>
      </w:pPr>
      <w:r w:rsidRPr="0030463A">
        <w:t>52.</w:t>
      </w:r>
      <w:r w:rsidRPr="0030463A">
        <w:tab/>
        <w:t>pažymi, kad Audito Rūmai savo sistemose įdiegė keletą atvirosios programinės įrangos elementų, įskaitant „Linux“, „</w:t>
      </w:r>
      <w:proofErr w:type="spellStart"/>
      <w:r w:rsidRPr="0030463A">
        <w:t>Belenios</w:t>
      </w:r>
      <w:proofErr w:type="spellEnd"/>
      <w:r w:rsidRPr="0030463A">
        <w:t>“ ir „</w:t>
      </w:r>
      <w:proofErr w:type="spellStart"/>
      <w:r w:rsidRPr="0030463A">
        <w:t>Nagios</w:t>
      </w:r>
      <w:proofErr w:type="spellEnd"/>
      <w:r w:rsidRPr="0030463A">
        <w:t>“; ragina Audito Rūmus, kai įmanoma, toliau naudoti atvirojo kodo programinę įrangą;</w:t>
      </w:r>
    </w:p>
    <w:p w:rsidR="000317A2" w:rsidRPr="0030463A" w:rsidRDefault="000317A2" w:rsidP="000317A2">
      <w:pPr>
        <w:spacing w:after="240"/>
        <w:rPr>
          <w:b/>
          <w:bCs/>
          <w:iCs/>
          <w:szCs w:val="24"/>
        </w:rPr>
      </w:pPr>
      <w:r w:rsidRPr="0030463A">
        <w:rPr>
          <w:b/>
        </w:rPr>
        <w:t>Pastatai</w:t>
      </w:r>
    </w:p>
    <w:p w:rsidR="000317A2" w:rsidRPr="0030463A" w:rsidRDefault="000317A2" w:rsidP="000317A2">
      <w:pPr>
        <w:pStyle w:val="NormalHanging12a"/>
        <w:rPr>
          <w:szCs w:val="24"/>
        </w:rPr>
      </w:pPr>
      <w:r w:rsidRPr="0030463A">
        <w:t>53.</w:t>
      </w:r>
      <w:r w:rsidRPr="0030463A">
        <w:tab/>
        <w:t>pažymi, kad 2022 m. Audito Rūmai atliko svarbius K2 pastato renovacijos darbus, kurie buvo užbaigti 2023 m. pradžioje ir apėmė keturių aukštų renovaciją; ja siekta sukurti modernią darbo aplinką, kurią vertintų darbuotojai ir kuri būtų palankesnė aplinkai;</w:t>
      </w:r>
    </w:p>
    <w:p w:rsidR="000317A2" w:rsidRPr="0030463A" w:rsidRDefault="000317A2" w:rsidP="000317A2">
      <w:pPr>
        <w:pStyle w:val="NormalHanging12a"/>
        <w:rPr>
          <w:szCs w:val="24"/>
        </w:rPr>
      </w:pPr>
      <w:r w:rsidRPr="0030463A">
        <w:t>54.</w:t>
      </w:r>
      <w:r w:rsidRPr="0030463A">
        <w:tab/>
        <w:t xml:space="preserve">palankiai vertina tai, kad 2022 m. Audito Rūmai, siekdami pagerinti prieinamumą ir reaguoti į riboto </w:t>
      </w:r>
      <w:proofErr w:type="spellStart"/>
      <w:r w:rsidRPr="0030463A">
        <w:t>judumo</w:t>
      </w:r>
      <w:proofErr w:type="spellEnd"/>
      <w:r w:rsidRPr="0030463A">
        <w:t xml:space="preserve"> ar kitą negalią turinčių asmenų poreikius, inicijavo visų Audito Rūmų pastatų prieinamumo auditą, kuris buvo atliktas 2023 m. pradžioje; prašo Audito Rūmų nuolat informuoti Parlamentą apie konkrečias iniciatyvas, įgyvendinamas atliepiant audito metu pasiūlytus veiksmus;</w:t>
      </w:r>
    </w:p>
    <w:p w:rsidR="000317A2" w:rsidRPr="0030463A" w:rsidRDefault="000317A2" w:rsidP="000317A2">
      <w:pPr>
        <w:spacing w:after="240"/>
        <w:rPr>
          <w:b/>
          <w:szCs w:val="24"/>
        </w:rPr>
      </w:pPr>
      <w:r w:rsidRPr="0030463A">
        <w:rPr>
          <w:b/>
        </w:rPr>
        <w:t>Aplinka ir tvarumas</w:t>
      </w:r>
    </w:p>
    <w:p w:rsidR="000317A2" w:rsidRPr="0030463A" w:rsidRDefault="000317A2" w:rsidP="000317A2">
      <w:pPr>
        <w:pStyle w:val="NormalHanging12a"/>
        <w:rPr>
          <w:szCs w:val="24"/>
        </w:rPr>
      </w:pPr>
      <w:r w:rsidRPr="0030463A">
        <w:t>55.</w:t>
      </w:r>
      <w:r w:rsidRPr="0030463A">
        <w:tab/>
        <w:t>palankiai vertina tai, kad 2022 m. Audito Rūmai pateikė antrąją metinę savo veiklos aplinkosauginio tvarumo ataskaitą, laikydamiesi tarptautiniu mastu pripažintų ataskaitų teikimo standartų;</w:t>
      </w:r>
    </w:p>
    <w:p w:rsidR="000317A2" w:rsidRPr="0030463A" w:rsidRDefault="000317A2" w:rsidP="000317A2">
      <w:pPr>
        <w:pStyle w:val="NormalHanging12a"/>
        <w:rPr>
          <w:szCs w:val="24"/>
        </w:rPr>
      </w:pPr>
      <w:r w:rsidRPr="0030463A">
        <w:t>56.</w:t>
      </w:r>
      <w:r w:rsidRPr="0030463A">
        <w:tab/>
        <w:t>pažymi, kad Audito Rūmai keliose srityse pasiekė įspūdingų rezultatų bendro vartojimo mažinimo srityje nuo 2014 m.: elektros energijos suvartojimas sumažėjo 34,5 proc., šildymas – 22,2 proc., popieriaus sunaudojimas – 83,5 proc., vandens – 45,3 proc., išmetamas šiltnamio efektą sukeliančių dujų kiekis – 29,5 proc., o atliekų – 33,7 proc.; ragina Audito Rūmus siekti toliau mažinti vartojimą šiose srityse ir palankiai vertina tai, kad 2023 m. Audito Rūmai pradėjo tyrimą dėl K2 pastato, turėdami tikslą renovuoti stogą ir įrengti saulės baterijų plokštes;</w:t>
      </w:r>
    </w:p>
    <w:p w:rsidR="000317A2" w:rsidRPr="0030463A" w:rsidRDefault="000317A2" w:rsidP="000317A2">
      <w:pPr>
        <w:pStyle w:val="NormalHanging12a"/>
        <w:rPr>
          <w:szCs w:val="24"/>
        </w:rPr>
      </w:pPr>
      <w:r w:rsidRPr="0030463A">
        <w:t>57.</w:t>
      </w:r>
      <w:r w:rsidRPr="0030463A">
        <w:tab/>
        <w:t xml:space="preserve">palankiai vertina tai, kad Audito Rūmai ėmėsi kelių iniciatyvų tvariam </w:t>
      </w:r>
      <w:proofErr w:type="spellStart"/>
      <w:r w:rsidRPr="0030463A">
        <w:t>judumui</w:t>
      </w:r>
      <w:proofErr w:type="spellEnd"/>
      <w:r w:rsidRPr="0030463A">
        <w:t xml:space="preserve"> remti, įskaitant Audito Rūmų švytuoklinio maršruto transporto paslaugos plėtrą, darbuotojams suteikiamą nemokamą Liuksemburgo miesto dviračių paslaugos prenumeratą, dviračių stovėjimo vietų, įskaitant elektrinių dviračių vietas, skaičiaus didinimą ir hibridinių ir elektrinių automobilių įkroviklių įrengimą; ragina Audito Rūmus toliau remti tvarų </w:t>
      </w:r>
      <w:proofErr w:type="spellStart"/>
      <w:r w:rsidRPr="0030463A">
        <w:t>judumą</w:t>
      </w:r>
      <w:proofErr w:type="spellEnd"/>
      <w:r w:rsidRPr="0030463A">
        <w:t>, be kita ko, keičiantis geriausia patirtimi su kitomis institucijomis ir informuojant Parlamentą apie tolesnes iniciatyvas;</w:t>
      </w:r>
    </w:p>
    <w:p w:rsidR="000317A2" w:rsidRPr="0030463A" w:rsidRDefault="000317A2" w:rsidP="000317A2">
      <w:pPr>
        <w:pStyle w:val="NormalHanging12a"/>
        <w:rPr>
          <w:szCs w:val="24"/>
        </w:rPr>
      </w:pPr>
      <w:r w:rsidRPr="0030463A">
        <w:t>58.</w:t>
      </w:r>
      <w:r w:rsidRPr="0030463A">
        <w:tab/>
        <w:t xml:space="preserve">pažymi, kad Audito Rūmai pasirengę nagrinėti, kaip į atnaujintas komandiruočių gaires integruoti aplinkosaugos aspektus; taip pat pažymi, kad 2023–2025 m. laikotarpiu buvo pasiūlyta 5 proc. mažinti vienam etato ekvivalentui tenkančių tarnybinių kelionių skaičių; ragina Audito Rūmus pamėginti įgyvendinti šį tikslą, tačiau kartu užtikrinti, kad </w:t>
      </w:r>
      <w:r w:rsidRPr="0030463A">
        <w:lastRenderedPageBreak/>
        <w:t>būtų vykstama į būtinas audito komandiruotes;</w:t>
      </w:r>
    </w:p>
    <w:p w:rsidR="000317A2" w:rsidRPr="0030463A" w:rsidRDefault="000317A2" w:rsidP="000317A2">
      <w:pPr>
        <w:spacing w:after="240"/>
        <w:rPr>
          <w:b/>
          <w:szCs w:val="24"/>
        </w:rPr>
      </w:pPr>
      <w:proofErr w:type="spellStart"/>
      <w:r w:rsidRPr="0030463A">
        <w:rPr>
          <w:b/>
        </w:rPr>
        <w:t>Tarpinstitucinis</w:t>
      </w:r>
      <w:proofErr w:type="spellEnd"/>
      <w:r w:rsidRPr="0030463A">
        <w:rPr>
          <w:b/>
        </w:rPr>
        <w:t xml:space="preserve"> bendradarbiavimas</w:t>
      </w:r>
    </w:p>
    <w:p w:rsidR="000317A2" w:rsidRPr="0030463A" w:rsidRDefault="000317A2" w:rsidP="000317A2">
      <w:pPr>
        <w:pStyle w:val="NormalHanging12a"/>
        <w:rPr>
          <w:szCs w:val="24"/>
        </w:rPr>
      </w:pPr>
      <w:r w:rsidRPr="0030463A">
        <w:t>59.</w:t>
      </w:r>
      <w:r w:rsidRPr="0030463A">
        <w:tab/>
        <w:t xml:space="preserve">pažymi, kad 2022 m. buvo atnaujinti keli susitarimai dėl paslaugų lygio ir kiti </w:t>
      </w:r>
      <w:proofErr w:type="spellStart"/>
      <w:r w:rsidRPr="0030463A">
        <w:t>tarpinstitucinio</w:t>
      </w:r>
      <w:proofErr w:type="spellEnd"/>
      <w:r w:rsidRPr="0030463A">
        <w:t xml:space="preserve"> bendradarbiavimo susitarimai, įskaitant susitarimus su Komisijos tyrimų ir drausmės tarnyba ir Europos Sąjungos įstaigų vertimo centru;</w:t>
      </w:r>
    </w:p>
    <w:p w:rsidR="000317A2" w:rsidRPr="0030463A" w:rsidRDefault="000317A2" w:rsidP="000317A2">
      <w:pPr>
        <w:pStyle w:val="NormalHanging12a"/>
        <w:rPr>
          <w:szCs w:val="24"/>
        </w:rPr>
      </w:pPr>
      <w:r w:rsidRPr="0030463A">
        <w:t>60.</w:t>
      </w:r>
      <w:r w:rsidRPr="0030463A">
        <w:tab/>
        <w:t>atkreipia dėmesį į 2021 m. lapkričio mėn. trišalį Audito Rūmų, Komisijos ir Europos investicijų banko (EIB) susitarimą; palankiai vertina tai, kad Audito Rūmai laikosi nuomonės, jog tuo susitarimu paaiškinti ir supaprastinti kai kurie procesai ir kad Audito Rūmai įgijo geresnę prieigą prie informacijos, susijusios su operacijomis, finansuojamomis arba garantuojamomis iš Sąjungos biudžeto; vis dėlto apgailestauja, kad šiuo susitarimu neužtikrinama bent tai, kad Audito Rūmai galėtų atlikti veiklos, vykdomos įgyvendinant Sąjungos politiką, aspektų auditą;</w:t>
      </w:r>
    </w:p>
    <w:p w:rsidR="000317A2" w:rsidRPr="0030463A" w:rsidRDefault="000317A2" w:rsidP="000317A2">
      <w:pPr>
        <w:pStyle w:val="NormalHanging12a"/>
        <w:rPr>
          <w:szCs w:val="24"/>
        </w:rPr>
      </w:pPr>
      <w:r w:rsidRPr="0030463A">
        <w:t>61.</w:t>
      </w:r>
      <w:r w:rsidRPr="0030463A">
        <w:tab/>
        <w:t>pabrėžia, kad Parlamentas iš esmės laikosi nuomonės, jog dėl dabartinių Audito Rūmų, kaip EIB auditoriaus, vaidmens apribojimų atsiranda reguliavimo ir priežiūros spraga ir kad Audito Rūmams turėtų būti suteikta galimybė atlikti visų EIB grupės operacijų auditą; kartu pabrėžia, kad Parlamentui, kaip demokratiškai išrinktai institucijai, turėtų būti pavesta patvirtinti EIB biudžeto įvykdymą, siekiant sustiprinti šios svarbios Sąjungos institucijos demokratinį teisėtumą ir atitinkamai padidinti skaidrumą bei atskaitomybę ir užtikrinti gerą finansinių ir žmogiškųjų išteklių valdymą;</w:t>
      </w:r>
    </w:p>
    <w:p w:rsidR="000317A2" w:rsidRPr="0030463A" w:rsidRDefault="000317A2" w:rsidP="000317A2">
      <w:pPr>
        <w:pStyle w:val="NormalHanging12a"/>
        <w:rPr>
          <w:szCs w:val="24"/>
        </w:rPr>
      </w:pPr>
      <w:r w:rsidRPr="0030463A">
        <w:t>62.</w:t>
      </w:r>
      <w:r w:rsidRPr="0030463A">
        <w:tab/>
        <w:t>palankiai vertina tai, kad Audito Rūmai glaudžiai bendradarbiauja su OLAF ir Europos prokuratūra, be kita ko, organizuodami praktinius seminarus, informuotumo didinimo kampanijas ir keisdamiesi žiniomis bei patirtimi; taip pat džiaugdamasis pažymi, kad 2022 m. Audito Rūmai OLAF perdavė informaciją dėl 14 įtariamo sukčiavimo atvejų, o Europos prokuratūrai – 6 bylas; atkreipia dėmesį į savo nuomonę, kad įtarimai sukčiavimu visada turėtų būti perduodami OLAF ir Europos prokuratūrai siekiant juos nuodugniai ištirti;</w:t>
      </w:r>
    </w:p>
    <w:p w:rsidR="000317A2" w:rsidRPr="0030463A" w:rsidRDefault="000317A2" w:rsidP="000317A2">
      <w:pPr>
        <w:pStyle w:val="NormalHanging12a"/>
        <w:rPr>
          <w:szCs w:val="24"/>
        </w:rPr>
      </w:pPr>
      <w:r w:rsidRPr="0030463A">
        <w:t>63.</w:t>
      </w:r>
      <w:r w:rsidRPr="0030463A">
        <w:tab/>
        <w:t>pažymi, kad Audito Rūmai bendradarbiauja su EDAPP per savo duomenų apsaugos pareigūną ir konsultuojasi su EDAPP klausimais, susijusiais su duomenų apsauga; taip pat pažymi, kad 2022 m. buvo baigta nagrinėti byla dėl asmens duomenų saugumo pažeidimo ir pateiktos kelios rekomendacijos; palankiai vertina tai, kad Audito Rūmų duomenų apsaugos pareigūnas dalyvauja duomenų apsaugos pareigūnų tinklo veikloje, kur sprendžiami pasikartojantys klausimai ir dalijamasi geriausios praktikos pavyzdžiais, jis taip pat padeda organizuoti du kartus per metus rengiamus duomenų apsaugos pareigūnų susitikimus;</w:t>
      </w:r>
    </w:p>
    <w:p w:rsidR="000317A2" w:rsidRPr="0030463A" w:rsidRDefault="000317A2" w:rsidP="000317A2">
      <w:pPr>
        <w:pStyle w:val="NormalHanging12a"/>
        <w:rPr>
          <w:szCs w:val="24"/>
        </w:rPr>
      </w:pPr>
      <w:r w:rsidRPr="0030463A">
        <w:t>64.</w:t>
      </w:r>
      <w:r w:rsidRPr="0030463A">
        <w:tab/>
        <w:t xml:space="preserve">pažymi, kad Audito Rūmai bendradarbiauja su Europos ombudsmenu ir teikia visą informaciją, kurios paprašoma Europos ombudsmenui pradėjus tyrimus; palankiai vertina tai, kad Audito Rūmai dalyvauja </w:t>
      </w:r>
      <w:proofErr w:type="spellStart"/>
      <w:r w:rsidRPr="0030463A">
        <w:t>tarpinstitucinėse</w:t>
      </w:r>
      <w:proofErr w:type="spellEnd"/>
      <w:r w:rsidRPr="0030463A">
        <w:t xml:space="preserve"> diskusijose dėl šiuolaikinės komunikacijos, įskaitant </w:t>
      </w:r>
      <w:proofErr w:type="spellStart"/>
      <w:r w:rsidRPr="0030463A">
        <w:t>tikralaikius</w:t>
      </w:r>
      <w:proofErr w:type="spellEnd"/>
      <w:r w:rsidRPr="0030463A">
        <w:t xml:space="preserve"> pokalbius, ir kad Audito Rūmai Europos ombudsmeno gaires šioje srityje laiko etalonu;</w:t>
      </w:r>
    </w:p>
    <w:p w:rsidR="000317A2" w:rsidRPr="0030463A" w:rsidRDefault="000317A2" w:rsidP="000317A2">
      <w:pPr>
        <w:spacing w:after="240"/>
        <w:rPr>
          <w:b/>
          <w:szCs w:val="24"/>
        </w:rPr>
      </w:pPr>
      <w:r w:rsidRPr="0030463A">
        <w:rPr>
          <w:b/>
        </w:rPr>
        <w:t>Komunikacija</w:t>
      </w:r>
    </w:p>
    <w:p w:rsidR="00E365E1" w:rsidRPr="0030463A" w:rsidRDefault="000317A2" w:rsidP="0025540F">
      <w:pPr>
        <w:ind w:left="567" w:hanging="567"/>
      </w:pPr>
      <w:r w:rsidRPr="0030463A">
        <w:t>65.</w:t>
      </w:r>
      <w:r w:rsidRPr="0030463A">
        <w:tab/>
        <w:t xml:space="preserve">palankiai vertina tai, kad 2022 m. sausio mėn. Audito Rūmai priėmė naują komunikacijos strategiją, pagal kurią jų komunikacijos veikloje daugiausia dėmesio </w:t>
      </w:r>
      <w:r w:rsidRPr="0030463A">
        <w:lastRenderedPageBreak/>
        <w:t>skiriama plačiajai visuomenei, ir giria Audito Rūmus už tai, kad jie dabar gali rengti spaudos pranešimus ir internetu transliuojamas konferencijas užtikrindami gerą techninį standartą; taip pat palankiai vertina tai, kad 2023 m. Audito Rūmai atnaujino savo interneto svetainę, siekdami užtikrinti geresnę naudotojų patirtį, ir sukūrė portalą, kuriame su auditais susiję duomenys yra prieinami didesnei auditorijai, įskaitant studentus, akademinę bendruomenę ir plačiąją visuomenę.</w:t>
      </w:r>
      <w:bookmarkStart w:id="9" w:name="TextBodyEnd"/>
      <w:bookmarkEnd w:id="9"/>
    </w:p>
    <w:sectPr w:rsidR="00E365E1" w:rsidRPr="0030463A" w:rsidSect="0030463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702" w:rsidRPr="0030463A" w:rsidRDefault="00F94702">
      <w:r w:rsidRPr="0030463A">
        <w:separator/>
      </w:r>
    </w:p>
  </w:endnote>
  <w:endnote w:type="continuationSeparator" w:id="0">
    <w:p w:rsidR="00F94702" w:rsidRPr="0030463A" w:rsidRDefault="00F94702">
      <w:r w:rsidRPr="003046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17A2" w:rsidRPr="0030463A" w:rsidRDefault="000317A2" w:rsidP="009B00A9">
    <w:pPr>
      <w:pStyle w:val="EPFooter"/>
    </w:pPr>
    <w:r w:rsidRPr="0030463A">
      <w:t>PE</w:t>
    </w:r>
    <w:r w:rsidRPr="0030463A">
      <w:rPr>
        <w:rStyle w:val="HideTWBExt"/>
      </w:rPr>
      <w:t>&lt;</w:t>
    </w:r>
    <w:proofErr w:type="spellStart"/>
    <w:r w:rsidRPr="0030463A">
      <w:rPr>
        <w:rStyle w:val="HideTWBExt"/>
      </w:rPr>
      <w:t>NoPE</w:t>
    </w:r>
    <w:proofErr w:type="spellEnd"/>
    <w:r w:rsidRPr="0030463A">
      <w:rPr>
        <w:rStyle w:val="HideTWBExt"/>
      </w:rPr>
      <w:t>&gt;</w:t>
    </w:r>
    <w:r w:rsidRPr="0030463A">
      <w:t>753.481</w:t>
    </w:r>
    <w:r w:rsidRPr="0030463A">
      <w:rPr>
        <w:rStyle w:val="HideTWBExt"/>
      </w:rPr>
      <w:t>&lt;/</w:t>
    </w:r>
    <w:proofErr w:type="spellStart"/>
    <w:r w:rsidRPr="0030463A">
      <w:rPr>
        <w:rStyle w:val="HideTWBExt"/>
      </w:rPr>
      <w:t>NoPE</w:t>
    </w:r>
    <w:proofErr w:type="spellEnd"/>
    <w:r w:rsidRPr="0030463A">
      <w:rPr>
        <w:rStyle w:val="HideTWBExt"/>
      </w:rPr>
      <w:t>&gt;&lt;Version&gt;</w:t>
    </w:r>
    <w:r w:rsidRPr="0030463A">
      <w:t>v02-00</w:t>
    </w:r>
    <w:r w:rsidRPr="0030463A">
      <w:rPr>
        <w:rStyle w:val="HideTWBExt"/>
      </w:rPr>
      <w:t>&lt;/</w:t>
    </w:r>
    <w:proofErr w:type="spellStart"/>
    <w:r w:rsidRPr="0030463A">
      <w:rPr>
        <w:rStyle w:val="HideTWBExt"/>
      </w:rPr>
      <w:t>Version</w:t>
    </w:r>
    <w:proofErr w:type="spellEnd"/>
    <w:r w:rsidRPr="0030463A">
      <w:rPr>
        <w:rStyle w:val="HideTWBExt"/>
      </w:rPr>
      <w:t>&gt;</w:t>
    </w:r>
    <w:r w:rsidRPr="0030463A">
      <w:tab/>
    </w:r>
    <w:r w:rsidRPr="0030463A">
      <w:fldChar w:fldCharType="begin"/>
    </w:r>
    <w:r w:rsidRPr="0030463A">
      <w:instrText xml:space="preserve"> PAGE  \* MERGEFORMAT </w:instrText>
    </w:r>
    <w:r w:rsidRPr="0030463A">
      <w:fldChar w:fldCharType="separate"/>
    </w:r>
    <w:r w:rsidRPr="0030463A">
      <w:rPr>
        <w:noProof/>
      </w:rPr>
      <w:t>2</w:t>
    </w:r>
    <w:r w:rsidRPr="0030463A">
      <w:fldChar w:fldCharType="end"/>
    </w:r>
    <w:r w:rsidRPr="0030463A">
      <w:t>/</w:t>
    </w:r>
    <w:fldSimple w:instr=" NUMPAGES  \* MERGEFORMAT ">
      <w:r w:rsidRPr="0030463A">
        <w:rPr>
          <w:noProof/>
        </w:rPr>
        <w:t>2</w:t>
      </w:r>
    </w:fldSimple>
    <w:r w:rsidRPr="0030463A">
      <w:tab/>
    </w:r>
    <w:r w:rsidRPr="0030463A">
      <w:rPr>
        <w:rStyle w:val="HideTWBExt"/>
      </w:rPr>
      <w:t>&lt;PathFdR&gt;</w:t>
    </w:r>
    <w:r w:rsidRPr="0030463A">
      <w:t>RR\1298500LT.docx</w:t>
    </w:r>
    <w:r w:rsidRPr="0030463A">
      <w:rPr>
        <w:rStyle w:val="HideTWBExt"/>
      </w:rPr>
      <w:t>&lt;/</w:t>
    </w:r>
    <w:proofErr w:type="spellStart"/>
    <w:r w:rsidRPr="0030463A">
      <w:rPr>
        <w:rStyle w:val="HideTWBExt"/>
      </w:rPr>
      <w:t>PathFdR</w:t>
    </w:r>
    <w:proofErr w:type="spellEnd"/>
    <w:r w:rsidRPr="0030463A">
      <w:rPr>
        <w:rStyle w:val="HideTWBExt"/>
      </w:rPr>
      <w:t>&gt;</w:t>
    </w:r>
  </w:p>
  <w:p w:rsidR="000317A2" w:rsidRPr="0030463A" w:rsidRDefault="000317A2" w:rsidP="009B00A9">
    <w:pPr>
      <w:pStyle w:val="EPFooter2"/>
    </w:pPr>
    <w:r w:rsidRPr="0030463A">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17A2" w:rsidRPr="0030463A" w:rsidRDefault="000317A2" w:rsidP="009B00A9">
    <w:pPr>
      <w:pStyle w:val="EPFooter"/>
    </w:pPr>
    <w:r w:rsidRPr="0030463A">
      <w:rPr>
        <w:rStyle w:val="HideTWBExt"/>
      </w:rPr>
      <w:t>&lt;PathFdR&gt;</w:t>
    </w:r>
    <w:r w:rsidRPr="0030463A">
      <w:t>RR\1298500LT.docx</w:t>
    </w:r>
    <w:r w:rsidRPr="0030463A">
      <w:rPr>
        <w:rStyle w:val="HideTWBExt"/>
      </w:rPr>
      <w:t>&lt;/</w:t>
    </w:r>
    <w:proofErr w:type="spellStart"/>
    <w:r w:rsidRPr="0030463A">
      <w:rPr>
        <w:rStyle w:val="HideTWBExt"/>
      </w:rPr>
      <w:t>PathFdR</w:t>
    </w:r>
    <w:proofErr w:type="spellEnd"/>
    <w:r w:rsidRPr="0030463A">
      <w:rPr>
        <w:rStyle w:val="HideTWBExt"/>
      </w:rPr>
      <w:t>&gt;</w:t>
    </w:r>
    <w:r w:rsidRPr="0030463A">
      <w:tab/>
    </w:r>
    <w:r w:rsidRPr="0030463A">
      <w:tab/>
      <w:t>PE</w:t>
    </w:r>
    <w:r w:rsidRPr="0030463A">
      <w:rPr>
        <w:rStyle w:val="HideTWBExt"/>
      </w:rPr>
      <w:t>&lt;</w:t>
    </w:r>
    <w:proofErr w:type="spellStart"/>
    <w:r w:rsidRPr="0030463A">
      <w:rPr>
        <w:rStyle w:val="HideTWBExt"/>
      </w:rPr>
      <w:t>NoPE</w:t>
    </w:r>
    <w:proofErr w:type="spellEnd"/>
    <w:r w:rsidRPr="0030463A">
      <w:rPr>
        <w:rStyle w:val="HideTWBExt"/>
      </w:rPr>
      <w:t>&gt;</w:t>
    </w:r>
    <w:r w:rsidRPr="0030463A">
      <w:t>753.481</w:t>
    </w:r>
    <w:r w:rsidRPr="0030463A">
      <w:rPr>
        <w:rStyle w:val="HideTWBExt"/>
      </w:rPr>
      <w:t>&lt;/</w:t>
    </w:r>
    <w:proofErr w:type="spellStart"/>
    <w:r w:rsidRPr="0030463A">
      <w:rPr>
        <w:rStyle w:val="HideTWBExt"/>
      </w:rPr>
      <w:t>NoPE</w:t>
    </w:r>
    <w:proofErr w:type="spellEnd"/>
    <w:r w:rsidRPr="0030463A">
      <w:rPr>
        <w:rStyle w:val="HideTWBExt"/>
      </w:rPr>
      <w:t>&gt;&lt;Version&gt;</w:t>
    </w:r>
    <w:r w:rsidRPr="0030463A">
      <w:t>v02-00</w:t>
    </w:r>
    <w:r w:rsidRPr="0030463A">
      <w:rPr>
        <w:rStyle w:val="HideTWBExt"/>
      </w:rPr>
      <w:t>&lt;/</w:t>
    </w:r>
    <w:proofErr w:type="spellStart"/>
    <w:r w:rsidRPr="0030463A">
      <w:rPr>
        <w:rStyle w:val="HideTWBExt"/>
      </w:rPr>
      <w:t>Version</w:t>
    </w:r>
    <w:proofErr w:type="spellEnd"/>
    <w:r w:rsidRPr="0030463A">
      <w:rPr>
        <w:rStyle w:val="HideTWBExt"/>
      </w:rPr>
      <w:t>&gt;</w:t>
    </w:r>
  </w:p>
  <w:p w:rsidR="000317A2" w:rsidRPr="0030463A" w:rsidRDefault="000317A2" w:rsidP="009B00A9">
    <w:pPr>
      <w:pStyle w:val="EPFooter2"/>
    </w:pPr>
    <w:r w:rsidRPr="0030463A">
      <w:t>LT</w:t>
    </w:r>
    <w:r w:rsidRPr="0030463A">
      <w:tab/>
    </w:r>
    <w:r w:rsidRPr="0030463A">
      <w:rPr>
        <w:b w:val="0"/>
        <w:i/>
        <w:color w:val="C0C0C0"/>
        <w:sz w:val="22"/>
      </w:rPr>
      <w:t>Suvienijusi įvairovę</w:t>
    </w:r>
    <w:r w:rsidRPr="0030463A">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463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463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46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702" w:rsidRPr="0030463A" w:rsidRDefault="00F94702">
      <w:r w:rsidRPr="0030463A">
        <w:separator/>
      </w:r>
    </w:p>
  </w:footnote>
  <w:footnote w:type="continuationSeparator" w:id="0">
    <w:p w:rsidR="00F94702" w:rsidRPr="0030463A" w:rsidRDefault="00F94702">
      <w:r w:rsidRPr="0030463A">
        <w:continuationSeparator/>
      </w:r>
    </w:p>
  </w:footnote>
  <w:footnote w:id="1">
    <w:p w:rsidR="000317A2" w:rsidRPr="0030463A" w:rsidRDefault="000317A2" w:rsidP="0030463A">
      <w:pPr>
        <w:pStyle w:val="FootnoteText"/>
        <w:ind w:left="567" w:hanging="567"/>
        <w:rPr>
          <w:sz w:val="24"/>
          <w:lang w:val="lt-LT"/>
        </w:rPr>
      </w:pPr>
      <w:r w:rsidRPr="0030463A">
        <w:rPr>
          <w:rStyle w:val="FootnoteReference"/>
          <w:sz w:val="24"/>
          <w:lang w:val="lt-LT"/>
        </w:rPr>
        <w:footnoteRef/>
      </w:r>
      <w:r w:rsidR="0030463A" w:rsidRPr="0030463A">
        <w:rPr>
          <w:sz w:val="24"/>
          <w:lang w:val="lt-LT"/>
        </w:rPr>
        <w:t xml:space="preserve"> </w:t>
      </w:r>
      <w:r w:rsidR="0030463A" w:rsidRPr="0030463A">
        <w:rPr>
          <w:sz w:val="24"/>
          <w:lang w:val="lt-LT"/>
        </w:rPr>
        <w:tab/>
      </w:r>
      <w:r w:rsidRPr="0030463A">
        <w:rPr>
          <w:sz w:val="24"/>
          <w:lang w:val="lt-LT"/>
        </w:rPr>
        <w:t>OL L 45, 2022 2 24.</w:t>
      </w:r>
    </w:p>
  </w:footnote>
  <w:footnote w:id="2">
    <w:p w:rsidR="000317A2" w:rsidRPr="0030463A" w:rsidRDefault="000317A2" w:rsidP="0030463A">
      <w:pPr>
        <w:pStyle w:val="FootnoteText"/>
        <w:ind w:left="567" w:hanging="567"/>
        <w:rPr>
          <w:sz w:val="24"/>
          <w:lang w:val="lt-LT"/>
        </w:rPr>
      </w:pPr>
      <w:r w:rsidRPr="0030463A">
        <w:rPr>
          <w:rStyle w:val="FootnoteReference"/>
          <w:sz w:val="24"/>
          <w:lang w:val="lt-LT"/>
        </w:rPr>
        <w:footnoteRef/>
      </w:r>
      <w:r w:rsidR="0030463A" w:rsidRPr="0030463A">
        <w:rPr>
          <w:sz w:val="24"/>
          <w:lang w:val="lt-LT"/>
        </w:rPr>
        <w:t xml:space="preserve"> </w:t>
      </w:r>
      <w:r w:rsidR="0030463A" w:rsidRPr="0030463A">
        <w:rPr>
          <w:sz w:val="24"/>
          <w:lang w:val="lt-LT"/>
        </w:rPr>
        <w:tab/>
      </w:r>
      <w:r w:rsidRPr="0030463A">
        <w:rPr>
          <w:sz w:val="24"/>
          <w:lang w:val="lt-LT"/>
        </w:rPr>
        <w:t>OL C, C/2023/2, 2023 10 12.</w:t>
      </w:r>
    </w:p>
  </w:footnote>
  <w:footnote w:id="3">
    <w:p w:rsidR="000317A2" w:rsidRPr="0030463A" w:rsidRDefault="000317A2" w:rsidP="0030463A">
      <w:pPr>
        <w:pStyle w:val="FootnoteText"/>
        <w:ind w:left="567" w:hanging="567"/>
        <w:rPr>
          <w:sz w:val="24"/>
          <w:lang w:val="lt-LT"/>
        </w:rPr>
      </w:pPr>
      <w:r w:rsidRPr="0030463A">
        <w:rPr>
          <w:rStyle w:val="FootnoteReference"/>
          <w:sz w:val="24"/>
          <w:lang w:val="lt-LT"/>
        </w:rPr>
        <w:footnoteRef/>
      </w:r>
      <w:r w:rsidR="0030463A" w:rsidRPr="0030463A">
        <w:rPr>
          <w:sz w:val="24"/>
          <w:lang w:val="lt-LT"/>
        </w:rPr>
        <w:t xml:space="preserve"> </w:t>
      </w:r>
      <w:r w:rsidR="0030463A" w:rsidRPr="0030463A">
        <w:rPr>
          <w:sz w:val="24"/>
          <w:lang w:val="lt-LT"/>
        </w:rPr>
        <w:tab/>
      </w:r>
      <w:r w:rsidRPr="0030463A">
        <w:rPr>
          <w:sz w:val="24"/>
          <w:lang w:val="lt-LT"/>
        </w:rPr>
        <w:t>OL C, C/2023/103, 2023 10 4.</w:t>
      </w:r>
    </w:p>
  </w:footnote>
  <w:footnote w:id="4">
    <w:p w:rsidR="000317A2" w:rsidRPr="0030463A" w:rsidRDefault="000317A2" w:rsidP="0030463A">
      <w:pPr>
        <w:pStyle w:val="FootnoteText"/>
        <w:ind w:left="567" w:hanging="567"/>
        <w:rPr>
          <w:sz w:val="24"/>
          <w:lang w:val="lt-LT"/>
        </w:rPr>
      </w:pPr>
      <w:r w:rsidRPr="0030463A">
        <w:rPr>
          <w:rStyle w:val="FootnoteReference"/>
          <w:sz w:val="24"/>
          <w:lang w:val="lt-LT"/>
        </w:rPr>
        <w:footnoteRef/>
      </w:r>
      <w:r w:rsidR="0030463A" w:rsidRPr="0030463A">
        <w:rPr>
          <w:sz w:val="24"/>
          <w:lang w:val="lt-LT"/>
        </w:rPr>
        <w:t xml:space="preserve"> </w:t>
      </w:r>
      <w:r w:rsidR="0030463A" w:rsidRPr="0030463A">
        <w:rPr>
          <w:sz w:val="24"/>
          <w:lang w:val="lt-LT"/>
        </w:rPr>
        <w:tab/>
      </w:r>
      <w:r w:rsidRPr="0030463A">
        <w:rPr>
          <w:sz w:val="24"/>
          <w:lang w:val="lt-LT"/>
        </w:rPr>
        <w:t>OL C, C/2023/112, 2023 10 12.</w:t>
      </w:r>
    </w:p>
  </w:footnote>
  <w:footnote w:id="5">
    <w:p w:rsidR="000317A2" w:rsidRPr="0030463A" w:rsidRDefault="000317A2" w:rsidP="0030463A">
      <w:pPr>
        <w:pStyle w:val="FootnoteText"/>
        <w:ind w:left="567" w:hanging="567"/>
        <w:rPr>
          <w:sz w:val="24"/>
          <w:szCs w:val="24"/>
          <w:lang w:val="lt-LT"/>
        </w:rPr>
      </w:pPr>
      <w:r w:rsidRPr="0030463A">
        <w:rPr>
          <w:rStyle w:val="FootnoteReference"/>
          <w:sz w:val="24"/>
          <w:lang w:val="lt-LT"/>
        </w:rPr>
        <w:footnoteRef/>
      </w:r>
      <w:r w:rsidR="0030463A" w:rsidRPr="0030463A">
        <w:rPr>
          <w:sz w:val="24"/>
          <w:lang w:val="lt-LT"/>
        </w:rPr>
        <w:t xml:space="preserve"> </w:t>
      </w:r>
      <w:r w:rsidR="0030463A" w:rsidRPr="0030463A">
        <w:rPr>
          <w:sz w:val="24"/>
          <w:lang w:val="lt-LT"/>
        </w:rPr>
        <w:tab/>
      </w:r>
      <w:r w:rsidRPr="0030463A">
        <w:rPr>
          <w:sz w:val="24"/>
          <w:lang w:val="lt-LT"/>
        </w:rPr>
        <w:t>OL L 193, 2018 7 30, p. 1.</w:t>
      </w:r>
    </w:p>
  </w:footnote>
  <w:footnote w:id="6">
    <w:p w:rsidR="000317A2" w:rsidRPr="0030463A" w:rsidRDefault="000317A2" w:rsidP="0030463A">
      <w:pPr>
        <w:pStyle w:val="FootnoteText"/>
        <w:ind w:left="567" w:hanging="567"/>
        <w:rPr>
          <w:sz w:val="24"/>
          <w:lang w:val="lt-LT"/>
        </w:rPr>
      </w:pPr>
      <w:r w:rsidRPr="0030463A">
        <w:rPr>
          <w:rStyle w:val="FootnoteReference"/>
          <w:sz w:val="24"/>
          <w:lang w:val="lt-LT"/>
        </w:rPr>
        <w:footnoteRef/>
      </w:r>
      <w:r w:rsidR="0030463A" w:rsidRPr="0030463A">
        <w:rPr>
          <w:sz w:val="24"/>
          <w:lang w:val="lt-LT"/>
        </w:rPr>
        <w:t xml:space="preserve"> </w:t>
      </w:r>
      <w:r w:rsidR="0030463A" w:rsidRPr="0030463A">
        <w:rPr>
          <w:sz w:val="24"/>
          <w:lang w:val="lt-LT"/>
        </w:rPr>
        <w:tab/>
      </w:r>
      <w:r w:rsidRPr="0030463A">
        <w:rPr>
          <w:sz w:val="24"/>
          <w:lang w:val="lt-LT"/>
        </w:rPr>
        <w:t>OL L 207, 2021 6 11,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463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463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46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4/2024"/>
    <w:docVar w:name="dvlangue" w:val="LT"/>
    <w:docVar w:name="dvnumam" w:val="0"/>
    <w:docVar w:name="dvpe" w:val="753.481"/>
    <w:docVar w:name="dvrapporteur" w:val="Pranešėjas: "/>
    <w:docVar w:name="dvtitre" w:val="Europos Parlamento sprendimas dėl 2022 finansinių metų Europos Sąjungos bendrojo biudžeto įvykdymo patvirtinimo, V skirsnis – Audito Rūmai(2023/2133(DEC))"/>
  </w:docVars>
  <w:rsids>
    <w:rsidRoot w:val="00F94702"/>
    <w:rsid w:val="00002272"/>
    <w:rsid w:val="000317A2"/>
    <w:rsid w:val="00064002"/>
    <w:rsid w:val="000677B9"/>
    <w:rsid w:val="000831BA"/>
    <w:rsid w:val="000A42CC"/>
    <w:rsid w:val="000E7DD9"/>
    <w:rsid w:val="0010095E"/>
    <w:rsid w:val="00125B37"/>
    <w:rsid w:val="00187494"/>
    <w:rsid w:val="001F32AE"/>
    <w:rsid w:val="0025540F"/>
    <w:rsid w:val="002767FF"/>
    <w:rsid w:val="002B18FE"/>
    <w:rsid w:val="002B5493"/>
    <w:rsid w:val="0030463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EC3"/>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4196"/>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072B"/>
    <w:rsid w:val="00F9470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20E4D58-2E0E-4A0B-9A20-078B3216C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317A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317A2"/>
    <w:pPr>
      <w:spacing w:before="480" w:after="240"/>
    </w:pPr>
  </w:style>
  <w:style w:type="paragraph" w:customStyle="1" w:styleId="PageHeading">
    <w:name w:val="PageHeading"/>
    <w:basedOn w:val="Normal"/>
    <w:rsid w:val="000317A2"/>
    <w:pPr>
      <w:keepNext/>
      <w:spacing w:after="480"/>
      <w:jc w:val="center"/>
    </w:pPr>
    <w:rPr>
      <w:rFonts w:ascii="Arial" w:hAnsi="Arial" w:cs="Arial"/>
      <w:b/>
    </w:rPr>
  </w:style>
  <w:style w:type="paragraph" w:customStyle="1" w:styleId="NormalBold">
    <w:name w:val="NormalBold"/>
    <w:basedOn w:val="Normal"/>
    <w:rsid w:val="000317A2"/>
    <w:rPr>
      <w:b/>
    </w:rPr>
  </w:style>
  <w:style w:type="paragraph" w:customStyle="1" w:styleId="NormalHanging12a">
    <w:name w:val="NormalHanging12a"/>
    <w:basedOn w:val="Normal"/>
    <w:link w:val="NormalHanging12aChar"/>
    <w:qFormat/>
    <w:rsid w:val="000317A2"/>
    <w:pPr>
      <w:spacing w:after="240"/>
      <w:ind w:left="567" w:hanging="567"/>
    </w:pPr>
  </w:style>
  <w:style w:type="paragraph" w:styleId="Header">
    <w:name w:val="header"/>
    <w:basedOn w:val="Normal"/>
    <w:link w:val="HeaderChar"/>
    <w:rsid w:val="000317A2"/>
    <w:pPr>
      <w:tabs>
        <w:tab w:val="center" w:pos="4513"/>
        <w:tab w:val="right" w:pos="9026"/>
      </w:tabs>
    </w:pPr>
  </w:style>
  <w:style w:type="character" w:customStyle="1" w:styleId="HeaderChar">
    <w:name w:val="Header Char"/>
    <w:basedOn w:val="DefaultParagraphFont"/>
    <w:link w:val="Header"/>
    <w:rsid w:val="000317A2"/>
    <w:rPr>
      <w:sz w:val="24"/>
      <w:lang w:val="lt-LT"/>
    </w:rPr>
  </w:style>
  <w:style w:type="paragraph" w:customStyle="1" w:styleId="EPFooter">
    <w:name w:val="EPFooter"/>
    <w:basedOn w:val="Normal"/>
    <w:rsid w:val="000317A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317A2"/>
    <w:rPr>
      <w:sz w:val="24"/>
      <w:lang w:val="lt-LT"/>
    </w:rPr>
  </w:style>
  <w:style w:type="paragraph" w:styleId="Footer">
    <w:name w:val="footer"/>
    <w:basedOn w:val="Normal"/>
    <w:link w:val="FooterChar"/>
    <w:rsid w:val="0025540F"/>
    <w:pPr>
      <w:tabs>
        <w:tab w:val="center" w:pos="4513"/>
        <w:tab w:val="right" w:pos="9026"/>
      </w:tabs>
    </w:pPr>
  </w:style>
  <w:style w:type="character" w:customStyle="1" w:styleId="FooterChar">
    <w:name w:val="Footer Char"/>
    <w:basedOn w:val="DefaultParagraphFont"/>
    <w:link w:val="Footer"/>
    <w:rsid w:val="0025540F"/>
    <w:rPr>
      <w:sz w:val="24"/>
      <w:lang w:val="lt-LT"/>
    </w:rPr>
  </w:style>
  <w:style w:type="paragraph" w:styleId="BalloonText">
    <w:name w:val="Balloon Text"/>
    <w:basedOn w:val="Normal"/>
    <w:link w:val="BalloonTextChar"/>
    <w:rsid w:val="00C14196"/>
    <w:rPr>
      <w:rFonts w:ascii="Segoe UI" w:hAnsi="Segoe UI" w:cs="Segoe UI"/>
      <w:sz w:val="18"/>
      <w:szCs w:val="18"/>
    </w:rPr>
  </w:style>
  <w:style w:type="character" w:customStyle="1" w:styleId="BalloonTextChar">
    <w:name w:val="Balloon Text Char"/>
    <w:basedOn w:val="DefaultParagraphFont"/>
    <w:link w:val="BalloonText"/>
    <w:rsid w:val="00C14196"/>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E407B-FD6E-4C34-BDE3-9AEEED213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4657</Words>
  <Characters>30565</Characters>
  <Application>Microsoft Office Word</Application>
  <DocSecurity>0</DocSecurity>
  <Lines>254</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4</cp:revision>
  <cp:lastPrinted>2004-11-19T15:42:00Z</cp:lastPrinted>
  <dcterms:created xsi:type="dcterms:W3CDTF">2024-04-10T16:37:00Z</dcterms:created>
  <dcterms:modified xsi:type="dcterms:W3CDTF">2024-04-11T13:59:00Z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A9-0074/2024</vt:lpwstr>
  </property>
  <property fmtid="{D5CDD505-2E9C-101B-9397-08002B2CF9AE}" pid="4" name="&lt;Type&gt;">
    <vt:lpwstr>RR</vt:lpwstr>
  </property>
</Properties>
</file>