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75379" w:rsidTr="0010095E">
        <w:trPr>
          <w:trHeight w:hRule="exact" w:val="1418"/>
        </w:trPr>
        <w:tc>
          <w:tcPr>
            <w:tcW w:w="6804" w:type="dxa"/>
            <w:shd w:val="clear" w:color="auto" w:fill="auto"/>
            <w:vAlign w:val="center"/>
          </w:tcPr>
          <w:p w:rsidR="00751A4A" w:rsidRPr="00075379" w:rsidRDefault="00A90DD4" w:rsidP="0010095E">
            <w:pPr>
              <w:pStyle w:val="EPName"/>
            </w:pPr>
            <w:bookmarkStart w:id="0" w:name="_GoBack"/>
            <w:bookmarkEnd w:id="0"/>
            <w:r w:rsidRPr="00075379">
              <w:t>Eiropas Parlaments</w:t>
            </w:r>
          </w:p>
          <w:p w:rsidR="00751A4A" w:rsidRPr="00075379" w:rsidRDefault="00817416" w:rsidP="00756632">
            <w:pPr>
              <w:pStyle w:val="EPTerm"/>
              <w:rPr>
                <w:rStyle w:val="HideTWBExt"/>
                <w:noProof w:val="0"/>
                <w:vanish w:val="0"/>
                <w:color w:val="auto"/>
              </w:rPr>
            </w:pPr>
            <w:r w:rsidRPr="00075379">
              <w:t>2019-2024</w:t>
            </w:r>
          </w:p>
        </w:tc>
        <w:tc>
          <w:tcPr>
            <w:tcW w:w="2268" w:type="dxa"/>
            <w:shd w:val="clear" w:color="auto" w:fill="auto"/>
          </w:tcPr>
          <w:p w:rsidR="00751A4A" w:rsidRPr="00075379" w:rsidRDefault="00187494" w:rsidP="0010095E">
            <w:pPr>
              <w:pStyle w:val="EPLogo"/>
            </w:pPr>
            <w:r w:rsidRPr="0007537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75379" w:rsidRDefault="00D058B8" w:rsidP="004C5D52">
      <w:pPr>
        <w:pStyle w:val="LineTop"/>
      </w:pPr>
    </w:p>
    <w:p w:rsidR="00680577" w:rsidRPr="00075379" w:rsidRDefault="00A90DD4" w:rsidP="00680577">
      <w:pPr>
        <w:pStyle w:val="EPBodyTA1"/>
      </w:pPr>
      <w:r w:rsidRPr="00075379">
        <w:t>PIEŅEMTIE TEKSTI</w:t>
      </w:r>
    </w:p>
    <w:p w:rsidR="00D058B8" w:rsidRPr="00075379" w:rsidRDefault="00D058B8" w:rsidP="00D058B8">
      <w:pPr>
        <w:pStyle w:val="LineBottom"/>
      </w:pPr>
    </w:p>
    <w:p w:rsidR="00A90DD4" w:rsidRPr="00075379" w:rsidRDefault="00A90DD4" w:rsidP="00A90DD4">
      <w:pPr>
        <w:pStyle w:val="ATHeading1"/>
      </w:pPr>
      <w:bookmarkStart w:id="1" w:name="TANumber"/>
      <w:r w:rsidRPr="00075379">
        <w:t>P9_TA(2024)0</w:t>
      </w:r>
      <w:r w:rsidR="00075379" w:rsidRPr="00075379">
        <w:t>231</w:t>
      </w:r>
      <w:bookmarkEnd w:id="1"/>
    </w:p>
    <w:p w:rsidR="00A90DD4" w:rsidRPr="00075379" w:rsidRDefault="00FD6B8F" w:rsidP="00A90DD4">
      <w:pPr>
        <w:pStyle w:val="ATHeading2"/>
      </w:pPr>
      <w:bookmarkStart w:id="2" w:name="title"/>
      <w:r w:rsidRPr="00075379">
        <w:t>ES 2022. finanšu gada vispārējā budžeta izpildes apstiprināšana: Revīzijas palāta</w:t>
      </w:r>
      <w:bookmarkEnd w:id="2"/>
    </w:p>
    <w:p w:rsidR="00A90DD4" w:rsidRPr="00075379" w:rsidRDefault="00A90DD4" w:rsidP="00A90DD4">
      <w:pPr>
        <w:rPr>
          <w:i/>
          <w:vanish/>
        </w:rPr>
      </w:pPr>
      <w:r w:rsidRPr="00075379">
        <w:rPr>
          <w:i/>
        </w:rPr>
        <w:fldChar w:fldCharType="begin"/>
      </w:r>
      <w:r w:rsidRPr="00075379">
        <w:rPr>
          <w:i/>
        </w:rPr>
        <w:instrText xml:space="preserve"> TC"(</w:instrText>
      </w:r>
      <w:bookmarkStart w:id="3" w:name="DocNumber"/>
      <w:r w:rsidRPr="00075379">
        <w:rPr>
          <w:i/>
        </w:rPr>
        <w:instrText>A9-0074/2024</w:instrText>
      </w:r>
      <w:bookmarkEnd w:id="3"/>
      <w:r w:rsidRPr="00075379">
        <w:rPr>
          <w:i/>
        </w:rPr>
        <w:instrText xml:space="preserve"> - Referents: Luke Ming Flanagan)"\l3 \n&gt; \* MERGEFORMAT </w:instrText>
      </w:r>
      <w:r w:rsidRPr="00075379">
        <w:rPr>
          <w:i/>
        </w:rPr>
        <w:fldChar w:fldCharType="end"/>
      </w:r>
    </w:p>
    <w:p w:rsidR="00A90DD4" w:rsidRPr="00075379" w:rsidRDefault="00A90DD4" w:rsidP="00A90DD4">
      <w:pPr>
        <w:rPr>
          <w:vanish/>
        </w:rPr>
      </w:pPr>
      <w:bookmarkStart w:id="4" w:name="Commission"/>
      <w:r w:rsidRPr="00075379">
        <w:rPr>
          <w:vanish/>
        </w:rPr>
        <w:t>Budžeta kontroles komiteja</w:t>
      </w:r>
      <w:bookmarkEnd w:id="4"/>
    </w:p>
    <w:p w:rsidR="00A90DD4" w:rsidRPr="00075379" w:rsidRDefault="00A90DD4" w:rsidP="00A90DD4">
      <w:pPr>
        <w:rPr>
          <w:vanish/>
        </w:rPr>
      </w:pPr>
      <w:bookmarkStart w:id="5" w:name="PE"/>
      <w:r w:rsidRPr="00075379">
        <w:rPr>
          <w:vanish/>
        </w:rPr>
        <w:t>PE753.481</w:t>
      </w:r>
      <w:bookmarkEnd w:id="5"/>
    </w:p>
    <w:p w:rsidR="00A90DD4" w:rsidRPr="00075379" w:rsidRDefault="00FD6B8F" w:rsidP="00A90DD4">
      <w:pPr>
        <w:pStyle w:val="ATHeading3"/>
      </w:pPr>
      <w:bookmarkStart w:id="6" w:name="Sujet"/>
      <w:r w:rsidRPr="00075379">
        <w:t>1. E</w:t>
      </w:r>
      <w:r w:rsidR="00A90DD4" w:rsidRPr="00075379">
        <w:t xml:space="preserve">iropas Parlamenta 2024. gada </w:t>
      </w:r>
      <w:r w:rsidR="00232F90" w:rsidRPr="00075379">
        <w:t>11. aprīļa</w:t>
      </w:r>
      <w:r w:rsidR="00A90DD4" w:rsidRPr="00075379">
        <w:t xml:space="preserve"> lēmums par Eiropas Savienības 2022. finanšu gada vispārējā budžeta izpildes apstiprināšanu, V iedaļa — Revīzijas palāta</w:t>
      </w:r>
      <w:bookmarkEnd w:id="6"/>
      <w:r w:rsidR="00A90DD4" w:rsidRPr="00075379">
        <w:t xml:space="preserve"> </w:t>
      </w:r>
      <w:bookmarkStart w:id="7" w:name="References"/>
      <w:r w:rsidR="00A90DD4" w:rsidRPr="00075379">
        <w:t>(2023/2133(DEC))</w:t>
      </w:r>
      <w:bookmarkEnd w:id="7"/>
    </w:p>
    <w:p w:rsidR="00BF7E63" w:rsidRPr="00075379" w:rsidRDefault="00BF7E63" w:rsidP="00BF7E63">
      <w:pPr>
        <w:pStyle w:val="EPComma"/>
      </w:pPr>
      <w:bookmarkStart w:id="8" w:name="TextBodyBegin"/>
      <w:bookmarkEnd w:id="8"/>
      <w:r w:rsidRPr="00075379">
        <w:rPr>
          <w:i/>
        </w:rPr>
        <w:t>Eiropas Parlaments</w:t>
      </w:r>
      <w:r w:rsidRPr="00075379">
        <w:t>,</w:t>
      </w:r>
    </w:p>
    <w:p w:rsidR="00BF7E63" w:rsidRPr="00075379" w:rsidRDefault="00BF7E63" w:rsidP="00BF7E63">
      <w:pPr>
        <w:pStyle w:val="NormalHanging12a"/>
      </w:pPr>
      <w:r w:rsidRPr="00075379">
        <w:t>–</w:t>
      </w:r>
      <w:r w:rsidRPr="00075379">
        <w:tab/>
        <w:t>ņemot vērā Eiropas Savienības 2022. finanšu gada vispārējo budžetu</w:t>
      </w:r>
      <w:r w:rsidRPr="00075379">
        <w:rPr>
          <w:rStyle w:val="FootnoteReference"/>
        </w:rPr>
        <w:footnoteReference w:id="1"/>
      </w:r>
      <w:r w:rsidRPr="00075379">
        <w:t>,</w:t>
      </w:r>
    </w:p>
    <w:p w:rsidR="00BF7E63" w:rsidRPr="00075379" w:rsidRDefault="00BF7E63" w:rsidP="00BF7E63">
      <w:pPr>
        <w:pStyle w:val="NormalHanging12a"/>
      </w:pPr>
      <w:r w:rsidRPr="00075379">
        <w:t>–</w:t>
      </w:r>
      <w:r w:rsidRPr="00075379">
        <w:tab/>
        <w:t>ņemot vērā Eiropas Savienības konsolidētos pārskatus par 2022. finanšu gadu (COM(2023)0391 – C9</w:t>
      </w:r>
      <w:r w:rsidRPr="00075379">
        <w:noBreakHyphen/>
        <w:t>0252/2023)</w:t>
      </w:r>
      <w:r w:rsidRPr="00075379">
        <w:rPr>
          <w:rStyle w:val="FootnoteReference"/>
        </w:rPr>
        <w:footnoteReference w:id="2"/>
      </w:r>
      <w:r w:rsidRPr="00075379">
        <w:t>,</w:t>
      </w:r>
    </w:p>
    <w:p w:rsidR="00BF7E63" w:rsidRPr="00075379" w:rsidRDefault="00BF7E63" w:rsidP="00BF7E63">
      <w:pPr>
        <w:pStyle w:val="NormalHanging12a"/>
      </w:pPr>
      <w:r w:rsidRPr="00075379">
        <w:t>–</w:t>
      </w:r>
      <w:r w:rsidRPr="00075379">
        <w:tab/>
        <w:t xml:space="preserve">ņemot vērā Revīzijas palātas gada ziņojumu par 2022. gadā veiktajām iekšējām revīzijām, ko tā iesniegusi budžeta izpildes </w:t>
      </w:r>
      <w:proofErr w:type="spellStart"/>
      <w:r w:rsidRPr="00075379">
        <w:t>apstiprinātājiestādei</w:t>
      </w:r>
      <w:proofErr w:type="spellEnd"/>
      <w:r w:rsidRPr="00075379">
        <w:t>,</w:t>
      </w:r>
    </w:p>
    <w:p w:rsidR="00BF7E63" w:rsidRPr="00075379" w:rsidRDefault="00BF7E63" w:rsidP="00BF7E63">
      <w:pPr>
        <w:pStyle w:val="NormalHanging12a"/>
      </w:pPr>
      <w:r w:rsidRPr="00075379">
        <w:t>–</w:t>
      </w:r>
      <w:r w:rsidRPr="00075379">
        <w:tab/>
        <w:t>ņemot vērā Revīzijas palātas pārskatu par budžeta izpildi 2022. finanšu gadā un iestāžu atbildes</w:t>
      </w:r>
      <w:r w:rsidRPr="00075379">
        <w:rPr>
          <w:rStyle w:val="FootnoteReference"/>
        </w:rPr>
        <w:footnoteReference w:id="3"/>
      </w:r>
      <w:r w:rsidRPr="00075379">
        <w:t>,</w:t>
      </w:r>
    </w:p>
    <w:p w:rsidR="00BF7E63" w:rsidRPr="00075379" w:rsidRDefault="00BF7E63" w:rsidP="00BF7E63">
      <w:pPr>
        <w:pStyle w:val="NormalHanging12a"/>
      </w:pPr>
      <w:r w:rsidRPr="00075379">
        <w:t>–</w:t>
      </w:r>
      <w:r w:rsidRPr="00075379">
        <w:tab/>
        <w:t>ņemot vērā deklarāciju</w:t>
      </w:r>
      <w:r w:rsidRPr="00075379">
        <w:rPr>
          <w:rStyle w:val="FootnoteReference"/>
        </w:rPr>
        <w:footnoteReference w:id="4"/>
      </w:r>
      <w:r w:rsidRPr="00075379">
        <w:t xml:space="preserve"> par pārskatu ticamību, kā arī par pakārtoto darījumu likumību un pareizību, kuru Revīzijas palāta sniegusi par 2022. finanšu gadu saskaņā ar Līguma par Eiropas Savienības darbību 287. pantu,</w:t>
      </w:r>
    </w:p>
    <w:p w:rsidR="00BF7E63" w:rsidRPr="00075379" w:rsidRDefault="00BF7E63" w:rsidP="00BF7E63">
      <w:pPr>
        <w:pStyle w:val="NormalHanging12a"/>
      </w:pPr>
      <w:r w:rsidRPr="00075379">
        <w:t>–</w:t>
      </w:r>
      <w:r w:rsidRPr="00075379">
        <w:tab/>
        <w:t>ņemot vērā Līguma par Eiropas Savienības darbību 314. panta 10. punktu, kā arī 317., 318. un 319. pantu,</w:t>
      </w:r>
    </w:p>
    <w:p w:rsidR="00BF7E63" w:rsidRPr="00075379" w:rsidRDefault="00BF7E63" w:rsidP="00BF7E63">
      <w:pPr>
        <w:pStyle w:val="NormalHanging12a"/>
      </w:pPr>
      <w:r w:rsidRPr="00075379">
        <w:t>–</w:t>
      </w:r>
      <w:r w:rsidRPr="00075379">
        <w:tab/>
        <w:t xml:space="preserve">ņemot vērā Eiropas Parlamenta un Padomes 2018. gada 18. jūlija Regulu (ES, </w:t>
      </w:r>
      <w:r w:rsidRPr="00075379">
        <w:rPr>
          <w:i/>
          <w:iCs/>
        </w:rPr>
        <w:t>Euratom</w:t>
      </w:r>
      <w:r w:rsidRPr="00075379">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075379">
        <w:rPr>
          <w:i/>
          <w:iCs/>
        </w:rPr>
        <w:t>Euratom</w:t>
      </w:r>
      <w:r w:rsidRPr="00075379">
        <w:t xml:space="preserve">) </w:t>
      </w:r>
      <w:r w:rsidRPr="00075379">
        <w:lastRenderedPageBreak/>
        <w:t>Nr. 966/2012</w:t>
      </w:r>
      <w:r w:rsidRPr="00075379">
        <w:rPr>
          <w:rStyle w:val="FootnoteReference"/>
        </w:rPr>
        <w:footnoteReference w:id="5"/>
      </w:r>
      <w:r w:rsidRPr="00075379">
        <w:t>, un jo īpaši tās 59., 118., 260., 261. un 262. pantu,</w:t>
      </w:r>
    </w:p>
    <w:p w:rsidR="00BF7E63" w:rsidRPr="00075379" w:rsidRDefault="00BF7E63" w:rsidP="00BF7E63">
      <w:pPr>
        <w:pStyle w:val="NormalHanging12a"/>
      </w:pPr>
      <w:r w:rsidRPr="00075379">
        <w:t>–</w:t>
      </w:r>
      <w:r w:rsidRPr="00075379">
        <w:tab/>
        <w:t>ņemot vērā Reglamenta 100. pantu un V pielikumu,</w:t>
      </w:r>
    </w:p>
    <w:p w:rsidR="00BF7E63" w:rsidRPr="00075379" w:rsidRDefault="00BF7E63" w:rsidP="00BF7E63">
      <w:pPr>
        <w:pStyle w:val="NormalHanging12a"/>
      </w:pPr>
      <w:r w:rsidRPr="00075379">
        <w:t>–</w:t>
      </w:r>
      <w:r w:rsidRPr="00075379">
        <w:tab/>
        <w:t>ņemot vērā Budžeta kontroles komitejas ziņojumu (A9-0074/2024),</w:t>
      </w:r>
    </w:p>
    <w:p w:rsidR="00BF7E63" w:rsidRPr="00075379" w:rsidRDefault="00BF7E63" w:rsidP="00BF7E63">
      <w:pPr>
        <w:pStyle w:val="NormalHanging12a"/>
      </w:pPr>
      <w:r w:rsidRPr="00075379">
        <w:t>1.</w:t>
      </w:r>
      <w:r w:rsidRPr="00075379">
        <w:tab/>
        <w:t>sniedz Revīzijas palātas ģenerālsekretāram apstiprinājumu par Revīzijas palātas 2022. finanšu gada budžeta izpildi;</w:t>
      </w:r>
    </w:p>
    <w:p w:rsidR="00BF7E63" w:rsidRPr="00075379" w:rsidRDefault="00BF7E63" w:rsidP="00BF7E63">
      <w:pPr>
        <w:pStyle w:val="NormalHanging12a"/>
      </w:pPr>
      <w:r w:rsidRPr="00075379">
        <w:t>2.</w:t>
      </w:r>
      <w:r w:rsidRPr="00075379">
        <w:tab/>
        <w:t>izklāsta savus konstatējumus turpmāk tekstā iekļautajā rezolūcijā;</w:t>
      </w:r>
    </w:p>
    <w:p w:rsidR="00BF7E63" w:rsidRPr="00075379" w:rsidRDefault="00BF7E63" w:rsidP="00BF7E63">
      <w:pPr>
        <w:pStyle w:val="NormalHanging12a"/>
      </w:pPr>
      <w:r w:rsidRPr="00075379">
        <w:t>3.</w:t>
      </w:r>
      <w:r w:rsidRPr="00075379">
        <w:tab/>
        <w:t xml:space="preserve">uzdod priekšsēdētājai šo lēmumu un rezolūciju, kas ir tā neatņemama daļa, nosūtīt Padomei, Komisijai un Revīzijas palātai, kā arī nodrošināt to publicēšanu </w:t>
      </w:r>
      <w:r w:rsidRPr="00075379">
        <w:rPr>
          <w:i/>
        </w:rPr>
        <w:t>Eiropas Savienības Oficiālajā Vēstnesī</w:t>
      </w:r>
      <w:r w:rsidRPr="00075379">
        <w:t xml:space="preserve"> (L sērijā).</w:t>
      </w:r>
    </w:p>
    <w:p w:rsidR="00BF7E63" w:rsidRPr="00075379" w:rsidRDefault="00BF7E63" w:rsidP="00BF7E63"/>
    <w:p w:rsidR="00BF7E63" w:rsidRPr="00075379" w:rsidRDefault="00BF7E63" w:rsidP="00BF7E63">
      <w:pPr>
        <w:pStyle w:val="PageHeading"/>
        <w:sectPr w:rsidR="00BF7E63" w:rsidRPr="00075379" w:rsidSect="00E4053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F7E63" w:rsidRPr="00075379" w:rsidRDefault="00232F90" w:rsidP="00075379">
      <w:pPr>
        <w:pStyle w:val="ATHeading3"/>
      </w:pPr>
      <w:bookmarkStart w:id="9" w:name="_Toc161327889"/>
      <w:r w:rsidRPr="00075379">
        <w:t>2. Eiropas Parlamenta 2024. gada 11. aprīļa rezolūcija ar konstatējumiem</w:t>
      </w:r>
      <w:bookmarkEnd w:id="9"/>
      <w:r w:rsidR="00BF7E63" w:rsidRPr="00075379">
        <w:t>, kas ir neatņemama daļa no lēmuma par Eiropas Savienības 2022. finanšu gada vispārējā budžeta izpildes apstiprināšanu, V iedaļa — Revīzijas palāta</w:t>
      </w:r>
      <w:r w:rsidRPr="00075379">
        <w:t xml:space="preserve"> </w:t>
      </w:r>
      <w:r w:rsidR="00BF7E63" w:rsidRPr="00075379">
        <w:t>(2023/2133(DEC))</w:t>
      </w:r>
    </w:p>
    <w:p w:rsidR="00BF7E63" w:rsidRPr="00075379" w:rsidRDefault="00BF7E63" w:rsidP="00BF7E63">
      <w:pPr>
        <w:pStyle w:val="EPComma"/>
      </w:pPr>
      <w:r w:rsidRPr="00075379">
        <w:rPr>
          <w:i/>
        </w:rPr>
        <w:t>Eiropas Parlaments</w:t>
      </w:r>
      <w:r w:rsidRPr="00075379">
        <w:t>,</w:t>
      </w:r>
    </w:p>
    <w:p w:rsidR="00BF7E63" w:rsidRPr="00075379" w:rsidRDefault="00BF7E63" w:rsidP="00BF7E63">
      <w:pPr>
        <w:pStyle w:val="NormalHanging12a"/>
        <w:rPr>
          <w:szCs w:val="24"/>
        </w:rPr>
      </w:pPr>
      <w:r w:rsidRPr="00075379">
        <w:t>–</w:t>
      </w:r>
      <w:r w:rsidRPr="00075379">
        <w:tab/>
        <w:t>ņemot vērā lēmumu par Eiropas Savienības 2022. finanšu gada vispārējā budžeta izpildes apstiprināšanu, V iedaļa — Revīzijas palāta,</w:t>
      </w:r>
    </w:p>
    <w:p w:rsidR="00BF7E63" w:rsidRPr="00075379" w:rsidRDefault="00BF7E63" w:rsidP="00BF7E63">
      <w:pPr>
        <w:pStyle w:val="NormalHanging12a"/>
        <w:rPr>
          <w:szCs w:val="24"/>
        </w:rPr>
      </w:pPr>
      <w:r w:rsidRPr="00075379">
        <w:t>–</w:t>
      </w:r>
      <w:r w:rsidRPr="00075379">
        <w:tab/>
        <w:t>ņemot vērā Reglamenta 100. pantu un V pielikumu,</w:t>
      </w:r>
    </w:p>
    <w:p w:rsidR="00BF7E63" w:rsidRPr="00075379" w:rsidRDefault="00BF7E63" w:rsidP="00BF7E63">
      <w:pPr>
        <w:pStyle w:val="NormalHanging12a"/>
        <w:rPr>
          <w:szCs w:val="24"/>
        </w:rPr>
      </w:pPr>
      <w:r w:rsidRPr="00075379">
        <w:t>–</w:t>
      </w:r>
      <w:r w:rsidRPr="00075379">
        <w:tab/>
        <w:t>ņemot vērā Budžeta kontroles komitejas ziņojumu (A9-0074/2024),</w:t>
      </w:r>
    </w:p>
    <w:p w:rsidR="00BF7E63" w:rsidRPr="00075379" w:rsidRDefault="00BF7E63" w:rsidP="00BF7E63">
      <w:pPr>
        <w:pStyle w:val="NormalHanging12a"/>
        <w:rPr>
          <w:szCs w:val="24"/>
        </w:rPr>
      </w:pPr>
      <w:r w:rsidRPr="00075379">
        <w:t>A.</w:t>
      </w:r>
      <w:r w:rsidRPr="00075379">
        <w:tab/>
        <w:t xml:space="preserve">tā kā saistībā ar budžeta izpildes apstiprināšanas procedūru budžeta izpildes </w:t>
      </w:r>
      <w:proofErr w:type="spellStart"/>
      <w:r w:rsidRPr="00075379">
        <w:t>apstiprinātājiestāde</w:t>
      </w:r>
      <w:proofErr w:type="spellEnd"/>
      <w:r w:rsidRPr="00075379">
        <w:t xml:space="preserve"> vēlas uzsvērt, ka ir īpaši svarīgi vēl vairāk pastiprināt Savienības iestāžu demokrātisko leģitimitāti, uzlabojot </w:t>
      </w:r>
      <w:proofErr w:type="spellStart"/>
      <w:r w:rsidRPr="00075379">
        <w:t>pārredzamību</w:t>
      </w:r>
      <w:proofErr w:type="spellEnd"/>
      <w:r w:rsidRPr="00075379">
        <w:t xml:space="preserve"> un </w:t>
      </w:r>
      <w:proofErr w:type="spellStart"/>
      <w:r w:rsidRPr="00075379">
        <w:t>pārskatatbildību</w:t>
      </w:r>
      <w:proofErr w:type="spellEnd"/>
      <w:r w:rsidRPr="00075379">
        <w:t xml:space="preserve"> un īstenojot uz sniegumu balstītas budžeta izstrādes koncepciju un cilvēkresursu labu pārvaldību;</w:t>
      </w:r>
    </w:p>
    <w:p w:rsidR="00BF7E63" w:rsidRPr="00075379" w:rsidRDefault="00BF7E63" w:rsidP="00BF7E63">
      <w:pPr>
        <w:pStyle w:val="NormalHanging12a"/>
        <w:rPr>
          <w:szCs w:val="24"/>
        </w:rPr>
      </w:pPr>
      <w:r w:rsidRPr="00075379">
        <w:t>B.</w:t>
      </w:r>
      <w:r w:rsidRPr="00075379">
        <w:tab/>
        <w:t xml:space="preserve">tā kā Revīzijas palāta ir Savienības ārējais revidents, kam uzticēts neatkarīgā, profesionālā un efektīvā revīzijā izvērtēt Savienības darbības saimnieciskumu, efektivitāti, atbilstību izvirzīto mērķu sasniegšanai, likumību un pareizību, lai uzlabotu </w:t>
      </w:r>
      <w:proofErr w:type="spellStart"/>
      <w:r w:rsidRPr="00075379">
        <w:t>pārskatatbildību</w:t>
      </w:r>
      <w:proofErr w:type="spellEnd"/>
      <w:r w:rsidRPr="00075379">
        <w:t xml:space="preserve">, </w:t>
      </w:r>
      <w:proofErr w:type="spellStart"/>
      <w:r w:rsidRPr="00075379">
        <w:t>pārredzamību</w:t>
      </w:r>
      <w:proofErr w:type="spellEnd"/>
      <w:r w:rsidRPr="00075379">
        <w:t xml:space="preserve"> un finanšu pārvaldību un tādējādi palielinātu iedzīvotāju uzticēšanos un efektīvi reaģētu uz pašreizējām un turpmākajām problēmām, ar ko Savienībai nākas/nāksies saskarties;</w:t>
      </w:r>
    </w:p>
    <w:p w:rsidR="00BF7E63" w:rsidRPr="00075379" w:rsidRDefault="00BF7E63" w:rsidP="00BF7E63">
      <w:pPr>
        <w:pStyle w:val="NormalHanging12a"/>
        <w:rPr>
          <w:szCs w:val="24"/>
        </w:rPr>
      </w:pPr>
      <w:r w:rsidRPr="00075379">
        <w:t>C.</w:t>
      </w:r>
      <w:r w:rsidRPr="00075379">
        <w:tab/>
        <w:t xml:space="preserve">tā kā, neskarot Līguma par Eiropas Savienības darbību (LESD) 287. un 319. panta noteikumus, Revīzijas palātas ieņēmumu un izdevumu pārskatus katru gadu kopš 1987. finanšu gada slēgšanas revidē neatkarīgs ārējais revidents un kopš 1992. finanšu gada ārējā revidenta pārskats tiek publicēts </w:t>
      </w:r>
      <w:r w:rsidRPr="00075379">
        <w:rPr>
          <w:i/>
        </w:rPr>
        <w:t>Eiropas Savienības Oficiālajā Vēstnesī</w:t>
      </w:r>
      <w:r w:rsidRPr="00075379">
        <w:t>;</w:t>
      </w:r>
    </w:p>
    <w:p w:rsidR="00BF7E63" w:rsidRPr="00075379" w:rsidRDefault="00BF7E63" w:rsidP="00BF7E63">
      <w:pPr>
        <w:pStyle w:val="NormalHanging12a"/>
        <w:rPr>
          <w:szCs w:val="24"/>
        </w:rPr>
      </w:pPr>
      <w:r w:rsidRPr="00075379">
        <w:t>D.</w:t>
      </w:r>
      <w:r w:rsidRPr="00075379">
        <w:tab/>
        <w:t xml:space="preserve">tā kā vadības </w:t>
      </w:r>
      <w:proofErr w:type="spellStart"/>
      <w:r w:rsidRPr="00075379">
        <w:t>pārskatatbildība</w:t>
      </w:r>
      <w:proofErr w:type="spellEnd"/>
      <w:r w:rsidRPr="00075379">
        <w:t xml:space="preserve"> budžeta lēmējinstitūciju priekšā tiek nodrošināta, izmantojot Revīzijas palātas ģenerālsekretāra gada darbības pārskatu, kura mērķis saskaņā ar Finanšu regulas 74. panta 9. punktu ir sniegt informāciju par resursu, tostarp sistēmu, pārvaldību un par Revīzijas palātas iekšējās kontroles sistēmu efektivitāti un atbilstību izvirzīto mērķu sasniegšanai;</w:t>
      </w:r>
    </w:p>
    <w:p w:rsidR="00BF7E63" w:rsidRPr="00075379" w:rsidRDefault="00BF7E63" w:rsidP="00BF7E63">
      <w:pPr>
        <w:pStyle w:val="NormalHanging12a"/>
        <w:rPr>
          <w:szCs w:val="24"/>
        </w:rPr>
      </w:pPr>
      <w:r w:rsidRPr="00075379">
        <w:t>E.</w:t>
      </w:r>
      <w:r w:rsidRPr="00075379">
        <w:tab/>
        <w:t>tā kā Revīzijas palāta, veicot darbību pārredzamā un neatkarīgā veidā, veicina demokrātisku uzraudzību, publiskas debates un Savienības finanšu pārvaldības pareizību;</w:t>
      </w:r>
    </w:p>
    <w:p w:rsidR="00BF7E63" w:rsidRPr="00075379" w:rsidRDefault="00BF7E63" w:rsidP="00BF7E63">
      <w:pPr>
        <w:pStyle w:val="NormalHanging12a"/>
        <w:rPr>
          <w:szCs w:val="24"/>
        </w:rPr>
      </w:pPr>
      <w:r w:rsidRPr="00075379">
        <w:t>F.</w:t>
      </w:r>
      <w:r w:rsidRPr="00075379">
        <w:tab/>
        <w:t xml:space="preserve">tā kā Revīzijas palāta ir pieņēmusi nostāju, saskaņā ar kuru Savienības pārvaldības, tās </w:t>
      </w:r>
      <w:proofErr w:type="spellStart"/>
      <w:r w:rsidRPr="00075379">
        <w:t>pārskatatbildības</w:t>
      </w:r>
      <w:proofErr w:type="spellEnd"/>
      <w:r w:rsidRPr="00075379">
        <w:t xml:space="preserve"> un </w:t>
      </w:r>
      <w:proofErr w:type="spellStart"/>
      <w:r w:rsidRPr="00075379">
        <w:t>pārredzamības</w:t>
      </w:r>
      <w:proofErr w:type="spellEnd"/>
      <w:r w:rsidRPr="00075379">
        <w:t xml:space="preserve"> un par Savienības politiku īstenošanu sniegtās informācijas un datu kvalitātes un ticamības izvērtēšanai labākais risinājums būtu pilnvarot Revīzijas palātu veikt revīziju visās Savienības iestādēs, struktūrās, birojos un aģentūrās, kas izveidoti ar Līgumiem vai balstoties uz tiem, kā arī visās starpvaldību struktūrās, kurām ir būtiska nozīme Savienības darbībā; tā kā Parlaments stingri atbalsta Revīzijas palātu šajā jautājumā un atzinīgi vērtētu jebkuru iniciatīvu, ar ko Revīzijas palātai tiktu piešķirtas plašākas pilnvaras,</w:t>
      </w:r>
    </w:p>
    <w:p w:rsidR="00BF7E63" w:rsidRPr="00075379" w:rsidRDefault="00BF7E63" w:rsidP="00BF7E63">
      <w:pPr>
        <w:pStyle w:val="NormalHanging12a"/>
        <w:rPr>
          <w:szCs w:val="24"/>
        </w:rPr>
      </w:pPr>
      <w:r w:rsidRPr="00075379">
        <w:t>1.</w:t>
      </w:r>
      <w:r w:rsidRPr="00075379">
        <w:tab/>
        <w:t>atzīmē, ka Revīzijas palātas budžets ietilpst DFS 7. izdevumu kategorijā "Eiropas publiskā pārvalde", kuras kopējā summa 2022. gadā bija 11,6 miljardi EUR (5,9 % no Savienības kopējā budžeta); norāda, ka 2022. gadā Revīzijas palātas budžets aptuveni 0,2 miljardu EUR apmērā veidoja 1,4 % no kopējiem administratīvajiem izdevumiem;</w:t>
      </w:r>
    </w:p>
    <w:p w:rsidR="00BF7E63" w:rsidRPr="00075379" w:rsidRDefault="00BF7E63" w:rsidP="00BF7E63">
      <w:pPr>
        <w:pStyle w:val="NormalHanging12a"/>
        <w:rPr>
          <w:szCs w:val="24"/>
        </w:rPr>
      </w:pPr>
      <w:r w:rsidRPr="00075379">
        <w:t>2.</w:t>
      </w:r>
      <w:r w:rsidRPr="00075379">
        <w:tab/>
        <w:t>norāda, ka Revīzijas palāta savā gada pārskatā par 2022. finanšu gadu kategorijā “Administrācija” pārbaudīja 60 darījumu izlasi, kas ir tikpat daudz kā 2021. gadā; tāpat norāda uz Revīzijas palātas rakstīto, ka administratīvajos izdevumos ietilpst cilvēkresursu izdevumi, tostarp pensiju izdevumi, kas 2022. gadā veidoja aptuveni 70 % no kopējiem administratīvajiem izdevumiem, kā arī izdevumi saistībā ar ēkām, aprīkojumu, enerģiju un komunikāciju un informācijas tehnoloģijām un ka tās daudzu gadu darbs liecina, ka kopumā šie izdevumi ir ar zemu risku;</w:t>
      </w:r>
    </w:p>
    <w:p w:rsidR="00BF7E63" w:rsidRPr="00075379" w:rsidRDefault="00BF7E63" w:rsidP="00BF7E63">
      <w:pPr>
        <w:pStyle w:val="NormalHanging12a"/>
        <w:rPr>
          <w:szCs w:val="24"/>
        </w:rPr>
      </w:pPr>
      <w:r w:rsidRPr="00075379">
        <w:t>3.</w:t>
      </w:r>
      <w:r w:rsidRPr="00075379">
        <w:tab/>
      </w:r>
      <w:r w:rsidR="00075379" w:rsidRPr="00075379">
        <w:t xml:space="preserve">aicina Revīzijas palātu palielināt pārbaudāmo darījumu skaitu kategorijā “Administrācija” visās iestādēs, kurās jāveic revīzija, lai Parlaments varētu labāk pildīt savu budžeta izpildes </w:t>
      </w:r>
      <w:proofErr w:type="spellStart"/>
      <w:r w:rsidR="00075379" w:rsidRPr="00075379">
        <w:t>apstiprinātājiestādes</w:t>
      </w:r>
      <w:proofErr w:type="spellEnd"/>
      <w:r w:rsidR="00075379" w:rsidRPr="00075379">
        <w:t xml:space="preserve"> funkciju attiecībā uz citām iestādēm; pauž nožēlu par to, ka plāns sagatavot īpašu ziņojumu par iestāžu, kas nav Komisija, administratīvajiem izdevumiem, ir pārskatīts, lai veiktu ES civildienesta revīziju, kurā, iespējams, tiks aplūkota tikai neliela administratīvo izdevumu daļa; atkārtoti uzsver, cik svarīgi ir padziļināti izpētīt administratīvos izdevumus, un atkārtoti aicina savā darbā iekļaut visaptverošus datus par visām iestādēm, lai nodrošinātu saskaņotu pamatu konsekventai budžeta izpildes apstiprināšanas procedūrai;</w:t>
      </w:r>
      <w:r w:rsidRPr="00075379">
        <w:t>;</w:t>
      </w:r>
    </w:p>
    <w:p w:rsidR="00BF7E63" w:rsidRPr="00075379" w:rsidRDefault="00BF7E63" w:rsidP="00BF7E63">
      <w:pPr>
        <w:pStyle w:val="NormalHanging12a"/>
        <w:rPr>
          <w:szCs w:val="24"/>
        </w:rPr>
      </w:pPr>
      <w:r w:rsidRPr="00075379">
        <w:t>4.</w:t>
      </w:r>
      <w:r w:rsidRPr="00075379">
        <w:tab/>
        <w:t xml:space="preserve">norāda, ka Revīzijas palātas gada pārskatus revidē neatkarīgs ārējais revidents, lai šai iestādei piemērotu tādus pašus </w:t>
      </w:r>
      <w:proofErr w:type="spellStart"/>
      <w:r w:rsidRPr="00075379">
        <w:t>pārredzamības</w:t>
      </w:r>
      <w:proofErr w:type="spellEnd"/>
      <w:r w:rsidRPr="00075379">
        <w:t xml:space="preserve">, </w:t>
      </w:r>
      <w:proofErr w:type="spellStart"/>
      <w:r w:rsidRPr="00075379">
        <w:t>pārskatatbildības</w:t>
      </w:r>
      <w:proofErr w:type="spellEnd"/>
      <w:r w:rsidRPr="00075379">
        <w:t xml:space="preserve"> un neatkarības principus, kādus tā piemēro revidējamajām iestādēm; ar gandarījumu atzīmē, ka ārējais revidents pēc Revīzijas palātas revīzijas nav ziņojis par kādām īpašām problēmām;</w:t>
      </w:r>
    </w:p>
    <w:p w:rsidR="00BF7E63" w:rsidRPr="00075379" w:rsidRDefault="00BF7E63" w:rsidP="00BF7E63">
      <w:pPr>
        <w:pStyle w:val="NormalHanging12a"/>
        <w:rPr>
          <w:b/>
          <w:szCs w:val="24"/>
        </w:rPr>
      </w:pPr>
      <w:r w:rsidRPr="00075379">
        <w:rPr>
          <w:b/>
        </w:rPr>
        <w:t>Budžeta un finanšu pārvaldība</w:t>
      </w:r>
    </w:p>
    <w:p w:rsidR="00BF7E63" w:rsidRPr="00075379" w:rsidRDefault="00BF7E63" w:rsidP="00BF7E63">
      <w:pPr>
        <w:pStyle w:val="NormalHanging12a"/>
        <w:rPr>
          <w:szCs w:val="24"/>
        </w:rPr>
      </w:pPr>
      <w:r w:rsidRPr="00075379">
        <w:t>5.</w:t>
      </w:r>
      <w:r w:rsidRPr="00075379">
        <w:tab/>
        <w:t xml:space="preserve">norāda, ka Revīzijas palātas 2022. gada kopējais budžets bija 162 141 175 EUR, kas ir par 5,5 % vairāk par 153 721 727 EUR 2021. gadā; norāda, ka pieaugums galvenokārt bija saistīts ar atalgojuma korekcijām un 20 jaunām pagaidu amata vietām, kas saistītas ar </w:t>
      </w:r>
      <w:proofErr w:type="spellStart"/>
      <w:r w:rsidRPr="00075379">
        <w:rPr>
          <w:i/>
        </w:rPr>
        <w:t>NextGenerationEU</w:t>
      </w:r>
      <w:proofErr w:type="spellEnd"/>
      <w:r w:rsidRPr="00075379">
        <w:t>; norāda, ka 2022. gadā 90 % apropriāciju tika izlietoti Revīzijas palātas locekļiem un personālam, bet 10 % — ēkām, aprīkojumam un citu izdevumu segšanai;</w:t>
      </w:r>
    </w:p>
    <w:p w:rsidR="00BF7E63" w:rsidRPr="00075379" w:rsidRDefault="00BF7E63" w:rsidP="00BF7E63">
      <w:pPr>
        <w:pStyle w:val="NormalHanging12a"/>
        <w:rPr>
          <w:szCs w:val="24"/>
        </w:rPr>
      </w:pPr>
      <w:r w:rsidRPr="00075379">
        <w:t>6.</w:t>
      </w:r>
      <w:r w:rsidRPr="00075379">
        <w:tab/>
        <w:t>Atkārtoti uzsver, cik svarīgi ir nodrošināt, ka Revīzijas palātai ir pienācīgi darbinieki, lai tā varētu pienācīgi īstenot savas pilnvaras, kā arī pildīt jaunos uzdevumus saistībā ar jaunu finansēšanas instrumentu, piemēram, Atveseļošanas un noturības mehānisma (ANM), stāšanos spēkā;</w:t>
      </w:r>
    </w:p>
    <w:p w:rsidR="00BF7E63" w:rsidRPr="00075379" w:rsidRDefault="00BF7E63" w:rsidP="00BF7E63">
      <w:pPr>
        <w:pStyle w:val="NormalHanging12a"/>
        <w:rPr>
          <w:szCs w:val="24"/>
        </w:rPr>
      </w:pPr>
      <w:r w:rsidRPr="00075379">
        <w:t>7.</w:t>
      </w:r>
      <w:r w:rsidRPr="00075379">
        <w:tab/>
        <w:t>norāda, ka 2022. gadā Revīzijas palāta veica 26 budžeta pārvietojumus saskaņā ar Finanšu regulas 29. pantu, kas kopā veidoja 3,4 miljonus EUR jeb 2,1 % no attiecīgā finanšu gada apropriācijām, un tas galvenokārt nozīmē, ka samazinājās izdevumi saistībā ar braucieniem, publikācijām, tulkošanu un juridiskajiem pakalpojumiem un palielinājās izdevumi telpu labiekārtošanai, tostarp jumta atjaunošanai, enerģijas izmaksām, līgumdarbiniekiem un IT iekārtām; norāda arī, ka 2022. gada budžeta izpildes rādītājs bija 98,5 %, kas ir nedaudz lielāks salīdzinājumā ar iepriekšējiem diviem gadiem; atzinīgi vērtē to, ka vidējais maksājumu veikšanas laiks 2022. gadā tika samazināts līdz 9,8 dienām salīdzinājumā ar 10,7 dienām 2021. gadā, visticamāk, pateicoties elektronisko rēķinu īpatsvara pieaugumam, kas bija 24 % salīdzinājumā ar 19 % 2021. gadā;</w:t>
      </w:r>
    </w:p>
    <w:p w:rsidR="00BF7E63" w:rsidRPr="00075379" w:rsidRDefault="00BF7E63" w:rsidP="00BF7E63">
      <w:pPr>
        <w:pStyle w:val="NormalHanging12a"/>
        <w:rPr>
          <w:szCs w:val="24"/>
        </w:rPr>
      </w:pPr>
      <w:r w:rsidRPr="00075379">
        <w:t>8.</w:t>
      </w:r>
      <w:r w:rsidRPr="00075379">
        <w:tab/>
        <w:t>ar gandarījumu atzīmē, ka ārējais revidents ir paziņojis, ka piešķirtie resursi ir izlietoti paredzētajiem mērķiem un ka kredītrīkotāju ieviestās kontroles procedūras sniedz nepieciešamās garantijas, lai nodrošinātu finanšu operāciju atbilstību piemērojamajiem noteikumiem;</w:t>
      </w:r>
    </w:p>
    <w:p w:rsidR="00BF7E63" w:rsidRPr="00075379" w:rsidRDefault="00BF7E63" w:rsidP="00BF7E63">
      <w:pPr>
        <w:pStyle w:val="NormalHanging12a"/>
        <w:rPr>
          <w:szCs w:val="24"/>
        </w:rPr>
      </w:pPr>
      <w:r w:rsidRPr="00075379">
        <w:t>9.</w:t>
      </w:r>
      <w:r w:rsidRPr="00075379">
        <w:tab/>
        <w:t>norāda, ka Krievijas nelikumīgais un nepamatotais agresijas karš pret Ukrainu dažādos veidos radīja spiedienu uz Revīzijas palātas budžetu, tostarp palielinot inflāciju un atalgojuma korekcijas, kā arī būtiski palielinot elektroenerģijas un apkures izmaksas;</w:t>
      </w:r>
    </w:p>
    <w:p w:rsidR="00BF7E63" w:rsidRPr="00075379" w:rsidRDefault="00BF7E63" w:rsidP="00BF7E63">
      <w:pPr>
        <w:pStyle w:val="NormalHanging12a"/>
        <w:rPr>
          <w:szCs w:val="24"/>
        </w:rPr>
      </w:pPr>
      <w:r w:rsidRPr="00075379">
        <w:t>10.</w:t>
      </w:r>
      <w:r w:rsidRPr="00075379">
        <w:tab/>
        <w:t>norāda, ka Revīzijas palātas vispārējais komandējumu budžets samazinājās no 2 988 000 EUR 2021. gadā līdz 2 452 000 EUR 2022. gadā, kas ir samazinājums par 18 %, ko radīja ilgstošie ceļošanas ierobežojumi 2022. gada sākumā un darba metožu izmaiņas, jo lielāks skaits sanāksmju notika attālināti; tāpat norāda, ka Revīzijas palātai nav īpašas budžeta pozīcijas tās priekšsēdētāja komandējumiem un braucieniem; visbeidzot norāda, ka budžeta pozīcija visu Revīzijas palātas locekļu braucieniem gan 2021. gadā, gan arī 2022. gadā bija 290 000 EUR;</w:t>
      </w:r>
    </w:p>
    <w:p w:rsidR="00BF7E63" w:rsidRPr="00075379" w:rsidRDefault="00BF7E63" w:rsidP="00BF7E63">
      <w:pPr>
        <w:pStyle w:val="NormalHanging12a"/>
        <w:rPr>
          <w:szCs w:val="24"/>
        </w:rPr>
      </w:pPr>
      <w:r w:rsidRPr="00075379">
        <w:t>11.</w:t>
      </w:r>
      <w:r w:rsidRPr="00075379">
        <w:tab/>
        <w:t xml:space="preserve">atzinīgi vērtē to, ka kopš 2022. gada Revīzijas palāta ir ieviesusi sīki izstrādātu kontroles metodiku braucienu izmaksu pārvaldībai, kas ietver gan </w:t>
      </w:r>
      <w:proofErr w:type="spellStart"/>
      <w:r w:rsidRPr="00075379">
        <w:rPr>
          <w:i/>
        </w:rPr>
        <w:t>ex</w:t>
      </w:r>
      <w:proofErr w:type="spellEnd"/>
      <w:r w:rsidRPr="00075379">
        <w:rPr>
          <w:i/>
        </w:rPr>
        <w:t> </w:t>
      </w:r>
      <w:proofErr w:type="spellStart"/>
      <w:r w:rsidRPr="00075379">
        <w:rPr>
          <w:i/>
        </w:rPr>
        <w:t>ante</w:t>
      </w:r>
      <w:proofErr w:type="spellEnd"/>
      <w:r w:rsidRPr="00075379">
        <w:t xml:space="preserve">, gan arī </w:t>
      </w:r>
      <w:proofErr w:type="spellStart"/>
      <w:r w:rsidRPr="00075379">
        <w:rPr>
          <w:i/>
        </w:rPr>
        <w:t>ex</w:t>
      </w:r>
      <w:proofErr w:type="spellEnd"/>
      <w:r w:rsidRPr="00075379">
        <w:rPr>
          <w:i/>
        </w:rPr>
        <w:t> post</w:t>
      </w:r>
      <w:r w:rsidRPr="00075379">
        <w:t xml:space="preserve"> kontroles pasākumus;</w:t>
      </w:r>
    </w:p>
    <w:p w:rsidR="00BF7E63" w:rsidRPr="00075379" w:rsidRDefault="00BF7E63" w:rsidP="00BF7E63">
      <w:pPr>
        <w:pStyle w:val="NormalHanging12a"/>
        <w:rPr>
          <w:b/>
          <w:szCs w:val="24"/>
        </w:rPr>
      </w:pPr>
      <w:r w:rsidRPr="00075379">
        <w:rPr>
          <w:b/>
        </w:rPr>
        <w:t>Iekšējā pārvaldība, sniegums un iekšējā kontrole</w:t>
      </w:r>
    </w:p>
    <w:p w:rsidR="00BF7E63" w:rsidRPr="00075379" w:rsidRDefault="00BF7E63" w:rsidP="00BF7E63">
      <w:pPr>
        <w:pStyle w:val="NormalHanging12a"/>
        <w:rPr>
          <w:szCs w:val="24"/>
        </w:rPr>
      </w:pPr>
      <w:r w:rsidRPr="00075379">
        <w:t>12.</w:t>
      </w:r>
      <w:r w:rsidRPr="00075379">
        <w:tab/>
        <w:t>norāda, ka 2022. gads bija otrais Revīzijas palātas 2021.–2025. gada stratēģijas īstenošanas gads un ka 2022. gada beigās no 29 stratēģiskajiem pasākumiem pilnībā bija īstenoti 18 pasākumi vai arī bija izveidots satvars pasākumu īstenošanai un tika veiktas papildu darbības, savukārt 11 pasākumi tika īstenoti pirmo reizi vai atkārtoti;</w:t>
      </w:r>
    </w:p>
    <w:p w:rsidR="00BF7E63" w:rsidRPr="00075379" w:rsidRDefault="00BF7E63" w:rsidP="00BF7E63">
      <w:pPr>
        <w:pStyle w:val="NormalHanging12a"/>
        <w:rPr>
          <w:szCs w:val="24"/>
        </w:rPr>
      </w:pPr>
      <w:r w:rsidRPr="00075379">
        <w:t>13.</w:t>
      </w:r>
      <w:r w:rsidRPr="00075379">
        <w:tab/>
        <w:t>norāda, ka 2022. gadā Revīzijas palāta iesniedza 7 gada pārskatus, 8 atzinumus, 28 īpašos ziņojumus un vienu apskatu un to skaits ir ļoti līdzīgs 2020. un 2021. gadā iesniegto ziņojumu, atzinumu, īpašo ziņojumu un apskatu skaitam;</w:t>
      </w:r>
    </w:p>
    <w:p w:rsidR="00BF7E63" w:rsidRPr="00075379" w:rsidRDefault="00BF7E63" w:rsidP="00BF7E63">
      <w:pPr>
        <w:pStyle w:val="NormalHanging12a"/>
        <w:rPr>
          <w:szCs w:val="24"/>
        </w:rPr>
      </w:pPr>
      <w:r w:rsidRPr="00075379">
        <w:t>14.</w:t>
      </w:r>
      <w:r w:rsidRPr="00075379">
        <w:tab/>
        <w:t>norāda, ka Revīzijas palāta savu darba programmu sastāda pilnīgi neatkarīgi, tostarp nosaka, kādus īpašos ziņojumus būtu jāsagatavo; atkārtoti iesaka Revīzijas palātai izstrādāt īpašos ziņojumus, kas vērsti uz esošo situāciju un problēmām Savienībā ar skaidru uzsvaru uz finansēm un būtiskumu, jo tie piesaistīs lielāku uzmanību no ieinteresētajām personām Parlamentā un citur; šajā sakarā atzinīgi vērtē Revīzijas palātas plānošanas procesa pārskatīšanu 2022. gadā, ieviešot lielāku elastību neatliekamu jautājumu risināšanā, lai labāk kalpotu tās ieinteresēto personu interesēm;</w:t>
      </w:r>
    </w:p>
    <w:p w:rsidR="00BF7E63" w:rsidRPr="00075379" w:rsidRDefault="00BF7E63" w:rsidP="00BF7E63">
      <w:pPr>
        <w:pStyle w:val="NormalHanging12a"/>
        <w:rPr>
          <w:szCs w:val="24"/>
        </w:rPr>
      </w:pPr>
      <w:r w:rsidRPr="00075379">
        <w:t>15.</w:t>
      </w:r>
      <w:r w:rsidRPr="00075379">
        <w:tab/>
        <w:t>atzinīgi vērtē to, ka, ņemot vērā Parlamenta lūgumu, Revīzijas palāta revīzijas darbā ir pievērusies pašreizējām Eiropas problēmām, ko apliecina Atzinuma Nr. 3/2023 par Ukrainas mehānismu ļoti ātra sagatavošana un tā īstenošanas uzraudzībai veltītā uzmanība; pauž bažas par to, ka revīzijas darbam saistībā ar Atveseļošanas un noturības mehānismu (ANM) Revīzijas palātai joprojām nav pilnīgas piekļuves ziņošanas rīkam par ANM īstenošanu (</w:t>
      </w:r>
      <w:r w:rsidRPr="00075379">
        <w:rPr>
          <w:i/>
          <w:iCs/>
        </w:rPr>
        <w:t>FENIX</w:t>
      </w:r>
      <w:r w:rsidRPr="00075379">
        <w:t>) un ka informācija šajā IT rīkā netiek savlaicīgi atjaunināta; atbalsta Revīzijas palātas nostāju, ka Finanšu regulas 257. pants paredz Revīzijas palātai pilnas un tūlītējas piekļuves tiesības; turklāt aicina Komisiju piešķirt Revīzijas palātai piekļuvi cita veida būtiskai informācijai, lai tā varētu pildīt savus uzdevumus;</w:t>
      </w:r>
    </w:p>
    <w:p w:rsidR="00BF7E63" w:rsidRPr="00075379" w:rsidRDefault="00BF7E63" w:rsidP="00BF7E63">
      <w:pPr>
        <w:pStyle w:val="NormalHanging12a"/>
        <w:rPr>
          <w:szCs w:val="24"/>
        </w:rPr>
      </w:pPr>
      <w:r w:rsidRPr="00075379">
        <w:t>16.</w:t>
      </w:r>
      <w:r w:rsidRPr="00075379">
        <w:tab/>
        <w:t xml:space="preserve">atzinīgi vērtē savlaicīgos un attiecīgos īpašos ziņojumus par ANM īstenošanu, kas ļauj budžeta izpildes </w:t>
      </w:r>
      <w:proofErr w:type="spellStart"/>
      <w:r w:rsidRPr="00075379">
        <w:t>apstiprinātājiestādei</w:t>
      </w:r>
      <w:proofErr w:type="spellEnd"/>
      <w:r w:rsidRPr="00075379">
        <w:t xml:space="preserve"> īstenot savas prerogatīvas un sniegt Komisijai ieteikumus par minētā instrumenta darbības uzlabošanu;</w:t>
      </w:r>
    </w:p>
    <w:p w:rsidR="00BF7E63" w:rsidRPr="00075379" w:rsidRDefault="00BF7E63" w:rsidP="00BF7E63">
      <w:pPr>
        <w:pStyle w:val="NormalHanging12a"/>
        <w:rPr>
          <w:szCs w:val="24"/>
        </w:rPr>
      </w:pPr>
      <w:r w:rsidRPr="00075379">
        <w:t>17.</w:t>
      </w:r>
      <w:r w:rsidRPr="00075379">
        <w:tab/>
        <w:t>atzinīgi vērtē to, ka Revīzijas palāta saskaņā ar Finanšu regulas 118. panta 8. punktu ir iesniegusi kopsavilkumu par 2022. gadā Revīzijas palātā veikto iekšējo revīziju skaitu un veidu, kā arī kopsavilkumu par ieteikumiem un saistībā ar tiem veiktajiem pasākumiem; norāda, ka iekšējā revidenta gada darba programma ietvēra periodiski veicamus darbuzdevumus, atlasītus darbuzdevumus un citus gada laikā veiktus darbuzdevumus; norāda, ka dažas darbības, ko bija paredzēts veikt 2022. gadā, ir atliktas uz 2023. gadu, un aicina Revīzijas palātu ziņot Parlamentam par to īstenošanu;</w:t>
      </w:r>
    </w:p>
    <w:p w:rsidR="00BF7E63" w:rsidRPr="00075379" w:rsidRDefault="00BF7E63" w:rsidP="00BF7E63">
      <w:pPr>
        <w:pStyle w:val="NormalHanging12a"/>
        <w:rPr>
          <w:szCs w:val="24"/>
        </w:rPr>
      </w:pPr>
      <w:r w:rsidRPr="00075379">
        <w:t>18.</w:t>
      </w:r>
      <w:r w:rsidRPr="00075379">
        <w:tab/>
        <w:t xml:space="preserve">mudina Revīzijas palātu palielināt savu ieguldījumu krāpšanas attiecībā uz Savienības budžetu apkarošanā, ne tikai identificējot trūkumus, kuru dēļ Savienības finansētās programmas ir pakļautas krāpšanas riskam, un ziņojot par tiem, bet arī ņemot vērā patlaban notiekošās debates starp krāpšanas apkarošanas sistēmas elementiem un pastiprinot revīzijas darbu sadarbībā ar struktūrām, kas atbildīgas par krāpšanas atklāšanu, regulāri novērtējot to darbības un sniedzot budžeta izpildes </w:t>
      </w:r>
      <w:proofErr w:type="spellStart"/>
      <w:r w:rsidRPr="00075379">
        <w:t>apstiprinātājiestādei</w:t>
      </w:r>
      <w:proofErr w:type="spellEnd"/>
      <w:r w:rsidRPr="00075379">
        <w:t xml:space="preserve"> atgriezenisko saiti par tās veikto analīzi;</w:t>
      </w:r>
    </w:p>
    <w:p w:rsidR="00BF7E63" w:rsidRPr="00075379" w:rsidRDefault="00BF7E63" w:rsidP="00BF7E63">
      <w:pPr>
        <w:pStyle w:val="NormalHanging12a"/>
        <w:rPr>
          <w:szCs w:val="24"/>
        </w:rPr>
      </w:pPr>
      <w:r w:rsidRPr="00075379">
        <w:t>19.</w:t>
      </w:r>
      <w:r w:rsidRPr="00075379">
        <w:tab/>
        <w:t xml:space="preserve">atzinīgi vērtē to, ka Revīzijas palātas stratēģijā 2021.–2025. gadam ir noteikti </w:t>
      </w:r>
      <w:proofErr w:type="spellStart"/>
      <w:r w:rsidRPr="00075379">
        <w:t>izmaksefektīvi</w:t>
      </w:r>
      <w:proofErr w:type="spellEnd"/>
      <w:r w:rsidRPr="00075379">
        <w:t xml:space="preserve"> ieteikumi, lai veicinātu birokrātijas mazināšanu Savienības iestādēs; norāda, ka minētā mērķa sasniegšanai jo īpaši noder Revīzijas palātas ieteikumi par procedūru efektivitātes paaugstināšanu, izmantojot labāko praksi, uzlabojot koordināciju, nosakot standarta procedūras, novēršot pārmērīgu reglamentēšanu un veicot vienkāršošanu un </w:t>
      </w:r>
      <w:proofErr w:type="spellStart"/>
      <w:r w:rsidRPr="00075379">
        <w:t>digitalizāciju</w:t>
      </w:r>
      <w:proofErr w:type="spellEnd"/>
      <w:r w:rsidRPr="00075379">
        <w:t>;</w:t>
      </w:r>
    </w:p>
    <w:p w:rsidR="00BF7E63" w:rsidRPr="00075379" w:rsidRDefault="00BF7E63" w:rsidP="00BF7E63">
      <w:pPr>
        <w:pStyle w:val="NormalHanging12a"/>
        <w:rPr>
          <w:szCs w:val="24"/>
        </w:rPr>
      </w:pPr>
      <w:r w:rsidRPr="00075379">
        <w:t>20.</w:t>
      </w:r>
      <w:r w:rsidRPr="00075379">
        <w:tab/>
        <w:t xml:space="preserve">mudina Revīzijas palātu turpināt ieteikt izstrādāt un uzturēt Savienības mēroga datubāzes un centienus efektīvu </w:t>
      </w:r>
      <w:proofErr w:type="spellStart"/>
      <w:r w:rsidRPr="00075379">
        <w:t>datizraces</w:t>
      </w:r>
      <w:proofErr w:type="spellEnd"/>
      <w:r w:rsidRPr="00075379">
        <w:t xml:space="preserve"> spēju veidošanai, lai veiktu datu analīzi Savienības līmenī un noteiktu Savienībai būtiskus riskus; aicina Revīzijas palātu strādāt, lai apzinātu nepieciešamās prasības tādu datu vākšanai, apstrādei un glabāšanai, kas vajadzīgi, lai varētu viegli un </w:t>
      </w:r>
      <w:proofErr w:type="spellStart"/>
      <w:r w:rsidRPr="00075379">
        <w:t>sadarbspējīgā</w:t>
      </w:r>
      <w:proofErr w:type="spellEnd"/>
      <w:r w:rsidRPr="00075379">
        <w:t xml:space="preserve"> veidā revidēt to, kā dalībvalstis izlieto publisko finansējumu;</w:t>
      </w:r>
    </w:p>
    <w:p w:rsidR="00BF7E63" w:rsidRPr="00075379" w:rsidRDefault="00BF7E63" w:rsidP="00BF7E63">
      <w:pPr>
        <w:pStyle w:val="NormalHanging12a"/>
        <w:rPr>
          <w:b/>
          <w:szCs w:val="24"/>
        </w:rPr>
      </w:pPr>
      <w:r w:rsidRPr="00075379">
        <w:rPr>
          <w:b/>
        </w:rPr>
        <w:t xml:space="preserve">Cilvēkresursi, līdztiesība un darbinieku </w:t>
      </w:r>
      <w:proofErr w:type="spellStart"/>
      <w:r w:rsidRPr="00075379">
        <w:rPr>
          <w:b/>
        </w:rPr>
        <w:t>labbūtība</w:t>
      </w:r>
      <w:proofErr w:type="spellEnd"/>
    </w:p>
    <w:p w:rsidR="00BF7E63" w:rsidRPr="00075379" w:rsidRDefault="00BF7E63" w:rsidP="00BF7E63">
      <w:pPr>
        <w:pStyle w:val="NormalHanging12a"/>
        <w:rPr>
          <w:szCs w:val="24"/>
        </w:rPr>
      </w:pPr>
      <w:r w:rsidRPr="00075379">
        <w:t>21.</w:t>
      </w:r>
      <w:r w:rsidRPr="00075379">
        <w:tab/>
        <w:t>norāda, ka 2022. gada beigās Revīzijas palātā bija 921 darbinieks, kas ir nedaudz vairāk par 917 darbiniekiem 2021. gada beigās un 910 darbiniekiem 2020. gada beigās; atzīmē, ka kopējais sadalījums pēc dzimuma 2022. gada beigās bija 434 vīrieši, kas atbilst 47,1 %, un 487 sievietes, kas atbilst 52,9 %; aicina Revīzijas palātu turpināt centienus veicināt dzimumu līdzsvaru vidējā un augstākā līmeņa vadībā; tāpat norāda, ka kopējais sadalījums pēc darbinieku kategorijām bija 830 ierēdņi (90 %), tostarp 620 administratori (AD), 210 asistenti un sekretāri (AST/SC), kā arī 91 līgumdarbinieks (10 %);</w:t>
      </w:r>
    </w:p>
    <w:p w:rsidR="00BF7E63" w:rsidRPr="00075379" w:rsidRDefault="00BF7E63" w:rsidP="00BF7E63">
      <w:pPr>
        <w:pStyle w:val="NormalHanging12a"/>
        <w:rPr>
          <w:szCs w:val="24"/>
        </w:rPr>
      </w:pPr>
      <w:r w:rsidRPr="00075379">
        <w:t>22.</w:t>
      </w:r>
      <w:r w:rsidRPr="00075379">
        <w:tab/>
        <w:t>norāda, ka AD 13.–16. pakāpes darbinieku skaits bija 79 un no tiem 49 bija vīrieši un 30 sievietes, kas atbilst 62 % vīriešu un 38 % sieviešu, — tas ir neliels sieviešu procentuālās daļas pieaugums šajās kategorijās salīdzinājumā ar 37,5 % 2021. gadā un 34,5 % 2020. gadā;</w:t>
      </w:r>
    </w:p>
    <w:p w:rsidR="00BF7E63" w:rsidRPr="00075379" w:rsidRDefault="00BF7E63" w:rsidP="00BF7E63">
      <w:pPr>
        <w:pStyle w:val="NormalHanging12a"/>
        <w:rPr>
          <w:szCs w:val="24"/>
        </w:rPr>
      </w:pPr>
      <w:r w:rsidRPr="00075379">
        <w:t>23.</w:t>
      </w:r>
      <w:r w:rsidRPr="00075379">
        <w:tab/>
        <w:t>pauž dziļu nožēlu par dzimumu līdzsvara trūkumu Revīzijas palātas kolēģijā: tās pašreizējā sastāvā tikai 10 no 25 locekļiem ir sievietes, ņemot vērā to, ka vēl nav iecelti locekļi no Portugāles un Bulgārijas; saprot, ka tās locekļu iecelšanas procedūrā ir sarežģīti panākt dzimumu līdzsvaru, jo par attiecīgo locekļu izvirzīšanu ir atbildīgas tikai dalībvalstis; tomēr aicina Revīzijas palātu analizēt tās vispārējo sastāvu nolūkā informēt Padomi un iesaistītās dalībvalstis, lai, pieņemot iecelšanas lēmumu, tiktu ņemts vērā dzimumu līdzsvars;</w:t>
      </w:r>
    </w:p>
    <w:p w:rsidR="00BF7E63" w:rsidRPr="00075379" w:rsidRDefault="00BF7E63" w:rsidP="00BF7E63">
      <w:pPr>
        <w:pStyle w:val="NormalHanging12a"/>
        <w:rPr>
          <w:szCs w:val="24"/>
        </w:rPr>
      </w:pPr>
      <w:r w:rsidRPr="00075379">
        <w:t>24.</w:t>
      </w:r>
      <w:r w:rsidRPr="00075379">
        <w:tab/>
        <w:t>pauž nožēlu, ka Padome atkārtoti ieceļ tādus Revīzijas palātas locekļus, kuru kandidatūru Parlaments ir noraidījis; uzsver, ka Parlamentam vajadzētu būt saistošai lomai, novērtējot kandidātu piemērotību Revīzijas palātas locekļa amatam;</w:t>
      </w:r>
    </w:p>
    <w:p w:rsidR="00BF7E63" w:rsidRPr="00075379" w:rsidRDefault="00BF7E63" w:rsidP="00BF7E63">
      <w:pPr>
        <w:pStyle w:val="NormalHanging12a"/>
        <w:rPr>
          <w:szCs w:val="24"/>
        </w:rPr>
      </w:pPr>
      <w:r w:rsidRPr="00075379">
        <w:t>25.</w:t>
      </w:r>
      <w:r w:rsidRPr="00075379">
        <w:tab/>
        <w:t xml:space="preserve">atzinīgi vērtē to, ka Revīzijas palātas darbinieku vidū gan AD, gan arī AST/SC kategorijā ir pārstāvēti visu Savienības dalībvalstu </w:t>
      </w:r>
      <w:proofErr w:type="spellStart"/>
      <w:r w:rsidRPr="00075379">
        <w:t>valstspiederīgie</w:t>
      </w:r>
      <w:proofErr w:type="spellEnd"/>
      <w:r w:rsidRPr="00075379">
        <w:t xml:space="preserve">; tomēr ar nožēlu norāda, ka dažu dalībvalstu </w:t>
      </w:r>
      <w:proofErr w:type="spellStart"/>
      <w:r w:rsidRPr="00075379">
        <w:t>valstspiederīgie</w:t>
      </w:r>
      <w:proofErr w:type="spellEnd"/>
      <w:r w:rsidRPr="00075379">
        <w:t xml:space="preserve"> ir nepietiekami pārstāvēti, un atzinīgi vērtē to, ka Revīzijas palāta ir mēģinājusi tieši informēt par vakancēm dažās dalībvalstīs (Dānijā, Igaunijā un Latvijā); atzinīgi vērtē to, ka atlases procedūrās tiek izmantoti jauni publicēšanas veidi, lai piesaistītu dažādas auditorijas no dažādām dalībvalstīm;</w:t>
      </w:r>
    </w:p>
    <w:p w:rsidR="00BF7E63" w:rsidRPr="00075379" w:rsidRDefault="00BF7E63" w:rsidP="00BF7E63">
      <w:pPr>
        <w:pStyle w:val="NormalHanging12a"/>
        <w:rPr>
          <w:szCs w:val="24"/>
        </w:rPr>
      </w:pPr>
      <w:r w:rsidRPr="00075379">
        <w:t>26.</w:t>
      </w:r>
      <w:r w:rsidRPr="00075379">
        <w:tab/>
        <w:t xml:space="preserve">norāda, ka Revīzijas palāta pieņēma lēmumu par </w:t>
      </w:r>
      <w:proofErr w:type="spellStart"/>
      <w:r w:rsidRPr="00075379">
        <w:t>hibrīddarbu</w:t>
      </w:r>
      <w:proofErr w:type="spellEnd"/>
      <w:r w:rsidRPr="00075379">
        <w:t>, kas stājās spēkā 2022. gada 1. janvārī; norāda, ka Revīzijas palāta ir ieviesusi tāldarba sistēmu, kas nodrošina iespēju strādāt no mājām līdz 10 dienām mēnesī un līdz 10 secīgām dienām; norāda arī, ka sistēma ļauj darbiniekiem līdz 5 dienām mēnesī un 30 darba dienām gadā strādāt ārpus savas galvenās dzīvesvietas; visbeidzot norāda, ka 2022. gada oktobrī veiktās darbinieku aptaujas rezultāti parādīja, ka 95 % darbinieku atbalsta tāldarba sistēmu un 88 % darbinieku uzskata, ka tai ir pozitīva ietekme uz viņu darba un privātās dzīves līdzsvaru;</w:t>
      </w:r>
    </w:p>
    <w:p w:rsidR="00BF7E63" w:rsidRPr="00075379" w:rsidRDefault="00BF7E63" w:rsidP="00BF7E63">
      <w:pPr>
        <w:pStyle w:val="NormalHanging12a"/>
        <w:rPr>
          <w:szCs w:val="24"/>
        </w:rPr>
      </w:pPr>
      <w:r w:rsidRPr="00075379">
        <w:t>27.</w:t>
      </w:r>
      <w:r w:rsidRPr="00075379">
        <w:tab/>
        <w:t xml:space="preserve">atzinīgi vērtē pasākumus, ko Revīzijas palāta veica 2022. gadā, lai nodrošinātu darbinieku fizisko un garīgo </w:t>
      </w:r>
      <w:proofErr w:type="spellStart"/>
      <w:r w:rsidRPr="00075379">
        <w:t>labbūtību</w:t>
      </w:r>
      <w:proofErr w:type="spellEnd"/>
      <w:r w:rsidRPr="00075379">
        <w:t>;</w:t>
      </w:r>
    </w:p>
    <w:p w:rsidR="00BF7E63" w:rsidRPr="00075379" w:rsidRDefault="00BF7E63" w:rsidP="00BF7E63">
      <w:pPr>
        <w:pStyle w:val="NormalHanging12a"/>
        <w:rPr>
          <w:szCs w:val="24"/>
        </w:rPr>
      </w:pPr>
      <w:r w:rsidRPr="00075379">
        <w:t>28.</w:t>
      </w:r>
      <w:r w:rsidRPr="00075379">
        <w:tab/>
        <w:t xml:space="preserve">atzīst problēmas saistībā ar darbinieku piesaisti darbam Luksemburgā un mudina Revīzijas palātu sadarboties ar citām Luksemburgā bāzētām iestādēm Augsta līmeņa </w:t>
      </w:r>
      <w:proofErr w:type="spellStart"/>
      <w:r w:rsidRPr="00075379">
        <w:t>starpiestāžu</w:t>
      </w:r>
      <w:proofErr w:type="spellEnd"/>
      <w:r w:rsidRPr="00075379">
        <w:t xml:space="preserve"> grupas ietvaros, lai veicinātu Luksemburgas pievilcību darbiniekiem, kā arī saistībā ar dažādiem apzinātiem iespējamajiem pasākumiem, tostarp ierosmi par īpašu mājokļa pabalstu, lai cīnītos pret augstajām īres izmaksām, ko īpaši izjūt darbinieki ar zemāku pakāpi, un iespēju piedāvāt pagaidu mājokli par saprātīgu maksu īslaicīgas uzturēšanās gadījumā;</w:t>
      </w:r>
    </w:p>
    <w:p w:rsidR="00BF7E63" w:rsidRPr="00075379" w:rsidRDefault="00BF7E63" w:rsidP="00BF7E63">
      <w:pPr>
        <w:pStyle w:val="NormalHanging12a"/>
        <w:rPr>
          <w:szCs w:val="24"/>
        </w:rPr>
      </w:pPr>
      <w:r w:rsidRPr="00075379">
        <w:t>29.</w:t>
      </w:r>
      <w:r w:rsidRPr="00075379">
        <w:tab/>
        <w:t>ar bažām norāda, ka slimības atvaļinājuma dienu skaits 2022. gadā bija 11 622 dienas, kas ir pieaugums par 54 % salīdzinājumā ar 2021. gadu, kad slimības atvaļinājuma dienu skaits bija 7524 dienas; vienlaikus norāda, ka 2018. gadā slimības atvaļinājuma dienu skaits Revīzijas palātā bija 10 255 dienas un ka salīdzinoši zemais skaits 2021. gadā varētu būt saistīts ar Covid-19 situāciju;</w:t>
      </w:r>
    </w:p>
    <w:p w:rsidR="00BF7E63" w:rsidRPr="00075379" w:rsidRDefault="00BF7E63" w:rsidP="00BF7E63">
      <w:pPr>
        <w:pStyle w:val="NormalHanging12a"/>
        <w:rPr>
          <w:szCs w:val="24"/>
        </w:rPr>
      </w:pPr>
      <w:r w:rsidRPr="00075379">
        <w:t>30.</w:t>
      </w:r>
      <w:r w:rsidRPr="00075379">
        <w:tab/>
        <w:t xml:space="preserve">ar bažām norāda, ka 2022. gadā Revīzijas palāta ziņoja par septiņiem izdegšanas gadījumiem; turklāt norāda, ka visi septiņi darbinieki tika </w:t>
      </w:r>
      <w:proofErr w:type="spellStart"/>
      <w:r w:rsidRPr="00075379">
        <w:t>reintegrēti</w:t>
      </w:r>
      <w:proofErr w:type="spellEnd"/>
      <w:r w:rsidRPr="00075379">
        <w:t xml:space="preserve"> — viņi pakāpeniski atgriezās darbā saskaņā ar medicīniski apstiprinātu nepilna laika atjaunošanas procedūru; šajā sakarībā atzinīgi vērtē to, ka 2022. gadā Revīzijas palāta sāka sagatavot pamatnostādnes par atgriešanos darbā pēc ilgstoša slimības atvaļinājuma; ņem vērā to, ka Revīzijas palāta ir norādījusi, ka, izstrādājot gada darba programmu, tiek ņemta vērā resursu pieejamība un ka direktori un vadība direktorātu līmenī izvērtē darba slodzi, lai nodrošinātu darba vienmērīgu sadali; tomēr mudina Revīzijas palātu pievērsties šai problēmai un veikt visus vajadzīgos pasākumus, lai nodrošinātu darbinieku </w:t>
      </w:r>
      <w:proofErr w:type="spellStart"/>
      <w:r w:rsidRPr="00075379">
        <w:t>labbūtību</w:t>
      </w:r>
      <w:proofErr w:type="spellEnd"/>
      <w:r w:rsidRPr="00075379">
        <w:t xml:space="preserve"> ar mērķi samazināt ar izdegšanu saistīto gadījumu skaitu;</w:t>
      </w:r>
    </w:p>
    <w:p w:rsidR="00BF7E63" w:rsidRPr="00075379" w:rsidRDefault="00BF7E63" w:rsidP="00BF7E63">
      <w:pPr>
        <w:pStyle w:val="NormalHanging12a"/>
        <w:rPr>
          <w:szCs w:val="24"/>
        </w:rPr>
      </w:pPr>
      <w:r w:rsidRPr="00075379">
        <w:t>31.</w:t>
      </w:r>
      <w:r w:rsidRPr="00075379">
        <w:tab/>
        <w:t xml:space="preserve">atzinīgi vērtē to, ka piemērojot plašu sadarbības pieeju, 2022. gada decembrī tika pieņemts lēmums un politika, lai nodrošinātu </w:t>
      </w:r>
      <w:proofErr w:type="spellStart"/>
      <w:r w:rsidRPr="00075379">
        <w:t>cieņpilnu</w:t>
      </w:r>
      <w:proofErr w:type="spellEnd"/>
      <w:r w:rsidRPr="00075379">
        <w:t xml:space="preserve"> darba vidi, kurā nav aizskarošas izturēšanās, ar skaidru uzsvaru uz profilaksi, izpratnes vairošanu un agrīnu atklāšanu, nosakot dažādus veicamos pasākumus (konfidenciāla konsultēšana, </w:t>
      </w:r>
      <w:proofErr w:type="spellStart"/>
      <w:r w:rsidRPr="00075379">
        <w:t>mediācija</w:t>
      </w:r>
      <w:proofErr w:type="spellEnd"/>
      <w:r w:rsidRPr="00075379">
        <w:t xml:space="preserve"> un formālas sūdzības), ja rodas aizdomas par aizskarošu izturēšanos;</w:t>
      </w:r>
    </w:p>
    <w:p w:rsidR="00BF7E63" w:rsidRPr="00075379" w:rsidRDefault="00BF7E63" w:rsidP="00BF7E63">
      <w:pPr>
        <w:pStyle w:val="NormalHanging12a"/>
        <w:rPr>
          <w:szCs w:val="24"/>
        </w:rPr>
      </w:pPr>
      <w:r w:rsidRPr="00075379">
        <w:t xml:space="preserve">32. </w:t>
      </w:r>
      <w:r w:rsidRPr="00075379">
        <w:tab/>
        <w:t xml:space="preserve">atzinīgi vērtē Revīzijas palātas Daudzveidības un </w:t>
      </w:r>
      <w:proofErr w:type="spellStart"/>
      <w:r w:rsidRPr="00075379">
        <w:t>iekļautības</w:t>
      </w:r>
      <w:proofErr w:type="spellEnd"/>
      <w:r w:rsidRPr="00075379">
        <w:t xml:space="preserve"> rīcības plānu 2021.–2025. gadam, kā arī 2022. gadā veiktos pasākumus, lai uzlabotu informētību par šo plānu un 2022. gadā sasniegtajiem rezultātiem attiecībā uz tajā noteiktajām 10 prioritātēm; norāda, ka 2022. gadā Revīzijas palātā bija nodarbināta tikai viena persona ar atzītu invaliditāti, turklāt ar terminētu darba līgumu;</w:t>
      </w:r>
    </w:p>
    <w:p w:rsidR="00BF7E63" w:rsidRPr="00075379" w:rsidRDefault="00BF7E63" w:rsidP="00BF7E63">
      <w:pPr>
        <w:pStyle w:val="NormalHanging12a"/>
        <w:rPr>
          <w:szCs w:val="24"/>
        </w:rPr>
      </w:pPr>
      <w:r w:rsidRPr="00075379">
        <w:t>33.</w:t>
      </w:r>
      <w:r w:rsidRPr="00075379">
        <w:tab/>
        <w:t>norāda, ka 2022. gadā Revīzijas palāta uzņēma 54 stažierus; atzinīgi vērtē to, ka stažēšanos viņiem visiem apmaksāja Revīzijas palāta vai dalībvalstu iestādes;</w:t>
      </w:r>
    </w:p>
    <w:p w:rsidR="00BF7E63" w:rsidRPr="00075379" w:rsidRDefault="00BF7E63" w:rsidP="00BF7E63">
      <w:pPr>
        <w:pStyle w:val="NormalHanging12a"/>
        <w:rPr>
          <w:b/>
          <w:szCs w:val="24"/>
        </w:rPr>
      </w:pPr>
      <w:r w:rsidRPr="00075379">
        <w:rPr>
          <w:b/>
        </w:rPr>
        <w:t xml:space="preserve">Ētikas regulējums un </w:t>
      </w:r>
      <w:proofErr w:type="spellStart"/>
      <w:r w:rsidRPr="00075379">
        <w:rPr>
          <w:b/>
        </w:rPr>
        <w:t>pārredzamība</w:t>
      </w:r>
      <w:proofErr w:type="spellEnd"/>
    </w:p>
    <w:p w:rsidR="00BF7E63" w:rsidRPr="00075379" w:rsidRDefault="00BF7E63" w:rsidP="00BF7E63">
      <w:pPr>
        <w:pStyle w:val="NormalHanging12a"/>
        <w:rPr>
          <w:szCs w:val="24"/>
        </w:rPr>
      </w:pPr>
      <w:r w:rsidRPr="00075379">
        <w:t>34.</w:t>
      </w:r>
      <w:r w:rsidRPr="00075379">
        <w:tab/>
        <w:t xml:space="preserve">uzsver Revīzijas palātas kā Savienības neatkarīga ārējā revidenta un tās finanšu uzrauga lomu un nozīmi, kas prasa, lai Revīzijas palāta ievērotu augstākos iespējamos standartus un rīkotos kā </w:t>
      </w:r>
      <w:proofErr w:type="spellStart"/>
      <w:r w:rsidRPr="00075379">
        <w:t>paraugiestāde</w:t>
      </w:r>
      <w:proofErr w:type="spellEnd"/>
      <w:r w:rsidRPr="00075379">
        <w:t>, veicinot uzticību un uzticamību; norāda, ka saskaņā ar LESD 285. pantu Revīzijas palātas locekļi ir pilnīgi neatkarīgi;</w:t>
      </w:r>
    </w:p>
    <w:p w:rsidR="00BF7E63" w:rsidRPr="00075379" w:rsidRDefault="00BF7E63" w:rsidP="00BF7E63">
      <w:pPr>
        <w:pStyle w:val="NormalHanging12a"/>
        <w:rPr>
          <w:szCs w:val="24"/>
        </w:rPr>
      </w:pPr>
      <w:r w:rsidRPr="00075379">
        <w:t>35.</w:t>
      </w:r>
      <w:r w:rsidRPr="00075379">
        <w:tab/>
        <w:t>atzinīgi vērtē pēc Parlamenta ieteikuma pārskatīto Revīzijas palātas locekļu un bijušo locekļu rīcības kodeksu, kas stājās spēkā 2022. gada maijā un cita starpā uzliek pienākumu Revīzijas palātas locekļiem dzīvot tur, kur atrodas Revīzijas palāta, ierobežoja locekļu iespējas iesaistīties politikā, reglamentējot līgumattiecības starp locekļiem un personālu, kā arī paredzot pienākumu locekļiem katru gadu iesniegt interešu deklarāciju; atgādina, ka Revīzijas palātas locekļiem vienmēr būtu jāpiemēro visaugstākie ētikas principi un vērtības, lai apliecinātu savu pilnīgu integritāti, neatkarību, objektivitāti, profesionālu rīcību, cieņu, ieinteresētību un lojalitāti;</w:t>
      </w:r>
    </w:p>
    <w:p w:rsidR="00BF7E63" w:rsidRPr="00075379" w:rsidRDefault="00BF7E63" w:rsidP="00BF7E63">
      <w:pPr>
        <w:pStyle w:val="NormalHanging12a"/>
        <w:rPr>
          <w:szCs w:val="24"/>
        </w:rPr>
      </w:pPr>
      <w:r w:rsidRPr="00075379">
        <w:t>36.</w:t>
      </w:r>
      <w:r w:rsidRPr="00075379">
        <w:tab/>
        <w:t>uzsver, ka Parlaments joprojām uzskata, ka informācija par Revīzijas palātas locekļu komandējumiem būtu jāpublicē par visu periodu, kad viņi ieņemt amatu, un ka Revīzijas palātas locekļiem nevajadzētu būt formāliem politiskiem sakariem, tostarp goda biedra statusam politiskajās partijās vai organizācijās; turklāt atkārtoti prasa Revīzijas palātai grozīt tās noteikumus attiecībā uz tās iekšējo ētikas komiteju, lai Revīzijas palātas priekšsēdētājam nebūtu ekskluzīva prerogatīva ierosināt atbilstīgus kandidātus; atkārtoti prasa Revīzijas palātas ētikas komitejai informēt to par galvenajiem konstatējumiem iekšējās revīzijas ziņojumā par ētiku — iekšējā revīzija šajā jomā tiek veikta jau kopš 2020. gada;</w:t>
      </w:r>
    </w:p>
    <w:p w:rsidR="00BF7E63" w:rsidRPr="00075379" w:rsidRDefault="00BF7E63" w:rsidP="00BF7E63">
      <w:pPr>
        <w:pStyle w:val="NormalHanging12a"/>
        <w:rPr>
          <w:szCs w:val="24"/>
        </w:rPr>
      </w:pPr>
      <w:r w:rsidRPr="00075379">
        <w:t>37.</w:t>
      </w:r>
      <w:r w:rsidRPr="00075379">
        <w:tab/>
        <w:t>ar gandarījumu atzīmē, ka visi Revīzijas palātas locekļi ir deklarējuši dzīvesvietu Luksemburgas iestādēm un tādējādi ir izpildījuši prasību, ka Revīzijas palātas locekļiem ir jādzīvo tur, kur atrodas Revīzijas palātas mītne;</w:t>
      </w:r>
    </w:p>
    <w:p w:rsidR="00BF7E63" w:rsidRPr="00075379" w:rsidRDefault="00BF7E63" w:rsidP="00BF7E63">
      <w:pPr>
        <w:pStyle w:val="NormalHanging12a"/>
        <w:rPr>
          <w:szCs w:val="24"/>
        </w:rPr>
      </w:pPr>
      <w:r w:rsidRPr="00075379">
        <w:t>38.</w:t>
      </w:r>
      <w:r w:rsidRPr="00075379">
        <w:tab/>
        <w:t xml:space="preserve">norāda, ka 2022. gadā pieņemtais lēmums par Revīzijas palātas locekļu braucieniem, komandējumiem un autovadītāju un automašīnu izmantošanu paredz, ka locekļi sedz visas kārtējās izmaksas, tostarp automašīnu nomas izmaksas, kuras saistītas ar automašīnas izmantošanu braucieniem, kas pārsniedz 10 000 km un uz ko neattiecas komandējuma rīkojums; tomēr uzskata, ka 10 000 km ir pārāk liels attālums, un atkārto iepriekšējās rezolūcijās par budžeta izpildes apstiprināšanu paustās bažas par to, ka ieviestā sistēma ir neskaidra; atkārtoti pauž jau iepriekšējās rezolūcijās par budžeta izpildes apstiprināšanu pausto viedokli, ka autoparku nekādā gadījumā nedrīkst izmantot nekā citādi, kā vien Revīzijas palātas locekļu pienākumu izpildei; aicina visas Savienības iestādes vienoties par vienotu horizontāli piemērojamu sistēmu, kas mazinātu nenoteiktību un uzlabotu publisko līdzekļu izmantošanas </w:t>
      </w:r>
      <w:proofErr w:type="spellStart"/>
      <w:r w:rsidRPr="00075379">
        <w:t>pārredzamību</w:t>
      </w:r>
      <w:proofErr w:type="spellEnd"/>
      <w:r w:rsidRPr="00075379">
        <w:t xml:space="preserve"> un efektivitāti;</w:t>
      </w:r>
    </w:p>
    <w:p w:rsidR="00BF7E63" w:rsidRPr="00075379" w:rsidRDefault="00BF7E63" w:rsidP="00BF7E63">
      <w:pPr>
        <w:pStyle w:val="NormalHanging12a"/>
        <w:rPr>
          <w:szCs w:val="24"/>
        </w:rPr>
      </w:pPr>
      <w:r w:rsidRPr="00075379">
        <w:t>39.</w:t>
      </w:r>
      <w:r w:rsidRPr="00075379">
        <w:tab/>
        <w:t xml:space="preserve">atzinīgi vērtē to, ka Revīzijas palāta pēdējos gados īsteno tās ētikas satvara atjaunināšanas procesu, kā rezultātā 2022. gada oktobrī tika atjauninātas Revīzijas palātas ētikas pamatnostādnes, 2022. gadā — politika, lai nodrošinātu </w:t>
      </w:r>
      <w:proofErr w:type="spellStart"/>
      <w:r w:rsidRPr="00075379">
        <w:t>cieņpilnu</w:t>
      </w:r>
      <w:proofErr w:type="spellEnd"/>
      <w:r w:rsidRPr="00075379">
        <w:t xml:space="preserve"> darba vidi, kurā nav aizskarošas izturēšanās, un 2023. gada jūlijā — noteikumi par trauksmes celšanu; atzinīgi vērtē arī to, ka tiek organizēti darbsemināri, mācību kursi un sesijas par ētikas jautājumiem darbiniekiem, tostarp locekļu biroju darbiniekiem; aicina Revīzijas palātu turpināt informēt Parlamentu par jebkādiem turpmākiem plāniem attiecībā uz ētikas satvaru;</w:t>
      </w:r>
    </w:p>
    <w:p w:rsidR="00BF7E63" w:rsidRPr="00075379" w:rsidRDefault="00BF7E63" w:rsidP="00BF7E63">
      <w:pPr>
        <w:pStyle w:val="NormalHanging12a"/>
        <w:rPr>
          <w:szCs w:val="24"/>
        </w:rPr>
      </w:pPr>
      <w:r w:rsidRPr="00075379">
        <w:t>40.</w:t>
      </w:r>
      <w:r w:rsidRPr="00075379">
        <w:tab/>
        <w:t>uzsver, ka Revīzijas palātas iekšējās revīzijas dienests 2021. gadā secināja, ka nav vienota dokumenta par Revīzijas palātas politiku krāpšanas apkarošanai, ne arī Revīzijas palātas līmeņa krāpšanas apkarošanas stratēģijas; mudina Revīzijas palātu risināt šo jautājumu prioritārā kārtā, lai nodrošinātu pašreizējās decentralizētās un sadrumstalotās pieejas konsolidēšanu un radītu lielāku skaidrību par to, kā Revīzijas palāta risina šos jautājumus;</w:t>
      </w:r>
    </w:p>
    <w:p w:rsidR="00BF7E63" w:rsidRPr="00075379" w:rsidRDefault="00BF7E63" w:rsidP="00BF7E63">
      <w:pPr>
        <w:pStyle w:val="NormalHanging12a"/>
        <w:rPr>
          <w:szCs w:val="24"/>
        </w:rPr>
      </w:pPr>
      <w:r w:rsidRPr="00075379">
        <w:t>41.</w:t>
      </w:r>
      <w:r w:rsidRPr="00075379">
        <w:tab/>
        <w:t xml:space="preserve">joprojām noraida Revīzijas palātas vērtējumu un lēmumu nepievienoties ES </w:t>
      </w:r>
      <w:proofErr w:type="spellStart"/>
      <w:r w:rsidRPr="00075379">
        <w:t>Pārredzamības</w:t>
      </w:r>
      <w:proofErr w:type="spellEnd"/>
      <w:r w:rsidRPr="00075379">
        <w:t xml:space="preserve"> reģistram, kas izveidots ar 2021. gada 20. maija iestāžu nolīgumu starp Eiropas Parlamentu, Eiropas Savienības Padomi un Eiropas Komisiju par obligātu </w:t>
      </w:r>
      <w:proofErr w:type="spellStart"/>
      <w:r w:rsidRPr="00075379">
        <w:t>pārredzamības</w:t>
      </w:r>
      <w:proofErr w:type="spellEnd"/>
      <w:r w:rsidRPr="00075379">
        <w:t xml:space="preserve"> reģistru</w:t>
      </w:r>
      <w:r w:rsidRPr="00075379">
        <w:rPr>
          <w:rStyle w:val="FootnoteReference"/>
          <w:szCs w:val="24"/>
        </w:rPr>
        <w:footnoteReference w:id="6"/>
      </w:r>
      <w:r w:rsidRPr="00075379">
        <w:t xml:space="preserve">, un mudina Revīzijas palātu vēlreiz pārdomāt šo jautājumu un atkārtoti stingri aicina Revīzijas palātu pievienoties ES </w:t>
      </w:r>
      <w:proofErr w:type="spellStart"/>
      <w:r w:rsidRPr="00075379">
        <w:t>Pārredzamības</w:t>
      </w:r>
      <w:proofErr w:type="spellEnd"/>
      <w:r w:rsidRPr="00075379">
        <w:t xml:space="preserve"> reģistram, lai ievērotu </w:t>
      </w:r>
      <w:proofErr w:type="spellStart"/>
      <w:r w:rsidRPr="00075379">
        <w:t>pārredzamības</w:t>
      </w:r>
      <w:proofErr w:type="spellEnd"/>
      <w:r w:rsidRPr="00075379">
        <w:t xml:space="preserve"> pamatprincipus, vienlaikus neradot šķēršļus Revīzijas palātas pilnīgai neatkarībai;</w:t>
      </w:r>
    </w:p>
    <w:p w:rsidR="00BF7E63" w:rsidRPr="00075379" w:rsidRDefault="00BF7E63" w:rsidP="00BF7E63">
      <w:pPr>
        <w:pStyle w:val="NormalHanging12a"/>
        <w:rPr>
          <w:szCs w:val="24"/>
        </w:rPr>
      </w:pPr>
      <w:r w:rsidRPr="00075379">
        <w:t>42.</w:t>
      </w:r>
      <w:r w:rsidRPr="00075379">
        <w:tab/>
        <w:t>norāda, ka Eiropas Birojs krāpšanas apkarošanai (</w:t>
      </w:r>
      <w:r w:rsidRPr="00075379">
        <w:rPr>
          <w:i/>
        </w:rPr>
        <w:t>OLAF</w:t>
      </w:r>
      <w:r w:rsidRPr="00075379">
        <w:t>) 2022. gadā uzsāka vienu izmeklēšanu par Revīzijas palātas atlases procedūru, secinot, ka attiecīgās personas rīcība neietekmēja procedūras iznākumu;</w:t>
      </w:r>
    </w:p>
    <w:p w:rsidR="00BF7E63" w:rsidRPr="00075379" w:rsidRDefault="00BF7E63" w:rsidP="00BF7E63">
      <w:pPr>
        <w:pStyle w:val="NormalHanging12a"/>
        <w:rPr>
          <w:szCs w:val="24"/>
        </w:rPr>
      </w:pPr>
      <w:r w:rsidRPr="00075379">
        <w:t>43.</w:t>
      </w:r>
      <w:r w:rsidRPr="00075379">
        <w:tab/>
        <w:t xml:space="preserve">norāda, ka Eiropas </w:t>
      </w:r>
      <w:proofErr w:type="spellStart"/>
      <w:r w:rsidRPr="00075379">
        <w:t>Ombuds</w:t>
      </w:r>
      <w:proofErr w:type="spellEnd"/>
      <w:r w:rsidRPr="00075379">
        <w:t xml:space="preserve"> 2022. gadā pēc sūdzības saņemšanas veica vienu izmeklēšanu, kas tika slēgta pēc tam, kad Revīzijas palāta atbildēja sūdzības iesniedzējam;</w:t>
      </w:r>
    </w:p>
    <w:p w:rsidR="00BF7E63" w:rsidRPr="00075379" w:rsidRDefault="00BF7E63" w:rsidP="00BF7E63">
      <w:pPr>
        <w:pStyle w:val="NormalHanging12a"/>
        <w:rPr>
          <w:szCs w:val="24"/>
        </w:rPr>
      </w:pPr>
      <w:r w:rsidRPr="00075379">
        <w:t>44.</w:t>
      </w:r>
      <w:r w:rsidRPr="00075379">
        <w:tab/>
        <w:t xml:space="preserve">atkārtoti pauž gandarījumu, ka 2022. gadā pēc atkārtotām Parlamenta prasībām Revīzijas palāta izveidoja reģistru, kurā reģistrē to, kā Revīzijas palātas locekļi apmeklē sanāksmes; atzinīgi vērtē to, ka reģistrs pēc pieprasījuma ir darīts pieejams Parlamenta referentam jautājumos par budžeta izpildes apstiprināšanas procedūru budžeta izpildes apstiprināšanas procedūras ietvaros; aicina Revīzijas palātu arī turpmāk īstenot praksi, kas uzlabo </w:t>
      </w:r>
      <w:proofErr w:type="spellStart"/>
      <w:r w:rsidRPr="00075379">
        <w:t>pārredzamību</w:t>
      </w:r>
      <w:proofErr w:type="spellEnd"/>
      <w:r w:rsidRPr="00075379">
        <w:t xml:space="preserve"> un </w:t>
      </w:r>
      <w:proofErr w:type="spellStart"/>
      <w:r w:rsidRPr="00075379">
        <w:t>pārskatatbildību</w:t>
      </w:r>
      <w:proofErr w:type="spellEnd"/>
      <w:r w:rsidRPr="00075379">
        <w:t>, piemēram, atklātu sanāksmju kalendāru;</w:t>
      </w:r>
    </w:p>
    <w:p w:rsidR="00BF7E63" w:rsidRPr="00075379" w:rsidRDefault="00BF7E63" w:rsidP="00BF7E63">
      <w:pPr>
        <w:pStyle w:val="NormalHanging12a"/>
        <w:rPr>
          <w:szCs w:val="24"/>
        </w:rPr>
      </w:pPr>
      <w:r w:rsidRPr="00075379">
        <w:t>45.</w:t>
      </w:r>
      <w:r w:rsidRPr="00075379">
        <w:tab/>
        <w:t>atzinīgi vērtē to, ka 2022. gadā netika konstatēts neviens interešu konflikts; turklāt norāda, ka neviens darbinieks, kas atstājis Revīzijas palātu pēc līguma darbības beigām vai kādu citu iemeslu dēļ, nav informējis Revīzijas palātu, ka vēlas pievienoties privātam uzņēmumam vai ka ir uzsācis ar darbu saistītas aktivitātes ārpus Revīzijas palātas pēdējo trīs gadu laikā, strādājot Revīzijas palātā; visbeidzot norāda, ka neviens bijušais Parlamenta deputāts, komisārs vai augsta līmeņa amatpersona nav saņēmuši atalgojumu no Revīzijas palātas;</w:t>
      </w:r>
    </w:p>
    <w:p w:rsidR="00BF7E63" w:rsidRPr="00075379" w:rsidRDefault="00BF7E63" w:rsidP="00BF7E63">
      <w:pPr>
        <w:pStyle w:val="NormalHanging12a"/>
        <w:rPr>
          <w:szCs w:val="24"/>
        </w:rPr>
      </w:pPr>
      <w:r w:rsidRPr="00075379">
        <w:t>46.</w:t>
      </w:r>
      <w:r w:rsidRPr="00075379">
        <w:tab/>
        <w:t>norāda, ka 2022. gadā Revīzijas palātā nebija trauksmes celšanas gadījumu;</w:t>
      </w:r>
    </w:p>
    <w:p w:rsidR="00BF7E63" w:rsidRPr="00075379" w:rsidRDefault="00BF7E63" w:rsidP="00BF7E63">
      <w:pPr>
        <w:pStyle w:val="NormalHanging12a"/>
        <w:rPr>
          <w:szCs w:val="24"/>
        </w:rPr>
      </w:pPr>
      <w:r w:rsidRPr="00075379">
        <w:t>47.</w:t>
      </w:r>
      <w:r w:rsidRPr="00075379">
        <w:tab/>
        <w:t>pauž nožēlu par to, ka Revīzijas palātas tīmekļa vietnē nav pieejams ikgadējais to līgumu saraksts, kuru vērtība ir no 15 000 līdz 60 000 EUR un kuri tika noslēgti 2022. gadā pēc sarunu procedūras, kā minēts deleģētā kredītrīkotāja ziņojumā; aicina Revīzijas palātu publicēt šo sarakstu atsevišķā dokumentā un nodrošināt lietotājdraudzīgu piekļuvi tam;</w:t>
      </w:r>
    </w:p>
    <w:p w:rsidR="00BF7E63" w:rsidRPr="00075379" w:rsidRDefault="00BF7E63" w:rsidP="00BF7E63">
      <w:pPr>
        <w:spacing w:after="240"/>
        <w:rPr>
          <w:b/>
          <w:szCs w:val="24"/>
        </w:rPr>
      </w:pPr>
      <w:proofErr w:type="spellStart"/>
      <w:r w:rsidRPr="00075379">
        <w:rPr>
          <w:b/>
        </w:rPr>
        <w:t>Digitalizācija</w:t>
      </w:r>
      <w:proofErr w:type="spellEnd"/>
      <w:r w:rsidRPr="00075379">
        <w:rPr>
          <w:b/>
        </w:rPr>
        <w:t xml:space="preserve">, </w:t>
      </w:r>
      <w:proofErr w:type="spellStart"/>
      <w:r w:rsidRPr="00075379">
        <w:rPr>
          <w:b/>
        </w:rPr>
        <w:t>kiberdrošība</w:t>
      </w:r>
      <w:proofErr w:type="spellEnd"/>
      <w:r w:rsidRPr="00075379">
        <w:rPr>
          <w:b/>
        </w:rPr>
        <w:t xml:space="preserve"> un datu aizsardzība</w:t>
      </w:r>
    </w:p>
    <w:p w:rsidR="00BF7E63" w:rsidRPr="00075379" w:rsidRDefault="00BF7E63" w:rsidP="00BF7E63">
      <w:pPr>
        <w:pStyle w:val="NormalHanging12a"/>
        <w:rPr>
          <w:szCs w:val="24"/>
        </w:rPr>
      </w:pPr>
      <w:r w:rsidRPr="00075379">
        <w:t>48.</w:t>
      </w:r>
      <w:r w:rsidRPr="00075379">
        <w:tab/>
        <w:t xml:space="preserve">atzinīgi vērtē to, ka Revīzijas palātai ir vispusīgs </w:t>
      </w:r>
      <w:proofErr w:type="spellStart"/>
      <w:r w:rsidRPr="00075379">
        <w:t>kiberdrošības</w:t>
      </w:r>
      <w:proofErr w:type="spellEnd"/>
      <w:r w:rsidRPr="00075379">
        <w:t xml:space="preserve"> plāns 2022.–2024. gadam un ka 2023. gada beigās tā plānoja atkārtoti izvērtēt savu </w:t>
      </w:r>
      <w:proofErr w:type="spellStart"/>
      <w:r w:rsidRPr="00075379">
        <w:t>kiberdrošības</w:t>
      </w:r>
      <w:proofErr w:type="spellEnd"/>
      <w:r w:rsidRPr="00075379">
        <w:t xml:space="preserve"> regulējumu, lai nodrošinātu pilnīgu atbilstību gaidāmajai regulai, ar ko nosaka pasākumus Savienības iestāžu, struktūru, biroju un aģentūru augsta kopējā </w:t>
      </w:r>
      <w:proofErr w:type="spellStart"/>
      <w:r w:rsidRPr="00075379">
        <w:t>kiberdrošības</w:t>
      </w:r>
      <w:proofErr w:type="spellEnd"/>
      <w:r w:rsidRPr="00075379">
        <w:t xml:space="preserve"> līmeņa nodrošināšanai; tāpat atzinīgi vērtē to, ka Revīzijas palāta pārtrauca līgumu ar piegādātāju, ko nopirka Amerikas Savienoto Valstu uzņēmumus, jo uzņēmuma pārdošanas dēļ mainītos </w:t>
      </w:r>
      <w:proofErr w:type="spellStart"/>
      <w:r w:rsidRPr="00075379">
        <w:t>persondatu</w:t>
      </w:r>
      <w:proofErr w:type="spellEnd"/>
      <w:r w:rsidRPr="00075379">
        <w:t xml:space="preserve"> apstrāde;</w:t>
      </w:r>
    </w:p>
    <w:p w:rsidR="00BF7E63" w:rsidRPr="00075379" w:rsidRDefault="00BF7E63" w:rsidP="00BF7E63">
      <w:pPr>
        <w:pStyle w:val="NormalHanging12a"/>
        <w:rPr>
          <w:szCs w:val="24"/>
        </w:rPr>
      </w:pPr>
      <w:r w:rsidRPr="00075379">
        <w:t>49.</w:t>
      </w:r>
      <w:r w:rsidRPr="00075379">
        <w:tab/>
        <w:t xml:space="preserve">atzinīgi vērtē to, ka Revīzijas palāta 2022. gadā nav pieredzējusi nopietnus kiberuzbrukumus un ka bīstamākais apdraudējums joprojām bija </w:t>
      </w:r>
      <w:proofErr w:type="spellStart"/>
      <w:r w:rsidRPr="00075379">
        <w:t>pikšķerēšanas</w:t>
      </w:r>
      <w:proofErr w:type="spellEnd"/>
      <w:r w:rsidRPr="00075379">
        <w:t xml:space="preserve"> e-pasti; tomēr mudina Revīzijas palātu saglabāt modrību un sadarboties ar attiecīgajām Savienības </w:t>
      </w:r>
      <w:proofErr w:type="spellStart"/>
      <w:r w:rsidRPr="00075379">
        <w:t>starpiestāžu</w:t>
      </w:r>
      <w:proofErr w:type="spellEnd"/>
      <w:r w:rsidRPr="00075379">
        <w:t xml:space="preserve"> struktūrām, lai stiprinātu Savienības iestāžu vispārējo </w:t>
      </w:r>
      <w:proofErr w:type="spellStart"/>
      <w:r w:rsidRPr="00075379">
        <w:t>kiberdrošību</w:t>
      </w:r>
      <w:proofErr w:type="spellEnd"/>
      <w:r w:rsidRPr="00075379">
        <w:t>;</w:t>
      </w:r>
    </w:p>
    <w:p w:rsidR="00BF7E63" w:rsidRPr="00075379" w:rsidRDefault="00BF7E63" w:rsidP="00BF7E63">
      <w:pPr>
        <w:pStyle w:val="NormalHanging12a"/>
        <w:rPr>
          <w:szCs w:val="24"/>
        </w:rPr>
      </w:pPr>
      <w:r w:rsidRPr="00075379">
        <w:t>50.</w:t>
      </w:r>
      <w:r w:rsidRPr="00075379">
        <w:tab/>
        <w:t>norāda, ka 2022. gadā Eiropas Datu aizsardzības uzraudzītājs (EDAU) neuzsāka, neturpināja un neslēdza nevienu izmeklēšanu saistībā ar Revīzijas palātu;</w:t>
      </w:r>
    </w:p>
    <w:p w:rsidR="00BF7E63" w:rsidRPr="00075379" w:rsidRDefault="00BF7E63" w:rsidP="00BF7E63">
      <w:pPr>
        <w:pStyle w:val="NormalHanging12a"/>
        <w:rPr>
          <w:szCs w:val="24"/>
        </w:rPr>
      </w:pPr>
      <w:r w:rsidRPr="00075379">
        <w:t>51.</w:t>
      </w:r>
      <w:r w:rsidRPr="00075379">
        <w:tab/>
        <w:t xml:space="preserve">atzinīgi vērtē visus centienus uzlabot revīzijas darba </w:t>
      </w:r>
      <w:proofErr w:type="spellStart"/>
      <w:r w:rsidRPr="00075379">
        <w:t>digitalizāciju</w:t>
      </w:r>
      <w:proofErr w:type="spellEnd"/>
      <w:r w:rsidRPr="00075379">
        <w:t xml:space="preserve">, tādējādi uzlabojot šāda darba efektivitāti un precizitāti; jo īpaši atzinīgi vērtē to, ka 2022. gada oktobrī tika ieviests modelis “datu noliktava kā pakalpojums”, kas ļauj lietotājiem apstrādāt un analizēt strukturētus datus ar dažādām autonomijas pakāpēm; norāda, ka revīzijas darba </w:t>
      </w:r>
      <w:proofErr w:type="spellStart"/>
      <w:r w:rsidRPr="00075379">
        <w:t>digitalizācija</w:t>
      </w:r>
      <w:proofErr w:type="spellEnd"/>
      <w:r w:rsidRPr="00075379">
        <w:t xml:space="preserve"> ir atkarīga ne tikai no pašas Revīzijas palātas, bet lielā mērā arī no revidējamo vienību sniegtajiem datiem un ka joprojām pastāv ierobežojumi saistībā ar izmantoto datu formātu un sistēmu daudzveidību; atzinīgi vērtē arī to, ka 2022. gadā uz vietas veiktās revīzijas darbdienu skaits bija 2984 dienas, kas ir būtiski vairāk nekā 2021. un 2020. gadā, kad darbu būtiski ietekmēja Covid-19 pandēmijas dēļ noteiktie ierobežojumi, un ka ir paaugstināta apmeklējumu uz vietas pievienotā vērtība un efektivitāte, kombinējot tos ar attālināto darbu;</w:t>
      </w:r>
    </w:p>
    <w:p w:rsidR="00BF7E63" w:rsidRPr="00075379" w:rsidRDefault="00BF7E63" w:rsidP="00BF7E63">
      <w:pPr>
        <w:pStyle w:val="NormalHanging12a"/>
        <w:rPr>
          <w:szCs w:val="24"/>
        </w:rPr>
      </w:pPr>
      <w:r w:rsidRPr="00075379">
        <w:t>52.</w:t>
      </w:r>
      <w:r w:rsidRPr="00075379">
        <w:tab/>
        <w:t xml:space="preserve">norāda, ka Revīzijas palāta savās sistēmās ir ieviesusi vairākus atvērtā pirmkoda programmatūras elementus, tostarp </w:t>
      </w:r>
      <w:proofErr w:type="spellStart"/>
      <w:r w:rsidRPr="00075379">
        <w:rPr>
          <w:i/>
          <w:iCs/>
        </w:rPr>
        <w:t>Linux</w:t>
      </w:r>
      <w:proofErr w:type="spellEnd"/>
      <w:r w:rsidRPr="00075379">
        <w:t xml:space="preserve">, </w:t>
      </w:r>
      <w:proofErr w:type="spellStart"/>
      <w:r w:rsidRPr="00075379">
        <w:rPr>
          <w:i/>
          <w:iCs/>
        </w:rPr>
        <w:t>Belenios</w:t>
      </w:r>
      <w:proofErr w:type="spellEnd"/>
      <w:r w:rsidRPr="00075379">
        <w:t xml:space="preserve"> un </w:t>
      </w:r>
      <w:proofErr w:type="spellStart"/>
      <w:r w:rsidRPr="00075379">
        <w:rPr>
          <w:i/>
          <w:iCs/>
        </w:rPr>
        <w:t>Nagios</w:t>
      </w:r>
      <w:proofErr w:type="spellEnd"/>
      <w:r w:rsidRPr="00075379">
        <w:t>; mudina Revīzijas palātu turpināt izmantot atklātā pirmkoda programmatūru, kad tas ir iespējams;</w:t>
      </w:r>
    </w:p>
    <w:p w:rsidR="00BF7E63" w:rsidRPr="00075379" w:rsidRDefault="00BF7E63" w:rsidP="00BF7E63">
      <w:pPr>
        <w:spacing w:after="240"/>
        <w:rPr>
          <w:b/>
          <w:bCs/>
          <w:iCs/>
          <w:szCs w:val="24"/>
        </w:rPr>
      </w:pPr>
      <w:r w:rsidRPr="00075379">
        <w:rPr>
          <w:b/>
        </w:rPr>
        <w:t>Ēkas</w:t>
      </w:r>
    </w:p>
    <w:p w:rsidR="00BF7E63" w:rsidRPr="00075379" w:rsidRDefault="00BF7E63" w:rsidP="00BF7E63">
      <w:pPr>
        <w:pStyle w:val="NormalHanging12a"/>
        <w:rPr>
          <w:szCs w:val="24"/>
        </w:rPr>
      </w:pPr>
      <w:r w:rsidRPr="00075379">
        <w:t>53.</w:t>
      </w:r>
      <w:r w:rsidRPr="00075379">
        <w:tab/>
        <w:t>norāda, ka Revīzijas palāta 2022. gadā veica būtiskus K2 ēkas renovācijas darbus, lai nodrošinātu mūsdienīgu darba vidi, ko novērtē darbinieki un kas ir videi draudzīgāka; šie darbi tika pabeigti 2023. gada sākumā un ietvēra četru stāvu renovāciju;</w:t>
      </w:r>
    </w:p>
    <w:p w:rsidR="00BF7E63" w:rsidRPr="00075379" w:rsidRDefault="00BF7E63" w:rsidP="00BF7E63">
      <w:pPr>
        <w:pStyle w:val="NormalHanging12a"/>
        <w:rPr>
          <w:szCs w:val="24"/>
        </w:rPr>
      </w:pPr>
      <w:r w:rsidRPr="00075379">
        <w:t>54.</w:t>
      </w:r>
      <w:r w:rsidRPr="00075379">
        <w:tab/>
        <w:t>atzinīgi vērtē to, ka Revīzijas palāta 2022. gadā uzsāka visu Revīzijas palātas ēku pieejamības revīziju, lai uzlabotu pieejamību un reaģētu uz personu ar ierobežotām pārvietošanās spējām vai citu invaliditāti vajadzībām, un šī revīzija tika pabeigta 2023. gada sākuma; aicina Revīzijas palātu informēt Parlamentu par konkrētām iniciatīvām revīzijas ietvaros ierosināto darbību īstenošanai;</w:t>
      </w:r>
    </w:p>
    <w:p w:rsidR="00BF7E63" w:rsidRPr="00075379" w:rsidRDefault="00BF7E63" w:rsidP="00BF7E63">
      <w:pPr>
        <w:spacing w:after="240"/>
        <w:rPr>
          <w:b/>
          <w:szCs w:val="24"/>
        </w:rPr>
      </w:pPr>
      <w:r w:rsidRPr="00075379">
        <w:rPr>
          <w:b/>
        </w:rPr>
        <w:t>Vide un ilgtspēja</w:t>
      </w:r>
    </w:p>
    <w:p w:rsidR="00BF7E63" w:rsidRPr="00075379" w:rsidRDefault="00BF7E63" w:rsidP="00BF7E63">
      <w:pPr>
        <w:pStyle w:val="NormalHanging12a"/>
        <w:rPr>
          <w:szCs w:val="24"/>
        </w:rPr>
      </w:pPr>
      <w:r w:rsidRPr="00075379">
        <w:t>55.</w:t>
      </w:r>
      <w:r w:rsidRPr="00075379">
        <w:tab/>
        <w:t>atzinīgi vērtē to, ka Revīzijas palāta 2022. gadā iesniedza otro gada ziņojumu par savu darbību vides ilgtspēju saskaņā ar starptautiski atzītiem ziņošanas standartiem;</w:t>
      </w:r>
    </w:p>
    <w:p w:rsidR="00BF7E63" w:rsidRPr="00075379" w:rsidRDefault="00BF7E63" w:rsidP="00BF7E63">
      <w:pPr>
        <w:pStyle w:val="NormalHanging12a"/>
        <w:rPr>
          <w:szCs w:val="24"/>
        </w:rPr>
      </w:pPr>
      <w:r w:rsidRPr="00075379">
        <w:t>56.</w:t>
      </w:r>
      <w:r w:rsidRPr="00075379">
        <w:tab/>
        <w:t>norāda, ka Revīzijas palāta ir sasniegusi iespaidīgus rezultātus vairākās jomās saistībā ar tās kopējā patēriņa samazinājumu kopš 2014. gada, proti, elektrības patēriņš ir samazināts par 34,5 %, siltumenerģijas patēriņš par 22,2 %, papīra patēriņš par 83,5 % un ūdens patēriņš par 45,3 %, savukārt siltumnīcefekta gāzu emisijas ir samazinātas par 29,5 % un atkritumu daudzums — par 33,7 %; aicina Revīzijas palātu turpināt centienus, lai vēl vairāk samazināt šo resursu patēriņu, un atzinīgi vērtē to, ka Revīzijas palāta 2023. gadā uzsāka pētījumu par K2 ēku ar mērķi atjaunot jumtu un uzstādīt saules enerģijas paneļus;</w:t>
      </w:r>
    </w:p>
    <w:p w:rsidR="00BF7E63" w:rsidRPr="00075379" w:rsidRDefault="00BF7E63" w:rsidP="00BF7E63">
      <w:pPr>
        <w:pStyle w:val="NormalHanging12a"/>
        <w:rPr>
          <w:szCs w:val="24"/>
        </w:rPr>
      </w:pPr>
      <w:r w:rsidRPr="00075379">
        <w:t>57.</w:t>
      </w:r>
      <w:r w:rsidRPr="00075379">
        <w:tab/>
        <w:t xml:space="preserve">atzinīgi vērtē to, ka Revīzijas palāta ir uzsākusi vairākas iniciatīvas, lai atbalstītu ilgtspējīgu mobilitāti, tostarp stiprinot Revīzijas palātas turp un atpakaļ pārvadājumu dienestu, piedāvājot darbiniekiem Luksemburgas pilsētas velosipēdu nomas bezmaksas abonementu, palielinot velosipēdu stāvvietu skaitu, tostarp stāvvietas </w:t>
      </w:r>
      <w:proofErr w:type="spellStart"/>
      <w:r w:rsidRPr="00075379">
        <w:t>elektrovelosipēdiem</w:t>
      </w:r>
      <w:proofErr w:type="spellEnd"/>
      <w:r w:rsidRPr="00075379">
        <w:t xml:space="preserve">, kā arī izveidojot uzlādes vietas </w:t>
      </w:r>
      <w:proofErr w:type="spellStart"/>
      <w:r w:rsidRPr="00075379">
        <w:t>hibrīdautomobiļiem</w:t>
      </w:r>
      <w:proofErr w:type="spellEnd"/>
      <w:r w:rsidRPr="00075379">
        <w:t xml:space="preserve"> un </w:t>
      </w:r>
      <w:proofErr w:type="spellStart"/>
      <w:r w:rsidRPr="00075379">
        <w:t>elektroautomobiļiem</w:t>
      </w:r>
      <w:proofErr w:type="spellEnd"/>
      <w:r w:rsidRPr="00075379">
        <w:t xml:space="preserve">; aicina Revīzijas palātu turpināt atbalstīt ilgtspējīgu mobilitāti, tostarp apmainoties ar </w:t>
      </w:r>
      <w:proofErr w:type="spellStart"/>
      <w:r w:rsidRPr="00075379">
        <w:t>paraugpraksi</w:t>
      </w:r>
      <w:proofErr w:type="spellEnd"/>
      <w:r w:rsidRPr="00075379">
        <w:t xml:space="preserve"> ar citām iestādēm un pastāvīgi informējot Parlamentu par turpmākajām iniciatīvām;</w:t>
      </w:r>
    </w:p>
    <w:p w:rsidR="00BF7E63" w:rsidRPr="00075379" w:rsidRDefault="00BF7E63" w:rsidP="00BF7E63">
      <w:pPr>
        <w:pStyle w:val="NormalHanging12a"/>
        <w:rPr>
          <w:szCs w:val="24"/>
        </w:rPr>
      </w:pPr>
      <w:r w:rsidRPr="00075379">
        <w:t>58.</w:t>
      </w:r>
      <w:r w:rsidRPr="00075379">
        <w:tab/>
        <w:t xml:space="preserve">ņem vērā to, ka Revīzijas palāta izvērtēs, kā atjauninātajās vadlīnijās par komandējumiem integrēt komandējumu vides aspektus; norāda arī, ka ir ierosināts 2023.–2025. gada periodā par 5 % samazināt darījumu braucienu skaitu uz vienu </w:t>
      </w:r>
      <w:proofErr w:type="spellStart"/>
      <w:r w:rsidRPr="00075379">
        <w:t>pilnslodzes</w:t>
      </w:r>
      <w:proofErr w:type="spellEnd"/>
      <w:r w:rsidRPr="00075379">
        <w:t xml:space="preserve"> ekvivalentu; aicina Revīzijas palātu censties īstenot šo mērķi, vienlaikus nodrošinot, ka tiek veikti nepieciešamie revīzijas apmeklējumi;</w:t>
      </w:r>
    </w:p>
    <w:p w:rsidR="00BF7E63" w:rsidRPr="00075379" w:rsidRDefault="00BF7E63" w:rsidP="00BF7E63">
      <w:pPr>
        <w:spacing w:after="240"/>
        <w:rPr>
          <w:b/>
          <w:szCs w:val="24"/>
        </w:rPr>
      </w:pPr>
      <w:r w:rsidRPr="00075379">
        <w:rPr>
          <w:b/>
        </w:rPr>
        <w:t>Iestāžu sadarbība</w:t>
      </w:r>
    </w:p>
    <w:p w:rsidR="00BF7E63" w:rsidRPr="00075379" w:rsidRDefault="00BF7E63" w:rsidP="00BF7E63">
      <w:pPr>
        <w:pStyle w:val="NormalHanging12a"/>
        <w:rPr>
          <w:szCs w:val="24"/>
        </w:rPr>
      </w:pPr>
      <w:r w:rsidRPr="00075379">
        <w:t>59.</w:t>
      </w:r>
      <w:r w:rsidRPr="00075379">
        <w:tab/>
        <w:t>norāda, ka 2022. gadā tika atjaunināti vairāki dienestu līmeņa nolīgumi un citi iestāžu sadarbības nolīgumi, tostarp nolīgumi ar Komisijas Izmeklēšanas un disciplinārlietu biroju un Eiropas Savienības iestāžu Tulkošanas centru;</w:t>
      </w:r>
    </w:p>
    <w:p w:rsidR="00BF7E63" w:rsidRPr="00075379" w:rsidRDefault="00BF7E63" w:rsidP="00BF7E63">
      <w:pPr>
        <w:pStyle w:val="NormalHanging12a"/>
        <w:rPr>
          <w:szCs w:val="24"/>
        </w:rPr>
      </w:pPr>
      <w:r w:rsidRPr="00075379">
        <w:t>60.</w:t>
      </w:r>
      <w:r w:rsidRPr="00075379">
        <w:tab/>
        <w:t xml:space="preserve">ņem vērā 2021. gada novembrī noslēgto trīspusējo nolīgumu starp Revīzijas palātu, Komisiju un Eiropas Investīciju banku (EIB); atzinīgi vērtē Revīzijas palātas viedokli, ka ar minēto nolīgumu ir skaidrāk noteikti un racionalizēti vairāki procesi un ka ir uzlabota Revīzijas palātas piekļuve informācijai, kas saistīta ar darbībām, kas finansētas vai garantētas no Savienības budžeta; tomēr pauž nožēlu, ka minētais nolīgums nenodrošina Revīzijas palātai vismaz iespēju revidēt darbību, kas veiktas, īstenojot Savienības </w:t>
      </w:r>
      <w:proofErr w:type="spellStart"/>
      <w:r w:rsidRPr="00075379">
        <w:t>rīcībpolitikas</w:t>
      </w:r>
      <w:proofErr w:type="spellEnd"/>
      <w:r w:rsidRPr="00075379">
        <w:t>, snieguma aspektus;</w:t>
      </w:r>
    </w:p>
    <w:p w:rsidR="00BF7E63" w:rsidRPr="00075379" w:rsidRDefault="00BF7E63" w:rsidP="00BF7E63">
      <w:pPr>
        <w:pStyle w:val="NormalHanging12a"/>
        <w:rPr>
          <w:szCs w:val="24"/>
        </w:rPr>
      </w:pPr>
      <w:r w:rsidRPr="00075379">
        <w:t>61.</w:t>
      </w:r>
      <w:r w:rsidRPr="00075379">
        <w:tab/>
        <w:t xml:space="preserve">uzsver, ka Parlaments būtībā uzskata, ka Revīzijas palātas kā EIB revidentes funkciju pašreizējie ierobežojumi rada regulējuma un uzraudzības nepilnības un ka Revīzijas palātai būtu jābūt iespējai veikt visu EIB grupas darbību revīziju; vienlaikus uzsver, ka Parlamentam kā demokrātiski ievēlētai struktūrai būtu jāuztic EIB budžeta izpildes apstiprināšana, lai stiprinātu šīs nozīmīgās Savienības iestādes demokrātisko leģitimitāti un tādējādi uzlabotu finanšu resursu un cilvēkresursu </w:t>
      </w:r>
      <w:proofErr w:type="spellStart"/>
      <w:r w:rsidRPr="00075379">
        <w:t>pārredzamību</w:t>
      </w:r>
      <w:proofErr w:type="spellEnd"/>
      <w:r w:rsidRPr="00075379">
        <w:t xml:space="preserve"> un </w:t>
      </w:r>
      <w:proofErr w:type="spellStart"/>
      <w:r w:rsidRPr="00075379">
        <w:t>pārskatatbildību</w:t>
      </w:r>
      <w:proofErr w:type="spellEnd"/>
      <w:r w:rsidRPr="00075379">
        <w:t>, kā arī labu pārvaldību;</w:t>
      </w:r>
    </w:p>
    <w:p w:rsidR="00BF7E63" w:rsidRPr="00075379" w:rsidRDefault="00BF7E63" w:rsidP="00BF7E63">
      <w:pPr>
        <w:pStyle w:val="NormalHanging12a"/>
        <w:rPr>
          <w:szCs w:val="24"/>
        </w:rPr>
      </w:pPr>
      <w:r w:rsidRPr="00075379">
        <w:t>62.</w:t>
      </w:r>
      <w:r w:rsidRPr="00075379">
        <w:tab/>
        <w:t xml:space="preserve">atzinīgi vērtē to, ka Revīzijas palāta cieši sadarbojas gan ar </w:t>
      </w:r>
      <w:r w:rsidRPr="00075379">
        <w:rPr>
          <w:i/>
        </w:rPr>
        <w:t>OLAF</w:t>
      </w:r>
      <w:r w:rsidRPr="00075379">
        <w:t>, gan arī ar Eiropas Prokuratūru (</w:t>
      </w:r>
      <w:r w:rsidRPr="00075379">
        <w:rPr>
          <w:i/>
        </w:rPr>
        <w:t>EPPO</w:t>
      </w:r>
      <w:r w:rsidRPr="00075379">
        <w:t xml:space="preserve">), tostarp organizējot darbseminārus, izpratnes veicināšanas pasākumus un zināšanu un pieredzes apmaiņu; tāpat ar gandarījumu norāda, ka Revīzijas palāta 2022. gadā iesniedza </w:t>
      </w:r>
      <w:r w:rsidRPr="00075379">
        <w:rPr>
          <w:i/>
        </w:rPr>
        <w:t>OLAF</w:t>
      </w:r>
      <w:r w:rsidRPr="00075379">
        <w:t xml:space="preserve"> 14 lietas par iespēju krāpšanu, kā arī 6 lietas </w:t>
      </w:r>
      <w:r w:rsidRPr="00075379">
        <w:rPr>
          <w:i/>
        </w:rPr>
        <w:t>EPPO</w:t>
      </w:r>
      <w:r w:rsidRPr="00075379">
        <w:t xml:space="preserve">; uzsver savu viedokli, ka aizdomas par krāpšanu vienmēr ir jāziņo </w:t>
      </w:r>
      <w:r w:rsidRPr="00075379">
        <w:rPr>
          <w:i/>
          <w:iCs/>
        </w:rPr>
        <w:t>OLAF</w:t>
      </w:r>
      <w:r w:rsidRPr="00075379">
        <w:t xml:space="preserve"> un </w:t>
      </w:r>
      <w:r w:rsidRPr="00075379">
        <w:rPr>
          <w:i/>
          <w:iCs/>
        </w:rPr>
        <w:t>EPPO</w:t>
      </w:r>
      <w:r w:rsidRPr="00075379">
        <w:t>, kas veic rūpīgu izmeklēšanu;</w:t>
      </w:r>
    </w:p>
    <w:p w:rsidR="00BF7E63" w:rsidRPr="00075379" w:rsidRDefault="00BF7E63" w:rsidP="00BF7E63">
      <w:pPr>
        <w:pStyle w:val="NormalHanging12a"/>
        <w:rPr>
          <w:szCs w:val="24"/>
        </w:rPr>
      </w:pPr>
      <w:r w:rsidRPr="00075379">
        <w:t>63.</w:t>
      </w:r>
      <w:r w:rsidRPr="00075379">
        <w:tab/>
        <w:t xml:space="preserve">norāda, ka Revīzijas palāta ar sava datu aizsardzības speciālista (DAS) starpniecību sadarbojas ar EDAU un apspriežas ar EDAU par jautājumiem, kas saistīti ar datu aizsardzību, un ka 2022. gadā ar dažiem ieteikumiem tika izbeigta lieta par </w:t>
      </w:r>
      <w:proofErr w:type="spellStart"/>
      <w:r w:rsidRPr="00075379">
        <w:t>persondatu</w:t>
      </w:r>
      <w:proofErr w:type="spellEnd"/>
      <w:r w:rsidRPr="00075379">
        <w:t xml:space="preserve"> aizsardzības pārkāpumu; atzinīgi vērtē to, ka Revīzijas palātas DAS piedalās DAS tīklā, kas risina atkārtotus jautājumus, apmainās ar </w:t>
      </w:r>
      <w:proofErr w:type="spellStart"/>
      <w:r w:rsidRPr="00075379">
        <w:t>paraugprakses</w:t>
      </w:r>
      <w:proofErr w:type="spellEnd"/>
      <w:r w:rsidRPr="00075379">
        <w:t xml:space="preserve"> piemēriem un divas reizes gadā palīdz organizēt DAS sanāksmes;</w:t>
      </w:r>
    </w:p>
    <w:p w:rsidR="00BF7E63" w:rsidRPr="00075379" w:rsidRDefault="00BF7E63" w:rsidP="00BF7E63">
      <w:pPr>
        <w:pStyle w:val="NormalHanging12a"/>
        <w:rPr>
          <w:szCs w:val="24"/>
        </w:rPr>
      </w:pPr>
      <w:r w:rsidRPr="00075379">
        <w:t>64.</w:t>
      </w:r>
      <w:r w:rsidRPr="00075379">
        <w:tab/>
        <w:t xml:space="preserve">norāda, ka Revīzijas palāta sadarbojas ar Eiropas </w:t>
      </w:r>
      <w:proofErr w:type="spellStart"/>
      <w:r w:rsidRPr="00075379">
        <w:t>Ombudu</w:t>
      </w:r>
      <w:proofErr w:type="spellEnd"/>
      <w:r w:rsidRPr="00075379">
        <w:t xml:space="preserve"> un ir sniegusi visu prasīto informāciju Eiropas </w:t>
      </w:r>
      <w:proofErr w:type="spellStart"/>
      <w:r w:rsidRPr="00075379">
        <w:t>Ombuda</w:t>
      </w:r>
      <w:proofErr w:type="spellEnd"/>
      <w:r w:rsidRPr="00075379">
        <w:t xml:space="preserve"> uzsāktajās izmeklēšanās; atzinīgi vērtē to, ka Revīzijas palāta ir piedalījusies iestāžu diskusijās par mūsdienīgu saziņu, tostarp tūlītējo ziņojumapmaiņu, un ka Revīzijas palāta kā standartu šajā jomā izmanto Eiropas </w:t>
      </w:r>
      <w:proofErr w:type="spellStart"/>
      <w:r w:rsidRPr="00075379">
        <w:t>Ombuda</w:t>
      </w:r>
      <w:proofErr w:type="spellEnd"/>
      <w:r w:rsidRPr="00075379">
        <w:t xml:space="preserve"> pamatnostādnes;</w:t>
      </w:r>
    </w:p>
    <w:p w:rsidR="00BF7E63" w:rsidRPr="00075379" w:rsidRDefault="00BF7E63" w:rsidP="00BF7E63">
      <w:pPr>
        <w:spacing w:after="240"/>
        <w:rPr>
          <w:b/>
          <w:szCs w:val="24"/>
        </w:rPr>
      </w:pPr>
      <w:r w:rsidRPr="00075379">
        <w:rPr>
          <w:b/>
        </w:rPr>
        <w:t>Komunikācija</w:t>
      </w:r>
    </w:p>
    <w:p w:rsidR="00BF7E63" w:rsidRPr="00075379" w:rsidRDefault="00BF7E63" w:rsidP="00BF7E63">
      <w:pPr>
        <w:pStyle w:val="NormalHanging12a"/>
        <w:rPr>
          <w:szCs w:val="24"/>
        </w:rPr>
      </w:pPr>
      <w:r w:rsidRPr="00075379">
        <w:t>65.</w:t>
      </w:r>
      <w:r w:rsidRPr="00075379">
        <w:tab/>
        <w:t>atzinīgi vērtē to, ka Revīzijas palāta 2022. gada janvārī pieņēma jaunu komunikācijas stratēģiju, kas komunikācijas centienu centrā izvirza plašāku sabiedrību, un atzinīgi vērtē to, ka Revīzijas palāta tagad var organizēt preses brīfingus un tīmeklī straumētas konferences atbilstīgi labam tehniskajam standartam; atzinīgi vērtē arī to, ka Revīzijas palāta 2023. gadā atjaunināja savu tīmekļa vietni, lai lietotājiem nodrošinātu labāku pieredzi, un izveidoja portālu, kas var padarīt ar revīzijām saistītos datus pieejamākus plašai auditorijai, tostarp studentiem, akadēmiķiem un plašākai sabiedrībai.</w:t>
      </w:r>
    </w:p>
    <w:p w:rsidR="00E365E1" w:rsidRPr="00075379" w:rsidRDefault="00E365E1" w:rsidP="00075379">
      <w:pPr>
        <w:widowControl/>
      </w:pPr>
      <w:bookmarkStart w:id="10" w:name="TextBodyEnd"/>
      <w:bookmarkEnd w:id="10"/>
    </w:p>
    <w:sectPr w:rsidR="00E365E1" w:rsidRPr="00075379" w:rsidSect="00075379">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0DD4" w:rsidRPr="00E4053D" w:rsidRDefault="00A90DD4">
      <w:r w:rsidRPr="00E4053D">
        <w:separator/>
      </w:r>
    </w:p>
  </w:endnote>
  <w:endnote w:type="continuationSeparator" w:id="0">
    <w:p w:rsidR="00A90DD4" w:rsidRPr="00E4053D" w:rsidRDefault="00A90DD4">
      <w:r w:rsidRPr="00E405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7E63" w:rsidRPr="00E4053D" w:rsidRDefault="00BF7E63" w:rsidP="00D02418">
    <w:pPr>
      <w:pStyle w:val="EPFooter"/>
    </w:pPr>
    <w:r w:rsidRPr="00E4053D">
      <w:t>PE</w:t>
    </w:r>
    <w:r w:rsidRPr="00E4053D">
      <w:rPr>
        <w:rStyle w:val="HideTWBExt"/>
      </w:rPr>
      <w:t>&lt;NoPE&gt;</w:t>
    </w:r>
    <w:r w:rsidRPr="00E4053D">
      <w:t>753.481</w:t>
    </w:r>
    <w:r w:rsidRPr="00E4053D">
      <w:rPr>
        <w:rStyle w:val="HideTWBExt"/>
      </w:rPr>
      <w:t>&lt;/NoPE&gt;&lt;Version&gt;</w:t>
    </w:r>
    <w:r w:rsidRPr="00E4053D">
      <w:t>v02-00</w:t>
    </w:r>
    <w:r w:rsidRPr="00E4053D">
      <w:rPr>
        <w:rStyle w:val="HideTWBExt"/>
      </w:rPr>
      <w:t>&lt;/Version&gt;</w:t>
    </w:r>
    <w:r w:rsidRPr="00E4053D">
      <w:tab/>
    </w:r>
    <w:r w:rsidRPr="00E4053D">
      <w:fldChar w:fldCharType="begin"/>
    </w:r>
    <w:r w:rsidRPr="00E4053D">
      <w:instrText xml:space="preserve"> PAGE  \* MERGEFORMAT </w:instrText>
    </w:r>
    <w:r w:rsidRPr="00E4053D">
      <w:fldChar w:fldCharType="separate"/>
    </w:r>
    <w:r w:rsidRPr="00E4053D">
      <w:rPr>
        <w:noProof/>
      </w:rPr>
      <w:t>14</w:t>
    </w:r>
    <w:r w:rsidRPr="00E4053D">
      <w:fldChar w:fldCharType="end"/>
    </w:r>
    <w:r w:rsidRPr="00E4053D">
      <w:t>/</w:t>
    </w:r>
    <w:r w:rsidR="00075379">
      <w:fldChar w:fldCharType="begin"/>
    </w:r>
    <w:r w:rsidR="00075379">
      <w:instrText xml:space="preserve"> NUMPAGES  \* MERGEFORMAT </w:instrText>
    </w:r>
    <w:r w:rsidR="00075379">
      <w:fldChar w:fldCharType="separate"/>
    </w:r>
    <w:r w:rsidRPr="00E4053D">
      <w:rPr>
        <w:noProof/>
      </w:rPr>
      <w:t>14</w:t>
    </w:r>
    <w:r w:rsidR="00075379">
      <w:rPr>
        <w:noProof/>
      </w:rPr>
      <w:fldChar w:fldCharType="end"/>
    </w:r>
    <w:r w:rsidRPr="00E4053D">
      <w:tab/>
    </w:r>
    <w:r w:rsidRPr="00E4053D">
      <w:rPr>
        <w:rStyle w:val="HideTWBExt"/>
      </w:rPr>
      <w:t>&lt;PathFdR&gt;</w:t>
    </w:r>
    <w:r w:rsidRPr="00E4053D">
      <w:t>RR\1298500LV.docx</w:t>
    </w:r>
    <w:r w:rsidRPr="00E4053D">
      <w:rPr>
        <w:rStyle w:val="HideTWBExt"/>
      </w:rPr>
      <w:t>&lt;/PathFdR&gt;</w:t>
    </w:r>
  </w:p>
  <w:p w:rsidR="00BF7E63" w:rsidRPr="00E4053D" w:rsidRDefault="00BF7E63" w:rsidP="00D02418">
    <w:pPr>
      <w:pStyle w:val="EPFooter2"/>
    </w:pPr>
    <w:r w:rsidRPr="00E4053D">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7E63" w:rsidRPr="00E4053D" w:rsidRDefault="00BF7E63" w:rsidP="00D02418">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7E63" w:rsidRPr="00E4053D" w:rsidRDefault="00BF7E63" w:rsidP="00D02418">
    <w:pPr>
      <w:pStyle w:val="EPFooter"/>
    </w:pPr>
    <w:r w:rsidRPr="00E4053D">
      <w:rPr>
        <w:rStyle w:val="HideTWBExt"/>
      </w:rPr>
      <w:t>&lt;PathFdR&gt;</w:t>
    </w:r>
    <w:r w:rsidRPr="00E4053D">
      <w:t>RR\1298500LV.docx</w:t>
    </w:r>
    <w:r w:rsidRPr="00E4053D">
      <w:rPr>
        <w:rStyle w:val="HideTWBExt"/>
      </w:rPr>
      <w:t>&lt;/PathFdR&gt;</w:t>
    </w:r>
    <w:r w:rsidRPr="00E4053D">
      <w:tab/>
    </w:r>
    <w:r w:rsidRPr="00E4053D">
      <w:tab/>
      <w:t>PE</w:t>
    </w:r>
    <w:r w:rsidRPr="00E4053D">
      <w:rPr>
        <w:rStyle w:val="HideTWBExt"/>
      </w:rPr>
      <w:t>&lt;NoPE&gt;</w:t>
    </w:r>
    <w:r w:rsidRPr="00E4053D">
      <w:t>753.481</w:t>
    </w:r>
    <w:r w:rsidRPr="00E4053D">
      <w:rPr>
        <w:rStyle w:val="HideTWBExt"/>
      </w:rPr>
      <w:t>&lt;/NoPE&gt;&lt;Version&gt;</w:t>
    </w:r>
    <w:r w:rsidRPr="00E4053D">
      <w:t>v02-00</w:t>
    </w:r>
    <w:r w:rsidRPr="00E4053D">
      <w:rPr>
        <w:rStyle w:val="HideTWBExt"/>
      </w:rPr>
      <w:t>&lt;/Version&gt;</w:t>
    </w:r>
  </w:p>
  <w:p w:rsidR="00BF7E63" w:rsidRPr="00E4053D" w:rsidRDefault="00BF7E63" w:rsidP="00D02418">
    <w:pPr>
      <w:pStyle w:val="EPFooter2"/>
    </w:pPr>
    <w:r w:rsidRPr="00E4053D">
      <w:t>LV</w:t>
    </w:r>
    <w:r w:rsidRPr="00E4053D">
      <w:tab/>
    </w:r>
    <w:r w:rsidRPr="00E4053D">
      <w:rPr>
        <w:b w:val="0"/>
        <w:i/>
        <w:color w:val="C0C0C0"/>
        <w:sz w:val="22"/>
      </w:rPr>
      <w:t>Vienoti daudzveidībā</w:t>
    </w:r>
    <w:r w:rsidRPr="00E4053D">
      <w:tab/>
      <w:t>LV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053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053D"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053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0DD4" w:rsidRPr="00E4053D" w:rsidRDefault="00A90DD4">
      <w:r w:rsidRPr="00E4053D">
        <w:separator/>
      </w:r>
    </w:p>
  </w:footnote>
  <w:footnote w:type="continuationSeparator" w:id="0">
    <w:p w:rsidR="00A90DD4" w:rsidRPr="00E4053D" w:rsidRDefault="00A90DD4">
      <w:r w:rsidRPr="00E4053D">
        <w:continuationSeparator/>
      </w:r>
    </w:p>
  </w:footnote>
  <w:footnote w:id="1">
    <w:p w:rsidR="00BF7E63" w:rsidRPr="00E4053D" w:rsidRDefault="00BF7E63" w:rsidP="00E4053D">
      <w:pPr>
        <w:pStyle w:val="FootnoteText"/>
        <w:ind w:left="567" w:hanging="567"/>
        <w:rPr>
          <w:sz w:val="24"/>
          <w:lang w:val="lv-LV"/>
        </w:rPr>
      </w:pPr>
      <w:r w:rsidRPr="00E4053D">
        <w:rPr>
          <w:rStyle w:val="FootnoteReference"/>
          <w:sz w:val="24"/>
          <w:lang w:val="lv-LV"/>
        </w:rPr>
        <w:footnoteRef/>
      </w:r>
      <w:r w:rsidR="00E4053D" w:rsidRPr="00E4053D">
        <w:rPr>
          <w:sz w:val="24"/>
          <w:lang w:val="lv-LV"/>
        </w:rPr>
        <w:t xml:space="preserve"> </w:t>
      </w:r>
      <w:r w:rsidR="00E4053D" w:rsidRPr="00E4053D">
        <w:rPr>
          <w:sz w:val="24"/>
          <w:lang w:val="lv-LV"/>
        </w:rPr>
        <w:tab/>
      </w:r>
      <w:r w:rsidRPr="00E4053D">
        <w:rPr>
          <w:sz w:val="24"/>
          <w:lang w:val="lv-LV"/>
        </w:rPr>
        <w:t>OV L 45, 24.2.2022.</w:t>
      </w:r>
    </w:p>
  </w:footnote>
  <w:footnote w:id="2">
    <w:p w:rsidR="00BF7E63" w:rsidRPr="00E4053D" w:rsidRDefault="00BF7E63" w:rsidP="00E4053D">
      <w:pPr>
        <w:pStyle w:val="FootnoteText"/>
        <w:ind w:left="567" w:hanging="567"/>
        <w:rPr>
          <w:sz w:val="24"/>
          <w:lang w:val="lv-LV"/>
        </w:rPr>
      </w:pPr>
      <w:r w:rsidRPr="00E4053D">
        <w:rPr>
          <w:rStyle w:val="FootnoteReference"/>
          <w:sz w:val="24"/>
          <w:lang w:val="lv-LV"/>
        </w:rPr>
        <w:footnoteRef/>
      </w:r>
      <w:r w:rsidR="00E4053D" w:rsidRPr="00E4053D">
        <w:rPr>
          <w:sz w:val="24"/>
          <w:lang w:val="lv-LV"/>
        </w:rPr>
        <w:t xml:space="preserve"> </w:t>
      </w:r>
      <w:r w:rsidR="00E4053D" w:rsidRPr="00E4053D">
        <w:rPr>
          <w:sz w:val="24"/>
          <w:lang w:val="lv-LV"/>
        </w:rPr>
        <w:tab/>
      </w:r>
      <w:r w:rsidRPr="00E4053D">
        <w:rPr>
          <w:sz w:val="24"/>
          <w:lang w:val="lv-LV"/>
        </w:rPr>
        <w:t>OV C, C/2023/2, 12.10.2023.</w:t>
      </w:r>
    </w:p>
  </w:footnote>
  <w:footnote w:id="3">
    <w:p w:rsidR="00BF7E63" w:rsidRPr="00E4053D" w:rsidRDefault="00BF7E63" w:rsidP="00E4053D">
      <w:pPr>
        <w:pStyle w:val="FootnoteText"/>
        <w:ind w:left="567" w:hanging="567"/>
        <w:rPr>
          <w:sz w:val="24"/>
          <w:lang w:val="lv-LV"/>
        </w:rPr>
      </w:pPr>
      <w:r w:rsidRPr="00E4053D">
        <w:rPr>
          <w:rStyle w:val="FootnoteReference"/>
          <w:sz w:val="24"/>
          <w:lang w:val="lv-LV"/>
        </w:rPr>
        <w:footnoteRef/>
      </w:r>
      <w:r w:rsidR="00E4053D" w:rsidRPr="00E4053D">
        <w:rPr>
          <w:sz w:val="24"/>
          <w:lang w:val="lv-LV"/>
        </w:rPr>
        <w:t xml:space="preserve"> </w:t>
      </w:r>
      <w:r w:rsidR="00E4053D" w:rsidRPr="00E4053D">
        <w:rPr>
          <w:sz w:val="24"/>
          <w:lang w:val="lv-LV"/>
        </w:rPr>
        <w:tab/>
      </w:r>
      <w:r w:rsidRPr="00E4053D">
        <w:rPr>
          <w:sz w:val="24"/>
          <w:lang w:val="lv-LV"/>
        </w:rPr>
        <w:t>OV C, C/2023/103, 4.10.2023.</w:t>
      </w:r>
    </w:p>
  </w:footnote>
  <w:footnote w:id="4">
    <w:p w:rsidR="00BF7E63" w:rsidRPr="00E4053D" w:rsidRDefault="00BF7E63" w:rsidP="00E4053D">
      <w:pPr>
        <w:pStyle w:val="FootnoteText"/>
        <w:ind w:left="567" w:hanging="567"/>
        <w:rPr>
          <w:sz w:val="24"/>
          <w:lang w:val="lv-LV"/>
        </w:rPr>
      </w:pPr>
      <w:r w:rsidRPr="00E4053D">
        <w:rPr>
          <w:rStyle w:val="FootnoteReference"/>
          <w:sz w:val="24"/>
          <w:lang w:val="lv-LV"/>
        </w:rPr>
        <w:footnoteRef/>
      </w:r>
      <w:r w:rsidR="00E4053D" w:rsidRPr="00E4053D">
        <w:rPr>
          <w:sz w:val="24"/>
          <w:lang w:val="lv-LV"/>
        </w:rPr>
        <w:t xml:space="preserve"> </w:t>
      </w:r>
      <w:r w:rsidR="00E4053D" w:rsidRPr="00E4053D">
        <w:rPr>
          <w:sz w:val="24"/>
          <w:lang w:val="lv-LV"/>
        </w:rPr>
        <w:tab/>
      </w:r>
      <w:r w:rsidRPr="00E4053D">
        <w:rPr>
          <w:sz w:val="24"/>
          <w:lang w:val="lv-LV"/>
        </w:rPr>
        <w:t>OV C, C/2023/112, 12.10.2023.</w:t>
      </w:r>
    </w:p>
  </w:footnote>
  <w:footnote w:id="5">
    <w:p w:rsidR="00BF7E63" w:rsidRPr="00E4053D" w:rsidRDefault="00BF7E63" w:rsidP="00E4053D">
      <w:pPr>
        <w:pStyle w:val="FootnoteText"/>
        <w:ind w:left="567" w:hanging="567"/>
        <w:rPr>
          <w:sz w:val="24"/>
          <w:szCs w:val="24"/>
          <w:lang w:val="lv-LV"/>
        </w:rPr>
      </w:pPr>
      <w:r w:rsidRPr="00E4053D">
        <w:rPr>
          <w:rStyle w:val="FootnoteReference"/>
          <w:sz w:val="24"/>
          <w:lang w:val="lv-LV"/>
        </w:rPr>
        <w:footnoteRef/>
      </w:r>
      <w:r w:rsidR="00E4053D" w:rsidRPr="00E4053D">
        <w:rPr>
          <w:sz w:val="24"/>
          <w:lang w:val="lv-LV"/>
        </w:rPr>
        <w:t xml:space="preserve"> </w:t>
      </w:r>
      <w:r w:rsidR="00E4053D" w:rsidRPr="00E4053D">
        <w:rPr>
          <w:sz w:val="24"/>
          <w:lang w:val="lv-LV"/>
        </w:rPr>
        <w:tab/>
      </w:r>
      <w:r w:rsidRPr="00E4053D">
        <w:rPr>
          <w:sz w:val="24"/>
          <w:lang w:val="lv-LV"/>
        </w:rPr>
        <w:t>OV L 193, 30.7.2018., 1. lpp.</w:t>
      </w:r>
    </w:p>
  </w:footnote>
  <w:footnote w:id="6">
    <w:p w:rsidR="00BF7E63" w:rsidRPr="00E4053D" w:rsidRDefault="00BF7E63" w:rsidP="00E4053D">
      <w:pPr>
        <w:pStyle w:val="FootnoteText"/>
        <w:ind w:left="567" w:hanging="567"/>
        <w:rPr>
          <w:sz w:val="24"/>
          <w:lang w:val="lv-LV"/>
        </w:rPr>
      </w:pPr>
      <w:r w:rsidRPr="00E4053D">
        <w:rPr>
          <w:rStyle w:val="FootnoteReference"/>
          <w:sz w:val="24"/>
          <w:lang w:val="lv-LV"/>
        </w:rPr>
        <w:footnoteRef/>
      </w:r>
      <w:r w:rsidR="00E4053D" w:rsidRPr="00E4053D">
        <w:rPr>
          <w:sz w:val="24"/>
          <w:lang w:val="lv-LV"/>
        </w:rPr>
        <w:t xml:space="preserve"> </w:t>
      </w:r>
      <w:r w:rsidR="00E4053D" w:rsidRPr="00E4053D">
        <w:rPr>
          <w:sz w:val="24"/>
          <w:lang w:val="lv-LV"/>
        </w:rPr>
        <w:tab/>
      </w:r>
      <w:r w:rsidRPr="00E4053D">
        <w:rPr>
          <w:sz w:val="24"/>
          <w:lang w:val="lv-LV"/>
        </w:rPr>
        <w:t>OV L 207, 11.6.2021., 1.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7E63" w:rsidRPr="00E4053D" w:rsidRDefault="00BF7E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7E63" w:rsidRPr="00E4053D" w:rsidRDefault="00BF7E6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7E63" w:rsidRPr="00E4053D" w:rsidRDefault="00BF7E6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053D"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053D"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4053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4/2024"/>
    <w:docVar w:name="dvlangue" w:val="LV"/>
    <w:docVar w:name="dvnumam" w:val="0"/>
    <w:docVar w:name="dvpe" w:val="753.481"/>
    <w:docVar w:name="dvrapporteur" w:val="Referents: "/>
    <w:docVar w:name="dvtitre" w:val="Eiropas Parlamenta 2024. gada XX. XXX lēmums par Eiropas Savienības 2022. finanšu gada vispārējā budžeta izpildes apstiprināšanu, V iedaļa — Revīzijas palāta(2023/2133(DEC))"/>
  </w:docVars>
  <w:rsids>
    <w:rsidRoot w:val="00A90DD4"/>
    <w:rsid w:val="00002272"/>
    <w:rsid w:val="00064002"/>
    <w:rsid w:val="000677B9"/>
    <w:rsid w:val="00075379"/>
    <w:rsid w:val="000831BA"/>
    <w:rsid w:val="000A42CC"/>
    <w:rsid w:val="000E7DD9"/>
    <w:rsid w:val="0010095E"/>
    <w:rsid w:val="00125B37"/>
    <w:rsid w:val="00187494"/>
    <w:rsid w:val="001F32AE"/>
    <w:rsid w:val="00232F90"/>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90DD4"/>
    <w:rsid w:val="00AB441E"/>
    <w:rsid w:val="00AB6293"/>
    <w:rsid w:val="00AE0928"/>
    <w:rsid w:val="00AF3B82"/>
    <w:rsid w:val="00B12E95"/>
    <w:rsid w:val="00B22876"/>
    <w:rsid w:val="00B558F0"/>
    <w:rsid w:val="00BD48FE"/>
    <w:rsid w:val="00BD7BD8"/>
    <w:rsid w:val="00BE6ADC"/>
    <w:rsid w:val="00BF7E63"/>
    <w:rsid w:val="00C05BFE"/>
    <w:rsid w:val="00C23CD4"/>
    <w:rsid w:val="00C61C0C"/>
    <w:rsid w:val="00C941CB"/>
    <w:rsid w:val="00CC2357"/>
    <w:rsid w:val="00CF071A"/>
    <w:rsid w:val="00D058B8"/>
    <w:rsid w:val="00D56C11"/>
    <w:rsid w:val="00D834A0"/>
    <w:rsid w:val="00D872DF"/>
    <w:rsid w:val="00D91E21"/>
    <w:rsid w:val="00DA7FCD"/>
    <w:rsid w:val="00E365E1"/>
    <w:rsid w:val="00E4053D"/>
    <w:rsid w:val="00E820A4"/>
    <w:rsid w:val="00EB006A"/>
    <w:rsid w:val="00EB4772"/>
    <w:rsid w:val="00ED169E"/>
    <w:rsid w:val="00ED4235"/>
    <w:rsid w:val="00F04346"/>
    <w:rsid w:val="00F075DC"/>
    <w:rsid w:val="00F149E9"/>
    <w:rsid w:val="00F5134D"/>
    <w:rsid w:val="00F74202"/>
    <w:rsid w:val="00F87713"/>
    <w:rsid w:val="00FB4360"/>
    <w:rsid w:val="00FD0C70"/>
    <w:rsid w:val="00FD6B8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B0F8CD"/>
  <w15:chartTrackingRefBased/>
  <w15:docId w15:val="{F5BFAF84-C5AC-4D58-ABD1-CFCE4E509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F7E6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F7E63"/>
    <w:pPr>
      <w:spacing w:before="480" w:after="240"/>
    </w:pPr>
  </w:style>
  <w:style w:type="paragraph" w:customStyle="1" w:styleId="PageHeading">
    <w:name w:val="PageHeading"/>
    <w:basedOn w:val="Normal"/>
    <w:rsid w:val="00BF7E63"/>
    <w:pPr>
      <w:keepNext/>
      <w:spacing w:after="480"/>
      <w:jc w:val="center"/>
    </w:pPr>
    <w:rPr>
      <w:rFonts w:ascii="Arial" w:hAnsi="Arial" w:cs="Arial"/>
      <w:b/>
    </w:rPr>
  </w:style>
  <w:style w:type="paragraph" w:customStyle="1" w:styleId="NormalBold">
    <w:name w:val="NormalBold"/>
    <w:basedOn w:val="Normal"/>
    <w:rsid w:val="00BF7E63"/>
    <w:rPr>
      <w:b/>
    </w:rPr>
  </w:style>
  <w:style w:type="paragraph" w:customStyle="1" w:styleId="NormalHanging12a">
    <w:name w:val="NormalHanging12a"/>
    <w:basedOn w:val="Normal"/>
    <w:link w:val="NormalHanging12aChar"/>
    <w:qFormat/>
    <w:rsid w:val="00BF7E63"/>
    <w:pPr>
      <w:spacing w:after="240"/>
      <w:ind w:left="567" w:hanging="567"/>
    </w:pPr>
  </w:style>
  <w:style w:type="paragraph" w:styleId="Header">
    <w:name w:val="header"/>
    <w:basedOn w:val="Normal"/>
    <w:link w:val="HeaderChar"/>
    <w:rsid w:val="00BF7E63"/>
    <w:pPr>
      <w:tabs>
        <w:tab w:val="center" w:pos="4513"/>
        <w:tab w:val="right" w:pos="9026"/>
      </w:tabs>
    </w:pPr>
  </w:style>
  <w:style w:type="character" w:customStyle="1" w:styleId="HeaderChar">
    <w:name w:val="Header Char"/>
    <w:basedOn w:val="DefaultParagraphFont"/>
    <w:link w:val="Header"/>
    <w:rsid w:val="00BF7E63"/>
    <w:rPr>
      <w:sz w:val="24"/>
      <w:lang w:val="lv-LV"/>
    </w:rPr>
  </w:style>
  <w:style w:type="paragraph" w:customStyle="1" w:styleId="EPFooter">
    <w:name w:val="EPFooter"/>
    <w:basedOn w:val="Normal"/>
    <w:rsid w:val="00BF7E63"/>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BF7E63"/>
    <w:rPr>
      <w:sz w:val="24"/>
      <w:lang w:val="lv-LV"/>
    </w:rPr>
  </w:style>
  <w:style w:type="paragraph" w:customStyle="1" w:styleId="Normal24a">
    <w:name w:val="Normal24a"/>
    <w:basedOn w:val="Normal"/>
    <w:rsid w:val="00BF7E63"/>
    <w:pPr>
      <w:spacing w:after="480"/>
    </w:pPr>
  </w:style>
  <w:style w:type="paragraph" w:customStyle="1" w:styleId="NormalBoldCenter">
    <w:name w:val="NormalBoldCenter"/>
    <w:basedOn w:val="Normal"/>
    <w:rsid w:val="00BF7E63"/>
    <w:pPr>
      <w:jc w:val="center"/>
    </w:pPr>
    <w:rPr>
      <w:b/>
    </w:rPr>
  </w:style>
  <w:style w:type="paragraph" w:customStyle="1" w:styleId="Normal12a">
    <w:name w:val="Normal12a"/>
    <w:basedOn w:val="Normal"/>
    <w:rsid w:val="00BF7E63"/>
    <w:pPr>
      <w:spacing w:after="240"/>
    </w:pPr>
  </w:style>
  <w:style w:type="paragraph" w:customStyle="1" w:styleId="RollCallVotes">
    <w:name w:val="RollCallVotes"/>
    <w:basedOn w:val="Normal"/>
    <w:rsid w:val="00BF7E63"/>
    <w:pPr>
      <w:spacing w:before="120" w:after="120"/>
      <w:jc w:val="center"/>
    </w:pPr>
    <w:rPr>
      <w:b/>
      <w:bCs/>
      <w:snapToGrid w:val="0"/>
      <w:sz w:val="16"/>
      <w:lang w:eastAsia="en-US"/>
    </w:rPr>
  </w:style>
  <w:style w:type="paragraph" w:customStyle="1" w:styleId="RollCallTabs">
    <w:name w:val="RollCallTabs"/>
    <w:basedOn w:val="Normal"/>
    <w:qFormat/>
    <w:rsid w:val="00BF7E63"/>
    <w:pPr>
      <w:tabs>
        <w:tab w:val="center" w:pos="284"/>
        <w:tab w:val="left" w:pos="426"/>
      </w:tabs>
    </w:pPr>
    <w:rPr>
      <w:snapToGrid w:val="0"/>
      <w:lang w:eastAsia="en-US"/>
    </w:rPr>
  </w:style>
  <w:style w:type="paragraph" w:customStyle="1" w:styleId="RollCallSymbols14pt">
    <w:name w:val="RollCallSymbols14pt"/>
    <w:basedOn w:val="Normal"/>
    <w:rsid w:val="00BF7E63"/>
    <w:pPr>
      <w:spacing w:before="120" w:after="120"/>
      <w:jc w:val="center"/>
    </w:pPr>
    <w:rPr>
      <w:rFonts w:ascii="Arial" w:hAnsi="Arial"/>
      <w:b/>
      <w:bCs/>
      <w:snapToGrid w:val="0"/>
      <w:sz w:val="28"/>
      <w:lang w:eastAsia="en-US"/>
    </w:rPr>
  </w:style>
  <w:style w:type="paragraph" w:customStyle="1" w:styleId="RollCallTable">
    <w:name w:val="RollCallTable"/>
    <w:basedOn w:val="Normal"/>
    <w:rsid w:val="00BF7E63"/>
    <w:pPr>
      <w:spacing w:before="120" w:after="120"/>
    </w:pPr>
    <w:rPr>
      <w:snapToGrid w:val="0"/>
      <w:sz w:val="16"/>
      <w:lang w:eastAsia="en-US"/>
    </w:rPr>
  </w:style>
  <w:style w:type="paragraph" w:styleId="BalloonText">
    <w:name w:val="Balloon Text"/>
    <w:basedOn w:val="Normal"/>
    <w:link w:val="BalloonTextChar"/>
    <w:rsid w:val="00232F90"/>
    <w:rPr>
      <w:rFonts w:ascii="Segoe UI" w:hAnsi="Segoe UI" w:cs="Segoe UI"/>
      <w:sz w:val="18"/>
      <w:szCs w:val="18"/>
    </w:rPr>
  </w:style>
  <w:style w:type="character" w:customStyle="1" w:styleId="BalloonTextChar">
    <w:name w:val="Balloon Text Char"/>
    <w:basedOn w:val="DefaultParagraphFont"/>
    <w:link w:val="BalloonText"/>
    <w:rsid w:val="00232F90"/>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B33281-1190-4E66-908E-33C6BF85D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12</Pages>
  <Words>4559</Words>
  <Characters>29689</Characters>
  <Application>Microsoft Office Word</Application>
  <DocSecurity>0</DocSecurity>
  <Lines>247</Lines>
  <Paragraphs>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2024-04-11T14:27:00Z</dcterms:created>
  <dcterms:modified xsi:type="dcterms:W3CDTF">2024-04-11T14:27:00Z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A9-0074/2024</vt:lpwstr>
  </property>
  <property fmtid="{D5CDD505-2E9C-101B-9397-08002B2CF9AE}" pid="4" name="&lt;Type&gt;">
    <vt:lpwstr>RR</vt:lpwstr>
  </property>
</Properties>
</file>