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47C6" w:rsidTr="0010095E">
        <w:trPr>
          <w:trHeight w:hRule="exact" w:val="1418"/>
        </w:trPr>
        <w:tc>
          <w:tcPr>
            <w:tcW w:w="6804" w:type="dxa"/>
            <w:shd w:val="clear" w:color="auto" w:fill="auto"/>
            <w:vAlign w:val="center"/>
          </w:tcPr>
          <w:p w:rsidR="00751A4A" w:rsidRPr="001647C6" w:rsidRDefault="00A23764" w:rsidP="0010095E">
            <w:pPr>
              <w:pStyle w:val="EPName"/>
            </w:pPr>
            <w:r w:rsidRPr="001647C6">
              <w:t>Európsky parlament</w:t>
            </w:r>
          </w:p>
          <w:p w:rsidR="00751A4A" w:rsidRPr="001647C6" w:rsidRDefault="00817416" w:rsidP="00756632">
            <w:pPr>
              <w:pStyle w:val="EPTerm"/>
              <w:rPr>
                <w:rStyle w:val="HideTWBExt"/>
                <w:noProof w:val="0"/>
                <w:vanish w:val="0"/>
                <w:color w:val="auto"/>
              </w:rPr>
            </w:pPr>
            <w:r w:rsidRPr="001647C6">
              <w:t>2019-2024</w:t>
            </w:r>
          </w:p>
        </w:tc>
        <w:tc>
          <w:tcPr>
            <w:tcW w:w="2268" w:type="dxa"/>
            <w:shd w:val="clear" w:color="auto" w:fill="auto"/>
          </w:tcPr>
          <w:p w:rsidR="00751A4A" w:rsidRPr="001647C6" w:rsidRDefault="00187494" w:rsidP="0010095E">
            <w:pPr>
              <w:pStyle w:val="EPLogo"/>
            </w:pPr>
            <w:r w:rsidRPr="001647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47C6" w:rsidRDefault="00D058B8" w:rsidP="004C5D52">
      <w:pPr>
        <w:pStyle w:val="LineTop"/>
      </w:pPr>
    </w:p>
    <w:p w:rsidR="00680577" w:rsidRPr="001647C6" w:rsidRDefault="00A23764" w:rsidP="00680577">
      <w:pPr>
        <w:pStyle w:val="EPBodyTA1"/>
      </w:pPr>
      <w:r w:rsidRPr="001647C6">
        <w:t>PRIJATÉ TEXTY</w:t>
      </w:r>
    </w:p>
    <w:p w:rsidR="00D058B8" w:rsidRPr="001647C6" w:rsidRDefault="00D058B8" w:rsidP="00D058B8">
      <w:pPr>
        <w:pStyle w:val="LineBottom"/>
      </w:pPr>
    </w:p>
    <w:p w:rsidR="00A23764" w:rsidRPr="001647C6" w:rsidRDefault="00A23764" w:rsidP="00A23764">
      <w:pPr>
        <w:pStyle w:val="ATHeading1"/>
      </w:pPr>
      <w:bookmarkStart w:id="0" w:name="TANumber"/>
      <w:r w:rsidRPr="001647C6">
        <w:t>P9_TA(2024)0</w:t>
      </w:r>
      <w:r w:rsidR="001647C6" w:rsidRPr="001647C6">
        <w:t>23</w:t>
      </w:r>
      <w:r w:rsidR="0094757D">
        <w:t>1</w:t>
      </w:r>
      <w:bookmarkEnd w:id="0"/>
    </w:p>
    <w:p w:rsidR="00A23764" w:rsidRPr="001647C6" w:rsidRDefault="00A23764" w:rsidP="00A23764">
      <w:pPr>
        <w:pStyle w:val="ATHeading2"/>
      </w:pPr>
      <w:bookmarkStart w:id="1" w:name="title"/>
      <w:r w:rsidRPr="001647C6">
        <w:t>Absolutórium za rok 2022: všeobecný rozpočet EÚ – Dvor audítorov</w:t>
      </w:r>
      <w:bookmarkEnd w:id="1"/>
    </w:p>
    <w:p w:rsidR="00A23764" w:rsidRPr="001647C6" w:rsidRDefault="00A23764" w:rsidP="00A23764">
      <w:pPr>
        <w:rPr>
          <w:i/>
          <w:vanish/>
        </w:rPr>
      </w:pPr>
      <w:r w:rsidRPr="001647C6">
        <w:rPr>
          <w:i/>
        </w:rPr>
        <w:fldChar w:fldCharType="begin"/>
      </w:r>
      <w:r w:rsidRPr="001647C6">
        <w:rPr>
          <w:i/>
        </w:rPr>
        <w:instrText xml:space="preserve"> TC"(</w:instrText>
      </w:r>
      <w:bookmarkStart w:id="2" w:name="DocNumber"/>
      <w:r w:rsidRPr="001647C6">
        <w:rPr>
          <w:i/>
        </w:rPr>
        <w:instrText>A9-0074/2024</w:instrText>
      </w:r>
      <w:bookmarkEnd w:id="2"/>
      <w:r w:rsidRPr="001647C6">
        <w:rPr>
          <w:i/>
        </w:rPr>
        <w:instrText xml:space="preserve"> - Spravodajca: Luke Ming Flanagan)"\l3 \n&gt; \* MERGEFORMAT </w:instrText>
      </w:r>
      <w:r w:rsidRPr="001647C6">
        <w:rPr>
          <w:i/>
        </w:rPr>
        <w:fldChar w:fldCharType="end"/>
      </w:r>
    </w:p>
    <w:p w:rsidR="00A23764" w:rsidRPr="001647C6" w:rsidRDefault="00A23764" w:rsidP="00A23764">
      <w:pPr>
        <w:rPr>
          <w:vanish/>
        </w:rPr>
      </w:pPr>
      <w:bookmarkStart w:id="3" w:name="Commission"/>
      <w:r w:rsidRPr="001647C6">
        <w:rPr>
          <w:vanish/>
        </w:rPr>
        <w:t>Výbor pre kontrolu rozpočtu</w:t>
      </w:r>
      <w:bookmarkEnd w:id="3"/>
    </w:p>
    <w:p w:rsidR="00A23764" w:rsidRPr="001647C6" w:rsidRDefault="00A23764" w:rsidP="00A23764">
      <w:pPr>
        <w:rPr>
          <w:vanish/>
        </w:rPr>
      </w:pPr>
      <w:bookmarkStart w:id="4" w:name="PE"/>
      <w:r w:rsidRPr="001647C6">
        <w:rPr>
          <w:vanish/>
        </w:rPr>
        <w:t>PE753.481</w:t>
      </w:r>
      <w:bookmarkEnd w:id="4"/>
    </w:p>
    <w:p w:rsidR="00A23764" w:rsidRPr="001647C6" w:rsidRDefault="00EB0301" w:rsidP="00A23764">
      <w:pPr>
        <w:pStyle w:val="ATHeading3"/>
      </w:pPr>
      <w:bookmarkStart w:id="5" w:name="Sujet"/>
      <w:r w:rsidRPr="001647C6">
        <w:t>1. R</w:t>
      </w:r>
      <w:r w:rsidR="00A23764" w:rsidRPr="001647C6">
        <w:t>ozhodnutie Európskeho parlamentu z</w:t>
      </w:r>
      <w:r w:rsidR="002625E0" w:rsidRPr="001647C6">
        <w:t> 11</w:t>
      </w:r>
      <w:r w:rsidR="00A23764" w:rsidRPr="001647C6">
        <w:t>. apríla 2024 o absolutóriu za plnenie všeobecného rozpočtu Európskej únie za rozpočtový rok 2022, oddiel V – Dvor audítorov</w:t>
      </w:r>
      <w:bookmarkEnd w:id="5"/>
      <w:r w:rsidR="00A23764" w:rsidRPr="001647C6">
        <w:t xml:space="preserve"> </w:t>
      </w:r>
      <w:bookmarkStart w:id="6" w:name="References"/>
      <w:r w:rsidR="00A23764" w:rsidRPr="001647C6">
        <w:t>(2023/2133(DEC))</w:t>
      </w:r>
      <w:bookmarkEnd w:id="6"/>
    </w:p>
    <w:p w:rsidR="006E0B19" w:rsidRPr="001647C6" w:rsidRDefault="006E0B19" w:rsidP="006E0B19">
      <w:pPr>
        <w:pStyle w:val="EPComma"/>
      </w:pPr>
      <w:bookmarkStart w:id="7" w:name="TextBodyBegin"/>
      <w:bookmarkEnd w:id="7"/>
      <w:r w:rsidRPr="001647C6">
        <w:rPr>
          <w:i/>
        </w:rPr>
        <w:t>Európsky parlament</w:t>
      </w:r>
      <w:r w:rsidRPr="001647C6">
        <w:t>,</w:t>
      </w:r>
    </w:p>
    <w:p w:rsidR="006E0B19" w:rsidRPr="001647C6" w:rsidRDefault="006E0B19" w:rsidP="006E0B19">
      <w:pPr>
        <w:pStyle w:val="NormalHanging12a"/>
      </w:pPr>
      <w:r w:rsidRPr="001647C6">
        <w:t>–</w:t>
      </w:r>
      <w:r w:rsidRPr="001647C6">
        <w:tab/>
        <w:t>so zreteľom na všeobecný rozpočet Európskej únie na rozpočtový rok 2022</w:t>
      </w:r>
      <w:r w:rsidRPr="001647C6">
        <w:rPr>
          <w:rStyle w:val="FootnoteReference"/>
        </w:rPr>
        <w:footnoteReference w:id="1"/>
      </w:r>
      <w:r w:rsidRPr="001647C6">
        <w:t>,</w:t>
      </w:r>
    </w:p>
    <w:p w:rsidR="006E0B19" w:rsidRPr="001647C6" w:rsidRDefault="006E0B19" w:rsidP="006E0B19">
      <w:pPr>
        <w:pStyle w:val="NormalHanging12a"/>
      </w:pPr>
      <w:r w:rsidRPr="001647C6">
        <w:t>–</w:t>
      </w:r>
      <w:r w:rsidRPr="001647C6">
        <w:tab/>
        <w:t>so zreteľom na konsolidovanú ročnú účtovnú závierku Európskej únie za rozpočtový rok 2022 (COM(2023)0391 – C9</w:t>
      </w:r>
      <w:r w:rsidRPr="001647C6">
        <w:noBreakHyphen/>
        <w:t>0252/2023)</w:t>
      </w:r>
      <w:r w:rsidRPr="001647C6">
        <w:rPr>
          <w:rStyle w:val="FootnoteReference"/>
        </w:rPr>
        <w:footnoteReference w:id="2"/>
      </w:r>
      <w:r w:rsidRPr="001647C6">
        <w:t>,</w:t>
      </w:r>
    </w:p>
    <w:p w:rsidR="006E0B19" w:rsidRPr="001647C6" w:rsidRDefault="006E0B19" w:rsidP="006E0B19">
      <w:pPr>
        <w:pStyle w:val="NormalHanging12a"/>
      </w:pPr>
      <w:r w:rsidRPr="001647C6">
        <w:t>–</w:t>
      </w:r>
      <w:r w:rsidRPr="001647C6">
        <w:tab/>
        <w:t>so zreteľom na výročnú správu Dvora audítorov o vnútorných auditoch vykonaných v roku 2022 pre orgán udeľujúci absolutórium,</w:t>
      </w:r>
    </w:p>
    <w:p w:rsidR="006E0B19" w:rsidRPr="001647C6" w:rsidRDefault="006E0B19" w:rsidP="006E0B19">
      <w:pPr>
        <w:pStyle w:val="NormalHanging12a"/>
      </w:pPr>
      <w:r w:rsidRPr="001647C6">
        <w:t>–</w:t>
      </w:r>
      <w:r w:rsidRPr="001647C6">
        <w:tab/>
        <w:t>so zreteľom na výročnú správu Dvora audítorov o plnení rozpočtu za rozpočtový rok 2022 spolu s odpoveďami inštitúcií</w:t>
      </w:r>
      <w:r w:rsidRPr="001647C6">
        <w:rPr>
          <w:rStyle w:val="FootnoteReference"/>
        </w:rPr>
        <w:footnoteReference w:id="3"/>
      </w:r>
      <w:r w:rsidRPr="001647C6">
        <w:t>,</w:t>
      </w:r>
    </w:p>
    <w:p w:rsidR="006E0B19" w:rsidRPr="001647C6" w:rsidRDefault="006E0B19" w:rsidP="006E0B19">
      <w:pPr>
        <w:pStyle w:val="NormalHanging12a"/>
      </w:pPr>
      <w:r w:rsidRPr="001647C6">
        <w:t>–</w:t>
      </w:r>
      <w:r w:rsidRPr="001647C6">
        <w:tab/>
        <w:t>so zreteľom na vyhlásenie o vierohodnosti</w:t>
      </w:r>
      <w:r w:rsidRPr="001647C6">
        <w:rPr>
          <w:rStyle w:val="FootnoteReference"/>
        </w:rPr>
        <w:footnoteReference w:id="4"/>
      </w:r>
      <w:r w:rsidRPr="001647C6">
        <w:t xml:space="preserve"> vedenia účtov a zákonnosti a správnosti príslušných operácií, ktoré poskytol Dvor audítorov za rozpočtový rok 2022 v súlade s článkom 287 Zmluvy o fungovaní Európskej únie,</w:t>
      </w:r>
    </w:p>
    <w:p w:rsidR="006E0B19" w:rsidRPr="001647C6" w:rsidRDefault="006E0B19" w:rsidP="006E0B19">
      <w:pPr>
        <w:pStyle w:val="NormalHanging12a"/>
      </w:pPr>
      <w:r w:rsidRPr="001647C6">
        <w:t>–</w:t>
      </w:r>
      <w:r w:rsidRPr="001647C6">
        <w:tab/>
        <w:t>so zreteľom na článok 314 ods. 10 a články 317, 318 a 319 Zmluvy o fungovaní Európskej únie,</w:t>
      </w:r>
    </w:p>
    <w:p w:rsidR="006E0B19" w:rsidRPr="001647C6" w:rsidRDefault="006E0B19" w:rsidP="006E0B19">
      <w:pPr>
        <w:pStyle w:val="NormalHanging12a"/>
      </w:pPr>
      <w:r w:rsidRPr="001647C6">
        <w:t>–</w:t>
      </w:r>
      <w:r w:rsidRPr="001647C6">
        <w:tab/>
        <w:t xml:space="preserve">so zreteľom na nariadenie Európskeho parlamentu a Rady (EÚ, </w:t>
      </w:r>
      <w:proofErr w:type="spellStart"/>
      <w:r w:rsidRPr="001647C6">
        <w:t>Euratom</w:t>
      </w:r>
      <w:proofErr w:type="spellEnd"/>
      <w:r w:rsidRPr="001647C6">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1647C6">
        <w:t>Euratom</w:t>
      </w:r>
      <w:proofErr w:type="spellEnd"/>
      <w:r w:rsidRPr="001647C6">
        <w:t>) č. 966/2012</w:t>
      </w:r>
      <w:r w:rsidRPr="001647C6">
        <w:rPr>
          <w:rStyle w:val="FootnoteReference"/>
        </w:rPr>
        <w:footnoteReference w:id="5"/>
      </w:r>
      <w:r w:rsidRPr="001647C6">
        <w:t>, a najmä na jeho články 59, 118, 260, 261 a 262,</w:t>
      </w:r>
    </w:p>
    <w:p w:rsidR="006E0B19" w:rsidRPr="001647C6" w:rsidRDefault="006E0B19" w:rsidP="006E0B19">
      <w:pPr>
        <w:pStyle w:val="NormalHanging12a"/>
      </w:pPr>
      <w:r w:rsidRPr="001647C6">
        <w:t>–</w:t>
      </w:r>
      <w:r w:rsidRPr="001647C6">
        <w:tab/>
        <w:t>so zreteľom na článok 100 a prílohu V k rokovaciemu poriadku,</w:t>
      </w:r>
    </w:p>
    <w:p w:rsidR="006E0B19" w:rsidRPr="001647C6" w:rsidRDefault="006E0B19" w:rsidP="006E0B19">
      <w:pPr>
        <w:pStyle w:val="NormalHanging12a"/>
      </w:pPr>
      <w:r w:rsidRPr="001647C6">
        <w:lastRenderedPageBreak/>
        <w:t>–</w:t>
      </w:r>
      <w:r w:rsidRPr="001647C6">
        <w:tab/>
        <w:t>so zreteľom na správu Výboru pre kontrolu rozpočtu (A9-0074/2024),</w:t>
      </w:r>
    </w:p>
    <w:p w:rsidR="006E0B19" w:rsidRPr="001647C6" w:rsidRDefault="006E0B19" w:rsidP="006E0B19">
      <w:pPr>
        <w:pStyle w:val="NormalHanging12a"/>
      </w:pPr>
      <w:r w:rsidRPr="001647C6">
        <w:t>1.</w:t>
      </w:r>
      <w:r w:rsidRPr="001647C6">
        <w:tab/>
        <w:t>udeľuje generálnemu tajomníkovi Dvora audítorov absolutórium za plnenie rozpočtu Dvora audítorov za rozpočtový rok 2022;</w:t>
      </w:r>
    </w:p>
    <w:p w:rsidR="006E0B19" w:rsidRPr="001647C6" w:rsidRDefault="006E0B19" w:rsidP="006E0B19">
      <w:pPr>
        <w:pStyle w:val="NormalHanging12a"/>
      </w:pPr>
      <w:r w:rsidRPr="001647C6">
        <w:t>2.</w:t>
      </w:r>
      <w:r w:rsidRPr="001647C6">
        <w:tab/>
        <w:t>uvádza svoje poznámky v priloženom uznesení;</w:t>
      </w:r>
    </w:p>
    <w:p w:rsidR="006E0B19" w:rsidRPr="001647C6" w:rsidRDefault="006E0B19" w:rsidP="006E0B19">
      <w:pPr>
        <w:pStyle w:val="NormalHanging12a"/>
      </w:pPr>
      <w:r w:rsidRPr="001647C6">
        <w:t>3.</w:t>
      </w:r>
      <w:r w:rsidRPr="001647C6">
        <w:tab/>
        <w:t xml:space="preserve">poveruje svoju predsedníčku, aby postúpila toto rozhodnutie a uznesenie, ktoré je jeho neoddeliteľnou súčasťou, Rade, Komisii a Dvoru audítorov a aby zabezpečila ich uverejnenie v </w:t>
      </w:r>
      <w:r w:rsidRPr="001647C6">
        <w:rPr>
          <w:i/>
        </w:rPr>
        <w:t>Úradnom vestníku Európskej únie</w:t>
      </w:r>
      <w:r w:rsidRPr="001647C6">
        <w:t xml:space="preserve"> (v sérii L).</w:t>
      </w:r>
    </w:p>
    <w:p w:rsidR="006E0B19" w:rsidRPr="001647C6" w:rsidRDefault="006E0B19" w:rsidP="006E0B19"/>
    <w:p w:rsidR="006E0B19" w:rsidRPr="001647C6" w:rsidRDefault="006E0B19" w:rsidP="006E0B19">
      <w:pPr>
        <w:pStyle w:val="PageHeading"/>
        <w:sectPr w:rsidR="006E0B19" w:rsidRPr="001647C6" w:rsidSect="00655CA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E0B19" w:rsidRPr="001647C6" w:rsidRDefault="006E0B19" w:rsidP="00EB0301">
      <w:pPr>
        <w:pStyle w:val="ATHeading3"/>
      </w:pPr>
      <w:bookmarkStart w:id="9" w:name="_Toc161646071"/>
      <w:r w:rsidRPr="001647C6">
        <w:lastRenderedPageBreak/>
        <w:t xml:space="preserve">2. </w:t>
      </w:r>
      <w:bookmarkEnd w:id="9"/>
      <w:r w:rsidR="00EB0301" w:rsidRPr="001647C6">
        <w:t>Uznesenie Európskeho parlamentu z</w:t>
      </w:r>
      <w:r w:rsidR="002625E0" w:rsidRPr="001647C6">
        <w:t> 11</w:t>
      </w:r>
      <w:r w:rsidR="00EB0301" w:rsidRPr="001647C6">
        <w:t xml:space="preserve">. apríla 2024 </w:t>
      </w:r>
      <w:r w:rsidRPr="001647C6">
        <w:t xml:space="preserve">s poznámkami, ktoré </w:t>
      </w:r>
      <w:r w:rsidR="00EB0301" w:rsidRPr="001647C6">
        <w:t xml:space="preserve">je </w:t>
      </w:r>
      <w:r w:rsidRPr="001647C6">
        <w:t>neoddeliteľnou súčasťou rozhodnutia o absolutóriu za plnenie všeobecného rozpočtu Európskej únie za rozpočtový rok 2022, oddiel V – Dvor audítorov</w:t>
      </w:r>
      <w:r w:rsidR="00EB0301" w:rsidRPr="001647C6">
        <w:t xml:space="preserve"> </w:t>
      </w:r>
      <w:r w:rsidRPr="001647C6">
        <w:t>(2023/2133(DEC))</w:t>
      </w:r>
    </w:p>
    <w:p w:rsidR="006E0B19" w:rsidRPr="001647C6" w:rsidRDefault="006E0B19" w:rsidP="006E0B19">
      <w:pPr>
        <w:pStyle w:val="EPComma"/>
      </w:pPr>
      <w:r w:rsidRPr="001647C6">
        <w:rPr>
          <w:i/>
        </w:rPr>
        <w:t>Európsky parlament</w:t>
      </w:r>
      <w:r w:rsidRPr="001647C6">
        <w:t>,</w:t>
      </w:r>
    </w:p>
    <w:p w:rsidR="006E0B19" w:rsidRPr="001647C6" w:rsidRDefault="006E0B19" w:rsidP="006E0B19">
      <w:pPr>
        <w:pStyle w:val="NormalHanging12a"/>
        <w:rPr>
          <w:szCs w:val="24"/>
        </w:rPr>
      </w:pPr>
      <w:r w:rsidRPr="001647C6">
        <w:t>–</w:t>
      </w:r>
      <w:r w:rsidRPr="001647C6">
        <w:tab/>
        <w:t>so zreteľom na svoje rozhodnutie o absolutóriu za plnenie všeobecného rozpočtu Európskej únie za rozpočtový rok 2022, oddiel V – Dvor audítorov,</w:t>
      </w:r>
    </w:p>
    <w:p w:rsidR="006E0B19" w:rsidRPr="001647C6" w:rsidRDefault="006E0B19" w:rsidP="006E0B19">
      <w:pPr>
        <w:pStyle w:val="NormalHanging12a"/>
        <w:rPr>
          <w:szCs w:val="24"/>
        </w:rPr>
      </w:pPr>
      <w:r w:rsidRPr="001647C6">
        <w:t>–</w:t>
      </w:r>
      <w:r w:rsidRPr="001647C6">
        <w:tab/>
        <w:t>so zreteľom na článok 100 a prílohu V k rokovaciemu poriadku,</w:t>
      </w:r>
    </w:p>
    <w:p w:rsidR="006E0B19" w:rsidRPr="001647C6" w:rsidRDefault="006E0B19" w:rsidP="006E0B19">
      <w:pPr>
        <w:pStyle w:val="NormalHanging12a"/>
        <w:rPr>
          <w:szCs w:val="24"/>
        </w:rPr>
      </w:pPr>
      <w:r w:rsidRPr="001647C6">
        <w:t>–</w:t>
      </w:r>
      <w:r w:rsidRPr="001647C6">
        <w:tab/>
        <w:t>so zreteľom na správu Výboru pre kontrolu rozpočtu (A9-0074/2024),</w:t>
      </w:r>
    </w:p>
    <w:p w:rsidR="006E0B19" w:rsidRPr="001647C6" w:rsidRDefault="006E0B19" w:rsidP="006E0B19">
      <w:pPr>
        <w:pStyle w:val="NormalHanging12a"/>
        <w:rPr>
          <w:szCs w:val="24"/>
        </w:rPr>
      </w:pPr>
      <w:r w:rsidRPr="001647C6">
        <w:t>A.</w:t>
      </w:r>
      <w:r w:rsidRPr="001647C6">
        <w:tab/>
        <w:t>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w:t>
      </w:r>
    </w:p>
    <w:p w:rsidR="006E0B19" w:rsidRPr="001647C6" w:rsidRDefault="006E0B19" w:rsidP="006E0B19">
      <w:pPr>
        <w:pStyle w:val="NormalHanging12a"/>
        <w:rPr>
          <w:szCs w:val="24"/>
        </w:rPr>
      </w:pPr>
      <w:r w:rsidRPr="001647C6">
        <w:t>B.</w:t>
      </w:r>
      <w:r w:rsidRPr="001647C6">
        <w:tab/>
        <w:t>keďže Európsky dvor audítorov (ďalej len „Dvor audítorov“) je externým audítorom Únie, ktorého úlohou je prostredníctvom nezávislej, profesionálnej a účinnej audítorskej práce posúdiť hospodárnosť, účinnosť, efektívnosť, zákonnosť a správnosť opatrení Únie na zlepšenie zodpovednosti, transparentnosti a finančného riadenia, a tým posilniť dôveru občanov a účinne reagovať na súčasné a budúce výzvy, ktorým Únia čelí;</w:t>
      </w:r>
    </w:p>
    <w:p w:rsidR="006E0B19" w:rsidRPr="001647C6" w:rsidRDefault="006E0B19" w:rsidP="006E0B19">
      <w:pPr>
        <w:pStyle w:val="NormalHanging12a"/>
        <w:rPr>
          <w:szCs w:val="24"/>
        </w:rPr>
      </w:pPr>
      <w:r w:rsidRPr="001647C6">
        <w:t>C.</w:t>
      </w:r>
      <w:r w:rsidRPr="001647C6">
        <w:tab/>
        <w:t>keďže bez toho, aby boli dotknuté ustanovenia článkov 287 a 319 Zmluvy o fungovaní Európskej únie (ďalej len „ZFEÚ“), Dvor audítorov od ukončenia rozpočtového roka 1987 každoročne vykonáva audit svojich účtov príjmov a výdavkov nezávislým externým audítorom a od správy za rozpočtový rok 1992 sa správy externého audítora uverejňujú v Úradnom vestníku Európskej únie;</w:t>
      </w:r>
    </w:p>
    <w:p w:rsidR="006E0B19" w:rsidRPr="001647C6" w:rsidRDefault="006E0B19" w:rsidP="006E0B19">
      <w:pPr>
        <w:pStyle w:val="NormalHanging12a"/>
        <w:rPr>
          <w:szCs w:val="24"/>
        </w:rPr>
      </w:pPr>
      <w:r w:rsidRPr="001647C6">
        <w:t>D.</w:t>
      </w:r>
      <w:r w:rsidRPr="001647C6">
        <w:tab/>
        <w:t>keďže zodpovednosť za riadenie voči rozpočtovým orgánom sa zabezpečuje prostredníctvom výročnej správy o činnosti generálneho tajomníka Dvora audítorov, ktorej účelom je v súlade s článkom 74 ods. 9 nariadenia o rozpočtových pravidlách poskytnúť informácie o riadení zdrojov vrátane systémov a o účinnosti a efektívnosti systémov vnútornej kontroly Dvora audítorov;</w:t>
      </w:r>
    </w:p>
    <w:p w:rsidR="006E0B19" w:rsidRPr="001647C6" w:rsidRDefault="006E0B19" w:rsidP="006E0B19">
      <w:pPr>
        <w:pStyle w:val="NormalHanging12a"/>
        <w:rPr>
          <w:szCs w:val="24"/>
        </w:rPr>
      </w:pPr>
      <w:r w:rsidRPr="001647C6">
        <w:t>E.</w:t>
      </w:r>
      <w:r w:rsidRPr="001647C6">
        <w:tab/>
        <w:t>keďže Dvor audítorov vykonávaním svojich úloh transparentným a nezávislým spôsobom prispieva k demokratickému dohľadu, verejnej diskusii a správnemu finančnému riadeniu Únie;</w:t>
      </w:r>
    </w:p>
    <w:p w:rsidR="006E0B19" w:rsidRPr="001647C6" w:rsidRDefault="006E0B19" w:rsidP="006E0B19">
      <w:pPr>
        <w:pStyle w:val="NormalHanging12a"/>
        <w:rPr>
          <w:szCs w:val="24"/>
        </w:rPr>
      </w:pPr>
      <w:r w:rsidRPr="001647C6">
        <w:t>F.</w:t>
      </w:r>
      <w:r w:rsidRPr="001647C6">
        <w:tab/>
        <w:t xml:space="preserve">keďže Dvor audítorov zaujal stanovisko, podľa ktorého by na posúdenie riadenia Únie, jej zodpovednosti a transparentnosti, ako aj kvality a spoľahlivosti oznamovaných informácií a údajov o vykonávaní politík Únie bolo najlepším riešením, aby bol Dvor audítorov poverený auditom všetkých inštitúcií, orgánov, úradov a agentúr Únie zriadených zmluvami alebo na základe zmlúv a všetkých medzivládnych štruktúr, ktoré majú kľúčový význam pre fungovanie Únie; keďže </w:t>
      </w:r>
      <w:r w:rsidR="00EB0301" w:rsidRPr="001647C6">
        <w:t>Európsky p</w:t>
      </w:r>
      <w:r w:rsidRPr="001647C6">
        <w:t>arlament v tejto súvislosti dôrazne podporuje Dvor audítorov a privítal by akúkoľvek iniciatívu, ktorou by sa Dvoru audítorov zveril širší mandát;</w:t>
      </w:r>
    </w:p>
    <w:p w:rsidR="006E0B19" w:rsidRPr="001647C6" w:rsidRDefault="006E0B19" w:rsidP="006E0B19">
      <w:pPr>
        <w:pStyle w:val="NormalHanging12a"/>
        <w:rPr>
          <w:szCs w:val="24"/>
        </w:rPr>
      </w:pPr>
      <w:r w:rsidRPr="001647C6">
        <w:t>1.</w:t>
      </w:r>
      <w:r w:rsidRPr="001647C6">
        <w:tab/>
        <w:t xml:space="preserve">konštatuje, že rozpočet Dvora audítorov patrí do okruhu 7 VFR „Európska verejná správa“, ktorý v roku 2022 predstavoval 11,6 miliardy EUR (čo predstavuje 5,9 % </w:t>
      </w:r>
      <w:r w:rsidRPr="001647C6">
        <w:lastRenderedPageBreak/>
        <w:t>celkového rozpočtu Únie); konštatuje, že rozpočet Dvora audítorov vo výške približne 0,2 miliardy EUR v roku 2022 predstavoval 1,4 % celkových administratívnych výdavkov;</w:t>
      </w:r>
    </w:p>
    <w:p w:rsidR="006E0B19" w:rsidRPr="001647C6" w:rsidRDefault="006E0B19" w:rsidP="006E0B19">
      <w:pPr>
        <w:pStyle w:val="NormalHanging12a"/>
        <w:rPr>
          <w:szCs w:val="24"/>
        </w:rPr>
      </w:pPr>
      <w:r w:rsidRPr="001647C6">
        <w:t>2.</w:t>
      </w:r>
      <w:r w:rsidRPr="001647C6">
        <w:tab/>
        <w:t>poznamenáva, že Dvor audítorov vo svojej výročnej správe za rozpočtový rok 2022 preskúmal vzorku 60 transakcií v oddiele Administratíva, rovnako ako v roku 2021; ďalej konštatuje, že podľa Dvora audítorov administratívne výdavky zahŕňajú výdavky na ľudské zdroje vrátane výdavkov na dôchodky, ktoré v roku 2022 predstavovali približne 70 % celkových administratívnych výdavkov, a výdavky na budovy, zariadenie, energetiku, komunikáciu a informačné technológie, a že jeho práca počas mnohých rokov naznačuje, že tieto výdavky sú celkovo nízkorizikové;</w:t>
      </w:r>
    </w:p>
    <w:p w:rsidR="006E0B19" w:rsidRPr="001647C6" w:rsidRDefault="006E0B19" w:rsidP="006E0B19">
      <w:pPr>
        <w:pStyle w:val="NormalHanging12a"/>
        <w:rPr>
          <w:szCs w:val="24"/>
        </w:rPr>
      </w:pPr>
      <w:r w:rsidRPr="001647C6">
        <w:t>3.</w:t>
      </w:r>
      <w:r w:rsidRPr="001647C6">
        <w:tab/>
        <w:t xml:space="preserve">vyzýva Dvor audítorov, aby zvýšil počet transakcií v rámci administratívy, ktoré sa majú preskúmať, v prípade všetkých inštitúcií, ktoré sa majú podrobiť auditu, aby </w:t>
      </w:r>
      <w:r w:rsidR="00EB0301" w:rsidRPr="001647C6">
        <w:t>Európsky p</w:t>
      </w:r>
      <w:r w:rsidRPr="001647C6">
        <w:t xml:space="preserve">arlament mohol lepšie plniť svoju úlohu orgánu udeľujúceho absolutórium v prípade ostatných inštitúcií; </w:t>
      </w:r>
      <w:r w:rsidR="00A00826" w:rsidRPr="00A00826">
        <w:t>vyjadruje poľutovanie nad tým</w:t>
      </w:r>
      <w:r w:rsidRPr="001647C6">
        <w:t xml:space="preserve">, že </w:t>
      </w:r>
      <w:r w:rsidR="00A00826" w:rsidRPr="00A00826">
        <w:t xml:space="preserve">plán </w:t>
      </w:r>
      <w:r w:rsidRPr="001647C6">
        <w:t xml:space="preserve">vypracovať osobitnú správu </w:t>
      </w:r>
      <w:r w:rsidR="00A00826" w:rsidRPr="00A00826">
        <w:t>o administratívnych výdavko</w:t>
      </w:r>
      <w:r w:rsidR="00241D78">
        <w:t>ch</w:t>
      </w:r>
      <w:r w:rsidR="00A00826" w:rsidRPr="00A00826">
        <w:t xml:space="preserve"> </w:t>
      </w:r>
      <w:r w:rsidRPr="001647C6">
        <w:t>iných inštitúcií ako Komisie</w:t>
      </w:r>
      <w:r w:rsidR="00A00826">
        <w:t xml:space="preserve"> </w:t>
      </w:r>
      <w:r w:rsidR="00A00826" w:rsidRPr="00A00826">
        <w:t>bol revidovaný s cieľom vykonať audit verejnej služby EÚ, v ktorom sa pravdepodobne preskúma len obmedzená časť administratívnych výdavkov; opakuje, že je dôležité dôkladnejšie preskúmať administratívne výdavky, a opakuje svoju výzvu, aby sa do tejto práce zahrnuli komplexné údaje o všetkých inštitúciách s cieľom poskytnúť ucelený základ pre konzistentný postup udeľovania absolutória</w:t>
      </w:r>
      <w:r w:rsidRPr="001647C6">
        <w:t>;</w:t>
      </w:r>
    </w:p>
    <w:p w:rsidR="006E0B19" w:rsidRPr="001647C6" w:rsidRDefault="006E0B19" w:rsidP="006E0B19">
      <w:pPr>
        <w:pStyle w:val="NormalHanging12a"/>
        <w:rPr>
          <w:szCs w:val="24"/>
        </w:rPr>
      </w:pPr>
      <w:r w:rsidRPr="001647C6">
        <w:t>4.</w:t>
      </w:r>
      <w:r w:rsidRPr="001647C6">
        <w:tab/>
        <w:t>konštatuje, že audit ročnej účtovnej závierky Dvora audítorov vykonáva nezávislý externý audítor, aby sa zabezpečilo uplatnenie rovnakých zásad transparentnosti, zodpovednosti a nezávislosti, aké Dvor audítorov uplatňuje na subjekty, ktoré kontroluje; s uspokojením konštatuje, že externý audítor na základe svojho auditu Dvora audítorov neinformoval o žiadnom konkrétnom probléme;</w:t>
      </w:r>
    </w:p>
    <w:p w:rsidR="006E0B19" w:rsidRPr="001647C6" w:rsidRDefault="006E0B19" w:rsidP="006E0B19">
      <w:pPr>
        <w:pStyle w:val="NormalHanging12a"/>
        <w:rPr>
          <w:b/>
          <w:szCs w:val="24"/>
        </w:rPr>
      </w:pPr>
      <w:r w:rsidRPr="001647C6">
        <w:rPr>
          <w:b/>
        </w:rPr>
        <w:t>Rozpočtové a finančné riadenie</w:t>
      </w:r>
    </w:p>
    <w:p w:rsidR="006E0B19" w:rsidRPr="001647C6" w:rsidRDefault="006E0B19" w:rsidP="006E0B19">
      <w:pPr>
        <w:pStyle w:val="NormalHanging12a"/>
        <w:rPr>
          <w:szCs w:val="24"/>
        </w:rPr>
      </w:pPr>
      <w:r w:rsidRPr="001647C6">
        <w:t>5.</w:t>
      </w:r>
      <w:r w:rsidRPr="001647C6">
        <w:tab/>
        <w:t>konštatuje, že celkový rozpočet Dvora audítorov na rok 2022 predstavoval 162 141 175 EUR, čo zodpovedá zvýšeniu o 5,5 % zo 153 721 727 EUR v roku 2021; konštatuje, že zvýšenie bolo spôsobené najmä úpravami platov a 20 novými dočasnými pracovnými miestami súvisiacimi s Nástrojom Európskej únie na obnovu; konštatuje, že na rok 2022 bolo 90 % rozpočtových prostriedkov určených pre jeho členov a zamestnancov, zatiaľ čo 10 % na budovy, vybavenie a rôzne výdavky;</w:t>
      </w:r>
    </w:p>
    <w:p w:rsidR="006E0B19" w:rsidRPr="001647C6" w:rsidRDefault="006E0B19" w:rsidP="006E0B19">
      <w:pPr>
        <w:pStyle w:val="NormalHanging12a"/>
        <w:rPr>
          <w:szCs w:val="24"/>
        </w:rPr>
      </w:pPr>
      <w:r w:rsidRPr="001647C6">
        <w:t>6.</w:t>
      </w:r>
      <w:r w:rsidRPr="001647C6">
        <w:tab/>
        <w:t>ďalej pripomína, že je dôležité zabezpečiť, aby mal Dvor audítorov k dispozícii dostatočný počet zamestnancov, aby mohol primerane plniť svoj mandát, ako aj nové úlohy súvisiace s nadobudnutím účinnosti nových finančných nástrojov, ako je Mechanizmus na podporu obnovy a odolnosti;</w:t>
      </w:r>
    </w:p>
    <w:p w:rsidR="006E0B19" w:rsidRPr="001647C6" w:rsidRDefault="006E0B19" w:rsidP="006E0B19">
      <w:pPr>
        <w:pStyle w:val="NormalHanging12a"/>
        <w:rPr>
          <w:szCs w:val="24"/>
        </w:rPr>
      </w:pPr>
      <w:r w:rsidRPr="001647C6">
        <w:t>7.</w:t>
      </w:r>
      <w:r w:rsidRPr="001647C6">
        <w:tab/>
        <w:t xml:space="preserve">konštatuje, že v priebehu roka 2022 Dvor audítorov uskutočnil 26 rozpočtových presunov podľa článku 29 nariadenia o rozpočtových pravidlách v celkovej sume 3,4 milióna EUR alebo 2,1 % rozpočtových prostriedkov na daný rozpočtový rok, čo znamenalo najmä zníženie výdavkov na služobné cesty, publikácie, tlmočenie a právnu službu a zvýšenie výdavkov na zariaďovanie priestorov vrátane renovácie strechy, na energiu, zmluvných zamestnancov a IT vybavenie; konštatuje tiež, že miera plnenia rozpočtu v roku 2022 bola 98,5 %, čo je mierne zvýšenie v porovnaní s predchádzajúcimi dvoma rokmi; víta skutočnosť, že priemerná lehota splatnosti v roku </w:t>
      </w:r>
      <w:r w:rsidRPr="001647C6">
        <w:lastRenderedPageBreak/>
        <w:t>2022 sa skrátila na 9,8 dňa v porovnaní s 10,7 dňami v roku 2021, s najväčšou pravdepodobnosťou vďaka zvýšeniu podielu elektronických faktúr, ktorý bol 24 % v porovnaní s 19 % v roku 2021;</w:t>
      </w:r>
    </w:p>
    <w:p w:rsidR="006E0B19" w:rsidRPr="001647C6" w:rsidRDefault="006E0B19" w:rsidP="006E0B19">
      <w:pPr>
        <w:pStyle w:val="NormalHanging12a"/>
        <w:rPr>
          <w:szCs w:val="24"/>
        </w:rPr>
      </w:pPr>
      <w:r w:rsidRPr="001647C6">
        <w:t>8.</w:t>
      </w:r>
      <w:r w:rsidRPr="001647C6">
        <w:tab/>
        <w:t>s uspokojením konštatuje, že externý audítor vyhlásil, že pridelené zdroje boli použité na plánovaný účel a že kontrolné postupy zavedené povoľujúcimi úradníkmi poskytli potrebné záruky, aby sa zabezpečilo, že finančné operácie sú v súlade s platnými pravidlami a predpismi;</w:t>
      </w:r>
    </w:p>
    <w:p w:rsidR="006E0B19" w:rsidRPr="001647C6" w:rsidRDefault="006E0B19" w:rsidP="006E0B19">
      <w:pPr>
        <w:pStyle w:val="NormalHanging12a"/>
        <w:rPr>
          <w:szCs w:val="24"/>
        </w:rPr>
      </w:pPr>
      <w:r w:rsidRPr="001647C6">
        <w:t>9.</w:t>
      </w:r>
      <w:r w:rsidRPr="001647C6">
        <w:tab/>
        <w:t>konštatuje, že nezákonná a neodôvodnená útočná vojna Ruska proti Ukrajine vytvorila rôznymi spôsobmi tlak na rozpočet Dvora audítorov, a to aj v podobe rastúcej inflácie a úprav platov a výrazného zvýšenia nákladov na elektrickú energiu a vykurovanie;</w:t>
      </w:r>
    </w:p>
    <w:p w:rsidR="006E0B19" w:rsidRPr="001647C6" w:rsidRDefault="006E0B19" w:rsidP="006E0B19">
      <w:pPr>
        <w:pStyle w:val="NormalHanging12a"/>
        <w:rPr>
          <w:szCs w:val="24"/>
        </w:rPr>
      </w:pPr>
      <w:r w:rsidRPr="001647C6">
        <w:t>10.</w:t>
      </w:r>
      <w:r w:rsidRPr="001647C6">
        <w:tab/>
        <w:t>konštatuje, že všeobecný rozpočet Dvora audítorov na služobné cesty klesol z 2 988 000 EUR v roku 2021 na 2 452 000 EUR v roku 2022, čo zodpovedá zníženiu o 18 %, čo bolo výsledkom pokračujúcich cestovných obmedzení na začiatku roka 2022 a zmien pracovných metód s väčším počtom schôdzí na diaľku; ďalej konštatuje, že Dvor audítorov nemá osobitný rozpočtový riadok pre služobné cesty a cestovanie svojho predsedu; napokon konštatuje, že rozpočtový riadok pre služobné cesty všetkých členov Dvora audítorov predstavoval 290 000 EUR v roku 2021 aj 2022;</w:t>
      </w:r>
    </w:p>
    <w:p w:rsidR="006E0B19" w:rsidRPr="001647C6" w:rsidRDefault="006E0B19" w:rsidP="006E0B19">
      <w:pPr>
        <w:pStyle w:val="NormalHanging12a"/>
        <w:rPr>
          <w:szCs w:val="24"/>
        </w:rPr>
      </w:pPr>
      <w:r w:rsidRPr="001647C6">
        <w:t>11.</w:t>
      </w:r>
      <w:r w:rsidRPr="001647C6">
        <w:tab/>
        <w:t xml:space="preserve">víta skutočnosť, že Dvor audítorov má od roku 2022 zavedenú podrobnú metodiku kontroly na riešenie nákladov na služobné cesty pomocou </w:t>
      </w:r>
      <w:r w:rsidRPr="001647C6">
        <w:rPr>
          <w:i/>
        </w:rPr>
        <w:t xml:space="preserve">ex </w:t>
      </w:r>
      <w:proofErr w:type="spellStart"/>
      <w:r w:rsidRPr="001647C6">
        <w:rPr>
          <w:i/>
        </w:rPr>
        <w:t>ante</w:t>
      </w:r>
      <w:proofErr w:type="spellEnd"/>
      <w:r w:rsidRPr="001647C6">
        <w:t xml:space="preserve"> aj </w:t>
      </w:r>
      <w:r w:rsidRPr="001647C6">
        <w:rPr>
          <w:i/>
        </w:rPr>
        <w:t>ex post</w:t>
      </w:r>
      <w:r w:rsidRPr="001647C6">
        <w:t xml:space="preserve"> kontrol;</w:t>
      </w:r>
    </w:p>
    <w:p w:rsidR="006E0B19" w:rsidRPr="001647C6" w:rsidRDefault="006E0B19" w:rsidP="006E0B19">
      <w:pPr>
        <w:pStyle w:val="NormalHanging12a"/>
        <w:rPr>
          <w:b/>
          <w:szCs w:val="24"/>
        </w:rPr>
      </w:pPr>
      <w:r w:rsidRPr="001647C6">
        <w:rPr>
          <w:b/>
        </w:rPr>
        <w:t>Vnútorné riadenie, výkonnosť a vnútorná kontrola</w:t>
      </w:r>
    </w:p>
    <w:p w:rsidR="006E0B19" w:rsidRPr="001647C6" w:rsidRDefault="006E0B19" w:rsidP="006E0B19">
      <w:pPr>
        <w:pStyle w:val="NormalHanging12a"/>
        <w:rPr>
          <w:szCs w:val="24"/>
        </w:rPr>
      </w:pPr>
      <w:r w:rsidRPr="001647C6">
        <w:t>12.</w:t>
      </w:r>
      <w:r w:rsidRPr="001647C6">
        <w:tab/>
        <w:t>konštatuje, že rok 2022 bol druhým rokom vykonávania stratégie Dvora audítorov na roky 2021 – 2025 a že na konci roka 2022 bolo z 29 strategických opatrení 18 plne vykonaných alebo bol stanovený rámec pre opatrenie a prebiehali ďalšie kroky, zatiaľ čo 11 opatrení prebiehalo alebo sa opakovalo;</w:t>
      </w:r>
    </w:p>
    <w:p w:rsidR="006E0B19" w:rsidRPr="001647C6" w:rsidRDefault="006E0B19" w:rsidP="006E0B19">
      <w:pPr>
        <w:pStyle w:val="NormalHanging12a"/>
        <w:rPr>
          <w:szCs w:val="24"/>
        </w:rPr>
      </w:pPr>
      <w:r w:rsidRPr="001647C6">
        <w:t>13.</w:t>
      </w:r>
      <w:r w:rsidRPr="001647C6">
        <w:tab/>
        <w:t>konštatuje, že v roku 2022 Dvor audítorov predložil 7 výročných správ, 8 stanovísk, 28 osobitných správ a 1 preskúmanie, čo je veľmi podobné počtu správ, stanovísk, osobitných správ a preskúmaní predložených v rokoch 2020 a 2021;</w:t>
      </w:r>
    </w:p>
    <w:p w:rsidR="006E0B19" w:rsidRPr="001647C6" w:rsidRDefault="006E0B19" w:rsidP="006E0B19">
      <w:pPr>
        <w:pStyle w:val="NormalHanging12a"/>
        <w:rPr>
          <w:szCs w:val="24"/>
        </w:rPr>
      </w:pPr>
      <w:r w:rsidRPr="001647C6">
        <w:t>14.</w:t>
      </w:r>
      <w:r w:rsidRPr="001647C6">
        <w:tab/>
        <w:t>konštatuje, že Dvor audítorov stanovuje svoj pracovný program úplne nezávisle, vrátane toho, ktoré osobitné správy by sa mali vypracúvať; naďalej radí Dvoru audítorov, že osobitné správy, ktoré sa zameriavajú na súčasnú situáciu Únie a výzvy s jasným rozpočtovým zameraním a významom, pritiahnu najväčšiu pozornosť kľúčových zainteresovaných strán v</w:t>
      </w:r>
      <w:r w:rsidR="00EB0301" w:rsidRPr="001647C6">
        <w:t> Európskom p</w:t>
      </w:r>
      <w:r w:rsidRPr="001647C6">
        <w:t>arlamente a inde; v tejto súvislosti víta revíziu procesu programovania v roku 2022, ktorou sa zaviedla väčšia flexibilita pri riešení naliehavých výziev s cieľom lepšie slúžiť záujmom jeho zainteresovaných strán;</w:t>
      </w:r>
    </w:p>
    <w:p w:rsidR="006E0B19" w:rsidRPr="001647C6" w:rsidRDefault="006E0B19" w:rsidP="006E0B19">
      <w:pPr>
        <w:pStyle w:val="NormalHanging12a"/>
        <w:rPr>
          <w:szCs w:val="24"/>
        </w:rPr>
      </w:pPr>
      <w:r w:rsidRPr="001647C6">
        <w:t>15.</w:t>
      </w:r>
      <w:r w:rsidRPr="001647C6">
        <w:tab/>
        <w:t xml:space="preserve">oceňuje, že Dvor audítorov zameral svoju audítorskú prácu na súčasné európske výzvy, ako to požadoval </w:t>
      </w:r>
      <w:r w:rsidR="00EB0301" w:rsidRPr="001647C6">
        <w:t>Európsky p</w:t>
      </w:r>
      <w:r w:rsidRPr="001647C6">
        <w:t xml:space="preserve">arlament, čoho príkladom je veľmi rýchle vypracovanie stanoviska 3/2023 k Nástroju pre Ukrajinu a pozornosť venovaná monitorovaniu jeho vykonávania; vyjadruje znepokojenie nad tým, že pokiaľ ide o audítorskú prácu týkajúcu sa Mechanizmu na podporu obnovy a odolnosti (RRF), Dvor audítorov stále nemá úplný prístup k novému nástroju na podávanie správ o RRF, FENIX a že informácie v tomto IT nástroji sa neaktualizujú včas; podporuje názor Dvora audítorov, že v článku 257 nariadenia o rozpočtových pravidlách sa Dvoru audítorov stanovujú </w:t>
      </w:r>
      <w:r w:rsidRPr="001647C6">
        <w:lastRenderedPageBreak/>
        <w:t>plné práva na okamžitý prístup; ďalej vyzýva Komisiu, aby umožnila Dvoru audítorov prístup k iným typom relevantných informácií, aby mohol plniť svoju úlohu;</w:t>
      </w:r>
    </w:p>
    <w:p w:rsidR="006E0B19" w:rsidRPr="001647C6" w:rsidRDefault="006E0B19" w:rsidP="006E0B19">
      <w:pPr>
        <w:pStyle w:val="NormalHanging12a"/>
        <w:rPr>
          <w:szCs w:val="24"/>
        </w:rPr>
      </w:pPr>
      <w:r w:rsidRPr="001647C6">
        <w:t>16.</w:t>
      </w:r>
      <w:r w:rsidRPr="001647C6">
        <w:tab/>
        <w:t>oceňuje včasné a relevantné osobitné správy o vykonávaní Mechanizmu na podporu obnovy a odolnosti, ktoré orgánu udeľujúcemu absolutórium umožňujú vykonávať svoje právomoci a adresovať Komisii odporúčania na zlepšenie fungovania tohto nástroja;</w:t>
      </w:r>
    </w:p>
    <w:p w:rsidR="006E0B19" w:rsidRPr="001647C6" w:rsidRDefault="006E0B19" w:rsidP="006E0B19">
      <w:pPr>
        <w:pStyle w:val="NormalHanging12a"/>
        <w:rPr>
          <w:szCs w:val="24"/>
        </w:rPr>
      </w:pPr>
      <w:r w:rsidRPr="001647C6">
        <w:t>17.</w:t>
      </w:r>
      <w:r w:rsidRPr="001647C6">
        <w:tab/>
        <w:t xml:space="preserve">víta skutočnosť, že Dvor audítorov poskytol zhrnutie počtu a druhu vnútorných auditov vykonaných na Dvore audítorov, ako aj súhrn odporúčaní a opatrení prijatých na základe týchto odporúčaní v súlade s článkom 118 ods. 8 nariadenia o rozpočtových pravidlách; konštatuje, že ročný pracovný program vnútorného audítora zahŕňal opakujúce sa úlohy, vybrané úlohy a iné úlohy dokončené počas roka; konštatuje, že niektoré opatrenia určené na vykonávanie v roku 2022 boli odložené na rok 2023, a žiada Dvor audítorov, aby informoval </w:t>
      </w:r>
      <w:r w:rsidR="00EB0301" w:rsidRPr="001647C6">
        <w:t>Európsky p</w:t>
      </w:r>
      <w:r w:rsidRPr="001647C6">
        <w:t>arlament o ich vykonávaní;</w:t>
      </w:r>
    </w:p>
    <w:p w:rsidR="006E0B19" w:rsidRPr="001647C6" w:rsidRDefault="006E0B19" w:rsidP="006E0B19">
      <w:pPr>
        <w:pStyle w:val="NormalHanging12a"/>
        <w:rPr>
          <w:szCs w:val="24"/>
        </w:rPr>
      </w:pPr>
      <w:r w:rsidRPr="001647C6">
        <w:t>18.</w:t>
      </w:r>
      <w:r w:rsidRPr="001647C6">
        <w:tab/>
        <w:t>nabáda Dvor audítorov, aby zvýšil svoj príspevok k boju proti podvodom poškodzujúcim rozpočet Únie, a to nielen identifikáciou a oznamovaním nedostatkov, ktoré spôsobujú, že programy financované Úniou sú náchylné na podvody, ale aj zohľadnením prebiehajúcej diskusie medzi zložkami štruktúry na boj proti podvodom a zintenzívnením audítorskej práce v spolupráci s orgánmi zodpovednými za odhaľovanie podvodov, pravidelným posudzovaním ich činností a poskytovaním spätnej väzby relevantnej pre analýzu orgánu udeľujúcemu absolutórium;</w:t>
      </w:r>
    </w:p>
    <w:p w:rsidR="006E0B19" w:rsidRPr="001647C6" w:rsidRDefault="006E0B19" w:rsidP="006E0B19">
      <w:pPr>
        <w:pStyle w:val="NormalHanging12a"/>
        <w:rPr>
          <w:szCs w:val="24"/>
        </w:rPr>
      </w:pPr>
      <w:r w:rsidRPr="001647C6">
        <w:t>19.</w:t>
      </w:r>
      <w:r w:rsidRPr="001647C6">
        <w:tab/>
        <w:t xml:space="preserve">víta, že v stratégii Dvora audítorov na roky 2021 – 2025 sa zmieňuje vypracovaniu nákladovo efektívnych odporúčaní s cieľom prispieť k odbyrokratizovaniu inštitúcií Únie; poukazuje na to, že tomuto cieľu slúžia najmä odporúčania Dvora audítorov týkajúce sa zvýšenia efektívnosti postupov, využívania najlepších postupov, zlepšenia koordinácie, zavedenia štandardných postupov, predchádzania tzv. </w:t>
      </w:r>
      <w:proofErr w:type="spellStart"/>
      <w:r w:rsidRPr="001647C6">
        <w:t>gold</w:t>
      </w:r>
      <w:proofErr w:type="spellEnd"/>
      <w:r w:rsidRPr="001647C6">
        <w:t xml:space="preserve"> </w:t>
      </w:r>
      <w:proofErr w:type="spellStart"/>
      <w:r w:rsidRPr="001647C6">
        <w:t>platingu</w:t>
      </w:r>
      <w:proofErr w:type="spellEnd"/>
      <w:r w:rsidRPr="001647C6">
        <w:t xml:space="preserve"> a zjednodušenia a digitalizácie;</w:t>
      </w:r>
    </w:p>
    <w:p w:rsidR="006E0B19" w:rsidRPr="001647C6" w:rsidRDefault="006E0B19" w:rsidP="006E0B19">
      <w:pPr>
        <w:pStyle w:val="NormalHanging12a"/>
        <w:rPr>
          <w:szCs w:val="24"/>
        </w:rPr>
      </w:pPr>
      <w:r w:rsidRPr="001647C6">
        <w:t>20.</w:t>
      </w:r>
      <w:r w:rsidRPr="001647C6">
        <w:tab/>
        <w:t xml:space="preserve">nabáda Dvor audítorov, aby naďalej odporúčal rozvoj a udržiavanie databáz a úsilia na úrovni celej Únie na vytvorenie účinných kapacít hĺbkovej analýzy údajov s cieľom vykonávať analýzu údajov na úrovni Únie a identifikovať riziká relevantné pre Úniu; vyzýva Dvor audítorov, aby pracoval na identifikácii potrebných požiadaviek na zber, spracovanie a uchovávanie údajov potrebných na jednoduchý a </w:t>
      </w:r>
      <w:proofErr w:type="spellStart"/>
      <w:r w:rsidRPr="001647C6">
        <w:t>interoperabilný</w:t>
      </w:r>
      <w:proofErr w:type="spellEnd"/>
      <w:r w:rsidRPr="001647C6">
        <w:t xml:space="preserve"> audit využívania verejných prostriedkov členskými štátmi;</w:t>
      </w:r>
    </w:p>
    <w:p w:rsidR="006E0B19" w:rsidRPr="001647C6" w:rsidRDefault="006E0B19" w:rsidP="006E0B19">
      <w:pPr>
        <w:pStyle w:val="NormalHanging12a"/>
        <w:rPr>
          <w:b/>
          <w:szCs w:val="24"/>
        </w:rPr>
      </w:pPr>
      <w:r w:rsidRPr="001647C6">
        <w:rPr>
          <w:b/>
        </w:rPr>
        <w:t>Ľudské zdroje, rovnosť a dobré pracovné podmienky zamestnancov</w:t>
      </w:r>
    </w:p>
    <w:p w:rsidR="006E0B19" w:rsidRPr="001647C6" w:rsidRDefault="006E0B19" w:rsidP="006E0B19">
      <w:pPr>
        <w:pStyle w:val="NormalHanging12a"/>
        <w:rPr>
          <w:szCs w:val="24"/>
        </w:rPr>
      </w:pPr>
      <w:r w:rsidRPr="001647C6">
        <w:t>21.</w:t>
      </w:r>
      <w:r w:rsidRPr="001647C6">
        <w:tab/>
        <w:t>konštatuje, že na konci roka 2022 mal Dvor audítorov 921 zamestnancov, čo je mierne zvýšenie z 917 na konci roka 2021 a 910 na konci roka 2020; konštatuje, že na konci roka 2022 bolo v rámci celkového rodového zastúpenia 434 mužov, čo zodpovedá 47,1 %, a 487 žien, čo zodpovedá 52,9 %; vyzýva Dvor audítorov, aby pokračoval vo svojom úsilí o podporu rodovej rovnováhy pre stredný a vyšší manažment; ďalej konštatuje, že v rámci celkového rozdelenia medzi kategórie zamestnancov bolo 830 úradníkov (90 %), z toho 620 administrátorov (AD) a 210 asistentov a sekretárov (AST/SC), a 91 zmluvných zamestnancov (10 %);</w:t>
      </w:r>
    </w:p>
    <w:p w:rsidR="006E0B19" w:rsidRPr="001647C6" w:rsidRDefault="006E0B19" w:rsidP="006E0B19">
      <w:pPr>
        <w:pStyle w:val="NormalHanging12a"/>
        <w:rPr>
          <w:szCs w:val="24"/>
        </w:rPr>
      </w:pPr>
      <w:r w:rsidRPr="001647C6">
        <w:t>22.</w:t>
      </w:r>
      <w:r w:rsidRPr="001647C6">
        <w:tab/>
        <w:t xml:space="preserve">konštatuje, že počet osôb v platovej triede AD 13 – 16 bol 79, z toho 49 mužov a 30 žien, čo zodpovedá 62 % mužov a 38 % žien a predstavuje malý nárast percentuálneho </w:t>
      </w:r>
      <w:r w:rsidRPr="001647C6">
        <w:lastRenderedPageBreak/>
        <w:t>podielu žien v týchto kategóriách z 37,5 % v roku 2021 a 34,5 % v roku 2020;</w:t>
      </w:r>
    </w:p>
    <w:p w:rsidR="006E0B19" w:rsidRPr="001647C6" w:rsidRDefault="006E0B19" w:rsidP="006E0B19">
      <w:pPr>
        <w:pStyle w:val="NormalHanging12a"/>
        <w:rPr>
          <w:szCs w:val="24"/>
        </w:rPr>
      </w:pPr>
      <w:r w:rsidRPr="001647C6">
        <w:t>23.</w:t>
      </w:r>
      <w:r w:rsidRPr="001647C6">
        <w:tab/>
        <w:t>vyjadruje hlboké poľutovanie nad nedostatočnou rodovou rovnováhou v rámci kolégia Dvora audítorov: len 10 z 25 členov sú ženy v jeho súčasnom zložení, pričom sa zohľadňuje skutočnosť, že členovia z Portugalska a Bulharska ešte nie sú vymenovaní; chápe, že postup nominácie jeho členov je náročný na dosiahnutie rodovej rovnováhy, pretože nominácia na vnútroštátnej úrovni je výlučne v kompetencii členských štátov; vyzýva však Dvor audítorov, aby analyzoval svoje celkové zloženie s cieľom informovať Radu a zainteresované členské štáty, aby sa pri rozhodovaní o nominácii zohľadnila rodová rovnováha;</w:t>
      </w:r>
    </w:p>
    <w:p w:rsidR="006E0B19" w:rsidRPr="001647C6" w:rsidRDefault="006E0B19" w:rsidP="006E0B19">
      <w:pPr>
        <w:pStyle w:val="NormalHanging12a"/>
        <w:rPr>
          <w:szCs w:val="24"/>
        </w:rPr>
      </w:pPr>
      <w:r w:rsidRPr="001647C6">
        <w:t>24.</w:t>
      </w:r>
      <w:r w:rsidRPr="001647C6">
        <w:tab/>
        <w:t xml:space="preserve">vyjadruje poľutovanie nad tým, že Rada celé roky opakovane vymenúva členov Dvora audítorov, ktorých </w:t>
      </w:r>
      <w:r w:rsidR="00EB0301" w:rsidRPr="001647C6">
        <w:t>Európsky p</w:t>
      </w:r>
      <w:r w:rsidRPr="001647C6">
        <w:t xml:space="preserve">arlament zamietol; zdôrazňuje, že </w:t>
      </w:r>
      <w:r w:rsidR="00EB0301" w:rsidRPr="001647C6">
        <w:t>Európsky p</w:t>
      </w:r>
      <w:r w:rsidRPr="001647C6">
        <w:t>arlament by mal mať záväznú úlohu pri posudzovaní vhodnosti kandidátov na členov Dvora audítorov;</w:t>
      </w:r>
    </w:p>
    <w:p w:rsidR="006E0B19" w:rsidRPr="001647C6" w:rsidRDefault="006E0B19" w:rsidP="006E0B19">
      <w:pPr>
        <w:pStyle w:val="NormalHanging12a"/>
        <w:rPr>
          <w:szCs w:val="24"/>
        </w:rPr>
      </w:pPr>
      <w:r w:rsidRPr="001647C6">
        <w:t>25.</w:t>
      </w:r>
      <w:r w:rsidRPr="001647C6">
        <w:tab/>
        <w:t>víta skutočnosť, že medzi zamestnancami Dvora audítorov sú zastúpení občania všetkých krajín Únie, a to tak v kategórii AD, ako aj v kategórii AST/SC; s poľutovaním však konštatuje, že niektoré štátne príslušnosti sú nedostatočne zastúpené, a víta, že Dvor audítorov pristúpil k priamej propagácii v niektorých členských štátoch (Dánsko, Estónsko a Lotyšsko); víta účinné využívanie nových spôsobov zverejňovania vo výberových konaniach s cieľom prilákať rôznorodé publikum z rôznych členských štátov;</w:t>
      </w:r>
    </w:p>
    <w:p w:rsidR="006E0B19" w:rsidRPr="001647C6" w:rsidRDefault="006E0B19" w:rsidP="006E0B19">
      <w:pPr>
        <w:pStyle w:val="NormalHanging12a"/>
        <w:rPr>
          <w:szCs w:val="24"/>
        </w:rPr>
      </w:pPr>
      <w:r w:rsidRPr="001647C6">
        <w:t>26.</w:t>
      </w:r>
      <w:r w:rsidRPr="001647C6">
        <w:tab/>
        <w:t xml:space="preserve">konštatuje, že Dvor audítorov prijal rozhodnutie o hybridnej práci, ktoré nadobudlo účinnosť 1. januára 2022; konštatuje, že Dvor audítorov má systém </w:t>
      </w:r>
      <w:proofErr w:type="spellStart"/>
      <w:r w:rsidRPr="001647C6">
        <w:t>telepráce</w:t>
      </w:r>
      <w:proofErr w:type="spellEnd"/>
      <w:r w:rsidRPr="001647C6">
        <w:t xml:space="preserve">, ktorý poskytuje možnosť pracovať z domu až 10 dní za mesiac a až 10 po sebe nasledujúcich dní; ďalej konštatuje, že tento systém umožňuje zamestnancom pracovať až 5 dní mesačne a 30 pracovných dní ročne mimo hlavného miesta bydliska; napokon konštatuje, že prieskum medzi zamestnancami uskutočnený v októbri 2022 ukázal, že 95 % podporuje systém </w:t>
      </w:r>
      <w:proofErr w:type="spellStart"/>
      <w:r w:rsidRPr="001647C6">
        <w:t>telepráce</w:t>
      </w:r>
      <w:proofErr w:type="spellEnd"/>
      <w:r w:rsidRPr="001647C6">
        <w:t xml:space="preserve"> a že 88 % sa domnieva, že to má pozitívny vplyv na rovnováhu medzi ich pracovným a súkromným životom;</w:t>
      </w:r>
    </w:p>
    <w:p w:rsidR="006E0B19" w:rsidRPr="001647C6" w:rsidRDefault="006E0B19" w:rsidP="006E0B19">
      <w:pPr>
        <w:pStyle w:val="NormalHanging12a"/>
        <w:rPr>
          <w:szCs w:val="24"/>
        </w:rPr>
      </w:pPr>
      <w:r w:rsidRPr="001647C6">
        <w:t>27.</w:t>
      </w:r>
      <w:r w:rsidRPr="001647C6">
        <w:tab/>
        <w:t>víta opatrenia, ktoré Dvor audítorov prijal v roku 2022 s cieľom zabezpečiť fyzickú a duševnú pohodu zamestnancov;</w:t>
      </w:r>
    </w:p>
    <w:p w:rsidR="006E0B19" w:rsidRPr="001647C6" w:rsidRDefault="006E0B19" w:rsidP="006E0B19">
      <w:pPr>
        <w:pStyle w:val="NormalHanging12a"/>
        <w:rPr>
          <w:szCs w:val="24"/>
        </w:rPr>
      </w:pPr>
      <w:r w:rsidRPr="001647C6">
        <w:t>28.</w:t>
      </w:r>
      <w:r w:rsidRPr="001647C6">
        <w:tab/>
        <w:t xml:space="preserve">uznáva výzvy súvisiace s prilákaním zamestnancov, aby pracovali v Luxembursku, a nabáda Dvor audítorov, aby spolupracoval s ostatnými inštitúciami so sídlom v Luxembursku v rámci </w:t>
      </w:r>
      <w:proofErr w:type="spellStart"/>
      <w:r w:rsidRPr="001647C6">
        <w:t>medziinštitucionálnej</w:t>
      </w:r>
      <w:proofErr w:type="spellEnd"/>
      <w:r w:rsidRPr="001647C6">
        <w:t xml:space="preserve"> skupiny na vysokej úrovni na zvyšovaní atraktívnosti Luxemburska pre zamestnancov a na rôznych identifikovaných možných opatreniach vrátane myšlienky osobitného príspevku na bývanie s cieľom bojovať proti vysokým nákladom na prenájom, ktoré pociťujú najmä zamestnanci v nižších platových triedach, a možnosti ponúknuť dočasné bývanie na krátkodobé pobyty za primeranú cenu;</w:t>
      </w:r>
    </w:p>
    <w:p w:rsidR="006E0B19" w:rsidRPr="001647C6" w:rsidRDefault="006E0B19" w:rsidP="006E0B19">
      <w:pPr>
        <w:pStyle w:val="NormalHanging12a"/>
        <w:rPr>
          <w:szCs w:val="24"/>
        </w:rPr>
      </w:pPr>
      <w:r w:rsidRPr="001647C6">
        <w:t>29.</w:t>
      </w:r>
      <w:r w:rsidRPr="001647C6">
        <w:tab/>
        <w:t xml:space="preserve">so znepokojením konštatuje, že počet dní práceneschopnosti v roku 2022 dosiahol 11 622, čo zodpovedá zvýšeniu o 54 % oproti roku 2021, keď bol počet dní práceneschopnosti 7 524; zároveň konštatuje, že v roku 2018 mal Dvor audítorov 10 255 dní práceneschopnosti a že relatívne nízky počet v roku 2021 mohol súvisieť so situáciou v súvislosti s pandémiou </w:t>
      </w:r>
      <w:r w:rsidR="00DC7B90" w:rsidRPr="001647C6">
        <w:t xml:space="preserve">ochorenia </w:t>
      </w:r>
      <w:r w:rsidRPr="001647C6">
        <w:t>COVID-19;</w:t>
      </w:r>
    </w:p>
    <w:p w:rsidR="006E0B19" w:rsidRPr="001647C6" w:rsidRDefault="006E0B19" w:rsidP="006E0B19">
      <w:pPr>
        <w:pStyle w:val="NormalHanging12a"/>
        <w:rPr>
          <w:szCs w:val="24"/>
        </w:rPr>
      </w:pPr>
      <w:r w:rsidRPr="001647C6">
        <w:lastRenderedPageBreak/>
        <w:t>30.</w:t>
      </w:r>
      <w:r w:rsidRPr="001647C6">
        <w:tab/>
        <w:t>so znepokojením konštatuje, že v roku 2022 Dvor audítorov oznámil sedem prípadov vyhorenia; ďalej konštatuje, že všetkých sedem zamestnancov bolo opätovne začlenených a v rámci procesu návratu do práce sa postupne vracajú do zamestnania na čiastočný úväzok na základe lekárskeho povolenia; v tejto súvislosti oceňuje, že Dvor audítorov začal v roku 2022 pripravovať usmernenia pre návrat do práce po dlhodobej práceneschopnosti; konštatuje, že Dvor audítorov uvádza, že dostupnosť zdrojov sa zohľadňuje pri zostavovaní ročného pracovného programu a že riaditelia a riadiaci tím na úrovni riaditeľstva posudzujú pracovné zaťaženie s cieľom zabezpečiť rovnomerné rozdelenie práce; napriek tomu nabáda Dvor audítorov, aby sa naďalej zameriaval na tento problém a prijal všetky potrebné opatrenia na zabezpečenie dobrých životných podmienok zamestnancov s cieľom znížiť počet prípadov spojených s vyhorením;</w:t>
      </w:r>
    </w:p>
    <w:p w:rsidR="006E0B19" w:rsidRPr="001647C6" w:rsidRDefault="006E0B19" w:rsidP="006E0B19">
      <w:pPr>
        <w:pStyle w:val="NormalHanging12a"/>
        <w:rPr>
          <w:szCs w:val="24"/>
        </w:rPr>
      </w:pPr>
      <w:r w:rsidRPr="001647C6">
        <w:t>31.</w:t>
      </w:r>
      <w:r w:rsidRPr="001647C6">
        <w:tab/>
        <w:t>víta skutočnosť, že na základe rozsiahleho prístupu založeného na spolupráci bolo v decembri 2022 prijaté rozhodnutie a politika na zabezpečenie úctivého pracoviska bez obťažovania s jasným zameraním na prevenciu, zvyšovanie informovanosti a včasné odhaľovanie, pričom sa stanovila škála opatrení, ktoré sa majú použiť (dôverné poradenstvo, mediácia a formálne sťažnosti) v prípade vnímania obťažovania;</w:t>
      </w:r>
    </w:p>
    <w:p w:rsidR="006E0B19" w:rsidRPr="001647C6" w:rsidRDefault="006E0B19" w:rsidP="006E0B19">
      <w:pPr>
        <w:pStyle w:val="NormalHanging12a"/>
        <w:rPr>
          <w:szCs w:val="24"/>
        </w:rPr>
      </w:pPr>
      <w:r w:rsidRPr="001647C6">
        <w:t xml:space="preserve">32. </w:t>
      </w:r>
      <w:r w:rsidRPr="001647C6">
        <w:tab/>
        <w:t>víta akčný plán Dvora audítorov v oblasti rozmanitosti a začlenenia na roky 2021 – 2025 a víta kroky prijaté v roku 2022 na zvýšenie informovanosti o pláne a výsledky dosiahnutých v roku 2022, pokiaľ ide o 10 priorít, ktoré sú v ňom stanovené; konštatuje, že v roku 2022 Dvor audítorov zamestnával len jednu osobu s deklarovaným zdravotným postihnutím, ktorá mala dočasnú pracovnú zmluvu;</w:t>
      </w:r>
    </w:p>
    <w:p w:rsidR="006E0B19" w:rsidRPr="001647C6" w:rsidRDefault="006E0B19" w:rsidP="006E0B19">
      <w:pPr>
        <w:pStyle w:val="NormalHanging12a"/>
        <w:rPr>
          <w:szCs w:val="24"/>
        </w:rPr>
      </w:pPr>
      <w:r w:rsidRPr="001647C6">
        <w:t>33.</w:t>
      </w:r>
      <w:r w:rsidRPr="001647C6">
        <w:tab/>
        <w:t>konštatuje, že Dvor audítorov v roku 2022 privítal 54 stážistov; s uznaním konštatuje, že všetkých platil Dvor audítorov alebo vnútroštátne orgány;</w:t>
      </w:r>
    </w:p>
    <w:p w:rsidR="006E0B19" w:rsidRPr="001647C6" w:rsidRDefault="006E0B19" w:rsidP="006E0B19">
      <w:pPr>
        <w:pStyle w:val="NormalHanging12a"/>
        <w:rPr>
          <w:b/>
          <w:szCs w:val="24"/>
        </w:rPr>
      </w:pPr>
      <w:r w:rsidRPr="001647C6">
        <w:rPr>
          <w:b/>
        </w:rPr>
        <w:t>Etický rámec a transparentnosť</w:t>
      </w:r>
    </w:p>
    <w:p w:rsidR="006E0B19" w:rsidRPr="001647C6" w:rsidRDefault="006E0B19" w:rsidP="006E0B19">
      <w:pPr>
        <w:pStyle w:val="NormalHanging12a"/>
        <w:rPr>
          <w:szCs w:val="24"/>
        </w:rPr>
      </w:pPr>
      <w:r w:rsidRPr="001647C6">
        <w:t>34.</w:t>
      </w:r>
      <w:r w:rsidRPr="001647C6">
        <w:tab/>
        <w:t>zdôrazňuje úlohu a význam Dvora audítorov ako nezávislého externého audítora Únie a strážcu jej financií, čo si vyžaduje, aby Dvor audítorov dodržiaval najvyššie možné normy a konal ako vzorová organizácia s cieľom vzbudzovať dôveru a dôveryhodnosť; konštatuje, že podľa článku 285 ZFEÚ sú členovia Dvora audítorov úplne nezávislí;</w:t>
      </w:r>
    </w:p>
    <w:p w:rsidR="006E0B19" w:rsidRPr="001647C6" w:rsidRDefault="006E0B19" w:rsidP="006E0B19">
      <w:pPr>
        <w:pStyle w:val="NormalHanging12a"/>
        <w:rPr>
          <w:szCs w:val="24"/>
        </w:rPr>
      </w:pPr>
      <w:r w:rsidRPr="001647C6">
        <w:t>35.</w:t>
      </w:r>
      <w:r w:rsidRPr="001647C6">
        <w:tab/>
        <w:t xml:space="preserve">víta revidovaný kódex správania z mája 2022 pre členov a bývalých členov Dvora audítorov, ktorý bol vypracovaný na základe odporúčaní </w:t>
      </w:r>
      <w:r w:rsidR="00EB0301" w:rsidRPr="001647C6">
        <w:t>Európskeho p</w:t>
      </w:r>
      <w:r w:rsidRPr="001647C6">
        <w:t>arlamentu a v ktorom sa okrem iného stanovuje povinnosť členov bývať v mieste sídla Dvora audítorov, obmedzujú sa možnosti členov zapájať sa do politiky, upravujú sa zmluvné vzťahy medzi členmi a zamestnancami a stanovuje sa povinnosť členov predkladať ročné vyhlásenie o záujmoch; pripomína, že členovia Dvora audítorov by mali vždy uplatňovať najvyššie etické zásady a hodnoty s cieľom preukázať svoju úplnú integritu, nezávislosť, objektívnosť, profesionálne správanie, dôstojnosť, odhodlanie a lojalitu;</w:t>
      </w:r>
    </w:p>
    <w:p w:rsidR="006E0B19" w:rsidRPr="001647C6" w:rsidRDefault="006E0B19" w:rsidP="006E0B19">
      <w:pPr>
        <w:pStyle w:val="NormalHanging12a"/>
        <w:rPr>
          <w:szCs w:val="24"/>
        </w:rPr>
      </w:pPr>
      <w:r w:rsidRPr="001647C6">
        <w:t>36.</w:t>
      </w:r>
      <w:r w:rsidRPr="001647C6">
        <w:tab/>
        <w:t xml:space="preserve">zdôrazňuje, že </w:t>
      </w:r>
      <w:r w:rsidR="00EB0301" w:rsidRPr="001647C6">
        <w:t>Európsky p</w:t>
      </w:r>
      <w:r w:rsidRPr="001647C6">
        <w:t xml:space="preserve">arlament naďalej zastáva názor, že informácie o služobných cestách členov Dvora audítorov by sa mali zverejňovať za celé obdobie výkonu funkcie člena a že členovia by nemali mať žiadne formálne politické väzby vrátane čestných funkcií v politických stranách alebo organizáciách; okrem toho opätovne žiada Dvor audítorov, aby zmenil svoje pravidlá týkajúce sa jeho vnútorného výboru pre etiku, aby už nebolo výlučnou výsadou predsedu Dvora audítorov navrhovať spôsobilých uchádzačov; opakuje tiež svoju žiadosť, aby ho etický výbor Dvora audítorov informoval o hlavných zisteniach správy o vnútornom audite v oblasti etiky, ktorý </w:t>
      </w:r>
      <w:r w:rsidRPr="001647C6">
        <w:lastRenderedPageBreak/>
        <w:t>prebieha už od roku 2020;</w:t>
      </w:r>
    </w:p>
    <w:p w:rsidR="006E0B19" w:rsidRPr="001647C6" w:rsidRDefault="006E0B19" w:rsidP="006E0B19">
      <w:pPr>
        <w:pStyle w:val="NormalHanging12a"/>
        <w:rPr>
          <w:szCs w:val="24"/>
        </w:rPr>
      </w:pPr>
      <w:r w:rsidRPr="001647C6">
        <w:t>37.</w:t>
      </w:r>
      <w:r w:rsidRPr="001647C6">
        <w:tab/>
        <w:t>s uspokojením konštatuje, že všetci členovia Dvora audítorov deklarovali luxemburským orgánom svoju adresu, a tým spĺňajú požiadavku, aby členovia mali bydlisko v mieste sídla Dvora audítorov;</w:t>
      </w:r>
    </w:p>
    <w:p w:rsidR="006E0B19" w:rsidRPr="001647C6" w:rsidRDefault="006E0B19" w:rsidP="006E0B19">
      <w:pPr>
        <w:pStyle w:val="NormalHanging12a"/>
        <w:rPr>
          <w:szCs w:val="24"/>
        </w:rPr>
      </w:pPr>
      <w:r w:rsidRPr="001647C6">
        <w:t>38.</w:t>
      </w:r>
      <w:r w:rsidRPr="001647C6">
        <w:tab/>
        <w:t>berie na vedomie rozhodnutie z roku 2022 týkajúce sa ciest, služobných ciest a používania vodičov a vozidiel členmi, z ktorého vyplýva, že členovia budú musieť hradiť všetky prevádzkové náklady vrátane nákladov na prenájom áut, ktoré súvisia s používaním vozidla na cesty dlhšie ako 10 000 km, na ktoré sa nevzťahuje cestovný príkaz; zastáva však názor, že 10 000 km je príliš veľa, a opakuje obavy vyjadrené v predchádzajúcich uzneseniach o absolutóriu, že zavedený systém je mätúci; opakuje svoj názor vyjadrený v predchádzajúcich uzneseniach o absolutóriu, že využívanie vozového parku mimo prísneho plnenia povinností členov Dvora audítorov by sa nemalo uskutočňovať za žiadnych okolností; vyzýva všetky inštitúcie Únie, aby sa dohodli na jednotnom systéme, ktorý by sa uplatňoval horizontálne, čo by znížilo zmätok a zvýšilo transparentnosť a efektívnosť pri využívaní verejných prostriedkov;</w:t>
      </w:r>
    </w:p>
    <w:p w:rsidR="006E0B19" w:rsidRPr="001647C6" w:rsidRDefault="006E0B19" w:rsidP="006E0B19">
      <w:pPr>
        <w:pStyle w:val="NormalHanging12a"/>
        <w:rPr>
          <w:szCs w:val="24"/>
        </w:rPr>
      </w:pPr>
      <w:r w:rsidRPr="001647C6">
        <w:t>39.</w:t>
      </w:r>
      <w:r w:rsidRPr="001647C6">
        <w:tab/>
        <w:t xml:space="preserve">víta skutočnosť, že Dvor audítorov sa v posledných rokoch venoval postupnej aktualizácii svojho etického rámca, čo zatiaľ prinieslo aktualizáciu etických usmernení Dvora audítorov v októbri 2022, aktualizáciu politiky na zabezpečenie úctivého pracoviska bez obťažovania v roku 2022 a aktualizáciu pravidiel týkajúcich sa oznamovania protispoločenskej činnosti v júli 2023; víta tiež skutočnosť, že sa zorganizovali semináre, kurzy odbornej prípravy a školenia o etike pre zamestnancov vrátane zamestnancov v kabinetoch členov; žiada Dvor audítorov, aby informoval </w:t>
      </w:r>
      <w:r w:rsidR="00EB0301" w:rsidRPr="001647C6">
        <w:t>Európsky p</w:t>
      </w:r>
      <w:r w:rsidRPr="001647C6">
        <w:t>arlament o akýchkoľvek ďalších plánoch týkajúcich sa etického rámca;</w:t>
      </w:r>
    </w:p>
    <w:p w:rsidR="006E0B19" w:rsidRPr="001647C6" w:rsidRDefault="006E0B19" w:rsidP="006E0B19">
      <w:pPr>
        <w:pStyle w:val="NormalHanging12a"/>
        <w:rPr>
          <w:szCs w:val="24"/>
        </w:rPr>
      </w:pPr>
      <w:r w:rsidRPr="001647C6">
        <w:t>40.</w:t>
      </w:r>
      <w:r w:rsidRPr="001647C6">
        <w:tab/>
        <w:t>zdôrazňuje, že útvar vnútorného auditu Dvora audítorov dospel v roku 2021 k záveru, že neexistuje žiadny dokument, ktorým by sa konsolidovala politika Dvora audítorov v oblasti boja proti podvodom, a že neexistuje stratégia boja proti podvodom na úrovni celého Dvora audítorov; nabáda Dvor audítorov, aby sa touto otázkou prioritne zaoberal s cieľom zabezpečiť konsolidáciu súčasného decentralizovaného a roztriešteného prístupu a lepšie objasniť, ako Dvor audítorov rieši tieto otázky;</w:t>
      </w:r>
    </w:p>
    <w:p w:rsidR="006E0B19" w:rsidRPr="001647C6" w:rsidRDefault="006E0B19" w:rsidP="006E0B19">
      <w:pPr>
        <w:pStyle w:val="NormalHanging12a"/>
        <w:rPr>
          <w:szCs w:val="24"/>
        </w:rPr>
      </w:pPr>
      <w:r w:rsidRPr="001647C6">
        <w:t>41.</w:t>
      </w:r>
      <w:r w:rsidRPr="001647C6">
        <w:tab/>
        <w:t xml:space="preserve">naďalej odmieta posúdenie a rozhodnutie Dvora audítorov nezapojiť sa do registra transparentnosti EÚ zriadeného </w:t>
      </w:r>
      <w:proofErr w:type="spellStart"/>
      <w:r w:rsidRPr="001647C6">
        <w:t>medziinštitucionálnou</w:t>
      </w:r>
      <w:proofErr w:type="spellEnd"/>
      <w:r w:rsidRPr="001647C6">
        <w:t xml:space="preserve"> dohodou z 20. mája 2021 medzi Európskym parlamentom, Radou Európskej únie a Európskou komisiou o povinnom registri transparentnosti</w:t>
      </w:r>
      <w:r w:rsidRPr="001647C6">
        <w:rPr>
          <w:rStyle w:val="FootnoteReference"/>
          <w:szCs w:val="24"/>
        </w:rPr>
        <w:footnoteReference w:id="6"/>
      </w:r>
      <w:r w:rsidRPr="001647C6">
        <w:t xml:space="preserve"> a nabáda Dvor audítorov, aby sa opäť zaoberal touto záležitosťou, pričom opakuje svoju dôraznú výzvu, aby sa Dvor audítorov pripojil k registru transparentnosti EÚ v záujme dodržiavania základných zásad transparentnosti a zároveň nevytvárania prekážok úplnej nezávislosti Dvora audítorov;</w:t>
      </w:r>
    </w:p>
    <w:p w:rsidR="006E0B19" w:rsidRPr="001647C6" w:rsidRDefault="006E0B19" w:rsidP="006E0B19">
      <w:pPr>
        <w:pStyle w:val="NormalHanging12a"/>
        <w:rPr>
          <w:szCs w:val="24"/>
        </w:rPr>
      </w:pPr>
      <w:r w:rsidRPr="001647C6">
        <w:t>42.</w:t>
      </w:r>
      <w:r w:rsidRPr="001647C6">
        <w:tab/>
        <w:t>konštatuje, že Európsky úrad pre boj proti podvodom (OLAF) začal v roku 2022 jedno vyšetrovanie týkajúce sa výberového konania Dvora audítorov, pričom dospel k záveru, že správanie dotknutej osoby nemalo vplyv na výsledok konania;</w:t>
      </w:r>
    </w:p>
    <w:p w:rsidR="006E0B19" w:rsidRPr="001647C6" w:rsidRDefault="006E0B19" w:rsidP="006E0B19">
      <w:pPr>
        <w:pStyle w:val="NormalHanging12a"/>
        <w:rPr>
          <w:szCs w:val="24"/>
        </w:rPr>
      </w:pPr>
      <w:r w:rsidRPr="001647C6">
        <w:t>43.</w:t>
      </w:r>
      <w:r w:rsidRPr="001647C6">
        <w:tab/>
        <w:t xml:space="preserve">konštatuje, že európska ombudsmanka vykonala jedno vyšetrovanie na základe sťažnosti v roku 2022, ktoré bolo uzavreté po tom, ako Dvor audítorov odpovedal </w:t>
      </w:r>
      <w:r w:rsidRPr="001647C6">
        <w:lastRenderedPageBreak/>
        <w:t>sťažovateľovi;</w:t>
      </w:r>
    </w:p>
    <w:p w:rsidR="006E0B19" w:rsidRPr="001647C6" w:rsidRDefault="006E0B19" w:rsidP="006E0B19">
      <w:pPr>
        <w:pStyle w:val="NormalHanging12a"/>
        <w:rPr>
          <w:szCs w:val="24"/>
        </w:rPr>
      </w:pPr>
      <w:r w:rsidRPr="001647C6">
        <w:t>44.</w:t>
      </w:r>
      <w:r w:rsidRPr="001647C6">
        <w:tab/>
        <w:t xml:space="preserve">opätovne vyjadruje spokojnosť s tým, že Dvor audítorov v roku 2022 zriadil register účasti členov Dvora audítorov na schôdzach, a to na základe opakovaných žiadostí </w:t>
      </w:r>
      <w:r w:rsidR="00EB0301" w:rsidRPr="001647C6">
        <w:t>Európskeho p</w:t>
      </w:r>
      <w:r w:rsidRPr="001647C6">
        <w:t xml:space="preserve">arlamentu v tejto súvislosti; víta skutočnosť, že na požiadanie bol register v rámci postupu udeľovania absolutória sprístupnený spravodajcovi </w:t>
      </w:r>
      <w:r w:rsidR="00EB0301" w:rsidRPr="001647C6">
        <w:t>Európskeho p</w:t>
      </w:r>
      <w:r w:rsidRPr="001647C6">
        <w:t>arlamentu pre postup udeľovania absolutória; vyzýva Dvor audítorov, aby ďalej presadzoval postupy, ktoré zvyšujú transparentnosť a zodpovednosť, ako je verejný harmonogram schôdzí;</w:t>
      </w:r>
    </w:p>
    <w:p w:rsidR="006E0B19" w:rsidRPr="001647C6" w:rsidRDefault="006E0B19" w:rsidP="006E0B19">
      <w:pPr>
        <w:pStyle w:val="NormalHanging12a"/>
        <w:rPr>
          <w:szCs w:val="24"/>
        </w:rPr>
      </w:pPr>
      <w:r w:rsidRPr="001647C6">
        <w:t>45.</w:t>
      </w:r>
      <w:r w:rsidRPr="001647C6">
        <w:tab/>
        <w:t xml:space="preserve">víta, že v roku 2022 neboli odhalené žiadne prípady konfliktu záujmov; ďalej konštatuje, že žiadni zamestnanci, ktorí odišli z Dvora audítorov, pretože ich zmluva sa skončila alebo z akéhokoľvek iného dôvodu, neinformovali Dvor audítorov, že chcú nastúpiť do súkromnej spoločnosti, ani neinformovali Dvor audítorov o začatí činností súvisiacich s prácou mimo Dvora audítorov počas posledných troch rokov svojej služby; napokon konštatuje, že žiadny bývalý poslanec </w:t>
      </w:r>
      <w:r w:rsidR="00EB0301" w:rsidRPr="001647C6">
        <w:t>Európskeho p</w:t>
      </w:r>
      <w:r w:rsidRPr="001647C6">
        <w:t>arlamentu, člen Komisie ani vysokopostavený úradník nepoberal odmeňovanie od Dvora audítorov;</w:t>
      </w:r>
    </w:p>
    <w:p w:rsidR="006E0B19" w:rsidRPr="001647C6" w:rsidRDefault="006E0B19" w:rsidP="006E0B19">
      <w:pPr>
        <w:pStyle w:val="NormalHanging12a"/>
        <w:rPr>
          <w:szCs w:val="24"/>
        </w:rPr>
      </w:pPr>
      <w:r w:rsidRPr="001647C6">
        <w:t>46.</w:t>
      </w:r>
      <w:r w:rsidRPr="001647C6">
        <w:tab/>
        <w:t>konštatuje, že v roku 2022 sa na Dvore audítorov nevyskytli žiadne prípady oznámenia nekalých praktík;</w:t>
      </w:r>
    </w:p>
    <w:p w:rsidR="006E0B19" w:rsidRPr="001647C6" w:rsidRDefault="006E0B19" w:rsidP="006E0B19">
      <w:pPr>
        <w:pStyle w:val="NormalHanging12a"/>
        <w:rPr>
          <w:szCs w:val="24"/>
        </w:rPr>
      </w:pPr>
      <w:r w:rsidRPr="001647C6">
        <w:t>47.</w:t>
      </w:r>
      <w:r w:rsidRPr="001647C6">
        <w:tab/>
        <w:t>vyjadruje poľutovanie nad tým, že ročný zoznam zmlúv vrátane zmlúv v hodnote od 15 000 EUR do 60 000 EUR, ktoré boli uzavreté v roku 2022 na základe rokovacieho konania, nie je k dispozícii na webovom sídle Dvora audítorov, ako sa uvádza v správe povoľujúceho úradníka vymenovaného delegovaním; vyzýva Dvor audítorov, aby tento zoznam zverejnil v samostatnom dokumente a zabezpečil k nemu používateľsky ústretový prístup;</w:t>
      </w:r>
    </w:p>
    <w:p w:rsidR="006E0B19" w:rsidRPr="001647C6" w:rsidRDefault="006E0B19" w:rsidP="006E0B19">
      <w:pPr>
        <w:spacing w:after="240"/>
        <w:rPr>
          <w:b/>
          <w:szCs w:val="24"/>
        </w:rPr>
      </w:pPr>
      <w:r w:rsidRPr="001647C6">
        <w:rPr>
          <w:b/>
        </w:rPr>
        <w:t>Digitalizácia, kybernetická bezpečnosť a ochrana údajov</w:t>
      </w:r>
    </w:p>
    <w:p w:rsidR="006E0B19" w:rsidRPr="001647C6" w:rsidRDefault="006E0B19" w:rsidP="006E0B19">
      <w:pPr>
        <w:pStyle w:val="NormalHanging12a"/>
        <w:rPr>
          <w:szCs w:val="24"/>
        </w:rPr>
      </w:pPr>
      <w:r w:rsidRPr="001647C6">
        <w:t>48.</w:t>
      </w:r>
      <w:r w:rsidRPr="001647C6">
        <w:tab/>
        <w:t>víta skutočnosť, že Dvor audítorov má rozsiahly plán kybernetickej bezpečnosti na roky 2022 – 2024 a plánoval prehodnotiť svoj rámec kybernetickej bezpečnosti do konca roka 2023 s cieľom zabezpečiť úplný súlad s nadchádzajúcim nariadením, ktorým sa stanovujú opatrenia na zabezpečenie vysokej spoločnej úrovne kybernetickej bezpečnosti inštitúcií, orgánov, úradov a agentúr Únie; ďalej oceňuje, že Dvor audítorov zrušil zmluvu s dodávateľom, ktorého kúpila spoločnosť zo Spojených štátov amerických, keďže prevzatie by viedlo k zmenám v spôsobe spracovania osobných údajov;</w:t>
      </w:r>
    </w:p>
    <w:p w:rsidR="006E0B19" w:rsidRPr="001647C6" w:rsidRDefault="006E0B19" w:rsidP="006E0B19">
      <w:pPr>
        <w:pStyle w:val="NormalHanging12a"/>
        <w:rPr>
          <w:szCs w:val="24"/>
        </w:rPr>
      </w:pPr>
      <w:r w:rsidRPr="001647C6">
        <w:t>49.</w:t>
      </w:r>
      <w:r w:rsidRPr="001647C6">
        <w:tab/>
        <w:t xml:space="preserve">víta skutočnosť, že Dvor audítorov v roku 2022 nečelil žiadnym závažným kybernetickým útokom a že naďalej boli najnebezpečnejšou hrozbou </w:t>
      </w:r>
      <w:proofErr w:type="spellStart"/>
      <w:r w:rsidRPr="001647C6">
        <w:t>phishingové</w:t>
      </w:r>
      <w:proofErr w:type="spellEnd"/>
      <w:r w:rsidRPr="001647C6">
        <w:t xml:space="preserve"> e-maily; nabáda však Dvor audítorov, aby zostal ostražitý a spolupracoval s príslušnými </w:t>
      </w:r>
      <w:proofErr w:type="spellStart"/>
      <w:r w:rsidRPr="001647C6">
        <w:t>medziinštitucionálnymi</w:t>
      </w:r>
      <w:proofErr w:type="spellEnd"/>
      <w:r w:rsidRPr="001647C6">
        <w:t xml:space="preserve"> orgánmi Únie s cieľom posilniť celkovú kybernetickú bezpečnosť inštitúcií Únie;</w:t>
      </w:r>
    </w:p>
    <w:p w:rsidR="006E0B19" w:rsidRPr="001647C6" w:rsidRDefault="006E0B19" w:rsidP="006E0B19">
      <w:pPr>
        <w:pStyle w:val="NormalHanging12a"/>
        <w:rPr>
          <w:szCs w:val="24"/>
        </w:rPr>
      </w:pPr>
      <w:r w:rsidRPr="001647C6">
        <w:t>50.</w:t>
      </w:r>
      <w:r w:rsidRPr="001647C6">
        <w:tab/>
        <w:t>konštatuje, že európsky dozorný úradník pre ochranu údajov (EDPS) v roku 2022 nezačal ani neuzavrel žiadne vyšetrovania týkajúce sa Dvora audítorov, ani v takýchto vyšetrovaniach nepokračoval;</w:t>
      </w:r>
    </w:p>
    <w:p w:rsidR="006E0B19" w:rsidRPr="001647C6" w:rsidRDefault="006E0B19" w:rsidP="006E0B19">
      <w:pPr>
        <w:pStyle w:val="NormalHanging12a"/>
        <w:rPr>
          <w:szCs w:val="24"/>
        </w:rPr>
      </w:pPr>
      <w:r w:rsidRPr="001647C6">
        <w:t>51.</w:t>
      </w:r>
      <w:r w:rsidRPr="001647C6">
        <w:tab/>
        <w:t xml:space="preserve">víta všetko úsilie o zlepšenie digitalizácie audítorskej práce, čím sa zlepší efektívnosť a presnosť takejto práce; víta najmä spustenie modelu služby dátového skladu v októbri </w:t>
      </w:r>
      <w:r w:rsidRPr="001647C6">
        <w:lastRenderedPageBreak/>
        <w:t xml:space="preserve">2022, ktorý používateľom umožňuje spracúvať a analyzovať štruktúrované údaje viac-menej autonómnym spôsobom; konštatuje, že digitalizácia audítorskej práce nezávisí len od samotného Dvora audítorov, ale do veľkej miery aj od údajov, ktoré poskytujú auditované subjekty, a že stále existujú obmedzenia vo formáte údajov a rozmanitosti používaných systémov; ďalej oceňuje, že počet dní audítorskej práce v teréne v roku 2022 dosiahol 2 984, čo je výrazné zvýšenie v porovnaní s rokmi 2021 a 2020, na ktoré mali veľký vplyv obmedzenia uložené v dôsledku pandémie </w:t>
      </w:r>
      <w:r w:rsidR="00DC7B90" w:rsidRPr="001647C6">
        <w:t xml:space="preserve">ochorenia </w:t>
      </w:r>
      <w:r w:rsidRPr="001647C6">
        <w:t>COVID-19, a že pridaná hodnota a efektívnosť návštev na mieste sa zvýšila ich kombináciou s prácou vykonávanou na diaľku;</w:t>
      </w:r>
    </w:p>
    <w:p w:rsidR="006E0B19" w:rsidRPr="001647C6" w:rsidRDefault="006E0B19" w:rsidP="006E0B19">
      <w:pPr>
        <w:pStyle w:val="NormalHanging12a"/>
        <w:rPr>
          <w:szCs w:val="24"/>
        </w:rPr>
      </w:pPr>
      <w:r w:rsidRPr="001647C6">
        <w:t>52.</w:t>
      </w:r>
      <w:r w:rsidRPr="001647C6">
        <w:tab/>
        <w:t xml:space="preserve">berie na vedomie, že Dvor audítorov zaviedol niekoľko prvkov softvéru s otvoreným zdrojovým kódom ako súčasť svojich systémov, medzi ktoré patrí softvér spoločností Linux, </w:t>
      </w:r>
      <w:proofErr w:type="spellStart"/>
      <w:r w:rsidRPr="001647C6">
        <w:t>Belenios</w:t>
      </w:r>
      <w:proofErr w:type="spellEnd"/>
      <w:r w:rsidRPr="001647C6">
        <w:t xml:space="preserve"> a </w:t>
      </w:r>
      <w:proofErr w:type="spellStart"/>
      <w:r w:rsidRPr="001647C6">
        <w:t>Nagios</w:t>
      </w:r>
      <w:proofErr w:type="spellEnd"/>
      <w:r w:rsidRPr="001647C6">
        <w:t>; nabáda Dvor audítorov, aby naďalej využíval softvér s otvoreným zdrojovým kódom, ak je to možné;</w:t>
      </w:r>
    </w:p>
    <w:p w:rsidR="006E0B19" w:rsidRPr="001647C6" w:rsidRDefault="006E0B19" w:rsidP="006E0B19">
      <w:pPr>
        <w:spacing w:after="240"/>
        <w:rPr>
          <w:b/>
          <w:bCs/>
          <w:iCs/>
          <w:szCs w:val="24"/>
        </w:rPr>
      </w:pPr>
      <w:r w:rsidRPr="001647C6">
        <w:rPr>
          <w:b/>
        </w:rPr>
        <w:t>Budovy</w:t>
      </w:r>
    </w:p>
    <w:p w:rsidR="006E0B19" w:rsidRPr="001647C6" w:rsidRDefault="006E0B19" w:rsidP="006E0B19">
      <w:pPr>
        <w:pStyle w:val="NormalHanging12a"/>
        <w:rPr>
          <w:szCs w:val="24"/>
        </w:rPr>
      </w:pPr>
      <w:r w:rsidRPr="001647C6">
        <w:t>53.</w:t>
      </w:r>
      <w:r w:rsidRPr="001647C6">
        <w:tab/>
        <w:t>konštatuje, že Dvor audítorov vykonal v roku 2022 významné renovačné práce na budove K2, ktoré boli dokončené začiatkom roka 2023 a zahŕňali renováciu štyroch poschodí s cieľom zabezpečiť moderné pracovisko, ktoré zamestnanci oceňujú a ktoré je šetrnejšie k životnému prostrediu;</w:t>
      </w:r>
    </w:p>
    <w:p w:rsidR="006E0B19" w:rsidRPr="001647C6" w:rsidRDefault="006E0B19" w:rsidP="006E0B19">
      <w:pPr>
        <w:pStyle w:val="NormalHanging12a"/>
        <w:rPr>
          <w:szCs w:val="24"/>
        </w:rPr>
      </w:pPr>
      <w:r w:rsidRPr="001647C6">
        <w:t>54.</w:t>
      </w:r>
      <w:r w:rsidRPr="001647C6">
        <w:tab/>
        <w:t xml:space="preserve">oceňuje, že Dvor audítorov v roku 2022 inicioval audit prístupnosti všetkých budov Dvora audítorov s cieľom zlepšiť prístupnosť a reagovať na potreby ľudí so zníženou pohyblivosťou alebo s iným zdravotným postihnutím, ktorý bol vykonaný začiatkom roka 2023; žiada Dvor audítorov, aby informoval </w:t>
      </w:r>
      <w:r w:rsidR="00EB0301" w:rsidRPr="001647C6">
        <w:t>Európsky p</w:t>
      </w:r>
      <w:r w:rsidRPr="001647C6">
        <w:t>arlament o konkrétnych iniciatívach na vykonávanie opatrení navrhnutých v rámci auditu;</w:t>
      </w:r>
    </w:p>
    <w:p w:rsidR="006E0B19" w:rsidRPr="001647C6" w:rsidRDefault="006E0B19" w:rsidP="006E0B19">
      <w:pPr>
        <w:spacing w:after="240"/>
        <w:rPr>
          <w:b/>
          <w:szCs w:val="24"/>
        </w:rPr>
      </w:pPr>
      <w:r w:rsidRPr="001647C6">
        <w:rPr>
          <w:b/>
        </w:rPr>
        <w:t>Životné prostredie a udržateľnosť</w:t>
      </w:r>
    </w:p>
    <w:p w:rsidR="006E0B19" w:rsidRPr="001647C6" w:rsidRDefault="006E0B19" w:rsidP="006E0B19">
      <w:pPr>
        <w:pStyle w:val="NormalHanging12a"/>
        <w:rPr>
          <w:szCs w:val="24"/>
        </w:rPr>
      </w:pPr>
      <w:r w:rsidRPr="001647C6">
        <w:t>55.</w:t>
      </w:r>
      <w:r w:rsidRPr="001647C6">
        <w:tab/>
        <w:t>víta skutočnosť, že Dvor audítorov v roku 2022 predložil svoju druhú výročnú správu o environmentálnej udržateľnosti svojich činností v súlade s medzinárodne uznávanými štandardmi vykazovania;</w:t>
      </w:r>
    </w:p>
    <w:p w:rsidR="006E0B19" w:rsidRPr="001647C6" w:rsidRDefault="006E0B19" w:rsidP="006E0B19">
      <w:pPr>
        <w:pStyle w:val="NormalHanging12a"/>
        <w:rPr>
          <w:szCs w:val="24"/>
        </w:rPr>
      </w:pPr>
      <w:r w:rsidRPr="001647C6">
        <w:t>56.</w:t>
      </w:r>
      <w:r w:rsidRPr="001647C6">
        <w:tab/>
        <w:t>konštatuje, že Dvor audítorov dosiahol pôsobivé výsledky vo viacerých oblastiach, pokiaľ ide o zníženie jeho všeobecnej spotreby od roku 2014, pričom spotreba elektrickej energie sa znížila o 34,5 %, vykurovanie o 22,2 %, spotreba papiera o 83,5 % a vody o 45,3 % a emisie skleníkových plynov sa znížili o 29,5 % a množstvo odpadu o 33,7 %; nabáda Dvor audítorov, aby pokračoval vo svojom úsilí o ďalšie znižovanie spotreby týchto vstupov, a víta, že Dvor audítorov v roku 2023 začal štúdiu týkajúcu sa budovy K2 s cieľom obnoviť strechu a inštalovať solárne panely;</w:t>
      </w:r>
    </w:p>
    <w:p w:rsidR="006E0B19" w:rsidRPr="001647C6" w:rsidRDefault="006E0B19" w:rsidP="006E0B19">
      <w:pPr>
        <w:pStyle w:val="NormalHanging12a"/>
        <w:rPr>
          <w:szCs w:val="24"/>
        </w:rPr>
      </w:pPr>
      <w:r w:rsidRPr="001647C6">
        <w:t>57.</w:t>
      </w:r>
      <w:r w:rsidRPr="001647C6">
        <w:tab/>
        <w:t xml:space="preserve">víta skutočnosť, že Dvor audítorov prijal niekoľko iniciatív na podporu udržateľnej mobility vrátane posilnenia kyvadlovej dopravy Dvora audítorov, poskytovania bezplatného predplatného na službu bicyklov mesta Luxemburg svojim zamestnancom, zvýšenia počtu parkovacích miest pre bicykle vrátane miest pre elektrické bicykle a inštalácie nabíjačiek pre hybridné a elektrické vozidlá; vyzýva Dvor audítorov, aby ďalej podporoval udržateľnú mobilitu, a to aj výmenou najlepších postupov s inými inštitúciami a informovaním </w:t>
      </w:r>
      <w:r w:rsidR="00EB0301" w:rsidRPr="001647C6">
        <w:t>Európskeho p</w:t>
      </w:r>
      <w:r w:rsidRPr="001647C6">
        <w:t>arlamentu o ďalších iniciatívach;</w:t>
      </w:r>
    </w:p>
    <w:p w:rsidR="006E0B19" w:rsidRPr="001647C6" w:rsidRDefault="006E0B19" w:rsidP="006E0B19">
      <w:pPr>
        <w:pStyle w:val="NormalHanging12a"/>
        <w:rPr>
          <w:szCs w:val="24"/>
        </w:rPr>
      </w:pPr>
      <w:r w:rsidRPr="001647C6">
        <w:t>58.</w:t>
      </w:r>
      <w:r w:rsidRPr="001647C6">
        <w:tab/>
        <w:t xml:space="preserve">konštatuje, že Dvor audítorov bude analyzovať, ako začleniť environmentálne aspekty </w:t>
      </w:r>
      <w:r w:rsidRPr="001647C6">
        <w:lastRenderedPageBreak/>
        <w:t>služobných ciest do aktualizovanej príručky pre služobné cesty; ďalej konštatuje, že bolo navrhnuté zníženie služobných ciest o 5 % na ekvivalent plného pracovného času v období rokov 2023 – 2025; vyzýva Dvor audítorov, aby sa pokúsil splniť tento cieľ a zároveň zabezpečil vykonanie potrebných audítorských služobných ciest;</w:t>
      </w:r>
    </w:p>
    <w:p w:rsidR="006E0B19" w:rsidRPr="001647C6" w:rsidRDefault="006E0B19" w:rsidP="006E0B19">
      <w:pPr>
        <w:spacing w:after="240"/>
        <w:rPr>
          <w:b/>
          <w:szCs w:val="24"/>
        </w:rPr>
      </w:pPr>
      <w:proofErr w:type="spellStart"/>
      <w:r w:rsidRPr="001647C6">
        <w:rPr>
          <w:b/>
        </w:rPr>
        <w:t>Medziinštitucionálna</w:t>
      </w:r>
      <w:proofErr w:type="spellEnd"/>
      <w:r w:rsidRPr="001647C6">
        <w:rPr>
          <w:b/>
        </w:rPr>
        <w:t xml:space="preserve"> spolupráca</w:t>
      </w:r>
    </w:p>
    <w:p w:rsidR="006E0B19" w:rsidRPr="001647C6" w:rsidRDefault="006E0B19" w:rsidP="006E0B19">
      <w:pPr>
        <w:pStyle w:val="NormalHanging12a"/>
        <w:rPr>
          <w:szCs w:val="24"/>
        </w:rPr>
      </w:pPr>
      <w:r w:rsidRPr="001647C6">
        <w:t>59.</w:t>
      </w:r>
      <w:r w:rsidRPr="001647C6">
        <w:tab/>
        <w:t xml:space="preserve">konštatuje, že v roku 2022 bolo aktualizovaných niekoľko dohôd o úrovni poskytovaných služieb a iných </w:t>
      </w:r>
      <w:proofErr w:type="spellStart"/>
      <w:r w:rsidRPr="001647C6">
        <w:t>medziinštitucionálnych</w:t>
      </w:r>
      <w:proofErr w:type="spellEnd"/>
      <w:r w:rsidRPr="001647C6">
        <w:t xml:space="preserve"> dohôd o spolupráci vrátane dohôd s Vyšetrovacím a disciplinárnym úradom Komisie a Prekladateľským strediskom pre orgány Európskej únie;</w:t>
      </w:r>
    </w:p>
    <w:p w:rsidR="006E0B19" w:rsidRPr="001647C6" w:rsidRDefault="006E0B19" w:rsidP="006E0B19">
      <w:pPr>
        <w:pStyle w:val="NormalHanging12a"/>
        <w:rPr>
          <w:szCs w:val="24"/>
        </w:rPr>
      </w:pPr>
      <w:r w:rsidRPr="001647C6">
        <w:t>60.</w:t>
      </w:r>
      <w:r w:rsidRPr="001647C6">
        <w:tab/>
        <w:t>berie na vedomie trojstrannú dohodu medzi Dvorom audítorov, Komisiou a Európskou investičnou bankou (ďalej len „EIB“) z novembra 2021; víta názor Dvora audítorov, že táto dohoda objasnila a zefektívnila niektoré postupy a že Dvor audítorov získal lepší prístup k informáciám, ktoré sa týkajú operácií financovaných alebo zaručených rozpočtom Únie; vyjadruje však poľutovanie nad tým, že táto dohoda ako minimum nezabezpečuje, aby Dvor audítorov mohol vykonávať audit výkonnostných aspektov činností uskutočňovaných pri vykonávaní politík Únie;</w:t>
      </w:r>
    </w:p>
    <w:p w:rsidR="006E0B19" w:rsidRPr="001647C6" w:rsidRDefault="006E0B19" w:rsidP="006E0B19">
      <w:pPr>
        <w:pStyle w:val="NormalHanging12a"/>
        <w:rPr>
          <w:szCs w:val="24"/>
        </w:rPr>
      </w:pPr>
      <w:r w:rsidRPr="001647C6">
        <w:t>61.</w:t>
      </w:r>
      <w:r w:rsidRPr="001647C6">
        <w:tab/>
        <w:t xml:space="preserve">zdôrazňuje, že </w:t>
      </w:r>
      <w:r w:rsidR="00EB0301" w:rsidRPr="001647C6">
        <w:t>Európsky p</w:t>
      </w:r>
      <w:r w:rsidRPr="001647C6">
        <w:t xml:space="preserve">arlament sa v zásade domnieva, že súčasné obmedzenia úlohy Dvora audítorov ako audítora EIB vytvárajú medzeru v regulácii a dohľade a že Dvor audítorov by mal mať možnosť vykonávať audit všetkých operácií skupiny EIB; zároveň zdôrazňuje, že </w:t>
      </w:r>
      <w:r w:rsidR="00EB0301" w:rsidRPr="001647C6">
        <w:t>Európsky p</w:t>
      </w:r>
      <w:r w:rsidRPr="001647C6">
        <w:t>arlament ako demokraticky zvolený orgán by mal byť poverený udeľovaním absolutória EIB s cieľom posilniť demokratickú legitimitu tejto dôležitej inštitúcie Únie, a tým zlepšiť transparentnosť a zodpovednosť a dobré riadenie finančných a ľudských zdrojov;</w:t>
      </w:r>
    </w:p>
    <w:p w:rsidR="006E0B19" w:rsidRPr="001647C6" w:rsidRDefault="006E0B19" w:rsidP="006E0B19">
      <w:pPr>
        <w:pStyle w:val="NormalHanging12a"/>
        <w:rPr>
          <w:szCs w:val="24"/>
        </w:rPr>
      </w:pPr>
      <w:r w:rsidRPr="001647C6">
        <w:t>62.</w:t>
      </w:r>
      <w:r w:rsidRPr="001647C6">
        <w:tab/>
        <w:t>víta skutočnosť, že Dvor audítorov úzko spolupracuje s úradom OLAF a Európskou prokuratúrou, a to aj prostredníctvom organizovania seminárov, podujatí na zvyšovanie informovanosti a výmeny poznatkov a skúseností; ďalej s uznaním konštatuje, že Dvor audítorov v roku 2022 postúpil 14 prípadov podozrenia z podvodu úradu OLAF a 6 prípadov Európskej prokuratúre; zdôrazňuje svoj názor, že podozrenia z podvodu by sa mali vždy zasielať úradu OLAF a Európskej prokuratúre na dôkladné vyšetrenie;</w:t>
      </w:r>
    </w:p>
    <w:p w:rsidR="006E0B19" w:rsidRPr="001647C6" w:rsidRDefault="006E0B19" w:rsidP="006E0B19">
      <w:pPr>
        <w:pStyle w:val="NormalHanging12a"/>
        <w:rPr>
          <w:szCs w:val="24"/>
        </w:rPr>
      </w:pPr>
      <w:r w:rsidRPr="001647C6">
        <w:t>63.</w:t>
      </w:r>
      <w:r w:rsidRPr="001647C6">
        <w:tab/>
        <w:t>konštatuje, že Dvor audítorov spolupracuje s EDPS prostredníctvom svojho úradníka pre ochranu údajov a konzultuje s EDPS otázky týkajúce sa ochrany údajov a že prípad týkajúci sa porušenia ochrany osobných údajov bol v roku 2022 uzavretý s niekoľkými odporúčaniami; víta skutočnosť, že úradník pre ochranu údajov Dvora audítorov sa zúčastňuje na činnosti siete úradníkov pre ochranu údajov, ktorá sa zaoberá opakujúcimi sa otázkami, vymieňa si príklady najlepších postupov a pomáha organizovať polročné stretnutia zodpovedných osôb;</w:t>
      </w:r>
    </w:p>
    <w:p w:rsidR="006E0B19" w:rsidRPr="001647C6" w:rsidRDefault="006E0B19" w:rsidP="006E0B19">
      <w:pPr>
        <w:pStyle w:val="NormalHanging12a"/>
        <w:rPr>
          <w:szCs w:val="24"/>
        </w:rPr>
      </w:pPr>
      <w:r w:rsidRPr="001647C6">
        <w:t>64.</w:t>
      </w:r>
      <w:r w:rsidRPr="001647C6">
        <w:tab/>
        <w:t xml:space="preserve">konštatuje, že Dvor audítorov spolupracuje s európskou ombudsmankou a poskytol všetky informácie požadované vo vyšetrovaniach, ktoré začala európska ombudsmanka; víta skutočnosť, že Dvor audítorov sa zúčastňuje na </w:t>
      </w:r>
      <w:proofErr w:type="spellStart"/>
      <w:r w:rsidRPr="001647C6">
        <w:t>medziinštitucionálnych</w:t>
      </w:r>
      <w:proofErr w:type="spellEnd"/>
      <w:r w:rsidRPr="001647C6">
        <w:t xml:space="preserve"> diskusiách o modernej komunikácii vrátane rýchlych správ a že Dvor audítorov považuje usmernenia európskej ombudsmanky v tejto oblasti za referenčný dokument;</w:t>
      </w:r>
    </w:p>
    <w:p w:rsidR="006E0B19" w:rsidRPr="001647C6" w:rsidRDefault="006E0B19" w:rsidP="006E0B19">
      <w:pPr>
        <w:spacing w:after="240"/>
        <w:rPr>
          <w:b/>
          <w:szCs w:val="24"/>
        </w:rPr>
      </w:pPr>
      <w:r w:rsidRPr="001647C6">
        <w:rPr>
          <w:b/>
        </w:rPr>
        <w:t>Komunikácia</w:t>
      </w:r>
    </w:p>
    <w:p w:rsidR="006E0B19" w:rsidRPr="001647C6" w:rsidRDefault="006E0B19" w:rsidP="006E0B19">
      <w:pPr>
        <w:pStyle w:val="NormalHanging12a"/>
        <w:rPr>
          <w:szCs w:val="24"/>
        </w:rPr>
      </w:pPr>
      <w:r w:rsidRPr="001647C6">
        <w:lastRenderedPageBreak/>
        <w:t>65.</w:t>
      </w:r>
      <w:r w:rsidRPr="001647C6">
        <w:tab/>
        <w:t>víta skutočnosť, že Dvor audítorov prijal v januári 2022 novú komunikačnú stratégiu, ktorá stavia širokú verejnosť do centra svojho komunikačného úsilia, a oceňuje, že Dvor audítorov je teraz schopný organizovať tlačové brífingy a konferencie vysielané cez internet na dobrej technickej úrovni; ďalej víta skutočnosť, že Dvor audítorov v roku 2023 aktualizoval svoje webové sídlo s cieľom poskytnúť používateľom lepší zážitok a vytvoril portál, ktorý môže sprístupniť údaje týkajúce sa auditov širokému publiku vrátane študentov, akademického sveta a širokej verejnosti.</w:t>
      </w:r>
    </w:p>
    <w:sectPr w:rsidR="006E0B19" w:rsidRPr="001647C6" w:rsidSect="00655CA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764" w:rsidRPr="00655CA7" w:rsidRDefault="00A23764">
      <w:r w:rsidRPr="00655CA7">
        <w:separator/>
      </w:r>
    </w:p>
  </w:endnote>
  <w:endnote w:type="continuationSeparator" w:id="0">
    <w:p w:rsidR="00A23764" w:rsidRPr="00655CA7" w:rsidRDefault="00A23764">
      <w:r w:rsidRPr="00655C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B19" w:rsidRPr="00655CA7" w:rsidRDefault="006E0B19" w:rsidP="00D31819">
    <w:pPr>
      <w:pStyle w:val="EPFooter"/>
    </w:pPr>
    <w:r w:rsidRPr="00655CA7">
      <w:t>PE</w:t>
    </w:r>
    <w:r w:rsidRPr="00655CA7">
      <w:rPr>
        <w:rStyle w:val="HideTWBExt"/>
      </w:rPr>
      <w:t>&lt;NoPE&gt;</w:t>
    </w:r>
    <w:r w:rsidRPr="00655CA7">
      <w:t>753.481</w:t>
    </w:r>
    <w:r w:rsidRPr="00655CA7">
      <w:rPr>
        <w:rStyle w:val="HideTWBExt"/>
      </w:rPr>
      <w:t>&lt;/NoPE&gt;&lt;Version&gt;</w:t>
    </w:r>
    <w:r w:rsidRPr="00655CA7">
      <w:t>v02-00</w:t>
    </w:r>
    <w:r w:rsidRPr="00655CA7">
      <w:rPr>
        <w:rStyle w:val="HideTWBExt"/>
      </w:rPr>
      <w:t>&lt;/Version&gt;</w:t>
    </w:r>
    <w:r w:rsidRPr="00655CA7">
      <w:tab/>
    </w:r>
    <w:r w:rsidRPr="00655CA7">
      <w:fldChar w:fldCharType="begin"/>
    </w:r>
    <w:r w:rsidRPr="00655CA7">
      <w:instrText xml:space="preserve"> PAGE  \* MERGEFORMAT </w:instrText>
    </w:r>
    <w:r w:rsidRPr="00655CA7">
      <w:fldChar w:fldCharType="separate"/>
    </w:r>
    <w:r w:rsidR="00655CA7" w:rsidRPr="00655CA7">
      <w:rPr>
        <w:noProof/>
      </w:rPr>
      <w:t>2</w:t>
    </w:r>
    <w:r w:rsidRPr="00655CA7">
      <w:fldChar w:fldCharType="end"/>
    </w:r>
    <w:r w:rsidRPr="00655CA7">
      <w:t>/</w:t>
    </w:r>
    <w:fldSimple w:instr=" NUMPAGES  \* MERGEFORMAT ">
      <w:r w:rsidR="00655CA7" w:rsidRPr="00655CA7">
        <w:rPr>
          <w:noProof/>
        </w:rPr>
        <w:t>4</w:t>
      </w:r>
    </w:fldSimple>
    <w:r w:rsidRPr="00655CA7">
      <w:tab/>
    </w:r>
    <w:r w:rsidRPr="00655CA7">
      <w:rPr>
        <w:rStyle w:val="HideTWBExt"/>
      </w:rPr>
      <w:t>&lt;PathFdR&gt;</w:t>
    </w:r>
    <w:r w:rsidRPr="00655CA7">
      <w:t>RR\1298500SK.docx</w:t>
    </w:r>
    <w:r w:rsidRPr="00655CA7">
      <w:rPr>
        <w:rStyle w:val="HideTWBExt"/>
      </w:rPr>
      <w:t>&lt;/PathFdR&gt;</w:t>
    </w:r>
  </w:p>
  <w:p w:rsidR="006E0B19" w:rsidRPr="00655CA7" w:rsidRDefault="006E0B19" w:rsidP="00D31819">
    <w:pPr>
      <w:pStyle w:val="EPFooter2"/>
    </w:pPr>
    <w:r w:rsidRPr="00655CA7">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B19" w:rsidRPr="00655CA7" w:rsidRDefault="006E0B19" w:rsidP="00D31819">
    <w:pPr>
      <w:pStyle w:val="EPFooter"/>
    </w:pPr>
    <w:r w:rsidRPr="00655CA7">
      <w:rPr>
        <w:rStyle w:val="HideTWBExt"/>
      </w:rPr>
      <w:t>&lt;PathFdR&gt;</w:t>
    </w:r>
    <w:r w:rsidRPr="00655CA7">
      <w:t>RR\1298500SK.docx</w:t>
    </w:r>
    <w:r w:rsidRPr="00655CA7">
      <w:rPr>
        <w:rStyle w:val="HideTWBExt"/>
      </w:rPr>
      <w:t>&lt;/PathFdR&gt;</w:t>
    </w:r>
    <w:r w:rsidRPr="00655CA7">
      <w:tab/>
    </w:r>
    <w:r w:rsidRPr="00655CA7">
      <w:tab/>
      <w:t>PE</w:t>
    </w:r>
    <w:r w:rsidRPr="00655CA7">
      <w:rPr>
        <w:rStyle w:val="HideTWBExt"/>
      </w:rPr>
      <w:t>&lt;NoPE&gt;</w:t>
    </w:r>
    <w:r w:rsidRPr="00655CA7">
      <w:t>753.481</w:t>
    </w:r>
    <w:r w:rsidRPr="00655CA7">
      <w:rPr>
        <w:rStyle w:val="HideTWBExt"/>
      </w:rPr>
      <w:t>&lt;/NoPE&gt;&lt;Version&gt;</w:t>
    </w:r>
    <w:r w:rsidRPr="00655CA7">
      <w:t>v02-00</w:t>
    </w:r>
    <w:r w:rsidRPr="00655CA7">
      <w:rPr>
        <w:rStyle w:val="HideTWBExt"/>
      </w:rPr>
      <w:t>&lt;/Version&gt;</w:t>
    </w:r>
  </w:p>
  <w:p w:rsidR="006E0B19" w:rsidRPr="00655CA7" w:rsidRDefault="006E0B19" w:rsidP="00D31819">
    <w:pPr>
      <w:pStyle w:val="EPFooter2"/>
    </w:pPr>
    <w:r w:rsidRPr="00655CA7">
      <w:t>SK</w:t>
    </w:r>
    <w:r w:rsidRPr="00655CA7">
      <w:tab/>
    </w:r>
    <w:r w:rsidRPr="00655CA7">
      <w:rPr>
        <w:b w:val="0"/>
        <w:i/>
        <w:color w:val="C0C0C0"/>
        <w:sz w:val="22"/>
      </w:rPr>
      <w:t>Zjednotení v rozmanitosti</w:t>
    </w:r>
    <w:r w:rsidRPr="00655CA7">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5CA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5CA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5C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764" w:rsidRPr="00655CA7" w:rsidRDefault="00A23764">
      <w:r w:rsidRPr="00655CA7">
        <w:separator/>
      </w:r>
    </w:p>
  </w:footnote>
  <w:footnote w:type="continuationSeparator" w:id="0">
    <w:p w:rsidR="00A23764" w:rsidRPr="00655CA7" w:rsidRDefault="00A23764">
      <w:r w:rsidRPr="00655CA7">
        <w:continuationSeparator/>
      </w:r>
    </w:p>
  </w:footnote>
  <w:footnote w:id="1">
    <w:p w:rsidR="006E0B19" w:rsidRPr="00655CA7" w:rsidRDefault="006E0B19" w:rsidP="00655CA7">
      <w:pPr>
        <w:pStyle w:val="FootnoteText"/>
        <w:ind w:left="567" w:hanging="567"/>
        <w:rPr>
          <w:sz w:val="24"/>
          <w:lang w:val="sk-SK"/>
        </w:rPr>
      </w:pPr>
      <w:r w:rsidRPr="00655CA7">
        <w:rPr>
          <w:rStyle w:val="FootnoteReference"/>
          <w:sz w:val="24"/>
          <w:lang w:val="sk-SK"/>
        </w:rPr>
        <w:footnoteRef/>
      </w:r>
      <w:r w:rsidR="00655CA7" w:rsidRPr="00655CA7">
        <w:rPr>
          <w:sz w:val="24"/>
          <w:lang w:val="sk-SK"/>
        </w:rPr>
        <w:t xml:space="preserve"> </w:t>
      </w:r>
      <w:r w:rsidR="00655CA7" w:rsidRPr="00655CA7">
        <w:rPr>
          <w:sz w:val="24"/>
          <w:lang w:val="sk-SK"/>
        </w:rPr>
        <w:tab/>
      </w:r>
      <w:r w:rsidRPr="00655CA7">
        <w:rPr>
          <w:sz w:val="24"/>
          <w:lang w:val="sk-SK"/>
        </w:rPr>
        <w:t>Ú. v. EÚ L 45, 24.2.2022.</w:t>
      </w:r>
    </w:p>
  </w:footnote>
  <w:footnote w:id="2">
    <w:p w:rsidR="006E0B19" w:rsidRPr="00655CA7" w:rsidRDefault="006E0B19" w:rsidP="00655CA7">
      <w:pPr>
        <w:pStyle w:val="FootnoteText"/>
        <w:ind w:left="567" w:hanging="567"/>
        <w:rPr>
          <w:sz w:val="24"/>
          <w:lang w:val="sk-SK"/>
        </w:rPr>
      </w:pPr>
      <w:r w:rsidRPr="00655CA7">
        <w:rPr>
          <w:rStyle w:val="FootnoteReference"/>
          <w:sz w:val="24"/>
          <w:lang w:val="sk-SK"/>
        </w:rPr>
        <w:footnoteRef/>
      </w:r>
      <w:r w:rsidR="00655CA7" w:rsidRPr="00655CA7">
        <w:rPr>
          <w:sz w:val="24"/>
          <w:lang w:val="sk-SK"/>
        </w:rPr>
        <w:t xml:space="preserve"> </w:t>
      </w:r>
      <w:r w:rsidR="00655CA7" w:rsidRPr="00655CA7">
        <w:rPr>
          <w:sz w:val="24"/>
          <w:lang w:val="sk-SK"/>
        </w:rPr>
        <w:tab/>
      </w:r>
      <w:r w:rsidRPr="00655CA7">
        <w:rPr>
          <w:sz w:val="24"/>
          <w:lang w:val="sk-SK"/>
        </w:rPr>
        <w:t xml:space="preserve">Ú. v. </w:t>
      </w:r>
      <w:r w:rsidRPr="00655CA7">
        <w:rPr>
          <w:sz w:val="24"/>
          <w:lang w:val="sk-SK"/>
        </w:rPr>
        <w:t xml:space="preserve">EÚ </w:t>
      </w:r>
      <w:r w:rsidR="0048393E">
        <w:rPr>
          <w:sz w:val="24"/>
          <w:lang w:val="sk-SK"/>
        </w:rPr>
        <w:t xml:space="preserve">C, </w:t>
      </w:r>
      <w:r w:rsidRPr="00655CA7">
        <w:rPr>
          <w:sz w:val="24"/>
          <w:lang w:val="sk-SK"/>
        </w:rPr>
        <w:t>C/2023/2, 12.10.2023.</w:t>
      </w:r>
    </w:p>
  </w:footnote>
  <w:footnote w:id="3">
    <w:p w:rsidR="006E0B19" w:rsidRPr="00655CA7" w:rsidRDefault="006E0B19" w:rsidP="00655CA7">
      <w:pPr>
        <w:pStyle w:val="FootnoteText"/>
        <w:ind w:left="567" w:hanging="567"/>
        <w:rPr>
          <w:sz w:val="24"/>
          <w:lang w:val="sk-SK"/>
        </w:rPr>
      </w:pPr>
      <w:r w:rsidRPr="00655CA7">
        <w:rPr>
          <w:rStyle w:val="FootnoteReference"/>
          <w:sz w:val="24"/>
          <w:lang w:val="sk-SK"/>
        </w:rPr>
        <w:footnoteRef/>
      </w:r>
      <w:r w:rsidR="00655CA7" w:rsidRPr="00655CA7">
        <w:rPr>
          <w:sz w:val="24"/>
          <w:lang w:val="sk-SK"/>
        </w:rPr>
        <w:t xml:space="preserve"> </w:t>
      </w:r>
      <w:r w:rsidR="00655CA7" w:rsidRPr="00655CA7">
        <w:rPr>
          <w:sz w:val="24"/>
          <w:lang w:val="sk-SK"/>
        </w:rPr>
        <w:tab/>
      </w:r>
      <w:r w:rsidRPr="00655CA7">
        <w:rPr>
          <w:sz w:val="24"/>
          <w:lang w:val="sk-SK"/>
        </w:rPr>
        <w:t xml:space="preserve">Ú. v. </w:t>
      </w:r>
      <w:r w:rsidRPr="00655CA7">
        <w:rPr>
          <w:sz w:val="24"/>
          <w:lang w:val="sk-SK"/>
        </w:rPr>
        <w:t xml:space="preserve">EÚ </w:t>
      </w:r>
      <w:r w:rsidR="0048393E">
        <w:rPr>
          <w:sz w:val="24"/>
          <w:lang w:val="sk-SK"/>
        </w:rPr>
        <w:t xml:space="preserve">C, </w:t>
      </w:r>
      <w:bookmarkStart w:id="8" w:name="_GoBack"/>
      <w:bookmarkEnd w:id="8"/>
      <w:r w:rsidRPr="00655CA7">
        <w:rPr>
          <w:sz w:val="24"/>
          <w:lang w:val="sk-SK"/>
        </w:rPr>
        <w:t>C/2023/103, 4.10.2023.</w:t>
      </w:r>
    </w:p>
  </w:footnote>
  <w:footnote w:id="4">
    <w:p w:rsidR="006E0B19" w:rsidRPr="00655CA7" w:rsidRDefault="006E0B19" w:rsidP="00655CA7">
      <w:pPr>
        <w:pStyle w:val="FootnoteText"/>
        <w:ind w:left="567" w:hanging="567"/>
        <w:rPr>
          <w:sz w:val="24"/>
          <w:lang w:val="sk-SK"/>
        </w:rPr>
      </w:pPr>
      <w:r w:rsidRPr="00655CA7">
        <w:rPr>
          <w:rStyle w:val="FootnoteReference"/>
          <w:sz w:val="24"/>
          <w:lang w:val="sk-SK"/>
        </w:rPr>
        <w:footnoteRef/>
      </w:r>
      <w:r w:rsidR="00655CA7" w:rsidRPr="00655CA7">
        <w:rPr>
          <w:sz w:val="24"/>
          <w:lang w:val="sk-SK"/>
        </w:rPr>
        <w:t xml:space="preserve"> </w:t>
      </w:r>
      <w:r w:rsidR="00655CA7" w:rsidRPr="00655CA7">
        <w:rPr>
          <w:sz w:val="24"/>
          <w:lang w:val="sk-SK"/>
        </w:rPr>
        <w:tab/>
      </w:r>
      <w:r w:rsidRPr="00655CA7">
        <w:rPr>
          <w:sz w:val="24"/>
          <w:lang w:val="sk-SK"/>
        </w:rPr>
        <w:t>Ú. v. EÚ C, C/2023/112, 12.10.2023.</w:t>
      </w:r>
    </w:p>
  </w:footnote>
  <w:footnote w:id="5">
    <w:p w:rsidR="006E0B19" w:rsidRPr="00655CA7" w:rsidRDefault="006E0B19" w:rsidP="00655CA7">
      <w:pPr>
        <w:pStyle w:val="FootnoteText"/>
        <w:ind w:left="567" w:hanging="567"/>
        <w:rPr>
          <w:sz w:val="24"/>
          <w:szCs w:val="24"/>
          <w:lang w:val="sk-SK"/>
        </w:rPr>
      </w:pPr>
      <w:r w:rsidRPr="00655CA7">
        <w:rPr>
          <w:rStyle w:val="FootnoteReference"/>
          <w:sz w:val="24"/>
          <w:lang w:val="sk-SK"/>
        </w:rPr>
        <w:footnoteRef/>
      </w:r>
      <w:r w:rsidR="00655CA7" w:rsidRPr="00655CA7">
        <w:rPr>
          <w:sz w:val="24"/>
          <w:lang w:val="sk-SK"/>
        </w:rPr>
        <w:t xml:space="preserve"> </w:t>
      </w:r>
      <w:r w:rsidR="00655CA7" w:rsidRPr="00655CA7">
        <w:rPr>
          <w:sz w:val="24"/>
          <w:lang w:val="sk-SK"/>
        </w:rPr>
        <w:tab/>
      </w:r>
      <w:r w:rsidRPr="00655CA7">
        <w:rPr>
          <w:sz w:val="24"/>
          <w:lang w:val="sk-SK"/>
        </w:rPr>
        <w:t>Ú. v. EÚ L 193, 30.7.2018, s. 1.</w:t>
      </w:r>
    </w:p>
  </w:footnote>
  <w:footnote w:id="6">
    <w:p w:rsidR="006E0B19" w:rsidRPr="00655CA7" w:rsidRDefault="006E0B19" w:rsidP="00655CA7">
      <w:pPr>
        <w:pStyle w:val="FootnoteText"/>
        <w:ind w:left="567" w:hanging="567"/>
        <w:rPr>
          <w:sz w:val="24"/>
          <w:lang w:val="sk-SK"/>
        </w:rPr>
      </w:pPr>
      <w:r w:rsidRPr="00655CA7">
        <w:rPr>
          <w:rStyle w:val="FootnoteReference"/>
          <w:sz w:val="24"/>
          <w:lang w:val="sk-SK"/>
        </w:rPr>
        <w:footnoteRef/>
      </w:r>
      <w:r w:rsidR="00655CA7" w:rsidRPr="00655CA7">
        <w:rPr>
          <w:sz w:val="24"/>
          <w:lang w:val="sk-SK"/>
        </w:rPr>
        <w:t xml:space="preserve"> </w:t>
      </w:r>
      <w:r w:rsidR="00655CA7" w:rsidRPr="00655CA7">
        <w:rPr>
          <w:sz w:val="24"/>
          <w:lang w:val="sk-SK"/>
        </w:rPr>
        <w:tab/>
      </w:r>
      <w:r w:rsidRPr="00655CA7">
        <w:rPr>
          <w:sz w:val="24"/>
          <w:lang w:val="sk-SK"/>
        </w:rPr>
        <w:t>Ú. v. EÚ L 207,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5C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5C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5C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SK"/>
    <w:docVar w:name="dvnumam" w:val="0"/>
    <w:docVar w:name="dvpe" w:val="753.481"/>
    <w:docVar w:name="dvrapporteur" w:val="Spravodajca: "/>
    <w:docVar w:name="dvtitre" w:val="Rozhodnutie Európskeho parlamentu z xx. apríla 2024 o absolutóriu za plnenie všeobecného rozpočtu Európskej únie za rozpočtový rok 2022, oddiel V – Dvor audítorov(2023/2133(DEC))"/>
  </w:docVars>
  <w:rsids>
    <w:rsidRoot w:val="00A23764"/>
    <w:rsid w:val="00002272"/>
    <w:rsid w:val="00064002"/>
    <w:rsid w:val="000677B9"/>
    <w:rsid w:val="000831BA"/>
    <w:rsid w:val="000A42CC"/>
    <w:rsid w:val="000E7DD9"/>
    <w:rsid w:val="0010095E"/>
    <w:rsid w:val="00125B37"/>
    <w:rsid w:val="001647C6"/>
    <w:rsid w:val="00187494"/>
    <w:rsid w:val="001F32AE"/>
    <w:rsid w:val="00241D78"/>
    <w:rsid w:val="002625E0"/>
    <w:rsid w:val="002767FF"/>
    <w:rsid w:val="002B18FE"/>
    <w:rsid w:val="002B5493"/>
    <w:rsid w:val="00343214"/>
    <w:rsid w:val="00361C00"/>
    <w:rsid w:val="00395FA1"/>
    <w:rsid w:val="003E15D4"/>
    <w:rsid w:val="00411CCE"/>
    <w:rsid w:val="0041666E"/>
    <w:rsid w:val="00421060"/>
    <w:rsid w:val="00471C19"/>
    <w:rsid w:val="0048393E"/>
    <w:rsid w:val="004867E3"/>
    <w:rsid w:val="00494A28"/>
    <w:rsid w:val="004C0004"/>
    <w:rsid w:val="004C5D52"/>
    <w:rsid w:val="0050519A"/>
    <w:rsid w:val="005072A1"/>
    <w:rsid w:val="00514517"/>
    <w:rsid w:val="00545827"/>
    <w:rsid w:val="00560270"/>
    <w:rsid w:val="005C2568"/>
    <w:rsid w:val="006037C0"/>
    <w:rsid w:val="00655CA7"/>
    <w:rsid w:val="006631B6"/>
    <w:rsid w:val="00680577"/>
    <w:rsid w:val="006E0B19"/>
    <w:rsid w:val="006F74FA"/>
    <w:rsid w:val="00731ADD"/>
    <w:rsid w:val="00734777"/>
    <w:rsid w:val="00747932"/>
    <w:rsid w:val="00751A4A"/>
    <w:rsid w:val="00756632"/>
    <w:rsid w:val="00762C74"/>
    <w:rsid w:val="00786EC0"/>
    <w:rsid w:val="007D1690"/>
    <w:rsid w:val="007E22AD"/>
    <w:rsid w:val="00817416"/>
    <w:rsid w:val="00841D73"/>
    <w:rsid w:val="00842779"/>
    <w:rsid w:val="00865F67"/>
    <w:rsid w:val="00881A7B"/>
    <w:rsid w:val="008840E5"/>
    <w:rsid w:val="00887B3E"/>
    <w:rsid w:val="008C2AC6"/>
    <w:rsid w:val="00906AFC"/>
    <w:rsid w:val="00930C23"/>
    <w:rsid w:val="0093193B"/>
    <w:rsid w:val="0094757D"/>
    <w:rsid w:val="009509D8"/>
    <w:rsid w:val="00950B64"/>
    <w:rsid w:val="00981893"/>
    <w:rsid w:val="00A00826"/>
    <w:rsid w:val="00A1687D"/>
    <w:rsid w:val="00A2376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B90"/>
    <w:rsid w:val="00E217BC"/>
    <w:rsid w:val="00E365E1"/>
    <w:rsid w:val="00E820A4"/>
    <w:rsid w:val="00EB006A"/>
    <w:rsid w:val="00EB0301"/>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61C97"/>
  <w15:chartTrackingRefBased/>
  <w15:docId w15:val="{F9870F56-6911-4B8F-8270-E6097FB46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0B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E0B19"/>
    <w:pPr>
      <w:spacing w:before="480" w:after="240"/>
    </w:pPr>
  </w:style>
  <w:style w:type="paragraph" w:customStyle="1" w:styleId="PageHeading">
    <w:name w:val="PageHeading"/>
    <w:basedOn w:val="Normal"/>
    <w:rsid w:val="006E0B19"/>
    <w:pPr>
      <w:keepNext/>
      <w:spacing w:after="480"/>
      <w:jc w:val="center"/>
    </w:pPr>
    <w:rPr>
      <w:rFonts w:ascii="Arial" w:hAnsi="Arial" w:cs="Arial"/>
      <w:b/>
    </w:rPr>
  </w:style>
  <w:style w:type="paragraph" w:customStyle="1" w:styleId="NormalBold">
    <w:name w:val="NormalBold"/>
    <w:basedOn w:val="Normal"/>
    <w:rsid w:val="006E0B19"/>
    <w:rPr>
      <w:b/>
    </w:rPr>
  </w:style>
  <w:style w:type="paragraph" w:customStyle="1" w:styleId="NormalHanging12a">
    <w:name w:val="NormalHanging12a"/>
    <w:basedOn w:val="Normal"/>
    <w:link w:val="NormalHanging12aChar"/>
    <w:qFormat/>
    <w:rsid w:val="006E0B19"/>
    <w:pPr>
      <w:spacing w:after="240"/>
      <w:ind w:left="567" w:hanging="567"/>
    </w:pPr>
  </w:style>
  <w:style w:type="paragraph" w:styleId="Header">
    <w:name w:val="header"/>
    <w:basedOn w:val="Normal"/>
    <w:link w:val="HeaderChar"/>
    <w:rsid w:val="006E0B19"/>
    <w:pPr>
      <w:tabs>
        <w:tab w:val="center" w:pos="4513"/>
        <w:tab w:val="right" w:pos="9026"/>
      </w:tabs>
    </w:pPr>
  </w:style>
  <w:style w:type="character" w:customStyle="1" w:styleId="HeaderChar">
    <w:name w:val="Header Char"/>
    <w:basedOn w:val="DefaultParagraphFont"/>
    <w:link w:val="Header"/>
    <w:rsid w:val="006E0B19"/>
    <w:rPr>
      <w:sz w:val="24"/>
      <w:lang w:val="sk-SK"/>
    </w:rPr>
  </w:style>
  <w:style w:type="paragraph" w:customStyle="1" w:styleId="EPFooter">
    <w:name w:val="EPFooter"/>
    <w:basedOn w:val="Normal"/>
    <w:rsid w:val="006E0B1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E0B19"/>
    <w:rPr>
      <w:sz w:val="24"/>
      <w:lang w:val="sk-SK"/>
    </w:rPr>
  </w:style>
  <w:style w:type="paragraph" w:styleId="Footer">
    <w:name w:val="footer"/>
    <w:basedOn w:val="Normal"/>
    <w:link w:val="FooterChar"/>
    <w:rsid w:val="00EB0301"/>
    <w:pPr>
      <w:tabs>
        <w:tab w:val="center" w:pos="4513"/>
        <w:tab w:val="right" w:pos="9026"/>
      </w:tabs>
    </w:pPr>
  </w:style>
  <w:style w:type="character" w:customStyle="1" w:styleId="FooterChar">
    <w:name w:val="Footer Char"/>
    <w:basedOn w:val="DefaultParagraphFont"/>
    <w:link w:val="Footer"/>
    <w:rsid w:val="00EB0301"/>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AD750-8041-428E-B063-917009C4F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4942</Words>
  <Characters>29890</Characters>
  <Application>Microsoft Office Word</Application>
  <DocSecurity>0</DocSecurity>
  <Lines>249</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Karina Pesa</cp:lastModifiedBy>
  <cp:revision>3</cp:revision>
  <cp:lastPrinted>2004-11-19T15:42:00Z</cp:lastPrinted>
  <dcterms:created xsi:type="dcterms:W3CDTF">2024-04-11T16:10:00Z</dcterms:created>
  <dcterms:modified xsi:type="dcterms:W3CDTF">2024-10-31T10:56:00Z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A9-0074/2024</vt:lpwstr>
  </property>
  <property fmtid="{D5CDD505-2E9C-101B-9397-08002B2CF9AE}" pid="4" name="&lt;Type&gt;">
    <vt:lpwstr>RR</vt:lpwstr>
  </property>
</Properties>
</file>