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B50B3" w:rsidTr="0010095E">
        <w:trPr>
          <w:trHeight w:hRule="exact" w:val="1418"/>
        </w:trPr>
        <w:tc>
          <w:tcPr>
            <w:tcW w:w="6804" w:type="dxa"/>
            <w:shd w:val="clear" w:color="auto" w:fill="auto"/>
            <w:vAlign w:val="center"/>
          </w:tcPr>
          <w:p w:rsidR="00751A4A" w:rsidRPr="005B50B3" w:rsidRDefault="009B484A" w:rsidP="0010095E">
            <w:pPr>
              <w:pStyle w:val="EPName"/>
            </w:pPr>
            <w:r w:rsidRPr="005B50B3">
              <w:t>Europaparlamentet</w:t>
            </w:r>
          </w:p>
          <w:p w:rsidR="00751A4A" w:rsidRPr="005B50B3" w:rsidRDefault="00817416" w:rsidP="00756632">
            <w:pPr>
              <w:pStyle w:val="EPTerm"/>
              <w:rPr>
                <w:rStyle w:val="HideTWBExt"/>
                <w:noProof w:val="0"/>
                <w:vanish w:val="0"/>
                <w:color w:val="auto"/>
              </w:rPr>
            </w:pPr>
            <w:r w:rsidRPr="005B50B3">
              <w:t>2019-2024</w:t>
            </w:r>
          </w:p>
        </w:tc>
        <w:tc>
          <w:tcPr>
            <w:tcW w:w="2268" w:type="dxa"/>
            <w:shd w:val="clear" w:color="auto" w:fill="auto"/>
          </w:tcPr>
          <w:p w:rsidR="00751A4A" w:rsidRPr="005B50B3" w:rsidRDefault="00187494" w:rsidP="0010095E">
            <w:pPr>
              <w:pStyle w:val="EPLogo"/>
            </w:pPr>
            <w:r w:rsidRPr="005B50B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B50B3" w:rsidRDefault="00D058B8" w:rsidP="004C5D52">
      <w:pPr>
        <w:pStyle w:val="LineTop"/>
      </w:pPr>
    </w:p>
    <w:p w:rsidR="00680577" w:rsidRPr="005B50B3" w:rsidRDefault="009B484A" w:rsidP="00680577">
      <w:pPr>
        <w:pStyle w:val="EPBodyTA1"/>
      </w:pPr>
      <w:r w:rsidRPr="005B50B3">
        <w:t>ANTAGNA TEXTER</w:t>
      </w:r>
    </w:p>
    <w:p w:rsidR="00D058B8" w:rsidRPr="005B50B3" w:rsidRDefault="00D058B8" w:rsidP="00D058B8">
      <w:pPr>
        <w:pStyle w:val="LineBottom"/>
      </w:pPr>
    </w:p>
    <w:p w:rsidR="009B484A" w:rsidRPr="005B50B3" w:rsidRDefault="009B484A" w:rsidP="009B484A">
      <w:pPr>
        <w:pStyle w:val="ATHeading1"/>
      </w:pPr>
      <w:bookmarkStart w:id="0" w:name="TANumber"/>
      <w:r w:rsidRPr="005B50B3">
        <w:t>P9_</w:t>
      </w:r>
      <w:r w:rsidRPr="00974441">
        <w:t>TA(2024)</w:t>
      </w:r>
      <w:r w:rsidRPr="00F76117">
        <w:t>0</w:t>
      </w:r>
      <w:r w:rsidR="00974441" w:rsidRPr="00F76117">
        <w:t>231</w:t>
      </w:r>
      <w:bookmarkEnd w:id="0"/>
    </w:p>
    <w:p w:rsidR="009B484A" w:rsidRPr="005B50B3" w:rsidRDefault="009B484A" w:rsidP="009B484A">
      <w:pPr>
        <w:pStyle w:val="ATHeading2"/>
      </w:pPr>
      <w:bookmarkStart w:id="1" w:name="title"/>
      <w:r w:rsidRPr="005B50B3">
        <w:t>Ansvarsfrihet 2022: EU:s allmänna budget – revisionsrätten</w:t>
      </w:r>
      <w:bookmarkEnd w:id="1"/>
    </w:p>
    <w:p w:rsidR="009B484A" w:rsidRPr="005B50B3" w:rsidRDefault="009B484A" w:rsidP="009B484A">
      <w:pPr>
        <w:rPr>
          <w:i/>
          <w:vanish/>
        </w:rPr>
      </w:pPr>
      <w:r w:rsidRPr="005B50B3">
        <w:rPr>
          <w:i/>
        </w:rPr>
        <w:fldChar w:fldCharType="begin"/>
      </w:r>
      <w:r w:rsidRPr="005B50B3">
        <w:rPr>
          <w:i/>
        </w:rPr>
        <w:instrText xml:space="preserve"> TC"(</w:instrText>
      </w:r>
      <w:bookmarkStart w:id="2" w:name="DocNumber"/>
      <w:r w:rsidRPr="005B50B3">
        <w:rPr>
          <w:i/>
        </w:rPr>
        <w:instrText>A9-0074/2024</w:instrText>
      </w:r>
      <w:bookmarkEnd w:id="2"/>
      <w:r w:rsidRPr="005B50B3">
        <w:rPr>
          <w:i/>
        </w:rPr>
        <w:instrText xml:space="preserve"> - Föredragande: Luke Ming Flanagan)"\l3 \n&gt; \* MERGEFORMAT </w:instrText>
      </w:r>
      <w:r w:rsidRPr="005B50B3">
        <w:rPr>
          <w:i/>
        </w:rPr>
        <w:fldChar w:fldCharType="end"/>
      </w:r>
    </w:p>
    <w:p w:rsidR="009B484A" w:rsidRPr="005B50B3" w:rsidRDefault="009B484A" w:rsidP="009B484A">
      <w:pPr>
        <w:rPr>
          <w:vanish/>
        </w:rPr>
      </w:pPr>
      <w:bookmarkStart w:id="3" w:name="Commission"/>
      <w:r w:rsidRPr="005B50B3">
        <w:rPr>
          <w:vanish/>
        </w:rPr>
        <w:t>Budgetkontrollutskottet</w:t>
      </w:r>
      <w:bookmarkEnd w:id="3"/>
    </w:p>
    <w:p w:rsidR="009B484A" w:rsidRPr="005B50B3" w:rsidRDefault="009B484A" w:rsidP="009B484A">
      <w:pPr>
        <w:rPr>
          <w:vanish/>
        </w:rPr>
      </w:pPr>
      <w:bookmarkStart w:id="4" w:name="PE"/>
      <w:r w:rsidRPr="005B50B3">
        <w:rPr>
          <w:vanish/>
        </w:rPr>
        <w:t>PE753.481</w:t>
      </w:r>
      <w:bookmarkEnd w:id="4"/>
    </w:p>
    <w:p w:rsidR="009B484A" w:rsidRPr="005B50B3" w:rsidRDefault="00EB72DA" w:rsidP="009B484A">
      <w:pPr>
        <w:pStyle w:val="ATHeading3"/>
      </w:pPr>
      <w:bookmarkStart w:id="5" w:name="Sujet"/>
      <w:r>
        <w:t xml:space="preserve">1. </w:t>
      </w:r>
      <w:r w:rsidR="009B484A" w:rsidRPr="005B50B3">
        <w:t xml:space="preserve">Europaparlamentets beslut av den </w:t>
      </w:r>
      <w:r>
        <w:t>11</w:t>
      </w:r>
      <w:r w:rsidR="009B484A" w:rsidRPr="005B50B3">
        <w:t xml:space="preserve"> </w:t>
      </w:r>
      <w:r w:rsidR="00474C17">
        <w:t>april</w:t>
      </w:r>
      <w:r w:rsidR="009B484A" w:rsidRPr="005B50B3">
        <w:t xml:space="preserve"> 2024 om ansvarsfrihet för genomförandet av Europeiska unionens allmänna budget för budgetåret 2022, avsnitt V – revisionsrätten</w:t>
      </w:r>
      <w:bookmarkEnd w:id="5"/>
      <w:r w:rsidR="009B484A" w:rsidRPr="005B50B3">
        <w:t xml:space="preserve"> </w:t>
      </w:r>
      <w:bookmarkStart w:id="6" w:name="References"/>
      <w:r w:rsidR="009B484A" w:rsidRPr="005B50B3">
        <w:t>(2023/2133(DEC))</w:t>
      </w:r>
      <w:bookmarkEnd w:id="6"/>
    </w:p>
    <w:p w:rsidR="004A053D" w:rsidRPr="005B50B3" w:rsidRDefault="004A053D" w:rsidP="004A053D">
      <w:pPr>
        <w:pStyle w:val="EPComma"/>
      </w:pPr>
      <w:bookmarkStart w:id="7" w:name="TextBodyBegin"/>
      <w:bookmarkEnd w:id="7"/>
      <w:r w:rsidRPr="005B50B3">
        <w:rPr>
          <w:i/>
          <w:iCs/>
        </w:rPr>
        <w:t>Europaparlamentet fattar detta beslut</w:t>
      </w:r>
    </w:p>
    <w:p w:rsidR="004A053D" w:rsidRPr="005B50B3" w:rsidRDefault="004A053D" w:rsidP="004A053D">
      <w:pPr>
        <w:pStyle w:val="NormalHanging12a"/>
      </w:pPr>
      <w:r w:rsidRPr="005B50B3">
        <w:t>–</w:t>
      </w:r>
      <w:r w:rsidRPr="005B50B3">
        <w:tab/>
        <w:t>med beaktande av Europeiska unionens allmänna budget för budgetåret 2022</w:t>
      </w:r>
      <w:r w:rsidRPr="005B50B3">
        <w:rPr>
          <w:rStyle w:val="FootnoteReference"/>
        </w:rPr>
        <w:footnoteReference w:id="1"/>
      </w:r>
      <w:r w:rsidRPr="005B50B3">
        <w:t>,</w:t>
      </w:r>
    </w:p>
    <w:p w:rsidR="004A053D" w:rsidRPr="005B50B3" w:rsidRDefault="004A053D" w:rsidP="004A053D">
      <w:pPr>
        <w:pStyle w:val="NormalHanging12a"/>
      </w:pPr>
      <w:r w:rsidRPr="005B50B3">
        <w:t>–</w:t>
      </w:r>
      <w:r w:rsidRPr="005B50B3">
        <w:tab/>
        <w:t>med beaktande av Europeiska unionens konsoliderade årsredovisning för budgetåret 2022 (COM(2023)0391 – C9</w:t>
      </w:r>
      <w:r w:rsidRPr="005B50B3">
        <w:noBreakHyphen/>
        <w:t>0252/2023)</w:t>
      </w:r>
      <w:r w:rsidRPr="005B50B3">
        <w:rPr>
          <w:rStyle w:val="FootnoteReference"/>
        </w:rPr>
        <w:footnoteReference w:id="2"/>
      </w:r>
      <w:r w:rsidRPr="005B50B3">
        <w:t>,</w:t>
      </w:r>
    </w:p>
    <w:p w:rsidR="004A053D" w:rsidRPr="005B50B3" w:rsidRDefault="004A053D" w:rsidP="004A053D">
      <w:pPr>
        <w:pStyle w:val="NormalHanging12a"/>
      </w:pPr>
      <w:r w:rsidRPr="005B50B3">
        <w:t>–</w:t>
      </w:r>
      <w:r w:rsidRPr="005B50B3">
        <w:tab/>
        <w:t>med beaktande av revisionsrättens årsrapport till den ansvarsfrihetsbeviljande myndigheten om de internrevisioner som genomförts under 2022,</w:t>
      </w:r>
    </w:p>
    <w:p w:rsidR="004A053D" w:rsidRPr="005B50B3" w:rsidRDefault="004A053D" w:rsidP="004A053D">
      <w:pPr>
        <w:pStyle w:val="NormalHanging12a"/>
      </w:pPr>
      <w:r w:rsidRPr="005B50B3">
        <w:t>–</w:t>
      </w:r>
      <w:r w:rsidRPr="005B50B3">
        <w:tab/>
        <w:t>med beaktande av revisionsrättens årsrapport om genomförandet av budgeten för budgetåret 2022, med institutionernas svar</w:t>
      </w:r>
      <w:r w:rsidRPr="005B50B3">
        <w:rPr>
          <w:rStyle w:val="FootnoteReference"/>
        </w:rPr>
        <w:footnoteReference w:id="3"/>
      </w:r>
      <w:r w:rsidRPr="005B50B3">
        <w:t>,</w:t>
      </w:r>
    </w:p>
    <w:p w:rsidR="004A053D" w:rsidRPr="005B50B3" w:rsidRDefault="004A053D" w:rsidP="004A053D">
      <w:pPr>
        <w:pStyle w:val="NormalHanging12a"/>
      </w:pPr>
      <w:r w:rsidRPr="005B50B3">
        <w:t>–</w:t>
      </w:r>
      <w:r w:rsidRPr="005B50B3">
        <w:tab/>
        <w:t>med beaktande av förklaringen om räkenskapernas tillförlitlighet och de underliggande transaktionernas laglighet och korrekthet</w:t>
      </w:r>
      <w:r w:rsidRPr="005B50B3">
        <w:rPr>
          <w:rStyle w:val="FootnoteReference"/>
        </w:rPr>
        <w:footnoteReference w:id="4"/>
      </w:r>
      <w:r w:rsidRPr="005B50B3">
        <w:t>, som avgetts av revisionsrätten för budgetåret 2022 i enlighet med artikel 287 i fördraget om Europeiska unionens funktionssätt,</w:t>
      </w:r>
    </w:p>
    <w:p w:rsidR="004A053D" w:rsidRPr="005B50B3" w:rsidRDefault="004A053D" w:rsidP="004A053D">
      <w:pPr>
        <w:pStyle w:val="NormalHanging12a"/>
      </w:pPr>
      <w:r w:rsidRPr="005B50B3">
        <w:t>–</w:t>
      </w:r>
      <w:r w:rsidRPr="005B50B3">
        <w:tab/>
        <w:t>med beaktande av artikel 314.10 och artiklarna 317, 318 och 319 i fördraget om Europeiska unionens funktionssätt,</w:t>
      </w:r>
    </w:p>
    <w:p w:rsidR="004A053D" w:rsidRPr="005B50B3" w:rsidRDefault="004A053D" w:rsidP="004A053D">
      <w:pPr>
        <w:pStyle w:val="NormalHanging12a"/>
      </w:pPr>
      <w:r w:rsidRPr="005B50B3">
        <w:t>–</w:t>
      </w:r>
      <w:r w:rsidRPr="005B50B3">
        <w:tab/>
        <w:t xml:space="preserve">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w:t>
      </w:r>
      <w:r w:rsidRPr="005B50B3">
        <w:lastRenderedPageBreak/>
        <w:t>Euratom) nr 966/2012</w:t>
      </w:r>
      <w:r w:rsidRPr="005B50B3">
        <w:rPr>
          <w:rStyle w:val="FootnoteReference"/>
        </w:rPr>
        <w:footnoteReference w:id="5"/>
      </w:r>
      <w:r w:rsidRPr="005B50B3">
        <w:t>, särskilt artiklarna 59, 118, 260, 261 och 262,</w:t>
      </w:r>
    </w:p>
    <w:p w:rsidR="004A053D" w:rsidRPr="005B50B3" w:rsidRDefault="004A053D" w:rsidP="004A053D">
      <w:pPr>
        <w:pStyle w:val="NormalHanging12a"/>
      </w:pPr>
      <w:r w:rsidRPr="005B50B3">
        <w:t>–</w:t>
      </w:r>
      <w:r w:rsidRPr="005B50B3">
        <w:tab/>
        <w:t>med beaktande av artikel 100 och bilaga V i arbetsordningen,</w:t>
      </w:r>
    </w:p>
    <w:p w:rsidR="004A053D" w:rsidRPr="005B50B3" w:rsidRDefault="004A053D" w:rsidP="004A053D">
      <w:pPr>
        <w:pStyle w:val="NormalHanging12a"/>
      </w:pPr>
      <w:r w:rsidRPr="005B50B3">
        <w:t>–</w:t>
      </w:r>
      <w:r w:rsidRPr="005B50B3">
        <w:tab/>
        <w:t>med beaktande av betänkandet från budgetkontrollutskottet (A9-0074/2024).</w:t>
      </w:r>
    </w:p>
    <w:p w:rsidR="004A053D" w:rsidRPr="005B50B3" w:rsidRDefault="004A053D" w:rsidP="004A053D">
      <w:pPr>
        <w:pStyle w:val="NormalHanging12a"/>
      </w:pPr>
      <w:r w:rsidRPr="005B50B3">
        <w:t>1.</w:t>
      </w:r>
      <w:r w:rsidRPr="005B50B3">
        <w:tab/>
        <w:t>Europaparlamentet beviljar revisionsrättens generalsekreterare ansvarsfrihet för genomförandet av revisionsrättens budget för budgetåret 2022.</w:t>
      </w:r>
    </w:p>
    <w:p w:rsidR="004A053D" w:rsidRPr="005B50B3" w:rsidRDefault="004A053D" w:rsidP="004A053D">
      <w:pPr>
        <w:pStyle w:val="NormalHanging12a"/>
      </w:pPr>
      <w:r w:rsidRPr="005B50B3">
        <w:t>2.</w:t>
      </w:r>
      <w:r w:rsidRPr="005B50B3">
        <w:tab/>
        <w:t>Europaparlamentet redovisar sina iakttagelser i resolutionen nedan.</w:t>
      </w:r>
    </w:p>
    <w:p w:rsidR="004A053D" w:rsidRPr="005B50B3" w:rsidRDefault="004A053D" w:rsidP="00CC488C">
      <w:pPr>
        <w:pStyle w:val="NormalHanging12a"/>
        <w:widowControl/>
      </w:pPr>
      <w:r w:rsidRPr="005B50B3">
        <w:t>3.</w:t>
      </w:r>
      <w:r w:rsidRPr="005B50B3">
        <w:tab/>
        <w:t xml:space="preserve">Europaparlamentet uppdrar åt talmannen att översända detta beslut och den resolution som utgör en del av beslutet till rådet, kommissionen och revisionsrätten, samt att se till att de offentliggörs i </w:t>
      </w:r>
      <w:r w:rsidRPr="005B50B3">
        <w:rPr>
          <w:i/>
          <w:iCs/>
        </w:rPr>
        <w:t>Europeiska unionens officiella tidning</w:t>
      </w:r>
      <w:r w:rsidRPr="005B50B3">
        <w:t xml:space="preserve"> (L-serien).</w:t>
      </w:r>
    </w:p>
    <w:p w:rsidR="004A053D" w:rsidRPr="005B50B3" w:rsidRDefault="004A053D" w:rsidP="004A053D"/>
    <w:p w:rsidR="004A053D" w:rsidRPr="005B50B3" w:rsidRDefault="004A053D" w:rsidP="004A053D">
      <w:pPr>
        <w:pStyle w:val="PageHeading"/>
        <w:sectPr w:rsidR="004A053D" w:rsidRPr="005B50B3" w:rsidSect="005B50B3">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4A053D" w:rsidRPr="005B50B3" w:rsidRDefault="004A053D" w:rsidP="00EB72DA">
      <w:pPr>
        <w:pStyle w:val="ATHeading3"/>
      </w:pPr>
      <w:bookmarkStart w:id="8" w:name="_Toc161842660"/>
      <w:r w:rsidRPr="005B50B3">
        <w:lastRenderedPageBreak/>
        <w:t xml:space="preserve">2. </w:t>
      </w:r>
      <w:r w:rsidR="00EB72DA" w:rsidRPr="005B50B3">
        <w:t>Europaparlamentets resolution</w:t>
      </w:r>
      <w:bookmarkEnd w:id="8"/>
      <w:r w:rsidR="00EB72DA">
        <w:t xml:space="preserve"> av den 11 april </w:t>
      </w:r>
      <w:r w:rsidR="007F42CD">
        <w:t xml:space="preserve">2024 </w:t>
      </w:r>
      <w:r w:rsidRPr="005B50B3">
        <w:t>med de iakttagelser som utgör en del av beslutet om ansvarsfrihet för genomförandet av Europeiska unionens allmänna budget för budgetåret 2022, avsnitt V – revisionsrätten</w:t>
      </w:r>
      <w:r w:rsidR="00EB72DA">
        <w:t xml:space="preserve"> </w:t>
      </w:r>
      <w:r w:rsidRPr="005B50B3">
        <w:t>(2023/2133(DEC))</w:t>
      </w:r>
    </w:p>
    <w:p w:rsidR="004A053D" w:rsidRPr="005B50B3" w:rsidRDefault="004A053D" w:rsidP="004A053D">
      <w:pPr>
        <w:pStyle w:val="EPComma"/>
      </w:pPr>
      <w:r w:rsidRPr="005B50B3">
        <w:rPr>
          <w:i/>
          <w:iCs/>
        </w:rPr>
        <w:t>Europaparlamentet utfärdar denna resolution</w:t>
      </w:r>
    </w:p>
    <w:p w:rsidR="004A053D" w:rsidRPr="005B50B3" w:rsidRDefault="004A053D" w:rsidP="004A053D">
      <w:pPr>
        <w:pStyle w:val="NormalHanging12a"/>
        <w:rPr>
          <w:szCs w:val="24"/>
        </w:rPr>
      </w:pPr>
      <w:r w:rsidRPr="005B50B3">
        <w:t>–</w:t>
      </w:r>
      <w:r w:rsidRPr="005B50B3">
        <w:tab/>
        <w:t>med beaktande av sitt beslut om ansvarsfrihet för genomförandet av Europeiska unionens allmänna budget för budgetåret 2022, avsnitt V – revisionsrätten,</w:t>
      </w:r>
    </w:p>
    <w:p w:rsidR="004A053D" w:rsidRPr="005B50B3" w:rsidRDefault="004A053D" w:rsidP="004A053D">
      <w:pPr>
        <w:pStyle w:val="NormalHanging12a"/>
        <w:rPr>
          <w:szCs w:val="24"/>
        </w:rPr>
      </w:pPr>
      <w:r w:rsidRPr="005B50B3">
        <w:t>–</w:t>
      </w:r>
      <w:r w:rsidRPr="005B50B3">
        <w:tab/>
        <w:t>med beaktande av artikel 100 och bilaga V i arbetsordningen,</w:t>
      </w:r>
    </w:p>
    <w:p w:rsidR="004A053D" w:rsidRPr="005B50B3" w:rsidRDefault="004A053D" w:rsidP="004A053D">
      <w:pPr>
        <w:pStyle w:val="NormalHanging12a"/>
        <w:rPr>
          <w:szCs w:val="24"/>
        </w:rPr>
      </w:pPr>
      <w:r w:rsidRPr="005B50B3">
        <w:t>–</w:t>
      </w:r>
      <w:r w:rsidRPr="005B50B3">
        <w:tab/>
        <w:t>med beaktande av betänkandet från budgetkontrollutskottet (A9-0074/2024), och av följande skäl:</w:t>
      </w:r>
    </w:p>
    <w:p w:rsidR="004A053D" w:rsidRPr="005B50B3" w:rsidRDefault="004A053D" w:rsidP="004A053D">
      <w:pPr>
        <w:pStyle w:val="NormalHanging12a"/>
        <w:rPr>
          <w:szCs w:val="24"/>
        </w:rPr>
      </w:pPr>
      <w:r w:rsidRPr="005B50B3">
        <w:t>A.</w:t>
      </w:r>
      <w:r w:rsidRPr="005B50B3">
        <w:tab/>
        <w:t>I samband med förfarandet för beviljande av ansvarsfrihet vill den ansvarsfrihetsbeviljande myndigheten särskilt framhålla vikten av en ytterligare förstärkning av EU-institutionernas demokratiska legitimitet genom att förbättra transparensen och ansvarsskyldigheten, samt av tillämpningen av resultatbaserad budgetering och god förvaltning av personalresurser.</w:t>
      </w:r>
    </w:p>
    <w:p w:rsidR="004A053D" w:rsidRPr="005B50B3" w:rsidRDefault="004A053D" w:rsidP="004A053D">
      <w:pPr>
        <w:pStyle w:val="NormalHanging12a"/>
        <w:rPr>
          <w:szCs w:val="24"/>
        </w:rPr>
      </w:pPr>
      <w:r w:rsidRPr="005B50B3">
        <w:t>B.</w:t>
      </w:r>
      <w:r w:rsidRPr="005B50B3">
        <w:tab/>
        <w:t>Europeiska revisionsrätten är unionens externa revisor, som genom oberoende, professionellt och verkningsfullt revisionsarbete har till uppgift att bedöma hur sparsamma, ändamålsenliga, effektiva, lagliga och korrekta unionens åtgärder är för att förbättra ansvarsskyldigheten, transparensen och den ekonomiska förvaltningen, och därigenom öka medborgarnas förtroende och bemöta de utmaningar som unionen står inför på ett ändamålsenligt sätt.</w:t>
      </w:r>
    </w:p>
    <w:p w:rsidR="004A053D" w:rsidRPr="005B50B3" w:rsidRDefault="004A053D" w:rsidP="004A053D">
      <w:pPr>
        <w:pStyle w:val="NormalHanging12a"/>
        <w:rPr>
          <w:szCs w:val="24"/>
        </w:rPr>
      </w:pPr>
      <w:r w:rsidRPr="005B50B3">
        <w:t>C.</w:t>
      </w:r>
      <w:r w:rsidRPr="005B50B3">
        <w:tab/>
        <w:t xml:space="preserve">Utan att det påverkar tillämpningen av bestämmelserna i artikel 287 och 319 i fördraget om Europeiska unionens funktionssätt (EUF-fördraget) har revisionsrätten, sedan utgången av budgetåret 1987, varje år fått sin inkomst- och utgiftsredovisning granskad av en oavhängig extern revisor, och de externa revisorernas rapporter har sedan rapporten för budgetåret 1992 offentliggjorts i </w:t>
      </w:r>
      <w:r w:rsidRPr="005B50B3">
        <w:rPr>
          <w:i/>
          <w:iCs/>
        </w:rPr>
        <w:t>Europeiska unionens officiella tidning</w:t>
      </w:r>
      <w:r w:rsidRPr="005B50B3">
        <w:t>.</w:t>
      </w:r>
    </w:p>
    <w:p w:rsidR="004A053D" w:rsidRPr="005B50B3" w:rsidRDefault="004A053D" w:rsidP="004A053D">
      <w:pPr>
        <w:pStyle w:val="NormalHanging12a"/>
        <w:rPr>
          <w:szCs w:val="24"/>
        </w:rPr>
      </w:pPr>
      <w:r w:rsidRPr="005B50B3">
        <w:t>D.</w:t>
      </w:r>
      <w:r w:rsidRPr="005B50B3">
        <w:tab/>
        <w:t>Ledningens redovisningsskyldighet gentemot budgetmyndigheten uppfylls via den årliga verksamhetsrapporten från revisionsrättens generalsekreterare, vars syfte i enlighet med artikel 74.9 i budgetförordningen är att tillhandahålla information om resursförvaltningen, inklusive systemen, och om effektiviteten och ändamålsenligheten i revisionsrättens interna kontrollsystem.</w:t>
      </w:r>
    </w:p>
    <w:p w:rsidR="004A053D" w:rsidRPr="005B50B3" w:rsidRDefault="004A053D" w:rsidP="004A053D">
      <w:pPr>
        <w:pStyle w:val="NormalHanging12a"/>
        <w:rPr>
          <w:szCs w:val="24"/>
        </w:rPr>
      </w:pPr>
      <w:r w:rsidRPr="005B50B3">
        <w:t>E.</w:t>
      </w:r>
      <w:r w:rsidRPr="005B50B3">
        <w:tab/>
        <w:t>Genom att utföra sina uppgifter på ett transparent och oavhängigt sätt bidrar revisionsrätten till den demokratiska tillsynen, den offentliga debatten och en sund ekonomisk förvaltning av unionen.</w:t>
      </w:r>
    </w:p>
    <w:p w:rsidR="004A053D" w:rsidRPr="005B50B3" w:rsidRDefault="004A053D" w:rsidP="00CC488C">
      <w:pPr>
        <w:pStyle w:val="NormalHanging12a"/>
        <w:widowControl/>
        <w:rPr>
          <w:szCs w:val="24"/>
        </w:rPr>
      </w:pPr>
      <w:r w:rsidRPr="005B50B3">
        <w:t>F.</w:t>
      </w:r>
      <w:r w:rsidRPr="005B50B3">
        <w:tab/>
        <w:t>Revisionsrätten har intagit den ståndpunkten att den bästa lösningen för att bedöma unionens styrning, dess ansvarsskyldighet och transparens samt kvaliteten och tillförlitligheten hos den information och de uppgifter som rapporteras om genomförandet av unionens politik skulle vara att revisionsrätten fick i uppdrag att granska alla unionens institutioner, organ och byråer som inrättats genom eller enligt fördragen och alla mellanstatliga strukturer som är av avgörande betydelse för unionens funktion. Parlamentet stöder kraftfullt revisionsrätten i detta hänseende och skulle välkomna alla initiativ som skulle ge revisionsrätten ett bredare mandat.</w:t>
      </w:r>
    </w:p>
    <w:p w:rsidR="004A053D" w:rsidRPr="005B50B3" w:rsidRDefault="004A053D" w:rsidP="004A053D">
      <w:pPr>
        <w:pStyle w:val="NormalHanging12a"/>
        <w:rPr>
          <w:szCs w:val="24"/>
        </w:rPr>
      </w:pPr>
      <w:r w:rsidRPr="005B50B3">
        <w:lastRenderedPageBreak/>
        <w:t>1.</w:t>
      </w:r>
      <w:r w:rsidRPr="005B50B3">
        <w:tab/>
        <w:t>Europaparlamentet noterar att revisionsrättens budget sorterar under rubrik 7 i den fleråriga budgetramen, ”Europeisk offentlig förvaltning”, som uppgick till 11,6 miljarder EUR 2022 (vilket motsvarar 5,9 % av EU:s totala budget). Parlamentet noterar att revisionsrättens budget på cirka 0,2 miljarder EUR 2022 utgjorde 1,4 % av de totala administrativa utgifterna.</w:t>
      </w:r>
    </w:p>
    <w:p w:rsidR="004A053D" w:rsidRPr="005B50B3" w:rsidRDefault="004A053D" w:rsidP="004A053D">
      <w:pPr>
        <w:pStyle w:val="NormalHanging12a"/>
        <w:rPr>
          <w:szCs w:val="24"/>
        </w:rPr>
      </w:pPr>
      <w:r w:rsidRPr="005B50B3">
        <w:t>2.</w:t>
      </w:r>
      <w:r w:rsidRPr="005B50B3">
        <w:tab/>
        <w:t>Europaparlamentet noterar att revisionsrätten i sin årsrapport för budgetåret 2022 granskade ett urval av 60 transaktioner under ”Administration”, dvs. samma antal som granskades 2021. Parlamentet noterar vidare att revisionsrätten skriver att administrativa utgifter omfattar utgifter för personal, inklusive utgifter för pensioner, som under 2022 stod för omkring 70 % av de totala administrativa utgifterna, och utgifter för byggnader, utrustning, energi, kommunikation och informationsteknik, och att dess arbete under många år tyd</w:t>
      </w:r>
      <w:bookmarkStart w:id="9" w:name="_GoBack"/>
      <w:bookmarkEnd w:id="9"/>
      <w:r w:rsidRPr="005B50B3">
        <w:t>er på att dessa utgifter totalt sett har låg risk.</w:t>
      </w:r>
    </w:p>
    <w:p w:rsidR="004A053D" w:rsidRPr="005B50B3" w:rsidRDefault="004A053D" w:rsidP="004A053D">
      <w:pPr>
        <w:pStyle w:val="NormalHanging12a"/>
        <w:rPr>
          <w:szCs w:val="24"/>
        </w:rPr>
      </w:pPr>
      <w:r w:rsidRPr="005B50B3">
        <w:t>3.</w:t>
      </w:r>
      <w:r w:rsidRPr="005B50B3">
        <w:tab/>
        <w:t xml:space="preserve">Europaparlamentet uppmanar revisionsrätten att öka antalet transaktioner under Administration som ska granskas för alla institutioner som ska granskas för att parlamentet bättre ska kunna fullgöra sin roll som ansvarsfrihetsbeviljande myndighet för de övriga institutionerna. Parlamentet </w:t>
      </w:r>
      <w:r w:rsidR="00B22DD8" w:rsidRPr="00B22DD8">
        <w:t>beklagar</w:t>
      </w:r>
      <w:r w:rsidRPr="005B50B3">
        <w:t xml:space="preserve"> att </w:t>
      </w:r>
      <w:r w:rsidR="00B22DD8" w:rsidRPr="00B22DD8">
        <w:t>en plan</w:t>
      </w:r>
      <w:r w:rsidRPr="005B50B3">
        <w:t xml:space="preserve"> att utarbeta en särskild rapport om de administrativa utgifterna för andra institutioner än kommissionen</w:t>
      </w:r>
      <w:r w:rsidR="00B22DD8">
        <w:t xml:space="preserve"> </w:t>
      </w:r>
      <w:r w:rsidR="00B22DD8" w:rsidRPr="00B22DD8">
        <w:t>har setts över så att en revision av EU:s offentliga förvaltning görs, som förmodligen endast kommer att undersöka en begränsad del av de administrativa utgifterna. Parlamentet upprepar vikten av en mer djupgående utredning av de administrativa utgifterna och upprepar sin uppmaning att revisionsrätten i sitt arbete ska inkludera omfattande uppgifter om alla institutioner för att skapa en enhetlig grund för ett konsekvent ansvarsfrihetsförfarande</w:t>
      </w:r>
      <w:r w:rsidRPr="005B50B3">
        <w:t>.</w:t>
      </w:r>
    </w:p>
    <w:p w:rsidR="004A053D" w:rsidRPr="005B50B3" w:rsidRDefault="004A053D" w:rsidP="004A053D">
      <w:pPr>
        <w:pStyle w:val="NormalHanging12a"/>
        <w:rPr>
          <w:szCs w:val="24"/>
        </w:rPr>
      </w:pPr>
      <w:r w:rsidRPr="005B50B3">
        <w:t>4.</w:t>
      </w:r>
      <w:r w:rsidRPr="005B50B3">
        <w:tab/>
        <w:t>Europaparlamentet noterar att revisionsrättens årsredovisning granskas av en oavhängig extern revisor för att säkerställa samma principer om transparens, ansvarsskyldighet och oavhängighet för revisionsrättens revisor som revisionsrätten tillämpar på sina granskade organ. Parlamentet noterar med tillfredsställelse att den externa revisorn inte rapporterade några specifika problem som ett resultat av sin granskning av revisionsrätten.</w:t>
      </w:r>
    </w:p>
    <w:p w:rsidR="004A053D" w:rsidRPr="005B50B3" w:rsidRDefault="004A053D" w:rsidP="004A053D">
      <w:pPr>
        <w:pStyle w:val="NormalHanging12a"/>
        <w:rPr>
          <w:b/>
          <w:szCs w:val="24"/>
        </w:rPr>
      </w:pPr>
      <w:r w:rsidRPr="005B50B3">
        <w:rPr>
          <w:b/>
        </w:rPr>
        <w:t>Budgetförvaltningen och den ekonomiska förvaltningen</w:t>
      </w:r>
    </w:p>
    <w:p w:rsidR="004A053D" w:rsidRPr="005B50B3" w:rsidRDefault="004A053D" w:rsidP="004A053D">
      <w:pPr>
        <w:pStyle w:val="NormalHanging12a"/>
        <w:rPr>
          <w:szCs w:val="24"/>
        </w:rPr>
      </w:pPr>
      <w:r w:rsidRPr="005B50B3">
        <w:t>5.</w:t>
      </w:r>
      <w:r w:rsidRPr="005B50B3">
        <w:tab/>
        <w:t>Europaparlamentet konstaterar att revisionsrättens totala budget för 2022 uppgick till 162 141 175 miljoner EUR, vilket motsvarar en ökning på 5,5 % från 153 721 727 EUR för 2021. Parlamentet noterar att ökningen främst berodde på lönejusteringar och 20 nya tillfälliga tjänster med anknytning till NextGenerationEU. Parlamentet noterar att 90 % av anslagen för 2022 avsåg dess ledamöter och personal, medan 10 % av anslagen avsåg byggnader, utrustning och diverse utgifter.</w:t>
      </w:r>
    </w:p>
    <w:p w:rsidR="004A053D" w:rsidRPr="005B50B3" w:rsidRDefault="004A053D" w:rsidP="004A053D">
      <w:pPr>
        <w:pStyle w:val="NormalHanging12a"/>
        <w:rPr>
          <w:szCs w:val="24"/>
        </w:rPr>
      </w:pPr>
      <w:r w:rsidRPr="005B50B3">
        <w:t>6.</w:t>
      </w:r>
      <w:r w:rsidRPr="005B50B3">
        <w:tab/>
        <w:t>Europaparlamentet upprepar vidare vikten av att se till att revisionsrätten har tillräckligt med personal för att kunna fullgöra sitt mandat på lämpligt sätt samt de nya uppgifterna i samband med ikraftträdandet av nya finansieringsinstrument, såsom faciliteten för återhämtning och resiliens (RFF).</w:t>
      </w:r>
    </w:p>
    <w:p w:rsidR="004A053D" w:rsidRPr="005B50B3" w:rsidRDefault="004A053D" w:rsidP="004A053D">
      <w:pPr>
        <w:pStyle w:val="NormalHanging12a"/>
        <w:rPr>
          <w:szCs w:val="24"/>
        </w:rPr>
      </w:pPr>
      <w:r w:rsidRPr="005B50B3">
        <w:t>7.</w:t>
      </w:r>
      <w:r w:rsidRPr="005B50B3">
        <w:tab/>
        <w:t xml:space="preserve">Europaparlamentet noterar att revisionsrätten under 2022 gjorde 26 budgetöverföringar i enlighet med artikel 29 i budgetförordningen, vilket motsvarar totalt 3,4 miljoner EUR eller 2,1 % av anslagen för det budgetåret, vilket främst innebar en minskning av utgifterna för tjänsteresor, publikationer, tolkningar och rättstjänster, och en ökning av </w:t>
      </w:r>
      <w:r w:rsidRPr="005B50B3">
        <w:lastRenderedPageBreak/>
        <w:t>utgifterna för inredning av lokalerna, inklusive renovering av taket, energikostnader, kontraktsanställda och it-utrustning. Parlamentet noterar också att genomförandegraden för budgeten för 2022 var 98,5 %, vilket är en liten ökning jämfört med de två föregående åren. Parlamentet välkomnar att den genomsnittliga betalningstiden 2022 minskade till 9,8 dagar jämfört med 10,7 dagar 2021, troligtvis tack vare ökningen av andelen elektroniska fakturor, som var 24 % jämfört med 19 % 2021.</w:t>
      </w:r>
    </w:p>
    <w:p w:rsidR="004A053D" w:rsidRPr="005B50B3" w:rsidRDefault="004A053D" w:rsidP="004A053D">
      <w:pPr>
        <w:pStyle w:val="NormalHanging12a"/>
        <w:rPr>
          <w:szCs w:val="24"/>
        </w:rPr>
      </w:pPr>
      <w:r w:rsidRPr="005B50B3">
        <w:t>8.</w:t>
      </w:r>
      <w:r w:rsidRPr="005B50B3">
        <w:tab/>
        <w:t>Europaparlamentet noterar med tillfredsställelse att den externa revisorn förklarade att de tilldelade medlen hade använts för det avsedda ändamålet och att de kontrollförfaranden som införts av utanordnarna innehöll nödvändiga garantier för att säkerställa att de finansiella transaktionerna var förenliga med tillämpliga regler och förordningar.</w:t>
      </w:r>
    </w:p>
    <w:p w:rsidR="004A053D" w:rsidRPr="005B50B3" w:rsidRDefault="004A053D" w:rsidP="004A053D">
      <w:pPr>
        <w:pStyle w:val="NormalHanging12a"/>
        <w:rPr>
          <w:szCs w:val="24"/>
        </w:rPr>
      </w:pPr>
      <w:r w:rsidRPr="005B50B3">
        <w:t>9.</w:t>
      </w:r>
      <w:r w:rsidRPr="005B50B3">
        <w:tab/>
        <w:t>Europaparlamentet noterar att Rysslands olagliga och orättfärdiga anfallskrig mot Ukraina på olika sätt skapade budgettryck för revisionsrätten, bl.a. genom stigande inflation – vilket kraftigt ökade el- och uppvärmningskostnaderna – och lönejusteringar.</w:t>
      </w:r>
    </w:p>
    <w:p w:rsidR="004A053D" w:rsidRPr="005B50B3" w:rsidRDefault="004A053D" w:rsidP="004A053D">
      <w:pPr>
        <w:pStyle w:val="NormalHanging12a"/>
        <w:rPr>
          <w:szCs w:val="24"/>
        </w:rPr>
      </w:pPr>
      <w:r w:rsidRPr="005B50B3">
        <w:t>10.</w:t>
      </w:r>
      <w:r w:rsidRPr="005B50B3">
        <w:tab/>
        <w:t>Europaparlamentet noterar att revisionsrättens allmänna uppdragsbudget minskade från 2 988 000 EUR 2021 till 2 452 000 EUR 2022, vilket motsvarar en minskning med 18 %, vilket var ett resultat av fortsatta reserestriktioner i början av 2022 och förändringar i arbetsmetoderna med ett större antal möten på distans. Parlamentet noterar vidare att revisionsrätten inte har någon särskild budgetpost för sin ordförandes uppdrag och resor. Parlamentet noterar slutligen att budgetposten för uppdragen för alla ledamöter av revisionsrätten var 290 000 EUR både 2021 och 2022.</w:t>
      </w:r>
    </w:p>
    <w:p w:rsidR="004A053D" w:rsidRPr="005B50B3" w:rsidRDefault="004A053D" w:rsidP="004A053D">
      <w:pPr>
        <w:pStyle w:val="NormalHanging12a"/>
        <w:rPr>
          <w:szCs w:val="24"/>
        </w:rPr>
      </w:pPr>
      <w:r w:rsidRPr="005B50B3">
        <w:t>11.</w:t>
      </w:r>
      <w:r w:rsidRPr="005B50B3">
        <w:tab/>
        <w:t>Europaparlamentet välkomnar att revisionsrätten sedan 2022 har haft en detaljerad kontrollmetod för att hantera uppdragskostnader med både förhands- och efterhandskontroller.</w:t>
      </w:r>
    </w:p>
    <w:p w:rsidR="004A053D" w:rsidRPr="005B50B3" w:rsidRDefault="004A053D" w:rsidP="004A053D">
      <w:pPr>
        <w:pStyle w:val="NormalHanging12a"/>
        <w:rPr>
          <w:b/>
          <w:szCs w:val="24"/>
        </w:rPr>
      </w:pPr>
      <w:r w:rsidRPr="005B50B3">
        <w:rPr>
          <w:b/>
        </w:rPr>
        <w:t>Intern förvaltning, resultat och internkontroll</w:t>
      </w:r>
    </w:p>
    <w:p w:rsidR="004A053D" w:rsidRPr="005B50B3" w:rsidRDefault="004A053D" w:rsidP="004A053D">
      <w:pPr>
        <w:pStyle w:val="NormalHanging12a"/>
        <w:rPr>
          <w:szCs w:val="24"/>
        </w:rPr>
      </w:pPr>
      <w:r w:rsidRPr="005B50B3">
        <w:t>12.</w:t>
      </w:r>
      <w:r w:rsidRPr="005B50B3">
        <w:tab/>
        <w:t>Europaparlamentet noterar att 2022 var det andra året för genomförandet av revisionsrättens strategi 2021–2025 och att i slutet av 2022 hade, av 29 strategiska åtgärder, 18 genomförts fullt ut eller ramen för åtgärden hade upprättats och ytterligare åtgärder pågick medan elva åtgärder pågick eller tagits upp på nytt.</w:t>
      </w:r>
    </w:p>
    <w:p w:rsidR="004A053D" w:rsidRPr="005B50B3" w:rsidRDefault="004A053D" w:rsidP="004A053D">
      <w:pPr>
        <w:pStyle w:val="NormalHanging12a"/>
        <w:rPr>
          <w:szCs w:val="24"/>
        </w:rPr>
      </w:pPr>
      <w:r w:rsidRPr="005B50B3">
        <w:t>13.</w:t>
      </w:r>
      <w:r w:rsidRPr="005B50B3">
        <w:tab/>
        <w:t>Europaparlamentet noterar att revisionsrätten under 2022 lade fram sju årsrapporter, åtta yttranden, 28 särskilda rapporter och en översyn, vilket är mycket likt antalet rapporter, yttranden, särskilda rapporter och översyner som lades fram 2020 och 2021.</w:t>
      </w:r>
    </w:p>
    <w:p w:rsidR="004A053D" w:rsidRPr="005B50B3" w:rsidRDefault="004A053D" w:rsidP="00CC488C">
      <w:pPr>
        <w:pStyle w:val="NormalHanging12a"/>
        <w:widowControl/>
        <w:rPr>
          <w:szCs w:val="24"/>
        </w:rPr>
      </w:pPr>
      <w:r w:rsidRPr="005B50B3">
        <w:t>14.</w:t>
      </w:r>
      <w:r w:rsidRPr="005B50B3">
        <w:tab/>
        <w:t>Europaparlamentet noterar att revisionsrätten fastställer sitt arbetsprogram på ett helt oavhängigt sätt, inbegripet vilka särskilda rapporter som bör utarbetas. Parlamentet fortsätter att informera revisionsrätten om att särskilda rapporter, som fokuserar på unionens nuvarande situation och utmaningar med ett tydligt budgetfokus och budgetrelevans, kommer att dra störst uppmärksamhet till sig från viktiga berörda parter i parlamentet och på andra håll. Parlamentet välkomnar i detta avseende översynen 2022 av dess programplaneringsprocess, som inför större flexibilitet när det gäller att ta itu med brådskande utmaningar för att bättre tjäna berörda parters intressen.</w:t>
      </w:r>
    </w:p>
    <w:p w:rsidR="004A053D" w:rsidRPr="005B50B3" w:rsidRDefault="004A053D" w:rsidP="004A053D">
      <w:pPr>
        <w:pStyle w:val="NormalHanging12a"/>
        <w:rPr>
          <w:szCs w:val="24"/>
        </w:rPr>
      </w:pPr>
      <w:r w:rsidRPr="005B50B3">
        <w:t>15.</w:t>
      </w:r>
      <w:r w:rsidRPr="005B50B3">
        <w:tab/>
        <w:t xml:space="preserve">Europaparlamentet uppskattar att revisionsrätten, på parlamentets begäran, har fokuserat sitt revisionsarbete på aktuella europeiska utmaningar, vilket exemplifieras av det </w:t>
      </w:r>
      <w:r w:rsidRPr="005B50B3">
        <w:lastRenderedPageBreak/>
        <w:t>mycket snabba utarbetandet av yttrande 3/2023 om Ukrainafaciliteten och den uppmärksamhet som ägnats åt att övervaka dess genomförande. Parlamentet är oroat över att när det gäller revisionsarbetet för återhämtning och resiliens (RRF) har revisionsrätten fortfarande inte full tillgång till det nya rapporteringsverktyget om RRF, Fenix, och att informationen i detta it-verktyg inte uppdateras i tid. Parlamentet stöder revisionsrättens uppfattning att artikel 257 i budgetförordningen föreskriver fullständig och omedelbar åtkomsträtt för revisionsrätten. Parlamentet uppmanar vidare kommissionen att ge revisionsrätten tillgång till andra typer av relevant information så att den kan fullgöra sin roll.</w:t>
      </w:r>
    </w:p>
    <w:p w:rsidR="004A053D" w:rsidRPr="005B50B3" w:rsidRDefault="004A053D" w:rsidP="004A053D">
      <w:pPr>
        <w:pStyle w:val="NormalHanging12a"/>
        <w:rPr>
          <w:szCs w:val="24"/>
        </w:rPr>
      </w:pPr>
      <w:r w:rsidRPr="005B50B3">
        <w:t>16.</w:t>
      </w:r>
      <w:r w:rsidRPr="005B50B3">
        <w:tab/>
        <w:t>Europaparlamentet uppskattar de lägliga och relevanta särskilda rapporterna om genomförandet av faciliteten för återhämtning och resiliens, som gör det möjligt för den ansvarsfrihetsbeviljande myndigheten att utöva sina befogenheter och rikta rekommendationer till kommissionen om förbättringar av detta instruments funktion.</w:t>
      </w:r>
    </w:p>
    <w:p w:rsidR="004A053D" w:rsidRPr="005B50B3" w:rsidRDefault="004A053D" w:rsidP="004A053D">
      <w:pPr>
        <w:pStyle w:val="NormalHanging12a"/>
        <w:rPr>
          <w:szCs w:val="24"/>
        </w:rPr>
      </w:pPr>
      <w:r w:rsidRPr="005B50B3">
        <w:t>17.</w:t>
      </w:r>
      <w:r w:rsidRPr="005B50B3">
        <w:tab/>
        <w:t>Europaparlamentet välkomnar att revisionsrätten har tillhandahållit en sammanfattning av antalet och typen av internrevisioner som utförts vid revisionsrätten och en sammanfattning av rekommendationerna och de åtgärder som vidtagits till följd av dessa rekommendationer i enlighet med artikel 118.8 i budgetförordningen. Parlamentet noterar att internrevisorns årliga arbetsprogram innebar återkommande uppgifter, utvalda uppgifter och andra uppgifter som utfördes under året. Parlamentet noterar att vissa åtgärder som öronmärkts för genomförande 2022 har skjutits upp till 2023 och uppmanar revisionsrätten att rapportera till parlamentet om deras genomförande.</w:t>
      </w:r>
    </w:p>
    <w:p w:rsidR="004A053D" w:rsidRPr="005B50B3" w:rsidRDefault="004A053D" w:rsidP="004A053D">
      <w:pPr>
        <w:pStyle w:val="NormalHanging12a"/>
        <w:rPr>
          <w:szCs w:val="24"/>
        </w:rPr>
      </w:pPr>
      <w:r w:rsidRPr="005B50B3">
        <w:t>18.</w:t>
      </w:r>
      <w:r w:rsidRPr="005B50B3">
        <w:tab/>
        <w:t>Europaparlamentet uppmanar revisionsrätten att öka sitt bidrag för att bekämpa bedrägerier i unionens budget, inte bara genom att identifiera och rapportera de svagheter som gör att unionens finansierade program är utsatta för bedrägerier, utan också genom att beakta den pågående debatten i vissa delar av bedrägeribekämpningsarkitekturen och intensifiera revisionsarbetet i samarbete med de organ som ansvarar för att upptäcka bedrägerier, regelbundet utvärdera deras verksamhet och ge den ansvarsfrihetsbeviljande myndigheten återkoppling till sin analys.</w:t>
      </w:r>
    </w:p>
    <w:p w:rsidR="004A053D" w:rsidRPr="005B50B3" w:rsidRDefault="004A053D" w:rsidP="00CC488C">
      <w:pPr>
        <w:pStyle w:val="NormalHanging12a"/>
        <w:widowControl/>
        <w:rPr>
          <w:szCs w:val="24"/>
        </w:rPr>
      </w:pPr>
      <w:r w:rsidRPr="005B50B3">
        <w:t>19.</w:t>
      </w:r>
      <w:r w:rsidRPr="005B50B3">
        <w:tab/>
        <w:t>Europaparlamentet välkomnar att revisionsrättens strategi för 2021–2025 hänvisar till utarbetandet av kostnadseffektiva rekommendationer för att bidra till avbyråkratiseringen av unionens institutioner. Parlamentet påpekar att revisionsrättens rekommendationer om att öka förfarandenas effektivitet, använda bästa praxis, förbättra samordningen, inrätta standardprocesser, förhindra överreglering och i synnerhet förenkla och digitalisera, tjänar detta mål.</w:t>
      </w:r>
    </w:p>
    <w:p w:rsidR="004A053D" w:rsidRPr="005B50B3" w:rsidRDefault="004A053D" w:rsidP="004A053D">
      <w:pPr>
        <w:pStyle w:val="NormalHanging12a"/>
        <w:rPr>
          <w:szCs w:val="24"/>
        </w:rPr>
      </w:pPr>
      <w:r w:rsidRPr="005B50B3">
        <w:t>20.</w:t>
      </w:r>
      <w:r w:rsidRPr="005B50B3">
        <w:tab/>
        <w:t>Europaparlamentet uppmanar revisionsrätten att fortsätta att rekommendera utveckling och underhåll av unionsomfattande databaser och insatser för att eftersträva effektiv datautvinningskapacitet för att genomföra dataanalyser på unionsnivå och identifiera unionsrelevanta risker. Parlamentet uppmanar revisionsrätten att arbeta med att identifiera de nödvändiga kraven för insamling, behandling och lagring av uppgifter som behövs för enkel och driftskompatibel revision av medlemsstaternas användning av offentliga medel.</w:t>
      </w:r>
    </w:p>
    <w:p w:rsidR="004A053D" w:rsidRPr="005B50B3" w:rsidRDefault="004A053D" w:rsidP="004A053D">
      <w:pPr>
        <w:pStyle w:val="NormalHanging12a"/>
        <w:rPr>
          <w:b/>
          <w:szCs w:val="24"/>
        </w:rPr>
      </w:pPr>
      <w:r w:rsidRPr="005B50B3">
        <w:rPr>
          <w:b/>
        </w:rPr>
        <w:t>Personalresurser, jämställdhet och personalens välbefinnande</w:t>
      </w:r>
    </w:p>
    <w:p w:rsidR="004A053D" w:rsidRPr="005B50B3" w:rsidRDefault="004A053D" w:rsidP="004A053D">
      <w:pPr>
        <w:pStyle w:val="NormalHanging12a"/>
        <w:rPr>
          <w:szCs w:val="24"/>
        </w:rPr>
      </w:pPr>
      <w:r w:rsidRPr="005B50B3">
        <w:lastRenderedPageBreak/>
        <w:t>21.</w:t>
      </w:r>
      <w:r w:rsidRPr="005B50B3">
        <w:tab/>
        <w:t>Europaparlamentet noterar att revisionsrätten i slutet av 2022 hade 921 anställda, dvs. något högre än de 917 anställda i slutet av 2021 och de 910 anställda i slutet av 2020. Parlamentet noterar att den övergripande könsfördelningen i slutet av 2022 var 434 män, vilket motsvarar 47,1 % och 487 kvinnor, vilket motsvarar 52,9 %. Parlamentet uppmanar revisionsrätten att fortsätta sina insatser för att främja en jämn könsfördelning bland chefer på mellannivå och högre nivå. Parlamentet noterar vidare att den totala fördelningen mellan personalkategorierna var 830 tjänstemän (90 %), bestående av 620 handläggare (AD) och 210 assistenter och sekreterare (AST/SC) och 91 kontraktsanställda (10 %).</w:t>
      </w:r>
    </w:p>
    <w:p w:rsidR="004A053D" w:rsidRPr="005B50B3" w:rsidRDefault="004A053D" w:rsidP="004A053D">
      <w:pPr>
        <w:pStyle w:val="NormalHanging12a"/>
        <w:rPr>
          <w:szCs w:val="24"/>
        </w:rPr>
      </w:pPr>
      <w:r w:rsidRPr="005B50B3">
        <w:t>22.</w:t>
      </w:r>
      <w:r w:rsidRPr="005B50B3">
        <w:tab/>
        <w:t>Europaparlamentet noterar att antalet personer i AD-graderna 13–16 var 79, varav 49 var män och 30 var kvinnor, vilket motsvarar 62 % män och 38 % kvinnor, vilket utgör en liten ökning av andelen kvinnor i dessa kategorier från 37,5 % 2021 och 34,5 % 2020.</w:t>
      </w:r>
    </w:p>
    <w:p w:rsidR="004A053D" w:rsidRPr="005B50B3" w:rsidRDefault="004A053D" w:rsidP="004A053D">
      <w:pPr>
        <w:pStyle w:val="NormalHanging12a"/>
        <w:rPr>
          <w:szCs w:val="24"/>
        </w:rPr>
      </w:pPr>
      <w:r w:rsidRPr="005B50B3">
        <w:t>23.</w:t>
      </w:r>
      <w:r w:rsidRPr="005B50B3">
        <w:tab/>
        <w:t>Europaparlamentet beklagar djupt den ojämna könsfördelningen inom revisionsrättens kollegium: endast 10 av 25 ledamöter är kvinnor i dess nuvarande sammansättning, givet att ledamöter från Portugal och Bulgarien ännu inte har utsetts. Parlamentet förstår att nomineringsförfarandet för dess ledamöter är en utmaning när det gäller att uppnå en jämn könsfördelning, eftersom nationella nomineringar uteslutande är medlemsstaternas ansvar. Parlamentet uppmanar dock revisionsrätten att analysera sin övergripande sammansättning och att informera rådet och de berörda medlemsstaterna så att en jämn könsfördelning beaktas i nomineringsbesluten.</w:t>
      </w:r>
    </w:p>
    <w:p w:rsidR="004A053D" w:rsidRPr="005B50B3" w:rsidRDefault="004A053D" w:rsidP="004A053D">
      <w:pPr>
        <w:pStyle w:val="NormalHanging12a"/>
        <w:rPr>
          <w:szCs w:val="24"/>
        </w:rPr>
      </w:pPr>
      <w:r w:rsidRPr="005B50B3">
        <w:t>24.</w:t>
      </w:r>
      <w:r w:rsidRPr="005B50B3">
        <w:tab/>
        <w:t>Europaparlamentet beklagar att rådet under årens lopp upprepade gånger utnämnt ledamöter av revisionsrätten trots att kandidaterna avvisats av parlamentet. Parlamentet understryker att parlamentet bör ha en bindande roll i bedömningen av lämpligheten hos de sökande till revisionsrätten.</w:t>
      </w:r>
    </w:p>
    <w:p w:rsidR="004A053D" w:rsidRPr="005B50B3" w:rsidRDefault="004A053D" w:rsidP="00CC488C">
      <w:pPr>
        <w:pStyle w:val="NormalHanging12a"/>
        <w:widowControl/>
        <w:rPr>
          <w:szCs w:val="24"/>
        </w:rPr>
      </w:pPr>
      <w:r w:rsidRPr="005B50B3">
        <w:t>25.</w:t>
      </w:r>
      <w:r w:rsidRPr="005B50B3">
        <w:tab/>
        <w:t>Europaparlamentet välkomnar att alla nationaliteter i unionen är företrädda bland personalen vid revisionsrätten, både i kategorin AD och i kategorin AST/SC. Parlamentet noterar dock med beklagan att vissa nationaliteter är underrepresenterade och välkomnar i detta avseende att revisionsrätten har vidtagit åtgärder för att börja med annonsering direkt i vissa medlemsstater (Danmark, Estland och Lettland). Parlamentet välkomnar att nya sätt faktiskt används för att offentliggöra urvalsförfaranden så att olika målgrupper från olika medlemsstater kan lockas att söka.</w:t>
      </w:r>
    </w:p>
    <w:p w:rsidR="004A053D" w:rsidRPr="005B50B3" w:rsidRDefault="004A053D" w:rsidP="004A053D">
      <w:pPr>
        <w:pStyle w:val="NormalHanging12a"/>
        <w:rPr>
          <w:szCs w:val="24"/>
        </w:rPr>
      </w:pPr>
      <w:r w:rsidRPr="005B50B3">
        <w:t>26.</w:t>
      </w:r>
      <w:r w:rsidRPr="005B50B3">
        <w:tab/>
        <w:t>Europaparlamentet noterar att revisionsrätten antog ett beslut om hybridarbete, som trädde i kraft den 1 januari 2022. Parlamentet noterar att revisionsrätten har ett system för distansarbete som ger möjlighet att arbeta hemifrån upp till 10 dagar i månaden och upp till 10 dagar i följd. Parlamentet noterar vidare att systemet gör det möjligt för personal att arbeta upp till fem dagar per månad och 30 arbetsdagar per år utanför sin huvudsakliga bosättningsort. Parlamentet noterar slutligen att en undersökning som genomfördes i oktober 2022 bland personalen visade att 95 % stödde distansarbetet och att 88 % ansåg att det hade en positiv inverkan på balansen mellan arbete och privatliv.</w:t>
      </w:r>
    </w:p>
    <w:p w:rsidR="004A053D" w:rsidRPr="005B50B3" w:rsidRDefault="004A053D" w:rsidP="004A053D">
      <w:pPr>
        <w:pStyle w:val="NormalHanging12a"/>
        <w:rPr>
          <w:szCs w:val="24"/>
        </w:rPr>
      </w:pPr>
      <w:r w:rsidRPr="005B50B3">
        <w:t>27.</w:t>
      </w:r>
      <w:r w:rsidRPr="005B50B3">
        <w:tab/>
        <w:t>Europaparlamentet välkomnar de åtgärder som revisionsrätten vidtog 2022 för att säkerställa personalens fysiska och psykiska välbefinnande.</w:t>
      </w:r>
    </w:p>
    <w:p w:rsidR="004A053D" w:rsidRPr="005B50B3" w:rsidRDefault="004A053D" w:rsidP="004A053D">
      <w:pPr>
        <w:pStyle w:val="NormalHanging12a"/>
        <w:rPr>
          <w:szCs w:val="24"/>
        </w:rPr>
      </w:pPr>
      <w:r w:rsidRPr="005B50B3">
        <w:t>28.</w:t>
      </w:r>
      <w:r w:rsidRPr="005B50B3">
        <w:tab/>
        <w:t xml:space="preserve">Europaparlamentet är medvetet om utmaningarna med att locka personal att arbeta i Luxemburg och uppmanar revisionsrätten att samarbeta med de andra </w:t>
      </w:r>
      <w:r w:rsidRPr="005B50B3">
        <w:lastRenderedPageBreak/>
        <w:t>Luxemburgbaserade institutionerna i den interinstitutionella gruppen för att göra Luxemburg mer attraktivt för personal och för att kartlägga möjliga åtgärder, inbegripet idén om ett särskilt bostadsbidrag för att motverka de höga hyreskostnader som särskilt drabbar personal med lägre lönegrader och möjligheten att erbjuda tillfälligt boende till rimliga kostnader för kortare vistelser.</w:t>
      </w:r>
    </w:p>
    <w:p w:rsidR="004A053D" w:rsidRPr="005B50B3" w:rsidRDefault="004A053D" w:rsidP="004A053D">
      <w:pPr>
        <w:pStyle w:val="NormalHanging12a"/>
        <w:rPr>
          <w:szCs w:val="24"/>
        </w:rPr>
      </w:pPr>
      <w:r w:rsidRPr="005B50B3">
        <w:t>29.</w:t>
      </w:r>
      <w:r w:rsidRPr="005B50B3">
        <w:tab/>
        <w:t>Europaparlamentet noterar med oro att antalet dagar med sjukledighet 2022 var 11 622, vilket motsvarar en ökning med 54 % från 2021 då antalet dagar med sjukledighet var 7 524. Parlamentet noterar samtidigt att revisionsrätten under 2018 hade 10 255 dagars sjukledighet och att det relativt låga antalet 2021 kan ha varit kopplat till covid</w:t>
      </w:r>
      <w:r w:rsidRPr="005B50B3">
        <w:noBreakHyphen/>
        <w:t>19</w:t>
      </w:r>
      <w:r w:rsidRPr="005B50B3">
        <w:noBreakHyphen/>
        <w:t>situationen.</w:t>
      </w:r>
    </w:p>
    <w:p w:rsidR="004A053D" w:rsidRPr="005B50B3" w:rsidRDefault="004A053D" w:rsidP="004A053D">
      <w:pPr>
        <w:pStyle w:val="NormalHanging12a"/>
        <w:rPr>
          <w:szCs w:val="24"/>
        </w:rPr>
      </w:pPr>
      <w:r w:rsidRPr="005B50B3">
        <w:t>30.</w:t>
      </w:r>
      <w:r w:rsidRPr="005B50B3">
        <w:tab/>
        <w:t>Europaparlamentet noterar med oro att revisionsrätten 2022 rapporterade sju fall av utmattningssyndrom. Parlamentet noterar vidare att alla sju anställda återintegrerades och återvände gradvis genom ett förfarande för återinträde på deltid som godkänts av läkare. Parlamentet uppskattar i detta avseende att revisionsrätten 2022 började utarbeta riktlinjer för återgång till arbete efter långvarig sjukledighet. Parlamentet noterar att revisionsrätten konstaterar att tillgången till resurser beaktas när det årliga arbetsprogrammet upprättas och att direktörerna och ledningsgruppen på direktoratsnivå bedömer arbetsbördan för att säkerställa att arbetet fördelas jämnt. Parlamentet uppmuntrar dock revisionsrätten att fortsätta att fokusera på detta problem och att vidta alla nödvändiga åtgärder för att säkerställa personalens välbefinnande i syfte att minska antalet fall i samband med utbrändhet.</w:t>
      </w:r>
    </w:p>
    <w:p w:rsidR="004A053D" w:rsidRPr="005B50B3" w:rsidRDefault="004A053D" w:rsidP="00CC488C">
      <w:pPr>
        <w:pStyle w:val="NormalHanging12a"/>
        <w:widowControl/>
        <w:rPr>
          <w:szCs w:val="24"/>
        </w:rPr>
      </w:pPr>
      <w:r w:rsidRPr="005B50B3">
        <w:t>31.</w:t>
      </w:r>
      <w:r w:rsidRPr="005B50B3">
        <w:tab/>
        <w:t>Europaparlamentet välkomnar att ett beslut och en policy för att säkerställa en respektfull arbetsplats utan trakasserier antogs i december 2022, med ett tydligt fokus på förebyggande, medvetandehöjande och tidig upptäckt, samtidigt som en rad åtgärder fastställs som ska användas (konfidentiell rådgivning, medling och formella klagomål) i händelse av en uppfattning om trakasserier.</w:t>
      </w:r>
    </w:p>
    <w:p w:rsidR="004A053D" w:rsidRPr="005B50B3" w:rsidRDefault="004A053D" w:rsidP="004A053D">
      <w:pPr>
        <w:pStyle w:val="NormalHanging12a"/>
        <w:rPr>
          <w:szCs w:val="24"/>
        </w:rPr>
      </w:pPr>
      <w:r w:rsidRPr="005B50B3">
        <w:t xml:space="preserve">32. </w:t>
      </w:r>
      <w:r w:rsidRPr="005B50B3">
        <w:tab/>
        <w:t>Europaparlamentet välkomnar revisionsrättens handlingsplan för mångfald och inkludering för 2021–2025 och välkomnar de åtgärder som vidtagits under 2022 för att öka medvetenheten om planen och de resultat som uppnåtts under 2022 när det gäller de tio prioriteringar som anges i denna. Parlamentet noterar att endast en person med en fastställd funktionsnedsättning anställdes av revisionsrätten 2022, dessutom enligt ett tillfälligt anställningsavtal.</w:t>
      </w:r>
    </w:p>
    <w:p w:rsidR="004A053D" w:rsidRPr="005B50B3" w:rsidRDefault="004A053D" w:rsidP="004A053D">
      <w:pPr>
        <w:pStyle w:val="NormalHanging12a"/>
        <w:rPr>
          <w:szCs w:val="24"/>
        </w:rPr>
      </w:pPr>
      <w:r w:rsidRPr="005B50B3">
        <w:t>33.</w:t>
      </w:r>
      <w:r w:rsidRPr="005B50B3">
        <w:tab/>
        <w:t>Europaparlamentet noterar att revisionsrätten tog emot 54 praktikanter under 2022. Parlamentet noterar med uppskattning att samtliga fick betalning från revisionsrätten eller nationella myndigheter.</w:t>
      </w:r>
    </w:p>
    <w:p w:rsidR="004A053D" w:rsidRPr="005B50B3" w:rsidRDefault="004A053D" w:rsidP="004A053D">
      <w:pPr>
        <w:pStyle w:val="NormalHanging12a"/>
        <w:rPr>
          <w:b/>
          <w:szCs w:val="24"/>
        </w:rPr>
      </w:pPr>
      <w:r w:rsidRPr="005B50B3">
        <w:rPr>
          <w:b/>
        </w:rPr>
        <w:t>Etisk ram och transparens</w:t>
      </w:r>
    </w:p>
    <w:p w:rsidR="004A053D" w:rsidRPr="005B50B3" w:rsidRDefault="004A053D" w:rsidP="004A053D">
      <w:pPr>
        <w:pStyle w:val="NormalHanging12a"/>
        <w:rPr>
          <w:szCs w:val="24"/>
        </w:rPr>
      </w:pPr>
      <w:r w:rsidRPr="005B50B3">
        <w:t>34.</w:t>
      </w:r>
      <w:r w:rsidRPr="005B50B3">
        <w:tab/>
        <w:t>Europaparlamentet understryker revisionsrättens roll och betydelse som unionens oavhängiga externa revisor och väktare av dess finanser, vilket kräver att revisionsrätten följer högsta möjliga standarder och fungerar som en modellorganisation för att inge förtroende och trovärdighet. Parlamentet noterar att enligt artikel 285 i EUF</w:t>
      </w:r>
      <w:r w:rsidRPr="005B50B3">
        <w:noBreakHyphen/>
        <w:t>fördraget är revisionsrättens ledamöter fullt oavhängiga.</w:t>
      </w:r>
    </w:p>
    <w:p w:rsidR="004A053D" w:rsidRPr="005B50B3" w:rsidRDefault="004A053D" w:rsidP="004A053D">
      <w:pPr>
        <w:pStyle w:val="NormalHanging12a"/>
        <w:rPr>
          <w:szCs w:val="24"/>
        </w:rPr>
      </w:pPr>
      <w:r w:rsidRPr="005B50B3">
        <w:t>35.</w:t>
      </w:r>
      <w:r w:rsidRPr="005B50B3">
        <w:tab/>
        <w:t xml:space="preserve">Europaparlamentet välkomnar den reviderade uppförandekoden från maj 2022 för revisionsrättens ledamöter och f.d. ledamöter, efter parlamentets rekommendation, som </w:t>
      </w:r>
      <w:r w:rsidRPr="005B50B3">
        <w:lastRenderedPageBreak/>
        <w:t>bl.a. fastställer en skyldighet för ledamöter att bosätta sig där revisionsrätten är belägen, begränsar möjligheterna för ledamöter att vara politiskt aktiv, reglerar avtalsförhållandena mellan ledamöter och personal och fastställer en skyldighet för ledamöterna att lämna in en årlig förklaring om ekonomiska intressen. Parlamentet påminner om att revisionsrättens ledamöter alltid bör tillämpa de högsta etiska principerna och värderingarna för att visa sin fullständiga integritet, oavhängighet, objektivitet, yrkesmässiga beteende, värdighet, engagemang och lojalitet.</w:t>
      </w:r>
    </w:p>
    <w:p w:rsidR="004A053D" w:rsidRPr="005B50B3" w:rsidRDefault="004A053D" w:rsidP="004A053D">
      <w:pPr>
        <w:pStyle w:val="NormalHanging12a"/>
        <w:rPr>
          <w:szCs w:val="24"/>
        </w:rPr>
      </w:pPr>
      <w:r w:rsidRPr="005B50B3">
        <w:t>36.</w:t>
      </w:r>
      <w:r w:rsidRPr="005B50B3">
        <w:tab/>
        <w:t>Europaparlamentet betonar att det fortfarande anser att information om revisionsrättens ledamöters uppdrag bör offentliggöras för hela den period som en ledamot innehar ämbetet och att ledamöterna inte bör ha några formaliserade politiska band, inbegripet hedersuppdrag i politiska partier eller organisationer. Parlamentet uppmanar dessutom återigen revisionsrätten att ändra sina regler för sin interna etikkommitté så att det inte längre är en exklusiv befogenhet för revisionsrättens ordförande att föreslå kvalificerade kandidater. Parlamentet upprepar också sin begäran om att få information från revisionsrättens etikkommitté om de viktigaste resultaten av internrevisionsrapporten om etik, som redan har pågått sedan 2020.</w:t>
      </w:r>
    </w:p>
    <w:p w:rsidR="004A053D" w:rsidRPr="005B50B3" w:rsidRDefault="004A053D" w:rsidP="004A053D">
      <w:pPr>
        <w:pStyle w:val="NormalHanging12a"/>
        <w:rPr>
          <w:szCs w:val="24"/>
        </w:rPr>
      </w:pPr>
      <w:r w:rsidRPr="005B50B3">
        <w:t>37.</w:t>
      </w:r>
      <w:r w:rsidRPr="005B50B3">
        <w:tab/>
        <w:t>Europaparlamentet noterar med tillfredsställelse att alla ledamöter av revisionsrätten har meddelat en adress till de luxemburgska myndigheterna och därmed uppfyller kravet på att ledamöterna ska vara bosatta på den ort där revisionsrätten har sitt säte.</w:t>
      </w:r>
    </w:p>
    <w:p w:rsidR="004A053D" w:rsidRPr="005B50B3" w:rsidRDefault="004A053D" w:rsidP="00CC488C">
      <w:pPr>
        <w:pStyle w:val="NormalHanging12a"/>
        <w:widowControl/>
        <w:rPr>
          <w:szCs w:val="24"/>
        </w:rPr>
      </w:pPr>
      <w:r w:rsidRPr="005B50B3">
        <w:t>38.</w:t>
      </w:r>
      <w:r w:rsidRPr="005B50B3">
        <w:tab/>
        <w:t>Europaparlamentet noterar beslutet från 2022 om ledamöternas resor, tjänsteresor och användning av förare och bilar, vilket innebär att ledamöterna måste täcka alla löpande kostnader, inklusive kostnader för biluthyrning, i samband med användning av en bil för mer än 10 000 km och när resan inte omfattas av en uppdragsorder. Parlamentet anser dock att 10 000 km är för högt och upprepar den oro som uttryckts i tidigare resolutioner om ansvarsfrihet om att det system som införts är förvirrande. Parlamentet upprepar sin synpunkt, som framförts i tidigare ansvarsfrihetsresolutioner, att bilparken inte under några omständigheter får utnyttjas utanför utförandet av revisionsrättens ledamöters uppgifter. Parlamentet uppmanar alla unionsinstitutioner att enas om ett enhetligt system som ska tillämpas övergripande, vilket skulle minska förvirringen och öka transparensen och effektiviteten i användningen av offentliga medel.</w:t>
      </w:r>
    </w:p>
    <w:p w:rsidR="004A053D" w:rsidRPr="005B50B3" w:rsidRDefault="004A053D" w:rsidP="004A053D">
      <w:pPr>
        <w:pStyle w:val="NormalHanging12a"/>
        <w:rPr>
          <w:szCs w:val="24"/>
        </w:rPr>
      </w:pPr>
      <w:r w:rsidRPr="005B50B3">
        <w:t>39.</w:t>
      </w:r>
      <w:r w:rsidRPr="005B50B3">
        <w:tab/>
        <w:t>Europaparlamentet välkomnar att revisionsrätten under de senaste åren har inlett en process för att uppdatera sin etiska ram, som hittills har lett till en uppdatering av revisionsrättens etiska riktlinjer i oktober 2022, en uppdatering av en policy för att säkerställa en respektfull arbetsplats utan trakasserier 2022 och en uppdatering av reglerna om visselblåsning i juli 2023. Parlamentet välkomnar också att seminarier, utbildningskurser och sessioner har anordnats om etik för personal, inklusive personal på ledamöternas privata kontor. Parlamentet uppmanar revisionsrätten att hålla parlamentet uppdaterat om eventuella ytterligare planer avseende den etiska ramen.</w:t>
      </w:r>
    </w:p>
    <w:p w:rsidR="004A053D" w:rsidRPr="005B50B3" w:rsidRDefault="004A053D" w:rsidP="004A053D">
      <w:pPr>
        <w:pStyle w:val="NormalHanging12a"/>
        <w:rPr>
          <w:szCs w:val="24"/>
        </w:rPr>
      </w:pPr>
      <w:r w:rsidRPr="005B50B3">
        <w:t>40.</w:t>
      </w:r>
      <w:r w:rsidRPr="005B50B3">
        <w:tab/>
        <w:t>Europaparlamentet framhåller att revisionsrättens internrevisionstjänst 2021 drog slutsatsen att det inte finns ett specifikt dokument som konsoliderar revisionsrättens bedrägeribekämpningspolitik och att det inte finns någon revisionsrättsomfattande strategi för bedrägeribekämpning. Parlamentet uppmanar revisionsrätten att prioritera denna fråga för att se till att den nuvarande decentraliserade och fragmenterade strategin konsolideras och för att göra det tydligare hur revisionsrätten behandlar dessa frågor.</w:t>
      </w:r>
    </w:p>
    <w:p w:rsidR="004A053D" w:rsidRPr="005B50B3" w:rsidRDefault="004A053D" w:rsidP="004A053D">
      <w:pPr>
        <w:pStyle w:val="NormalHanging12a"/>
        <w:rPr>
          <w:szCs w:val="24"/>
        </w:rPr>
      </w:pPr>
      <w:r w:rsidRPr="005B50B3">
        <w:lastRenderedPageBreak/>
        <w:t>41.</w:t>
      </w:r>
      <w:r w:rsidRPr="005B50B3">
        <w:tab/>
        <w:t>Europaparlamentet fortsätter att avvisa revisionsrättens bedömning och beslut att inte ansluta sig till EU:s öppenhetsregister, som inrättades genom det interinstitutionella avtalet av den 20 maj 2021 mellan Europaparlamentet, Europeiska unionens råd och Europeiska kommissionen om ett obligatoriskt öppenhetsregister</w:t>
      </w:r>
      <w:r w:rsidRPr="005B50B3">
        <w:rPr>
          <w:rStyle w:val="FootnoteReference"/>
          <w:szCs w:val="24"/>
        </w:rPr>
        <w:footnoteReference w:id="6"/>
      </w:r>
      <w:r w:rsidRPr="005B50B3">
        <w:t>, och uppmanar revisionsrätten att på nytt reflektera över frågan, och upprepar sin starka uppmaning till revisionsrätten att ansluta sig till EU:s öppenhetsregister för att följa de grundläggande principerna om transparens samtidigt som det inte skapar några hinder för revisionsrättens fulla oavhängighet.</w:t>
      </w:r>
    </w:p>
    <w:p w:rsidR="004A053D" w:rsidRPr="005B50B3" w:rsidRDefault="004A053D" w:rsidP="004A053D">
      <w:pPr>
        <w:pStyle w:val="NormalHanging12a"/>
        <w:rPr>
          <w:szCs w:val="24"/>
        </w:rPr>
      </w:pPr>
      <w:r w:rsidRPr="005B50B3">
        <w:t>42.</w:t>
      </w:r>
      <w:r w:rsidRPr="005B50B3">
        <w:tab/>
        <w:t>Europaparlamentet noterar att Europeiska byrån för bedrägeribekämpning (Olaf) inledde en utredning om ett urvalsförfarande vid revisionsrätten 2022 och drog slutsatsen att den berörda personens beteende inte påverkade resultatet av förfarandet.</w:t>
      </w:r>
    </w:p>
    <w:p w:rsidR="004A053D" w:rsidRPr="005B50B3" w:rsidRDefault="004A053D" w:rsidP="004A053D">
      <w:pPr>
        <w:pStyle w:val="NormalHanging12a"/>
        <w:rPr>
          <w:szCs w:val="24"/>
        </w:rPr>
      </w:pPr>
      <w:r w:rsidRPr="005B50B3">
        <w:t>43.</w:t>
      </w:r>
      <w:r w:rsidRPr="005B50B3">
        <w:tab/>
        <w:t>Europaparlamentet noterar att Europeiska ombudsmannen genomförde en utredning till följd av ett klagomål 2022, som avslutades efter att revisionsrätten hade svarat klaganden.</w:t>
      </w:r>
    </w:p>
    <w:p w:rsidR="004A053D" w:rsidRPr="005B50B3" w:rsidRDefault="004A053D" w:rsidP="00CC488C">
      <w:pPr>
        <w:pStyle w:val="NormalHanging12a"/>
        <w:widowControl/>
        <w:rPr>
          <w:szCs w:val="24"/>
        </w:rPr>
      </w:pPr>
      <w:r w:rsidRPr="005B50B3">
        <w:t>44.</w:t>
      </w:r>
      <w:r w:rsidRPr="005B50B3">
        <w:tab/>
        <w:t>Europaparlamentet upprepar sin tillfredsställelse över att revisionsrätten 2022 upprättade ett register över revisionsrättens ledamöters närvaro vid sammanträden, efter upprepade begäranden från parlamentet. Parlamentet välkomnar att registret på begäran har gjorts tillgängligt för parlamentets föredragande för ansvarsfrihetsförfarandet som en del av ansvarsfrihetsförfarandet. Parlamentet uppmanar revisionsrätten att fortsätta med praxis som ökar transparensen och ansvarsskyldigheten, såsom en offentlig sammanträdeskalender.</w:t>
      </w:r>
    </w:p>
    <w:p w:rsidR="004A053D" w:rsidRPr="005B50B3" w:rsidRDefault="004A053D" w:rsidP="004A053D">
      <w:pPr>
        <w:pStyle w:val="NormalHanging12a"/>
        <w:rPr>
          <w:szCs w:val="24"/>
        </w:rPr>
      </w:pPr>
      <w:r w:rsidRPr="005B50B3">
        <w:t>45.</w:t>
      </w:r>
      <w:r w:rsidRPr="005B50B3">
        <w:tab/>
        <w:t>Europaparlamentet välkomnar att inga intressekonflikter upptäcktes 2022. Parlamentet noterar vidare att inga anställda som lämnade revisionsrätten på grund av att deras anställningsavtal upphörde eller av något annat skäl informerade revisionsrätten om att de ville börja arbeta på ett privat företag eller underrättade revisionsrätten om att de hade inlett verksamhet med anknytning till arbete utanför revisionsrätten under de tre senaste tjänsteåren. Parlamentet noterar slutligen att ingen tidigare parlamentsledamot, kommissionsledamot eller tjänstemän på hög nivå fick ersättning från revisionsrätten.</w:t>
      </w:r>
    </w:p>
    <w:p w:rsidR="004A053D" w:rsidRPr="005B50B3" w:rsidRDefault="004A053D" w:rsidP="004A053D">
      <w:pPr>
        <w:pStyle w:val="NormalHanging12a"/>
        <w:rPr>
          <w:szCs w:val="24"/>
        </w:rPr>
      </w:pPr>
      <w:r w:rsidRPr="005B50B3">
        <w:t>46.</w:t>
      </w:r>
      <w:r w:rsidRPr="005B50B3">
        <w:tab/>
        <w:t>Europaparlamentet noterar att det under 2022 inte förekom några fall av visselblåsning vid revisionsrätten.</w:t>
      </w:r>
    </w:p>
    <w:p w:rsidR="004A053D" w:rsidRPr="005B50B3" w:rsidRDefault="004A053D" w:rsidP="004A053D">
      <w:pPr>
        <w:pStyle w:val="NormalHanging12a"/>
        <w:rPr>
          <w:szCs w:val="24"/>
        </w:rPr>
      </w:pPr>
      <w:r w:rsidRPr="005B50B3">
        <w:t>47.</w:t>
      </w:r>
      <w:r w:rsidRPr="005B50B3">
        <w:tab/>
        <w:t>Europaparlamentet beklagar att den årliga förteckningen över kontrakt, inklusive kontrakt värda mellan 15 000 och 60 000 EUR som ingicks 2022 efter ett förhandlat förfarande, inte finns tillgänglig på revisionsrättens webbplats, såsom anges i den delegerade utanordnarens rapport. Parlamentet uppmanar revisionsrätten att offentliggöra förteckningen i ett separat dokument och se till att den finns tillgänglig på ett vänligt sätt.</w:t>
      </w:r>
    </w:p>
    <w:p w:rsidR="004A053D" w:rsidRPr="005B50B3" w:rsidRDefault="004A053D" w:rsidP="004A053D">
      <w:pPr>
        <w:spacing w:after="240"/>
        <w:rPr>
          <w:b/>
          <w:szCs w:val="24"/>
        </w:rPr>
      </w:pPr>
      <w:r w:rsidRPr="005B50B3">
        <w:rPr>
          <w:b/>
        </w:rPr>
        <w:t>Digitalisering, cybersäkerhet och skydd av personuppgifter</w:t>
      </w:r>
    </w:p>
    <w:p w:rsidR="004A053D" w:rsidRPr="005B50B3" w:rsidRDefault="004A053D" w:rsidP="004A053D">
      <w:pPr>
        <w:pStyle w:val="NormalHanging12a"/>
        <w:rPr>
          <w:szCs w:val="24"/>
        </w:rPr>
      </w:pPr>
      <w:r w:rsidRPr="005B50B3">
        <w:t>48.</w:t>
      </w:r>
      <w:r w:rsidRPr="005B50B3">
        <w:tab/>
        <w:t xml:space="preserve">Europaparlamentet välkomnar att revisionsrätten har en omfattande cybersäkerhetsplan för 2022–2024 och planerar att ompröva sin cybersäkerhetsram mot slutet av 2023 för att säkerställa fullständig efterlevnad av den kommande förordningen om åtgärder för </w:t>
      </w:r>
      <w:r w:rsidRPr="005B50B3">
        <w:lastRenderedPageBreak/>
        <w:t>en hög gemensam cybersäkerhetsnivå för unionens institutioner, organ och byråer. Parlamentet uppskattar vidare att revisionsrätten avbröt ett avtal med en leverantör som köptes av ett företag från Förenta staterna, eftersom övertagandet skulle leda till ändringar av hur personuppgifter skulle behandlas.</w:t>
      </w:r>
    </w:p>
    <w:p w:rsidR="004A053D" w:rsidRPr="005B50B3" w:rsidRDefault="004A053D" w:rsidP="004A053D">
      <w:pPr>
        <w:pStyle w:val="NormalHanging12a"/>
        <w:rPr>
          <w:szCs w:val="24"/>
        </w:rPr>
      </w:pPr>
      <w:r w:rsidRPr="005B50B3">
        <w:t>49.</w:t>
      </w:r>
      <w:r w:rsidRPr="005B50B3">
        <w:tab/>
        <w:t>Europaparlamentet välkomnar att revisionsrätten inte utsattes för några allvarliga cyberattacker 2022 och att nätfiske via e-post fortfarande var det farligaste hotet. Parlamentet uppmanar dock revisionsrätten att vara vaksam och samarbeta med relevanta interinstitutionella unionsorgan för att stärka den övergripande cybersäkerheten vid unionens institutioner.</w:t>
      </w:r>
    </w:p>
    <w:p w:rsidR="004A053D" w:rsidRPr="005B50B3" w:rsidRDefault="004A053D" w:rsidP="004A053D">
      <w:pPr>
        <w:pStyle w:val="NormalHanging12a"/>
        <w:rPr>
          <w:szCs w:val="24"/>
        </w:rPr>
      </w:pPr>
      <w:r w:rsidRPr="005B50B3">
        <w:t>50.</w:t>
      </w:r>
      <w:r w:rsidRPr="005B50B3">
        <w:tab/>
        <w:t>Europaparlamentet noterar att inga undersökningar om revisionsrätten inleddes, fortsatte eller avslutades av Europeiska datatillsynsmannen (EDPS) under 2022.</w:t>
      </w:r>
    </w:p>
    <w:p w:rsidR="004A053D" w:rsidRPr="005B50B3" w:rsidRDefault="004A053D" w:rsidP="00CC488C">
      <w:pPr>
        <w:pStyle w:val="NormalHanging12a"/>
        <w:widowControl/>
        <w:rPr>
          <w:szCs w:val="24"/>
        </w:rPr>
      </w:pPr>
      <w:r w:rsidRPr="005B50B3">
        <w:t>51.</w:t>
      </w:r>
      <w:r w:rsidRPr="005B50B3">
        <w:tab/>
        <w:t>Europaparlamentet välkomnar alla insatser för att förbättra digitaliseringen av revisionsarbetet och på så sätt förbättra effektiviteten och korrektheten i detta arbete. Parlamentet välkomnar särskilt lanseringen av ”datalagertjänsten” i oktober 2022, som gör det möjligt för användarna att behandla och analysera strukturerade data med olika grader av autonomi. Parlamentet noterar att digitaliseringen av revisionsarbetet inte bara beror på revisionsrätten, utan även i stor utsträckning på de uppgifter som revisionsobjekten tillhandahåller, och att det fortfarande finns begränsningar i formatet för uppgifterna och de olika system som används. Parlamentet uppskattar dessutom att antalet revisionsdagar var 2 984 under 2022, och att det var betydligt mer än åren 2021 och 2020 som i hög grad påverkades av de begränsningar som infördes till följd av covid-19-pandemin, och att mervärdet och effektiviteten av besök på plats har förbättrats genom att de kombinerats med arbete som utförts på distans.</w:t>
      </w:r>
    </w:p>
    <w:p w:rsidR="004A053D" w:rsidRPr="005B50B3" w:rsidRDefault="004A053D" w:rsidP="004A053D">
      <w:pPr>
        <w:pStyle w:val="NormalHanging12a"/>
        <w:rPr>
          <w:szCs w:val="24"/>
        </w:rPr>
      </w:pPr>
      <w:r w:rsidRPr="005B50B3">
        <w:t>52.</w:t>
      </w:r>
      <w:r w:rsidRPr="005B50B3">
        <w:tab/>
        <w:t>Europaparlamentet noterar att revisionsrätten har genomfört flera delar av programvara med öppen källkod som en del av sina system, däribland Linux, Belenios och Nagios. Parlamentet uppmanar revisionsrätten att fortsätta att använda öppen programvara när så är möjligt.</w:t>
      </w:r>
    </w:p>
    <w:p w:rsidR="004A053D" w:rsidRPr="005B50B3" w:rsidRDefault="004A053D" w:rsidP="004A053D">
      <w:pPr>
        <w:spacing w:after="240"/>
        <w:rPr>
          <w:b/>
          <w:bCs/>
          <w:iCs/>
          <w:szCs w:val="24"/>
        </w:rPr>
      </w:pPr>
      <w:r w:rsidRPr="005B50B3">
        <w:rPr>
          <w:b/>
        </w:rPr>
        <w:t>Byggnader</w:t>
      </w:r>
    </w:p>
    <w:p w:rsidR="004A053D" w:rsidRPr="005B50B3" w:rsidRDefault="004A053D" w:rsidP="004A053D">
      <w:pPr>
        <w:pStyle w:val="NormalHanging12a"/>
        <w:rPr>
          <w:szCs w:val="24"/>
        </w:rPr>
      </w:pPr>
      <w:r w:rsidRPr="005B50B3">
        <w:t>53.</w:t>
      </w:r>
      <w:r w:rsidRPr="005B50B3">
        <w:tab/>
        <w:t>Europaparlamentet noterar att revisionsrätten genomförde betydande renoveringsarbeten på K2-byggnaden under 2022, som slutfördes i början av 2023 och innebar en renovering av fyra våningar för att tillhandahålla en modern arbetsplats som uppskattas av personalen och är mer miljövänlig.</w:t>
      </w:r>
    </w:p>
    <w:p w:rsidR="004A053D" w:rsidRPr="005B50B3" w:rsidRDefault="004A053D" w:rsidP="004A053D">
      <w:pPr>
        <w:pStyle w:val="NormalHanging12a"/>
        <w:rPr>
          <w:szCs w:val="24"/>
        </w:rPr>
      </w:pPr>
      <w:r w:rsidRPr="005B50B3">
        <w:t>54.</w:t>
      </w:r>
      <w:r w:rsidRPr="005B50B3">
        <w:tab/>
        <w:t>Europaparlamentet uppskattar att revisionsrätten 2022 inledde en tillgänglighetsgranskning av alla revisionsrättens byggnader i syfte att förbättra tillgängligheten och tillgodose behoven hos personer med nedsatt rörlighet eller andra funktionsnedsättningar, som genomfördes i början av 2023. Parlamentet uppmanar revisionsrätten att hålla parlamentet informerat om konkreta initiativ för att genomföra de åtgärder som föreslås som en del av revisionen.</w:t>
      </w:r>
    </w:p>
    <w:p w:rsidR="004A053D" w:rsidRPr="005B50B3" w:rsidRDefault="004A053D" w:rsidP="004A053D">
      <w:pPr>
        <w:spacing w:after="240"/>
        <w:rPr>
          <w:b/>
          <w:szCs w:val="24"/>
        </w:rPr>
      </w:pPr>
      <w:r w:rsidRPr="005B50B3">
        <w:rPr>
          <w:b/>
        </w:rPr>
        <w:t>Miljö och hållbarhet</w:t>
      </w:r>
    </w:p>
    <w:p w:rsidR="004A053D" w:rsidRPr="005B50B3" w:rsidRDefault="004A053D" w:rsidP="004A053D">
      <w:pPr>
        <w:pStyle w:val="NormalHanging12a"/>
        <w:rPr>
          <w:szCs w:val="24"/>
        </w:rPr>
      </w:pPr>
      <w:r w:rsidRPr="005B50B3">
        <w:t>55.</w:t>
      </w:r>
      <w:r w:rsidRPr="005B50B3">
        <w:tab/>
        <w:t>Europaparlamentet välkomnar att revisionsrätten under 2022 lade fram sin andra årsrapport om miljömässig hållbarhet i sin verksamhet i enlighet med internationellt accepterade rapporteringsstandarder.</w:t>
      </w:r>
    </w:p>
    <w:p w:rsidR="004A053D" w:rsidRPr="005B50B3" w:rsidRDefault="004A053D" w:rsidP="004A053D">
      <w:pPr>
        <w:pStyle w:val="NormalHanging12a"/>
        <w:rPr>
          <w:szCs w:val="24"/>
        </w:rPr>
      </w:pPr>
      <w:r w:rsidRPr="005B50B3">
        <w:lastRenderedPageBreak/>
        <w:t>56.</w:t>
      </w:r>
      <w:r w:rsidRPr="005B50B3">
        <w:tab/>
        <w:t>Europaparlamentet noterar att revisionsrätten har uppnått imponerande resultat på flera områden när det gäller minskningen av den allmänna förbrukningen sedan 2014, där elförbrukningen har minskats med 34,5 %, uppvärmning med 22,2 %, papper med 83,5 % och vatten med 45,3 % och utsläpp av växthusgaser med 29,5 % och avfall med 33,7 %. Parlamentet uppmuntrar revisionsrätten att fortsätta sina ansträngningar för att ytterligare minska förbrukningen av dessa insatsvaror och välkomnar att revisionsrätten inledde en studie 2023 om K2-byggnaden i syfte att renovera taket och installera solpaneler.</w:t>
      </w:r>
    </w:p>
    <w:p w:rsidR="004A053D" w:rsidRPr="005B50B3" w:rsidRDefault="004A053D" w:rsidP="00CC488C">
      <w:pPr>
        <w:pStyle w:val="NormalHanging12a"/>
        <w:widowControl/>
        <w:rPr>
          <w:szCs w:val="24"/>
        </w:rPr>
      </w:pPr>
      <w:r w:rsidRPr="005B50B3">
        <w:t>57.</w:t>
      </w:r>
      <w:r w:rsidRPr="005B50B3">
        <w:tab/>
        <w:t>Europaparlamentet välkomnar att revisionsrätten har tagit flera initiativ för att stödja hållbar rörlighet, bl.a. förstärkningen av revisionsrättens transporttjänst, tillhandahållande av kostnadsfria abonnemang till Luxemburgs stads cykeltjänst, ökning av antalet cykelparkeringsplatser, inklusive utrymmen för elcyklar, och installation av laddare för hybridbilar och elbilar. Parlamentet uppmanar revisionsrätten att ytterligare stödja hållbar rörlighet, bl.a. genom att utbyta bästa praxis med andra institutioner och hålla parlamentet informerat om ytterligare initiativ.</w:t>
      </w:r>
    </w:p>
    <w:p w:rsidR="004A053D" w:rsidRPr="005B50B3" w:rsidRDefault="004A053D" w:rsidP="004A053D">
      <w:pPr>
        <w:pStyle w:val="NormalHanging12a"/>
        <w:rPr>
          <w:szCs w:val="24"/>
        </w:rPr>
      </w:pPr>
      <w:r w:rsidRPr="005B50B3">
        <w:t>58.</w:t>
      </w:r>
      <w:r w:rsidRPr="005B50B3">
        <w:tab/>
        <w:t>Europaparlamentet noterar att revisionsrätten kommer att analysera hur miljöaspekter av uppdrag kan integreras i en uppdaterad uppdragsvägledning. Parlamentet noterar vidare att en minskning av affärsresorna per heltidsekvivalent med 5 % under perioden 2023–2025 har föreslagits. Parlamentet uppmanar revisionsrätten att försöka genomföra detta mål och samtidigt se till att nödvändiga revisionsuppdrag utförs.</w:t>
      </w:r>
    </w:p>
    <w:p w:rsidR="004A053D" w:rsidRPr="005B50B3" w:rsidRDefault="004A053D" w:rsidP="004A053D">
      <w:pPr>
        <w:spacing w:after="240"/>
        <w:rPr>
          <w:b/>
          <w:szCs w:val="24"/>
        </w:rPr>
      </w:pPr>
      <w:r w:rsidRPr="005B50B3">
        <w:rPr>
          <w:b/>
        </w:rPr>
        <w:t>Interinstitutionellt samarbete</w:t>
      </w:r>
    </w:p>
    <w:p w:rsidR="004A053D" w:rsidRPr="005B50B3" w:rsidRDefault="004A053D" w:rsidP="004A053D">
      <w:pPr>
        <w:pStyle w:val="NormalHanging12a"/>
        <w:rPr>
          <w:szCs w:val="24"/>
        </w:rPr>
      </w:pPr>
      <w:r w:rsidRPr="005B50B3">
        <w:t>59.</w:t>
      </w:r>
      <w:r w:rsidRPr="005B50B3">
        <w:tab/>
        <w:t>Europaparlamentet noterar att flera servicenivåavtal och andra interinstitutionella samarbetsavtal uppdaterades under 2022, däribland avtal med kommissionens utrednings- och disciplinbyrå och Översättningscentrum för Europeiska unionens organ.</w:t>
      </w:r>
    </w:p>
    <w:p w:rsidR="004A053D" w:rsidRPr="005B50B3" w:rsidRDefault="004A053D" w:rsidP="004A053D">
      <w:pPr>
        <w:pStyle w:val="NormalHanging12a"/>
        <w:rPr>
          <w:szCs w:val="24"/>
        </w:rPr>
      </w:pPr>
      <w:r w:rsidRPr="005B50B3">
        <w:t>60.</w:t>
      </w:r>
      <w:r w:rsidRPr="005B50B3">
        <w:tab/>
        <w:t>Europaparlamentet noterar trepartsavtalet mellan revisionsrätten, kommissionen och Europeiska investeringsbanken (EIB) från november 2021. Parlamentet välkomnar att revisionsrätten anser att avtalet har klargjort och effektiviserat vissa förfaranden och att revisionsrätten har fått förbättrad tillgång till information om insatser som finansieras eller garanteras genom unionens budget. Parlamentet beklagar dock att avtalet, som ett minimum, inte säkerställer att revisionsrätten kan granska effektivitetsaspekter av den verksamhet som bedrivs vid genomförandet av unionens politik.</w:t>
      </w:r>
    </w:p>
    <w:p w:rsidR="004A053D" w:rsidRPr="005B50B3" w:rsidRDefault="004A053D" w:rsidP="004A053D">
      <w:pPr>
        <w:pStyle w:val="NormalHanging12a"/>
        <w:rPr>
          <w:szCs w:val="24"/>
        </w:rPr>
      </w:pPr>
      <w:r w:rsidRPr="005B50B3">
        <w:t>61.</w:t>
      </w:r>
      <w:r w:rsidRPr="005B50B3">
        <w:tab/>
        <w:t>Europaparlamentet betonar att det i grunden anser att de nuvarande begränsningarna i revisionsrättens roll som revisor för EIB skapar en regulativ och tillsynsmässig lucka och att revisionsrätten bör kunna granska alla EIB-gruppens transaktioner. Parlamentet betonar samtidigt att parlamentet, i egenskap av demokratiskt valt organ, bör anförtros att bevilja EIB ansvarsfrihet för att stärka den viktiga unionsinstitutionens demokratiska legitimitet och därmed förbättra transparensen och ansvarsskyldigheten och god förvaltning av finansiella och mänskliga resurser.</w:t>
      </w:r>
    </w:p>
    <w:p w:rsidR="004A053D" w:rsidRPr="005B50B3" w:rsidRDefault="004A053D" w:rsidP="004A053D">
      <w:pPr>
        <w:pStyle w:val="NormalHanging12a"/>
        <w:rPr>
          <w:szCs w:val="24"/>
        </w:rPr>
      </w:pPr>
      <w:r w:rsidRPr="005B50B3">
        <w:t>62.</w:t>
      </w:r>
      <w:r w:rsidRPr="005B50B3">
        <w:tab/>
        <w:t xml:space="preserve">Europaparlamentet välkomnar att revisionsrätten har ett nära samarbete med både Olaf och Europeiska åklagarmyndigheten, bl.a. genom att anordna seminarier, evenemang för att höja medvetenheten och utbyte av kunskap och erfarenheter. Parlamentet noterar dessutom med uppskattning att revisionsrätten under 2022 vidarebefordrade 14 fall av misstänkt bedrägeri till Olaf och sex fall till Eppo. Parlamentet understryker sin åsikt att </w:t>
      </w:r>
      <w:r w:rsidRPr="005B50B3">
        <w:lastRenderedPageBreak/>
        <w:t>misstankar om bedrägeri alltid bör översändas till Olaf och Eppo för en grundlig utredning.</w:t>
      </w:r>
    </w:p>
    <w:p w:rsidR="004A053D" w:rsidRPr="005B50B3" w:rsidRDefault="004A053D" w:rsidP="004A053D">
      <w:pPr>
        <w:pStyle w:val="NormalHanging12a"/>
        <w:rPr>
          <w:szCs w:val="24"/>
        </w:rPr>
      </w:pPr>
      <w:r w:rsidRPr="005B50B3">
        <w:t>63.</w:t>
      </w:r>
      <w:r w:rsidRPr="005B50B3">
        <w:tab/>
        <w:t>Europaparlamentet noterar att revisionsrätten samarbetar med EDPS via sitt dataskyddsombud och samråder med EDPS i frågor som rör uppgiftsskydd, och att ett ärende om en personuppgiftsincident avslutades 2022 med vissa rekommendationer. Parlamentet välkomnar att revisionsrättens dataskyddsombud deltar i ett nätverk av dataskyddsombud, som arbetar med återkommande frågor, delar med sig av exempel på bästa praxis och hjälper till att organisera det halvårsvisa mötet för dataskyddsombud.</w:t>
      </w:r>
    </w:p>
    <w:p w:rsidR="004A053D" w:rsidRPr="005B50B3" w:rsidRDefault="004A053D" w:rsidP="004A053D">
      <w:pPr>
        <w:pStyle w:val="NormalHanging12a"/>
        <w:rPr>
          <w:szCs w:val="24"/>
        </w:rPr>
      </w:pPr>
      <w:r w:rsidRPr="005B50B3">
        <w:t>64.</w:t>
      </w:r>
      <w:r w:rsidRPr="005B50B3">
        <w:tab/>
        <w:t>Europaparlamentet noterar att revisionsrätten har samarbetat med Europeiska ombudsmannen och har tillhandahållit all information som begärts i utredningar som inletts av Europeiska ombudsmannen. Parlamentet välkomnar att revisionsrätten har deltagit i de interinstitutionella diskussionerna om modern kommunikation, inklusive snabbmeddelanden, och att revisionsrätten använder Europeiska ombudsmannens riktlinjer på detta område som riktmärke.</w:t>
      </w:r>
    </w:p>
    <w:p w:rsidR="004A053D" w:rsidRPr="005B50B3" w:rsidRDefault="004A053D" w:rsidP="004A053D">
      <w:pPr>
        <w:spacing w:after="240"/>
        <w:rPr>
          <w:b/>
          <w:szCs w:val="24"/>
        </w:rPr>
      </w:pPr>
      <w:r w:rsidRPr="005B50B3">
        <w:rPr>
          <w:b/>
        </w:rPr>
        <w:t>Kommunikation</w:t>
      </w:r>
    </w:p>
    <w:p w:rsidR="004A053D" w:rsidRPr="005B50B3" w:rsidRDefault="004A053D" w:rsidP="004A053D">
      <w:pPr>
        <w:pStyle w:val="NormalHanging12a"/>
        <w:rPr>
          <w:szCs w:val="24"/>
        </w:rPr>
      </w:pPr>
      <w:r w:rsidRPr="005B50B3">
        <w:t>65.</w:t>
      </w:r>
      <w:r w:rsidRPr="005B50B3">
        <w:tab/>
        <w:t>Europaparlamentet välkomnar att revisionsrätten i januari 2022 antog en ny kommunikationsstrategi som sätter allmänheten i centrum för sina kommunikationsinsatser och lovordar att revisionsrätten nu kan hålla pressgenomgångar och webbaserade konferenser med en god teknisk standard. Parlamentet välkomnar vidare att revisionsrätten uppdaterade sin webbplats 2023 för att ge användarna en bättre erfarenhet och skapa en portal som kan göra uppgifter om revisioner mer tillgängliga för en bred publik, däribland studenter, den akademiska världen och allmänheten.</w:t>
      </w:r>
    </w:p>
    <w:sectPr w:rsidR="004A053D" w:rsidRPr="005B50B3" w:rsidSect="005B50B3">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484A" w:rsidRPr="005B50B3" w:rsidRDefault="009B484A">
      <w:r w:rsidRPr="005B50B3">
        <w:separator/>
      </w:r>
    </w:p>
  </w:endnote>
  <w:endnote w:type="continuationSeparator" w:id="0">
    <w:p w:rsidR="009B484A" w:rsidRPr="005B50B3" w:rsidRDefault="009B484A">
      <w:r w:rsidRPr="005B50B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053D" w:rsidRPr="005B50B3" w:rsidRDefault="004A053D" w:rsidP="00340527">
    <w:pPr>
      <w:pStyle w:val="EPFooter"/>
    </w:pPr>
    <w:r w:rsidRPr="005B50B3">
      <w:t>PE</w:t>
    </w:r>
    <w:r w:rsidRPr="005B50B3">
      <w:rPr>
        <w:rStyle w:val="HideTWBExt"/>
      </w:rPr>
      <w:t>&lt;NoPE&gt;</w:t>
    </w:r>
    <w:r w:rsidRPr="005B50B3">
      <w:t>753.481</w:t>
    </w:r>
    <w:r w:rsidRPr="005B50B3">
      <w:rPr>
        <w:rStyle w:val="HideTWBExt"/>
      </w:rPr>
      <w:t>&lt;/NoPE&gt;&lt;Version&gt;</w:t>
    </w:r>
    <w:r w:rsidRPr="005B50B3">
      <w:t>v02-00</w:t>
    </w:r>
    <w:r w:rsidRPr="005B50B3">
      <w:rPr>
        <w:rStyle w:val="HideTWBExt"/>
      </w:rPr>
      <w:t>&lt;/Version&gt;</w:t>
    </w:r>
    <w:r w:rsidRPr="005B50B3">
      <w:tab/>
    </w:r>
    <w:r w:rsidRPr="005B50B3">
      <w:fldChar w:fldCharType="begin"/>
    </w:r>
    <w:r w:rsidRPr="005B50B3">
      <w:instrText xml:space="preserve"> PAGE  \* MERGEFORMAT </w:instrText>
    </w:r>
    <w:r w:rsidRPr="005B50B3">
      <w:fldChar w:fldCharType="separate"/>
    </w:r>
    <w:r w:rsidRPr="005B50B3">
      <w:rPr>
        <w:noProof/>
      </w:rPr>
      <w:t>14</w:t>
    </w:r>
    <w:r w:rsidRPr="005B50B3">
      <w:fldChar w:fldCharType="end"/>
    </w:r>
    <w:r w:rsidRPr="005B50B3">
      <w:t>/</w:t>
    </w:r>
    <w:r w:rsidR="00F76117">
      <w:fldChar w:fldCharType="begin"/>
    </w:r>
    <w:r w:rsidR="00F76117">
      <w:instrText xml:space="preserve"> NUMPAGES</w:instrText>
    </w:r>
    <w:r w:rsidR="00F76117">
      <w:instrText xml:space="preserve">  \* MERGEFORMAT </w:instrText>
    </w:r>
    <w:r w:rsidR="00F76117">
      <w:fldChar w:fldCharType="separate"/>
    </w:r>
    <w:r w:rsidRPr="005B50B3">
      <w:rPr>
        <w:noProof/>
      </w:rPr>
      <w:t>14</w:t>
    </w:r>
    <w:r w:rsidR="00F76117">
      <w:rPr>
        <w:noProof/>
      </w:rPr>
      <w:fldChar w:fldCharType="end"/>
    </w:r>
    <w:r w:rsidRPr="005B50B3">
      <w:tab/>
    </w:r>
    <w:r w:rsidRPr="005B50B3">
      <w:rPr>
        <w:rStyle w:val="HideTWBExt"/>
      </w:rPr>
      <w:t>&lt;PathFdR&gt;</w:t>
    </w:r>
    <w:r w:rsidRPr="005B50B3">
      <w:t>RR\1298500SV.docx</w:t>
    </w:r>
    <w:r w:rsidRPr="005B50B3">
      <w:rPr>
        <w:rStyle w:val="HideTWBExt"/>
      </w:rPr>
      <w:t>&lt;/PathFdR&gt;</w:t>
    </w:r>
  </w:p>
  <w:p w:rsidR="004A053D" w:rsidRPr="005B50B3" w:rsidRDefault="004A053D" w:rsidP="00340527">
    <w:pPr>
      <w:pStyle w:val="EPFooter2"/>
    </w:pPr>
    <w:r w:rsidRPr="005B50B3">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053D" w:rsidRPr="005B50B3" w:rsidRDefault="004A053D" w:rsidP="00340527">
    <w:pPr>
      <w:pStyle w:val="EPFooter"/>
    </w:pPr>
    <w:r w:rsidRPr="005B50B3">
      <w:rPr>
        <w:rStyle w:val="HideTWBExt"/>
      </w:rPr>
      <w:t>&lt;PathFdR&gt;</w:t>
    </w:r>
    <w:r w:rsidRPr="005B50B3">
      <w:t>RR\1298500SV.docx</w:t>
    </w:r>
    <w:r w:rsidRPr="005B50B3">
      <w:rPr>
        <w:rStyle w:val="HideTWBExt"/>
      </w:rPr>
      <w:t>&lt;/PathFdR&gt;</w:t>
    </w:r>
    <w:r w:rsidRPr="005B50B3">
      <w:tab/>
    </w:r>
    <w:r w:rsidRPr="005B50B3">
      <w:tab/>
      <w:t>PE</w:t>
    </w:r>
    <w:r w:rsidRPr="005B50B3">
      <w:rPr>
        <w:rStyle w:val="HideTWBExt"/>
      </w:rPr>
      <w:t>&lt;NoPE&gt;</w:t>
    </w:r>
    <w:r w:rsidRPr="005B50B3">
      <w:t>753.481</w:t>
    </w:r>
    <w:r w:rsidRPr="005B50B3">
      <w:rPr>
        <w:rStyle w:val="HideTWBExt"/>
      </w:rPr>
      <w:t>&lt;/NoPE&gt;&lt;Version&gt;</w:t>
    </w:r>
    <w:r w:rsidRPr="005B50B3">
      <w:t>v02-00</w:t>
    </w:r>
    <w:r w:rsidRPr="005B50B3">
      <w:rPr>
        <w:rStyle w:val="HideTWBExt"/>
      </w:rPr>
      <w:t>&lt;/Version&gt;</w:t>
    </w:r>
  </w:p>
  <w:p w:rsidR="004A053D" w:rsidRPr="005B50B3" w:rsidRDefault="004A053D" w:rsidP="00340527">
    <w:pPr>
      <w:pStyle w:val="EPFooter2"/>
    </w:pPr>
    <w:r w:rsidRPr="005B50B3">
      <w:t>SV</w:t>
    </w:r>
    <w:r w:rsidRPr="005B50B3">
      <w:tab/>
    </w:r>
    <w:r w:rsidRPr="005B50B3">
      <w:rPr>
        <w:b w:val="0"/>
        <w:i/>
        <w:color w:val="C0C0C0"/>
        <w:sz w:val="22"/>
      </w:rPr>
      <w:t>Förenade i mångfalden</w:t>
    </w:r>
    <w:r w:rsidRPr="005B50B3">
      <w:tab/>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B50B3"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B50B3"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B50B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484A" w:rsidRPr="005B50B3" w:rsidRDefault="009B484A">
      <w:r w:rsidRPr="005B50B3">
        <w:separator/>
      </w:r>
    </w:p>
  </w:footnote>
  <w:footnote w:type="continuationSeparator" w:id="0">
    <w:p w:rsidR="009B484A" w:rsidRPr="005B50B3" w:rsidRDefault="009B484A">
      <w:r w:rsidRPr="005B50B3">
        <w:continuationSeparator/>
      </w:r>
    </w:p>
  </w:footnote>
  <w:footnote w:id="1">
    <w:p w:rsidR="004A053D" w:rsidRPr="00CC488C" w:rsidRDefault="004A053D" w:rsidP="005B50B3">
      <w:pPr>
        <w:pStyle w:val="FootnoteText"/>
        <w:ind w:left="567" w:hanging="567"/>
        <w:rPr>
          <w:sz w:val="24"/>
        </w:rPr>
      </w:pPr>
      <w:r w:rsidRPr="005B50B3">
        <w:rPr>
          <w:rStyle w:val="FootnoteReference"/>
          <w:sz w:val="24"/>
          <w:lang w:val="sv-SE"/>
        </w:rPr>
        <w:footnoteRef/>
      </w:r>
      <w:r w:rsidR="005B50B3" w:rsidRPr="00CC488C">
        <w:rPr>
          <w:sz w:val="24"/>
        </w:rPr>
        <w:t xml:space="preserve"> </w:t>
      </w:r>
      <w:r w:rsidR="005B50B3" w:rsidRPr="00CC488C">
        <w:rPr>
          <w:sz w:val="24"/>
        </w:rPr>
        <w:tab/>
      </w:r>
      <w:r w:rsidRPr="00CC488C">
        <w:rPr>
          <w:sz w:val="24"/>
        </w:rPr>
        <w:t>EUT L 45, 24.2.2022.</w:t>
      </w:r>
    </w:p>
  </w:footnote>
  <w:footnote w:id="2">
    <w:p w:rsidR="004A053D" w:rsidRPr="00CC488C" w:rsidRDefault="004A053D" w:rsidP="005B50B3">
      <w:pPr>
        <w:pStyle w:val="FootnoteText"/>
        <w:ind w:left="567" w:hanging="567"/>
        <w:rPr>
          <w:sz w:val="24"/>
        </w:rPr>
      </w:pPr>
      <w:r w:rsidRPr="005B50B3">
        <w:rPr>
          <w:rStyle w:val="FootnoteReference"/>
          <w:sz w:val="24"/>
          <w:lang w:val="sv-SE"/>
        </w:rPr>
        <w:footnoteRef/>
      </w:r>
      <w:r w:rsidR="005B50B3" w:rsidRPr="00CC488C">
        <w:rPr>
          <w:sz w:val="24"/>
        </w:rPr>
        <w:t xml:space="preserve"> </w:t>
      </w:r>
      <w:r w:rsidR="005B50B3" w:rsidRPr="00CC488C">
        <w:rPr>
          <w:sz w:val="24"/>
        </w:rPr>
        <w:tab/>
      </w:r>
      <w:r w:rsidRPr="00CC488C">
        <w:rPr>
          <w:sz w:val="24"/>
        </w:rPr>
        <w:t>EUT C, C/2023/2, 12.10.2023.</w:t>
      </w:r>
    </w:p>
  </w:footnote>
  <w:footnote w:id="3">
    <w:p w:rsidR="004A053D" w:rsidRPr="00CC488C" w:rsidRDefault="004A053D" w:rsidP="005B50B3">
      <w:pPr>
        <w:pStyle w:val="FootnoteText"/>
        <w:ind w:left="567" w:hanging="567"/>
        <w:rPr>
          <w:sz w:val="24"/>
        </w:rPr>
      </w:pPr>
      <w:r w:rsidRPr="005B50B3">
        <w:rPr>
          <w:rStyle w:val="FootnoteReference"/>
          <w:sz w:val="24"/>
          <w:lang w:val="sv-SE"/>
        </w:rPr>
        <w:footnoteRef/>
      </w:r>
      <w:r w:rsidR="005B50B3" w:rsidRPr="00CC488C">
        <w:rPr>
          <w:sz w:val="24"/>
        </w:rPr>
        <w:t xml:space="preserve"> </w:t>
      </w:r>
      <w:r w:rsidR="005B50B3" w:rsidRPr="00CC488C">
        <w:rPr>
          <w:sz w:val="24"/>
        </w:rPr>
        <w:tab/>
      </w:r>
      <w:r w:rsidRPr="00CC488C">
        <w:rPr>
          <w:sz w:val="24"/>
        </w:rPr>
        <w:t>EUT C, C/2023/103, 4.10.2023.</w:t>
      </w:r>
    </w:p>
  </w:footnote>
  <w:footnote w:id="4">
    <w:p w:rsidR="004A053D" w:rsidRPr="00CC488C" w:rsidRDefault="004A053D" w:rsidP="005B50B3">
      <w:pPr>
        <w:pStyle w:val="FootnoteText"/>
        <w:ind w:left="567" w:hanging="567"/>
        <w:rPr>
          <w:sz w:val="24"/>
        </w:rPr>
      </w:pPr>
      <w:r w:rsidRPr="005B50B3">
        <w:rPr>
          <w:rStyle w:val="FootnoteReference"/>
          <w:sz w:val="24"/>
          <w:lang w:val="sv-SE"/>
        </w:rPr>
        <w:footnoteRef/>
      </w:r>
      <w:r w:rsidR="005B50B3" w:rsidRPr="00CC488C">
        <w:rPr>
          <w:sz w:val="24"/>
        </w:rPr>
        <w:t xml:space="preserve"> </w:t>
      </w:r>
      <w:r w:rsidR="005B50B3" w:rsidRPr="00CC488C">
        <w:rPr>
          <w:sz w:val="24"/>
        </w:rPr>
        <w:tab/>
      </w:r>
      <w:r w:rsidRPr="00CC488C">
        <w:rPr>
          <w:sz w:val="24"/>
        </w:rPr>
        <w:t>EUT C, C/2023/112, 12.10.2023.</w:t>
      </w:r>
    </w:p>
  </w:footnote>
  <w:footnote w:id="5">
    <w:p w:rsidR="004A053D" w:rsidRPr="00CC488C" w:rsidRDefault="004A053D" w:rsidP="005B50B3">
      <w:pPr>
        <w:pStyle w:val="FootnoteText"/>
        <w:ind w:left="567" w:hanging="567"/>
        <w:rPr>
          <w:sz w:val="24"/>
          <w:szCs w:val="24"/>
        </w:rPr>
      </w:pPr>
      <w:r w:rsidRPr="005B50B3">
        <w:rPr>
          <w:rStyle w:val="FootnoteReference"/>
          <w:sz w:val="24"/>
          <w:lang w:val="sv-SE"/>
        </w:rPr>
        <w:footnoteRef/>
      </w:r>
      <w:r w:rsidR="005B50B3" w:rsidRPr="00CC488C">
        <w:rPr>
          <w:sz w:val="24"/>
        </w:rPr>
        <w:t xml:space="preserve"> </w:t>
      </w:r>
      <w:r w:rsidR="005B50B3" w:rsidRPr="00CC488C">
        <w:rPr>
          <w:sz w:val="24"/>
        </w:rPr>
        <w:tab/>
      </w:r>
      <w:r w:rsidRPr="00CC488C">
        <w:rPr>
          <w:sz w:val="24"/>
        </w:rPr>
        <w:t>EUT L 193, 30.7.2018, s. 1.</w:t>
      </w:r>
    </w:p>
  </w:footnote>
  <w:footnote w:id="6">
    <w:p w:rsidR="004A053D" w:rsidRPr="005B50B3" w:rsidRDefault="004A053D" w:rsidP="005B50B3">
      <w:pPr>
        <w:pStyle w:val="FootnoteText"/>
        <w:ind w:left="567" w:hanging="567"/>
        <w:rPr>
          <w:sz w:val="24"/>
          <w:lang w:val="sv-SE"/>
        </w:rPr>
      </w:pPr>
      <w:r w:rsidRPr="005B50B3">
        <w:rPr>
          <w:rStyle w:val="FootnoteReference"/>
          <w:sz w:val="24"/>
          <w:lang w:val="sv-SE"/>
        </w:rPr>
        <w:footnoteRef/>
      </w:r>
      <w:r w:rsidR="005B50B3" w:rsidRPr="005B50B3">
        <w:rPr>
          <w:sz w:val="24"/>
          <w:lang w:val="sv-SE"/>
        </w:rPr>
        <w:t xml:space="preserve"> </w:t>
      </w:r>
      <w:r w:rsidR="005B50B3" w:rsidRPr="005B50B3">
        <w:rPr>
          <w:sz w:val="24"/>
          <w:lang w:val="sv-SE"/>
        </w:rPr>
        <w:tab/>
      </w:r>
      <w:r w:rsidRPr="005B50B3">
        <w:rPr>
          <w:sz w:val="24"/>
          <w:lang w:val="sv-SE"/>
        </w:rPr>
        <w:t>EUT L 207, 11.6.2021,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B50B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B50B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B50B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4/2024"/>
    <w:docVar w:name="dvlangue" w:val="SV"/>
    <w:docVar w:name="dvnumam" w:val="0"/>
    <w:docVar w:name="dvpe" w:val="753.481"/>
    <w:docVar w:name="dvrapporteur" w:val="Föredragande: "/>
    <w:docVar w:name="dvtitre" w:val="Europaparlamentets beslut av den xx xx 2024 om ansvarsfrihet för genomförandet av Europeiska unionens allmänna budget för budgetåret 2022, avsnitt V – revisionsrätten(2023/2133(DEC))"/>
  </w:docVars>
  <w:rsids>
    <w:rsidRoot w:val="009B484A"/>
    <w:rsid w:val="00002272"/>
    <w:rsid w:val="00064002"/>
    <w:rsid w:val="000677B9"/>
    <w:rsid w:val="000831BA"/>
    <w:rsid w:val="000A42CC"/>
    <w:rsid w:val="000E7DD9"/>
    <w:rsid w:val="0010095E"/>
    <w:rsid w:val="00125B37"/>
    <w:rsid w:val="00187494"/>
    <w:rsid w:val="001F32AE"/>
    <w:rsid w:val="00245E27"/>
    <w:rsid w:val="002767FF"/>
    <w:rsid w:val="002B18FE"/>
    <w:rsid w:val="002B5493"/>
    <w:rsid w:val="00343214"/>
    <w:rsid w:val="00361C00"/>
    <w:rsid w:val="00395FA1"/>
    <w:rsid w:val="003E15D4"/>
    <w:rsid w:val="00411CCE"/>
    <w:rsid w:val="0041666E"/>
    <w:rsid w:val="00421060"/>
    <w:rsid w:val="00471C19"/>
    <w:rsid w:val="00474C17"/>
    <w:rsid w:val="004867E3"/>
    <w:rsid w:val="00494A28"/>
    <w:rsid w:val="004A053D"/>
    <w:rsid w:val="004A171B"/>
    <w:rsid w:val="004C0004"/>
    <w:rsid w:val="004C5D52"/>
    <w:rsid w:val="0050519A"/>
    <w:rsid w:val="005072A1"/>
    <w:rsid w:val="00514517"/>
    <w:rsid w:val="00545827"/>
    <w:rsid w:val="00560270"/>
    <w:rsid w:val="005B50B3"/>
    <w:rsid w:val="005C2568"/>
    <w:rsid w:val="006037C0"/>
    <w:rsid w:val="00625562"/>
    <w:rsid w:val="006631B6"/>
    <w:rsid w:val="00680577"/>
    <w:rsid w:val="006F74FA"/>
    <w:rsid w:val="00731ADD"/>
    <w:rsid w:val="00734777"/>
    <w:rsid w:val="00747932"/>
    <w:rsid w:val="00751A4A"/>
    <w:rsid w:val="00756632"/>
    <w:rsid w:val="00762C74"/>
    <w:rsid w:val="00786EC0"/>
    <w:rsid w:val="007D1690"/>
    <w:rsid w:val="007E22AD"/>
    <w:rsid w:val="007F42CD"/>
    <w:rsid w:val="00817416"/>
    <w:rsid w:val="00842779"/>
    <w:rsid w:val="00865F67"/>
    <w:rsid w:val="00881A7B"/>
    <w:rsid w:val="008840E5"/>
    <w:rsid w:val="00887B3E"/>
    <w:rsid w:val="008C2AC6"/>
    <w:rsid w:val="00930C23"/>
    <w:rsid w:val="0093193B"/>
    <w:rsid w:val="009509D8"/>
    <w:rsid w:val="00950B64"/>
    <w:rsid w:val="00974441"/>
    <w:rsid w:val="00981893"/>
    <w:rsid w:val="009B484A"/>
    <w:rsid w:val="00A1687D"/>
    <w:rsid w:val="00A43E52"/>
    <w:rsid w:val="00A4678D"/>
    <w:rsid w:val="00A778C7"/>
    <w:rsid w:val="00AB441E"/>
    <w:rsid w:val="00AB6293"/>
    <w:rsid w:val="00AC7F8E"/>
    <w:rsid w:val="00AE0928"/>
    <w:rsid w:val="00AF3B82"/>
    <w:rsid w:val="00B12E95"/>
    <w:rsid w:val="00B22876"/>
    <w:rsid w:val="00B22DD8"/>
    <w:rsid w:val="00B558F0"/>
    <w:rsid w:val="00B94501"/>
    <w:rsid w:val="00BD48FE"/>
    <w:rsid w:val="00BD7BD8"/>
    <w:rsid w:val="00BE6ADC"/>
    <w:rsid w:val="00C05BFE"/>
    <w:rsid w:val="00C23CD4"/>
    <w:rsid w:val="00C61C0C"/>
    <w:rsid w:val="00C941CB"/>
    <w:rsid w:val="00CC2357"/>
    <w:rsid w:val="00CC488C"/>
    <w:rsid w:val="00CF071A"/>
    <w:rsid w:val="00D058B8"/>
    <w:rsid w:val="00D56C11"/>
    <w:rsid w:val="00D834A0"/>
    <w:rsid w:val="00D872DF"/>
    <w:rsid w:val="00D91E21"/>
    <w:rsid w:val="00DA7FCD"/>
    <w:rsid w:val="00E365E1"/>
    <w:rsid w:val="00E820A4"/>
    <w:rsid w:val="00EB006A"/>
    <w:rsid w:val="00EB4772"/>
    <w:rsid w:val="00EB72DA"/>
    <w:rsid w:val="00ED169E"/>
    <w:rsid w:val="00ED4235"/>
    <w:rsid w:val="00F04346"/>
    <w:rsid w:val="00F075DC"/>
    <w:rsid w:val="00F149E9"/>
    <w:rsid w:val="00F5134D"/>
    <w:rsid w:val="00F74202"/>
    <w:rsid w:val="00F76117"/>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23021BC-5233-4533-AB79-B3BF9FE16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A053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4A053D"/>
    <w:pPr>
      <w:spacing w:before="480" w:after="240"/>
    </w:pPr>
  </w:style>
  <w:style w:type="paragraph" w:customStyle="1" w:styleId="PageHeading">
    <w:name w:val="PageHeading"/>
    <w:basedOn w:val="Normal"/>
    <w:rsid w:val="004A053D"/>
    <w:pPr>
      <w:keepNext/>
      <w:spacing w:after="480"/>
      <w:jc w:val="center"/>
    </w:pPr>
    <w:rPr>
      <w:rFonts w:ascii="Arial" w:hAnsi="Arial" w:cs="Arial"/>
      <w:b/>
    </w:rPr>
  </w:style>
  <w:style w:type="paragraph" w:customStyle="1" w:styleId="NormalBold">
    <w:name w:val="NormalBold"/>
    <w:basedOn w:val="Normal"/>
    <w:rsid w:val="004A053D"/>
    <w:rPr>
      <w:b/>
    </w:rPr>
  </w:style>
  <w:style w:type="paragraph" w:customStyle="1" w:styleId="NormalHanging12a">
    <w:name w:val="NormalHanging12a"/>
    <w:basedOn w:val="Normal"/>
    <w:link w:val="NormalHanging12aChar"/>
    <w:qFormat/>
    <w:rsid w:val="004A053D"/>
    <w:pPr>
      <w:spacing w:after="240"/>
      <w:ind w:left="567" w:hanging="567"/>
    </w:pPr>
  </w:style>
  <w:style w:type="paragraph" w:styleId="Header">
    <w:name w:val="header"/>
    <w:basedOn w:val="Normal"/>
    <w:link w:val="HeaderChar"/>
    <w:rsid w:val="004A053D"/>
    <w:pPr>
      <w:tabs>
        <w:tab w:val="center" w:pos="4513"/>
        <w:tab w:val="right" w:pos="9026"/>
      </w:tabs>
    </w:pPr>
  </w:style>
  <w:style w:type="character" w:customStyle="1" w:styleId="HeaderChar">
    <w:name w:val="Header Char"/>
    <w:basedOn w:val="DefaultParagraphFont"/>
    <w:link w:val="Header"/>
    <w:rsid w:val="004A053D"/>
    <w:rPr>
      <w:sz w:val="24"/>
      <w:lang w:val="sv-SE"/>
    </w:rPr>
  </w:style>
  <w:style w:type="paragraph" w:customStyle="1" w:styleId="EPFooter">
    <w:name w:val="EPFooter"/>
    <w:basedOn w:val="Normal"/>
    <w:rsid w:val="004A053D"/>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4A053D"/>
    <w:rPr>
      <w:sz w:val="24"/>
      <w:lang w:val="sv-SE"/>
    </w:rPr>
  </w:style>
  <w:style w:type="paragraph" w:styleId="BalloonText">
    <w:name w:val="Balloon Text"/>
    <w:basedOn w:val="Normal"/>
    <w:link w:val="BalloonTextChar"/>
    <w:rsid w:val="007F42CD"/>
    <w:rPr>
      <w:rFonts w:ascii="Segoe UI" w:hAnsi="Segoe UI" w:cs="Segoe UI"/>
      <w:sz w:val="18"/>
      <w:szCs w:val="18"/>
    </w:rPr>
  </w:style>
  <w:style w:type="character" w:customStyle="1" w:styleId="BalloonTextChar">
    <w:name w:val="Balloon Text Char"/>
    <w:basedOn w:val="DefaultParagraphFont"/>
    <w:link w:val="BalloonText"/>
    <w:rsid w:val="007F42CD"/>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4A3202-D6C1-4AED-87A1-9B81EEBD15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4859</Words>
  <Characters>32437</Characters>
  <Application>Microsoft Office Word</Application>
  <DocSecurity>0</DocSecurity>
  <Lines>270</Lines>
  <Paragraphs>74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NORRTHON Kelly</dc:creator>
  <cp:keywords/>
  <cp:lastModifiedBy>NORRTHON Kelly</cp:lastModifiedBy>
  <cp:revision>2</cp:revision>
  <cp:lastPrinted>2004-11-19T15:42:00Z</cp:lastPrinted>
  <dcterms:created xsi:type="dcterms:W3CDTF">2024-04-11T17:23:00Z</dcterms:created>
  <dcterms:modified xsi:type="dcterms:W3CDTF">2024-04-11T17:23:00Z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P9_TA-PROV(2024)0231_A9-0074_2024_SV_CHANGES_r</vt:lpwstr>
  </property>
  <property fmtid="{D5CDD505-2E9C-101B-9397-08002B2CF9AE}" pid="4" name="&lt;Type&gt;">
    <vt:lpwstr>RR</vt:lpwstr>
  </property>
</Properties>
</file>