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72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7262" w:rsidRDefault="00797040" w:rsidP="0010095E">
            <w:pPr>
              <w:pStyle w:val="EPName"/>
            </w:pPr>
            <w:r w:rsidRPr="007D7262">
              <w:t>Европейски</w:t>
            </w:r>
            <w:r w:rsidR="0078574E" w:rsidRPr="007D7262">
              <w:t xml:space="preserve"> парламент</w:t>
            </w:r>
          </w:p>
          <w:p w:rsidR="00751A4A" w:rsidRPr="007D72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262">
              <w:t>2019</w:t>
            </w:r>
            <w:r w:rsidR="00797040">
              <w:t> – </w:t>
            </w:r>
            <w:r w:rsidRPr="007D726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D7262" w:rsidRDefault="00187494" w:rsidP="0010095E">
            <w:pPr>
              <w:pStyle w:val="EPLogo"/>
            </w:pPr>
            <w:r w:rsidRPr="007D72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7262" w:rsidRDefault="00D058B8" w:rsidP="004C5D52">
      <w:pPr>
        <w:pStyle w:val="LineTop"/>
      </w:pPr>
    </w:p>
    <w:p w:rsidR="00680577" w:rsidRPr="007D7262" w:rsidRDefault="0078574E" w:rsidP="00680577">
      <w:pPr>
        <w:pStyle w:val="EPBodyTA1"/>
      </w:pPr>
      <w:r w:rsidRPr="007D7262">
        <w:t>ПРИЕТИ ТЕКСТОВЕ</w:t>
      </w:r>
    </w:p>
    <w:p w:rsidR="00D058B8" w:rsidRPr="007D7262" w:rsidRDefault="00D058B8" w:rsidP="00D058B8">
      <w:pPr>
        <w:pStyle w:val="LineBottom"/>
      </w:pPr>
    </w:p>
    <w:p w:rsidR="0078574E" w:rsidRPr="00EC7A79" w:rsidRDefault="0078574E" w:rsidP="00EC7A79">
      <w:pPr>
        <w:pStyle w:val="ATHeading1"/>
        <w:rPr>
          <w:lang w:val="en-GB"/>
        </w:rPr>
      </w:pPr>
      <w:bookmarkStart w:id="0" w:name="TANumber"/>
      <w:r w:rsidRPr="007D7262">
        <w:t>P9_TA(2024)0</w:t>
      </w:r>
      <w:bookmarkEnd w:id="0"/>
      <w:r w:rsidR="00EC7A79">
        <w:rPr>
          <w:lang w:val="en-GB"/>
        </w:rPr>
        <w:t>232</w:t>
      </w:r>
      <w:bookmarkStart w:id="1" w:name="_GoBack"/>
      <w:bookmarkEnd w:id="1"/>
    </w:p>
    <w:p w:rsidR="0078574E" w:rsidRPr="007D7262" w:rsidRDefault="0078574E" w:rsidP="0078574E">
      <w:pPr>
        <w:pStyle w:val="ATHeading2"/>
      </w:pPr>
      <w:bookmarkStart w:id="2" w:name="title"/>
      <w:r w:rsidRPr="007D7262">
        <w:t>Освобождаване от отговорност във връзка с изпълнението на бюджета за 2022 г.: Общ бюджет на ЕС – Европейски икономически и социален комитет</w:t>
      </w:r>
      <w:bookmarkEnd w:id="2"/>
    </w:p>
    <w:p w:rsidR="0078574E" w:rsidRPr="007D7262" w:rsidRDefault="0078574E" w:rsidP="0078574E">
      <w:pPr>
        <w:rPr>
          <w:i/>
          <w:vanish/>
        </w:rPr>
      </w:pPr>
      <w:r w:rsidRPr="007D7262">
        <w:rPr>
          <w:i/>
        </w:rPr>
        <w:fldChar w:fldCharType="begin"/>
      </w:r>
      <w:r w:rsidRPr="007D7262">
        <w:rPr>
          <w:i/>
        </w:rPr>
        <w:instrText xml:space="preserve"> TC"(</w:instrText>
      </w:r>
      <w:bookmarkStart w:id="3" w:name="DocNumber"/>
      <w:r w:rsidRPr="007D7262">
        <w:rPr>
          <w:i/>
        </w:rPr>
        <w:instrText>A9-0072/2024</w:instrText>
      </w:r>
      <w:bookmarkEnd w:id="3"/>
      <w:r w:rsidRPr="007D7262">
        <w:rPr>
          <w:i/>
        </w:rPr>
        <w:instrText xml:space="preserve"> - Докладчик: Люк Минг Фланаган)"\l3 \n&gt; \* MERGEFORMAT </w:instrText>
      </w:r>
      <w:r w:rsidRPr="007D7262">
        <w:rPr>
          <w:i/>
        </w:rPr>
        <w:fldChar w:fldCharType="end"/>
      </w:r>
    </w:p>
    <w:p w:rsidR="0078574E" w:rsidRPr="007D7262" w:rsidRDefault="0078574E" w:rsidP="0078574E">
      <w:pPr>
        <w:rPr>
          <w:vanish/>
        </w:rPr>
      </w:pPr>
      <w:bookmarkStart w:id="4" w:name="Commission"/>
      <w:r w:rsidRPr="007D7262">
        <w:rPr>
          <w:vanish/>
        </w:rPr>
        <w:t>Комисия по бюджетен контрол</w:t>
      </w:r>
      <w:bookmarkEnd w:id="4"/>
    </w:p>
    <w:p w:rsidR="0078574E" w:rsidRPr="007D7262" w:rsidRDefault="0078574E" w:rsidP="0078574E">
      <w:pPr>
        <w:rPr>
          <w:vanish/>
        </w:rPr>
      </w:pPr>
      <w:bookmarkStart w:id="5" w:name="PE"/>
      <w:r w:rsidRPr="007D7262">
        <w:rPr>
          <w:vanish/>
        </w:rPr>
        <w:t>PE753.483</w:t>
      </w:r>
      <w:bookmarkEnd w:id="5"/>
    </w:p>
    <w:p w:rsidR="0078574E" w:rsidRPr="007D7262" w:rsidRDefault="00797040" w:rsidP="00797040">
      <w:pPr>
        <w:pStyle w:val="ATHeading3"/>
      </w:pPr>
      <w:bookmarkStart w:id="6" w:name="Sujet"/>
      <w:r>
        <w:t xml:space="preserve">1. </w:t>
      </w:r>
      <w:r w:rsidR="0078574E" w:rsidRPr="007D7262">
        <w:t xml:space="preserve">Решение на Европейския парламент от </w:t>
      </w:r>
      <w:r>
        <w:t>11</w:t>
      </w:r>
      <w:r w:rsidR="0078574E" w:rsidRPr="007D7262">
        <w:t xml:space="preserve"> </w:t>
      </w:r>
      <w:r>
        <w:t xml:space="preserve">април </w:t>
      </w:r>
      <w:r w:rsidR="0078574E" w:rsidRPr="007D7262">
        <w:t>2024 г. относно освобождаването от отговорност във връзка с изпълнението на общия бюджет на Европейския съюз за финансовата 2022 година, раздел VI ‒ Европейски икономически и социален комитет</w:t>
      </w:r>
      <w:bookmarkEnd w:id="6"/>
      <w:r w:rsidR="0078574E" w:rsidRPr="007D7262">
        <w:t xml:space="preserve"> </w:t>
      </w:r>
      <w:bookmarkStart w:id="7" w:name="References"/>
      <w:r w:rsidR="0078574E" w:rsidRPr="007D7262">
        <w:t>(2023/2135(DEC))</w:t>
      </w:r>
      <w:bookmarkEnd w:id="7"/>
    </w:p>
    <w:p w:rsidR="00380FB1" w:rsidRPr="007D7262" w:rsidRDefault="00380FB1" w:rsidP="00380FB1">
      <w:pPr>
        <w:pStyle w:val="EPComma"/>
        <w:rPr>
          <w:szCs w:val="24"/>
        </w:rPr>
      </w:pPr>
      <w:bookmarkStart w:id="8" w:name="TextBodyBegin"/>
      <w:bookmarkEnd w:id="8"/>
      <w:r w:rsidRPr="007D7262">
        <w:rPr>
          <w:i/>
          <w:iCs/>
        </w:rPr>
        <w:t>Европейският парламент</w:t>
      </w:r>
      <w:r w:rsidRPr="007D7262">
        <w:t>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общия бюджет на Европейския съюз за финансовата 2022 година</w:t>
      </w:r>
      <w:r w:rsidRPr="007D7262">
        <w:rPr>
          <w:rStyle w:val="FootnoteReference"/>
        </w:rPr>
        <w:footnoteReference w:id="1"/>
      </w:r>
      <w:r w:rsidRPr="007D7262">
        <w:t>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консолидираните годишни отчети на Европейския съюз за финансовата 2022 година (COM(2023)0391 – C9</w:t>
      </w:r>
      <w:r w:rsidRPr="007D7262">
        <w:noBreakHyphen/>
        <w:t>0254/2023)</w:t>
      </w:r>
      <w:r w:rsidRPr="007D7262">
        <w:rPr>
          <w:rStyle w:val="FootnoteReference"/>
        </w:rPr>
        <w:footnoteReference w:id="2"/>
      </w:r>
      <w:r w:rsidRPr="007D7262">
        <w:t>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годишния отчет за дейността на Европейския икономически и социален комитет за 2022 г. и годишния му доклад пред органа по освобождаване от отговорност относно вътрешните одити, осъществени през 2022 г.,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годишния доклад на Сметната палата относно изпълнението на бюджета за финансовата 2022 година, придружен от отговорите на институциите</w:t>
      </w:r>
      <w:r w:rsidRPr="007D7262">
        <w:rPr>
          <w:rStyle w:val="FootnoteReference"/>
        </w:rPr>
        <w:footnoteReference w:id="3"/>
      </w:r>
      <w:r w:rsidRPr="007D7262">
        <w:t>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декларацията за достоверност</w:t>
      </w:r>
      <w:r w:rsidRPr="007D7262">
        <w:rPr>
          <w:rStyle w:val="FootnoteReference"/>
        </w:rPr>
        <w:footnoteReference w:id="4"/>
      </w:r>
      <w:r w:rsidRPr="007D7262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 287 от Договора за функционирането на Европейския съюз,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 xml:space="preserve">като взе предвид член 314, параграф 10 и членове 317, 318 и 319 от Договора за </w:t>
      </w:r>
      <w:r w:rsidRPr="007D7262">
        <w:lastRenderedPageBreak/>
        <w:t>функционирането на Европейския съюз,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Регламент (ЕС, Евратом) 2018/1046 на Европейския парламент и на Съвета от 18 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7D7262">
        <w:rPr>
          <w:rStyle w:val="FootnoteReference"/>
        </w:rPr>
        <w:footnoteReference w:id="5"/>
      </w:r>
      <w:r w:rsidRPr="007D7262">
        <w:t>, и по-специално членове 59, 118, 260, 261 и 262 от него,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член 100 и приложение V към своя Правилник за дейността,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доклада на комисията по бюджетен контрол (A9-0072/2024),</w:t>
      </w:r>
    </w:p>
    <w:p w:rsidR="00380FB1" w:rsidRPr="007D7262" w:rsidRDefault="00380FB1" w:rsidP="00380FB1">
      <w:pPr>
        <w:pStyle w:val="NormalHanging12a"/>
      </w:pPr>
      <w:r w:rsidRPr="007D7262">
        <w:t>1.</w:t>
      </w:r>
      <w:r w:rsidRPr="007D7262">
        <w:tab/>
        <w:t>освобождава от отговорност генералния секретар на Европейския икономически и социален комитет във връзка с изпълнението на бюджета на Европейския икономически и социален комитет за финансовата 2022 година;</w:t>
      </w:r>
    </w:p>
    <w:p w:rsidR="00380FB1" w:rsidRPr="007D7262" w:rsidRDefault="00380FB1" w:rsidP="00380FB1">
      <w:pPr>
        <w:pStyle w:val="NormalHanging12a"/>
      </w:pPr>
      <w:r w:rsidRPr="007D7262">
        <w:t>2.</w:t>
      </w:r>
      <w:r w:rsidRPr="007D7262">
        <w:tab/>
        <w:t>представя своите забележки в резолюцията по-долу;</w:t>
      </w:r>
    </w:p>
    <w:p w:rsidR="00380FB1" w:rsidRPr="007D7262" w:rsidRDefault="00380FB1" w:rsidP="00380FB1">
      <w:pPr>
        <w:pStyle w:val="NormalHanging12a"/>
      </w:pPr>
      <w:r w:rsidRPr="007D7262">
        <w:t>3.</w:t>
      </w:r>
      <w:r w:rsidRPr="007D7262">
        <w:tab/>
        <w:t xml:space="preserve">възлага на своя председател да предаде настоящото решение, както и резолюцията, която е неразделна част от него, на генералния секретар на Европейския икономически и социален комитет, Съвета, Комисията и Сметната палата и да осигури публикуването им в </w:t>
      </w:r>
      <w:r w:rsidRPr="007D7262">
        <w:rPr>
          <w:i/>
          <w:iCs/>
        </w:rPr>
        <w:t>Официален вестник на Европейския съюз</w:t>
      </w:r>
      <w:r w:rsidRPr="007D7262">
        <w:t xml:space="preserve"> (серия L). </w:t>
      </w:r>
    </w:p>
    <w:p w:rsidR="00380FB1" w:rsidRPr="007D7262" w:rsidRDefault="00380FB1" w:rsidP="00380FB1"/>
    <w:p w:rsidR="00380FB1" w:rsidRPr="007D7262" w:rsidRDefault="00380FB1" w:rsidP="00380FB1">
      <w:pPr>
        <w:pStyle w:val="PageHeading"/>
        <w:sectPr w:rsidR="00380FB1" w:rsidRPr="007D7262" w:rsidSect="007D72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80FB1" w:rsidRPr="00797040" w:rsidRDefault="00380FB1" w:rsidP="00797040">
      <w:pPr>
        <w:pStyle w:val="ATHeading3"/>
      </w:pPr>
      <w:bookmarkStart w:id="9" w:name="_Toc161816986"/>
      <w:r w:rsidRPr="007D7262">
        <w:lastRenderedPageBreak/>
        <w:t xml:space="preserve">2. </w:t>
      </w:r>
      <w:r w:rsidR="00797040">
        <w:t>Р</w:t>
      </w:r>
      <w:r w:rsidR="00797040" w:rsidRPr="007D7262">
        <w:t xml:space="preserve">езолюция на </w:t>
      </w:r>
      <w:r w:rsidR="00797040">
        <w:t>Е</w:t>
      </w:r>
      <w:r w:rsidR="00797040" w:rsidRPr="007D7262">
        <w:t>вропейския парламент</w:t>
      </w:r>
      <w:r w:rsidR="00196303">
        <w:rPr>
          <w:lang w:val="en-GB"/>
        </w:rPr>
        <w:t xml:space="preserve"> </w:t>
      </w:r>
      <w:r w:rsidR="00196303" w:rsidRPr="007D7262">
        <w:t xml:space="preserve">от </w:t>
      </w:r>
      <w:r w:rsidR="00196303">
        <w:t>11</w:t>
      </w:r>
      <w:r w:rsidR="00196303" w:rsidRPr="007D7262">
        <w:t xml:space="preserve"> </w:t>
      </w:r>
      <w:r w:rsidR="00196303">
        <w:t xml:space="preserve">април </w:t>
      </w:r>
      <w:r w:rsidR="00196303" w:rsidRPr="007D7262">
        <w:t>2024 г.</w:t>
      </w:r>
      <w:r w:rsidRPr="007D7262">
        <w:t>,</w:t>
      </w:r>
      <w:bookmarkEnd w:id="9"/>
      <w:r w:rsidR="00797040">
        <w:t xml:space="preserve"> съдържаща</w:t>
      </w:r>
      <w:r w:rsidRPr="007D7262">
        <w:t xml:space="preserve"> забележките,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година, раздел VI – Европейски икономически и социален комитет</w:t>
      </w:r>
      <w:r w:rsidR="00797040">
        <w:rPr>
          <w:szCs w:val="24"/>
        </w:rPr>
        <w:t xml:space="preserve"> </w:t>
      </w:r>
      <w:r w:rsidRPr="007D7262">
        <w:t>(2023/2135(DEC))</w:t>
      </w:r>
    </w:p>
    <w:p w:rsidR="00380FB1" w:rsidRPr="007D7262" w:rsidRDefault="00380FB1" w:rsidP="00380FB1">
      <w:pPr>
        <w:pStyle w:val="EPComma"/>
        <w:rPr>
          <w:szCs w:val="24"/>
        </w:rPr>
      </w:pPr>
      <w:r w:rsidRPr="007D7262">
        <w:rPr>
          <w:i/>
          <w:iCs/>
        </w:rPr>
        <w:t>Европейският парламент</w:t>
      </w:r>
      <w:r w:rsidRPr="007D7262">
        <w:t>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своето решение за освобождаване от отговорност във връзка с изпълнението на общия бюджет на Европейския съюз за финансовата 2022 година, раздел VI ‒ Европейски икономически и социален комитет,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член 100 и приложение V към своя Правилник за дейността,</w:t>
      </w:r>
    </w:p>
    <w:p w:rsidR="00380FB1" w:rsidRPr="007D7262" w:rsidRDefault="00380FB1" w:rsidP="00380FB1">
      <w:pPr>
        <w:pStyle w:val="NormalHanging12a"/>
      </w:pPr>
      <w:r w:rsidRPr="007D7262">
        <w:t>–</w:t>
      </w:r>
      <w:r w:rsidRPr="007D7262">
        <w:tab/>
        <w:t>като взе предвид доклада на комисията по бюджетен контрол (A9-0072/2024),</w:t>
      </w:r>
    </w:p>
    <w:p w:rsidR="00380FB1" w:rsidRPr="007D7262" w:rsidRDefault="00380FB1" w:rsidP="00380FB1">
      <w:pPr>
        <w:pStyle w:val="NormalHanging12a"/>
      </w:pPr>
      <w:r w:rsidRPr="007D7262">
        <w:t>А.</w:t>
      </w:r>
      <w:r w:rsidRPr="007D7262">
        <w:tab/>
        <w:t>като има предвид, че в контекста на процедурата по освобождаване от отговорност органът по освобождаване от отговорност желае да подчертае особеното значение на по-нататъшното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бюджетиране, основано на изпълнението, и добро управление на човешките ресурси;</w:t>
      </w:r>
    </w:p>
    <w:p w:rsidR="00380FB1" w:rsidRPr="007D7262" w:rsidRDefault="00380FB1" w:rsidP="00380FB1">
      <w:pPr>
        <w:pStyle w:val="NormalHanging12a"/>
      </w:pPr>
      <w:r w:rsidRPr="007D7262">
        <w:t>Б.</w:t>
      </w:r>
      <w:r w:rsidRPr="007D7262">
        <w:tab/>
        <w:t>като има предвид, че Европейският икономически и социален комитет („Комитетът“) е консултативен орган на Съюза, който осигурява форум за консултации, диалог и консенсус между представителите на различните икономически, социални и граждански компоненти на организираното гражданско общество от държавите членки;</w:t>
      </w:r>
    </w:p>
    <w:p w:rsidR="00380FB1" w:rsidRPr="007D7262" w:rsidRDefault="00380FB1" w:rsidP="00380FB1">
      <w:pPr>
        <w:pStyle w:val="NormalHanging12a"/>
      </w:pPr>
      <w:r w:rsidRPr="007D7262">
        <w:t>В.</w:t>
      </w:r>
      <w:r w:rsidRPr="007D7262">
        <w:tab/>
        <w:t>като има предвид, че Комитетът допринася за процеса на вземане на решения в Съюза и че осигурявайки връзка между политиките на Съюза и икономическите, социалните и гражданските обстоятелства, изпълнява своите мисии за по-добро законотворчество, демокрация на участието „от долу нагоре“ и насърчаване на ценностите на Съюза;</w:t>
      </w:r>
    </w:p>
    <w:p w:rsidR="00380FB1" w:rsidRPr="007D7262" w:rsidRDefault="00380FB1" w:rsidP="00380FB1">
      <w:pPr>
        <w:pStyle w:val="NormalHanging12a"/>
      </w:pPr>
      <w:r w:rsidRPr="007D7262">
        <w:t>Г.</w:t>
      </w:r>
      <w:r w:rsidRPr="007D7262">
        <w:tab/>
        <w:t>като има предвид, че докато в някои случаи е задължително Комисията или Съветът да се консултират с Комитета, Комитетът може да приема и становища по собствена инициатива, и че с него може да се провеждат консултации по широк кръг от теми, както се посочва в Договорите, което позволява Парламентът да се консултира с него;</w:t>
      </w:r>
    </w:p>
    <w:p w:rsidR="00380FB1" w:rsidRPr="007D7262" w:rsidRDefault="00380FB1" w:rsidP="00380FB1">
      <w:pPr>
        <w:pStyle w:val="NormalHanging12a"/>
      </w:pPr>
      <w:r w:rsidRPr="007D7262">
        <w:t>Д.</w:t>
      </w:r>
      <w:r w:rsidRPr="007D7262">
        <w:tab/>
        <w:t>като има предвид, че комисията по финансови и бюджетни въпроси (CAF) на Комитета е надзорният орган на Комитета за всички бюджетни процедури и по-специално за изготвянето на бюджетните прогнози, изпълнението на бюджета, годишния отчет за дейността, освобождаването от отговорност и последващите действия във връзка с годишния доклад на Европейската сметна палата („Палатата“);</w:t>
      </w:r>
    </w:p>
    <w:p w:rsidR="00380FB1" w:rsidRPr="007D7262" w:rsidRDefault="00380FB1" w:rsidP="00380FB1">
      <w:pPr>
        <w:pStyle w:val="NormalHanging12a"/>
      </w:pPr>
      <w:r w:rsidRPr="007D7262">
        <w:t>1.</w:t>
      </w:r>
      <w:r w:rsidRPr="007D7262">
        <w:tab/>
        <w:t xml:space="preserve">отбелязва, че бюджетът на Комитета попада в обхвата на функция 7 от МФР „Европейска публична администрация“, която през 2022 г. възлиза на общо 11,6 милиарда евро, т.е. 5,9% от бюджетните разходи на Съюза; отбелязва, че през </w:t>
      </w:r>
      <w:r w:rsidRPr="007D7262">
        <w:lastRenderedPageBreak/>
        <w:t>2022 г. бюджетът на Комитета представлява 1,31% от функция 7 от МФР;</w:t>
      </w:r>
    </w:p>
    <w:p w:rsidR="00380FB1" w:rsidRPr="007D7262" w:rsidRDefault="00380FB1" w:rsidP="00380FB1">
      <w:pPr>
        <w:pStyle w:val="NormalHanging12a"/>
      </w:pPr>
      <w:r w:rsidRPr="007D7262">
        <w:t>2.</w:t>
      </w:r>
      <w:r w:rsidRPr="007D7262">
        <w:tab/>
        <w:t>отбелязва, че в своя годишен доклад за финансовата 2022 година Палатата е проверила извадка от 60 операции в обхвата на функция „Администрация“, което е същият брой като този на проверените през 2021 г. операции; отбелязва освен това, че Палатата посочва, че административните разходи включват разходи за човешки ресурси, в т.ч. пенсии, които през 2022 г. представляват около 70% от общия размер на административните разходи, и разходи за сгради, оборудване, енергия и информационни и комуникационни технологии, и че дългогодишната ѝ работа показва, че разходите в тази област като цяло се характеризират с ниско ниво на риск;</w:t>
      </w:r>
    </w:p>
    <w:p w:rsidR="00380FB1" w:rsidRPr="007D7262" w:rsidRDefault="00380FB1" w:rsidP="00380FB1">
      <w:pPr>
        <w:pStyle w:val="NormalHanging12a"/>
      </w:pPr>
      <w:r w:rsidRPr="007D7262">
        <w:t>3.</w:t>
      </w:r>
      <w:r w:rsidRPr="007D7262">
        <w:tab/>
        <w:t>отбелязва, че като част от одита си за 2022 г. Палатата е разгледала системите за наблюдение и контрол на Комитета, по-специално прилагането на стандартите за вътрешен контрол, управлението на риска и функционирането на ключови контроли, определени във Финансовия регламент, включително предварителни и последващи проверки по плащанията;</w:t>
      </w:r>
    </w:p>
    <w:p w:rsidR="00380FB1" w:rsidRPr="007D7262" w:rsidRDefault="00380FB1" w:rsidP="00380FB1">
      <w:pPr>
        <w:pStyle w:val="NormalHanging12a"/>
      </w:pPr>
      <w:r w:rsidRPr="007D7262">
        <w:t>4.</w:t>
      </w:r>
      <w:r w:rsidRPr="007D7262">
        <w:tab/>
        <w:t xml:space="preserve">отбелязва, че 14 (23%) от 60-те операции съдържат грешки, но че изчисленият от Палатата процент грешки въз основа на петте </w:t>
      </w:r>
      <w:proofErr w:type="spellStart"/>
      <w:r w:rsidRPr="007D7262">
        <w:t>остойностени</w:t>
      </w:r>
      <w:proofErr w:type="spellEnd"/>
      <w:r w:rsidRPr="007D7262">
        <w:t xml:space="preserve"> грешки е под прага на същественост;</w:t>
      </w:r>
    </w:p>
    <w:p w:rsidR="00380FB1" w:rsidRPr="007D7262" w:rsidRDefault="00380FB1" w:rsidP="00380FB1">
      <w:pPr>
        <w:pStyle w:val="NormalHanging12a"/>
      </w:pPr>
      <w:r w:rsidRPr="007D7262">
        <w:t>5.</w:t>
      </w:r>
      <w:r w:rsidRPr="007D7262">
        <w:tab/>
        <w:t>отбелязва със задоволство, че в годишния си доклад за финансовата 2022 година Палатата заявява, че не е установила никакви конкретни проблеми, засягащи Комитета; отбелязва освен това, че в своя последващ преглед Палатата е счела, че препоръката, отправена към Комитета в годишния доклад за финансовата 2019 година, по отношение на необходимостта Комитетът да разработи политика за чувствителните функции, съответстваща на неговите стандарти за вътрешен контрол, е изпълнена в някои отношения;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Бюджетно и финансово управление</w:t>
      </w:r>
    </w:p>
    <w:p w:rsidR="00380FB1" w:rsidRPr="007D7262" w:rsidRDefault="00380FB1" w:rsidP="00380FB1">
      <w:pPr>
        <w:pStyle w:val="NormalHanging12a"/>
      </w:pPr>
      <w:r w:rsidRPr="007D7262">
        <w:t>6.</w:t>
      </w:r>
      <w:r w:rsidRPr="007D7262">
        <w:tab/>
        <w:t>отбелязва, че през 2022 г. окончателният приет бюджет на Комитета възлиза на 152 451 643 EUR, което представлява общо увеличение с 5,1% спрямо 2021 г.; отбелязва, че бюджетният ред за възнаграждения и надбавки се е увеличил с 5% между 2021 г. и 2022 г. поради годишната индексация на заплатите; отбелязва, че бюджетният ред за оборудване на помещения е намалял с 77% между 2021 г. и 2022 г. и е достигнал обичайните си равнища след изпълнението на съществени ремонтни работи през 2021 г.; отбелязва, че останалото разпределение на бюджетните кредити по бюджетните редове в бюджета за 2022 г. остава сравнимо с разпределението от предходни години;</w:t>
      </w:r>
    </w:p>
    <w:p w:rsidR="00380FB1" w:rsidRPr="007D7262" w:rsidRDefault="00380FB1" w:rsidP="00380FB1">
      <w:pPr>
        <w:pStyle w:val="NormalHanging12a"/>
      </w:pPr>
      <w:r w:rsidRPr="007D7262">
        <w:t>7.</w:t>
      </w:r>
      <w:r w:rsidRPr="007D7262">
        <w:tab/>
        <w:t>отбелязва, че степента на изпълнение на бюджета през 2022 г. е 96,12%, след две години по-ниска степен на изпълнение на бюджета поради пандемията от COVID-19 и свързаните с нея ограничения за пътуване; отбелязва, че степента на изпълнение на плащанията следва същата тенденция и е достигнала 88,12% през 2022 г.;</w:t>
      </w:r>
    </w:p>
    <w:p w:rsidR="00380FB1" w:rsidRPr="007D7262" w:rsidRDefault="00380FB1" w:rsidP="00380FB1">
      <w:pPr>
        <w:pStyle w:val="NormalHanging12a"/>
      </w:pPr>
      <w:r w:rsidRPr="007D7262">
        <w:t>8.</w:t>
      </w:r>
      <w:r w:rsidRPr="007D7262">
        <w:tab/>
        <w:t xml:space="preserve">отбелязва, че пренесените към 2022 г. бюджетни кредити възлизат на 20 162 518 EUR, т.е. приблизително 13% от годишния бюджет за 2022 г., което е значително по-високо от средното равнище за предходните години; разбира, че </w:t>
      </w:r>
      <w:r w:rsidRPr="007D7262">
        <w:lastRenderedPageBreak/>
        <w:t>този пренос се дължи на отлагането на строителни дейности през 2020 и 2021 г.;</w:t>
      </w:r>
    </w:p>
    <w:p w:rsidR="00380FB1" w:rsidRPr="007D7262" w:rsidRDefault="00380FB1" w:rsidP="00380FB1">
      <w:pPr>
        <w:pStyle w:val="NormalHanging12a"/>
      </w:pPr>
      <w:r w:rsidRPr="007D7262">
        <w:t>9.</w:t>
      </w:r>
      <w:r w:rsidRPr="007D7262">
        <w:tab/>
        <w:t>отбелязва, че средният срок на плащане през 2022 г. е 18 дни, което представлява рязко намаление от 2019 г., когато е бил 30,19 дни; оценява факта, че в същото време използването на електронно фактуриране се е увеличило от 58,54% през 2018 г. на 88,84% през 2022 г., което вероятно е допринесло за намаляването на сроковете на плащане през този период; приветства факта, че Комитетът е променил своите практики в резултат на препоръките от вътрешен одит относно сроковете на плащане, изпълнени през 2022 г., което е допринесло за намаляване на дела на забавените плащания до около 10% през 2022 г.;</w:t>
      </w:r>
    </w:p>
    <w:p w:rsidR="00380FB1" w:rsidRPr="007D7262" w:rsidRDefault="00380FB1" w:rsidP="00380FB1">
      <w:pPr>
        <w:pStyle w:val="NormalHanging12a"/>
      </w:pPr>
      <w:r w:rsidRPr="007D7262">
        <w:t>10.</w:t>
      </w:r>
      <w:r w:rsidRPr="007D7262">
        <w:tab/>
        <w:t>отбелязва, че през 2022 г. службите на Комитета са стартирали 15 процедури на договаряне на обществени поръчки на стойност под 60 000 EUR, главно за експертен опит, проучвания и логистична подкрепа; отбелязва, че процедурите за възлагане на обществени поръчки в областта на логистиката са стартирани от съвместните служби, които Комитетът споделя с Комитета на регионите („КР“);</w:t>
      </w:r>
    </w:p>
    <w:p w:rsidR="00380FB1" w:rsidRPr="007D7262" w:rsidRDefault="00380FB1" w:rsidP="00380FB1">
      <w:pPr>
        <w:pStyle w:val="NormalHanging12a"/>
      </w:pPr>
      <w:r w:rsidRPr="007D7262">
        <w:t>11.</w:t>
      </w:r>
      <w:r w:rsidRPr="007D7262">
        <w:tab/>
        <w:t xml:space="preserve">отбелязва, че през 2022 г. Комитетът е продължил да подобрява разходната ефективност на своите методи на работа, по-специално благодарение на хибридния модел на работа, пълната </w:t>
      </w:r>
      <w:proofErr w:type="spellStart"/>
      <w:r w:rsidRPr="007D7262">
        <w:t>дематериализация</w:t>
      </w:r>
      <w:proofErr w:type="spellEnd"/>
      <w:r w:rsidRPr="007D7262">
        <w:t xml:space="preserve"> на финансовите вериги и намаленото потребление на енергия; отбелязва освен това, че са постигнати бюджетни и административни икономии чрез междуинституционално сътрудничество, по-специално чрез съвместните служби с КР и възлагането на конкретни услуги на Комисията (срещу годишна такса) по въпроси, свързани с човешките ресурси, и използването на различни ИТ платформи за финансово управление и човешки ресурси, както и чрез участие в междуинституционални процедури за възлагане на обществени поръчки, провеждани от други институции;</w:t>
      </w:r>
    </w:p>
    <w:p w:rsidR="00380FB1" w:rsidRPr="007D7262" w:rsidRDefault="00380FB1" w:rsidP="00380FB1">
      <w:pPr>
        <w:pStyle w:val="NormalHanging12a"/>
      </w:pPr>
      <w:r w:rsidRPr="007D7262">
        <w:t>12.</w:t>
      </w:r>
      <w:r w:rsidRPr="007D7262">
        <w:tab/>
        <w:t>е наясно, че решенията, отнасящи се до надбавките на членовете на Комитета за участие в заседания и до размера на тези надбавки, се вземат от Съвета; изразява съжаление, че след постепенното премахване на ограниченията за пътуване, свързани с пандемията от COVID-19, Съветът реши да не отменя временното решение от 2021 г. за предоставяне на надбавка в размер на 145 EUR за дистанционно участие на членовете на заседания, което остава в сила до 25 май 2023 г., когато е прието ново решение на Съвета с единна ставка от 145 EUR на ден за дистанционно участие в заседания; счита, че дистанционното участие е важен инструмент за съвременните институции, като се има предвид, наред с другото, че то намалява разходите за заседанията и позволява по-широко участие, особено по време на кризисни ситуации, както стана ясно по време на пандемията от COVID-19; въпреки това счита, че макар и в намален размер, надбавката за дистанционно участие е трудно разбираема за обществеността, още повече като се вземе предвид разликата в надбавката, изплащана на членовете на Комитета и членовете на КР за дистанционно участие в заседанията; отбелязва няколкото нива на контрол, извършван с цел да се докаже, че даден член е участвал в заседание дистанционно преди изплащането на надбавката;</w:t>
      </w:r>
    </w:p>
    <w:p w:rsidR="00380FB1" w:rsidRPr="007D7262" w:rsidRDefault="00380FB1" w:rsidP="00380FB1">
      <w:pPr>
        <w:pStyle w:val="NormalHanging12a"/>
      </w:pPr>
      <w:r w:rsidRPr="007D7262">
        <w:t>13.</w:t>
      </w:r>
      <w:r w:rsidRPr="007D7262">
        <w:tab/>
        <w:t xml:space="preserve">отбелязва, че агресивната война на Русия срещу Украйна оказва натиск върху бюджета на Комитета, включително чрез растящата инфлация и корекции на заплатите и рязко увеличаващите се цени на енергията и цени на строителните дейности и материали; отбелязва по-специално, че разходите за енергия са се </w:t>
      </w:r>
      <w:r w:rsidRPr="007D7262">
        <w:lastRenderedPageBreak/>
        <w:t xml:space="preserve">увеличили от 726 000 EUR на 3 125 000 EUR между 2021 г. и 2022 г., т.е. с 330%; отбелязва, че </w:t>
      </w:r>
      <w:r w:rsidRPr="007D7262">
        <w:rPr>
          <w:i/>
          <w:iCs/>
        </w:rPr>
        <w:t>ad hoc</w:t>
      </w:r>
      <w:r w:rsidRPr="007D7262">
        <w:t xml:space="preserve"> дейностите в подкрепа на украинското гражданско общество са довели до преки и непреки разходи, като например разходи, свързани с писмен и устен превод към и от украински, посещения на представители на украински НПО и услуги за сигурност и обучения за командировки в Украйна;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t>14.</w:t>
      </w:r>
      <w:r w:rsidRPr="007D7262">
        <w:tab/>
        <w:t>отбелязва, че бюджетът за командировки на персонала за 2022 г. се е увеличил с 25 000 EUR в сравнение с 2021 г., което беше финансирано чрез бюджетен трансфер, за да се покрият по-високите разходи поради увеличението на цените на полетите и хотелите през 2022 г., и възлиза на общо 398 974 EUR; отбелязва, че през 2022 г. председателят на Комитета е участвал в 26 командировки, за които разходите възлизат на общо 38 042 EUR, в сравнение с 12 командировки с общи разходи в размер на 15 327 EUR през 2021 г. след премахването на ограниченията за пътуване след края на пандемията от COVID-19;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Вътрешно управление, резултати от дейността и вътрешен контрол</w:t>
      </w:r>
    </w:p>
    <w:p w:rsidR="00380FB1" w:rsidRPr="007D7262" w:rsidRDefault="00380FB1" w:rsidP="00380FB1">
      <w:pPr>
        <w:pStyle w:val="NormalHanging12a"/>
      </w:pPr>
      <w:r w:rsidRPr="007D7262">
        <w:t>15.</w:t>
      </w:r>
      <w:r w:rsidRPr="007D7262">
        <w:tab/>
        <w:t>отбелязва, че Комитетът изпълнява своята мисия чрез становища по законодателни предложения, направени от Комисията (сезирания), становища по собствена инициатива, в които институциите на Съюза се призовават да предприемат действия, и проучвателни становища, които се използват от Комисията за планираните ѝ инициативи и че позициите на Комитета могат да бъдат посочвани в резолюции или включвани в доклади за оценка и информационни доклади; отбелязва, че през 2022 г. Комитетът е приел 202 становища и доклади, което съответства на средното годишно равнище, с изключение на 2019 г. и 2020 г., когато дейността на Комитета е била по-ниска; отбелязва, че Комитетът също така е засилил участието си в политическия и законодателния цикъл, като е участвал на 345 срещи на високо национално, съюзно и международно равнище, срещи на върха и конференции и е организирал 116 изслушвания и 29 конференции;</w:t>
      </w:r>
    </w:p>
    <w:p w:rsidR="00380FB1" w:rsidRPr="007D7262" w:rsidRDefault="00380FB1" w:rsidP="00380FB1">
      <w:pPr>
        <w:pStyle w:val="NormalHanging12a"/>
      </w:pPr>
      <w:r w:rsidRPr="007D7262">
        <w:t>16.</w:t>
      </w:r>
      <w:r w:rsidRPr="007D7262">
        <w:tab/>
        <w:t xml:space="preserve">оценява стартирането през 2022 г. на проекти по отношение на засиленото проследяване на последващите действия от становища с оглед увеличаване на обхвата и въздействието на избрани становища и подобряване на капацитета на Комитета да </w:t>
      </w:r>
      <w:proofErr w:type="spellStart"/>
      <w:r w:rsidRPr="007D7262">
        <w:t>приоритизира</w:t>
      </w:r>
      <w:proofErr w:type="spellEnd"/>
      <w:r w:rsidRPr="007D7262">
        <w:t xml:space="preserve"> работата си, както и по отношение на по-навременното предоставяне на становищата на Комитета; отбелязва, че в края на 2022 г. тези инициативи бяха допълнени от разглеждане на </w:t>
      </w:r>
      <w:proofErr w:type="spellStart"/>
      <w:r w:rsidRPr="007D7262">
        <w:t>форма̀та</w:t>
      </w:r>
      <w:proofErr w:type="spellEnd"/>
      <w:r w:rsidRPr="007D7262">
        <w:t xml:space="preserve"> на становищата, с цел насърчаване на по-ефикасното и ефективно използване на становищата на Комитета в процеса на вземане на законодателни решения;</w:t>
      </w:r>
    </w:p>
    <w:p w:rsidR="00380FB1" w:rsidRPr="007D7262" w:rsidRDefault="00380FB1" w:rsidP="00380FB1">
      <w:pPr>
        <w:pStyle w:val="NormalHanging12a"/>
      </w:pPr>
      <w:r w:rsidRPr="007D7262">
        <w:t>17.</w:t>
      </w:r>
      <w:r w:rsidRPr="007D7262">
        <w:tab/>
        <w:t>отбелязва, че през 2022 г. членове на Парламента са участвали в 68 заседания или събития, организирани от Комитета, което е същото равнище на участие като през 2021 г., докато членовете на Комитета почти са удвоили участието си в събития, организирани от Парламента през същия период; приветства акцента, поставен от Комитета през 2022 г. върху засилването на отношенията с Парламента и върху увеличаване на добавената стойност на Комитета, насърчавайки по този начин още по-тесните връзки между секциите на Комитета и парламентарните комисии;</w:t>
      </w:r>
    </w:p>
    <w:p w:rsidR="00380FB1" w:rsidRPr="007D7262" w:rsidRDefault="00380FB1" w:rsidP="00380FB1">
      <w:pPr>
        <w:pStyle w:val="NormalHanging12a"/>
      </w:pPr>
      <w:r w:rsidRPr="007D7262">
        <w:t>18.</w:t>
      </w:r>
      <w:r w:rsidRPr="007D7262">
        <w:tab/>
        <w:t xml:space="preserve">отбелязва широкото участие на Комитета в различни инициативи, включително ключови прояви и годишни конференции с цел взаимодействие със заинтересованите страни от Европа; приветства усилията на Комитета за </w:t>
      </w:r>
      <w:r w:rsidRPr="007D7262">
        <w:lastRenderedPageBreak/>
        <w:t>засилване на участието на младите хора в изготвянето на политиките;</w:t>
      </w:r>
    </w:p>
    <w:p w:rsidR="00380FB1" w:rsidRPr="007D7262" w:rsidRDefault="00380FB1" w:rsidP="00380FB1">
      <w:pPr>
        <w:pStyle w:val="NormalHanging12a"/>
      </w:pPr>
      <w:r w:rsidRPr="007D7262">
        <w:t>19.</w:t>
      </w:r>
      <w:r w:rsidRPr="007D7262">
        <w:tab/>
        <w:t>отбелязва, че Комитетът е продължил да укрепва своята рамка за вътрешен контрол през 2022 г. с опростяването на финансовите потоци по процедурата на „кратък преглед“ за някои операции с ниска стойност, както и да развива политиката си по отношение на чувствителните длъжности, в съответствие с препоръката на Палатата в нейния годишен доклад за финансовата 2019 година; отбелязва, че въз основа на актуализацията на списъка на чувствителните длъжности през цялата 2022 г. и към момента на публикуването на актуализирания списък от 36 длъжности в началото на 2023 г., Комитетът все още продължава да работи по прегледа на методологията и системата за управление на риска, отчитайки както размера на институцията, така и естеството на нейните операции; изисква от Комитета да информира органа по освобождаване от отговорност за напредъка, постигнат по отношение на прилагането на методологията за чувствителните длъжности през 2023 г.;</w:t>
      </w:r>
    </w:p>
    <w:p w:rsidR="00380FB1" w:rsidRPr="007D7262" w:rsidRDefault="00380FB1" w:rsidP="00380FB1">
      <w:pPr>
        <w:pStyle w:val="NormalHanging12a"/>
      </w:pPr>
      <w:r w:rsidRPr="007D7262">
        <w:t>20.</w:t>
      </w:r>
      <w:r w:rsidRPr="007D7262">
        <w:tab/>
        <w:t>приветства усилията на Комитета за установяване на по-ясна и по-последователна рамка за одит чрез финализирането на хартата за вътрешен одит и хартата на одиторския комитет, които включват процедурни правила, одобрени от одитния комитет през декември 2022 г. и приети от бюрото на Комитета в началото на 2023 г.; оценява укрепването на функцията за вътрешен одит на Комитета през 2022 г., по-специално с назначаването на администратор в неговата служба за вътрешен одит и тясното сътрудничество с вътрешния одитор на Комитета на регионите (КР) по всички аспекти, свързани с одита на съвместните служби; отбелязва, че през 2022 г. са стартирани четири одита на тема закъснели плащания, разрешения за заседания, стратегическия цикъл и подбора на делегати в Консултативната комисия по индустриални промени;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Човешки ресурси, равенство и благосъстояние на служителите</w:t>
      </w:r>
    </w:p>
    <w:p w:rsidR="00380FB1" w:rsidRPr="007D7262" w:rsidRDefault="00380FB1" w:rsidP="00380FB1">
      <w:pPr>
        <w:pStyle w:val="NormalHanging12a"/>
      </w:pPr>
      <w:r w:rsidRPr="007D7262">
        <w:t>21.</w:t>
      </w:r>
      <w:r w:rsidRPr="007D7262">
        <w:tab/>
        <w:t>отбелязва, че в края на 2022 г. Комитетът е имал общо 706 служители в сравнение с 699 през 2021 г.; отбелязва, че в края на 2022 г. в Комитета са работили 50 договорно наети служители и 128 срочно наети служители (което представлява увеличение в сравнение с 46 договорно наети служители и 107 срочно наети служители през 2021 г.), включително 19 договорно наети служители и 3 срочно наети служители с неопределен срок на договора; отбелязва освен това, че в Комитета са работили 12 временни служители и 7 външни служители, работещи на място, без външните доставчици на услуги в областта на логистиката и информационните технологии; отбелязва, че през 2022 г. процентът на заемане на длъжностите в щатното разписание е бил 95,1%;</w:t>
      </w:r>
    </w:p>
    <w:p w:rsidR="00380FB1" w:rsidRPr="007D7262" w:rsidRDefault="00380FB1" w:rsidP="00380FB1">
      <w:pPr>
        <w:pStyle w:val="NormalHanging12a"/>
      </w:pPr>
      <w:r w:rsidRPr="007D7262">
        <w:t>22.</w:t>
      </w:r>
      <w:r w:rsidRPr="007D7262">
        <w:tab/>
        <w:t>приветства непрекъснатите усилия на Комитета за подобряване на неговата рамка в областта на човешките ресурси с оглед превръщането му в привлекателен работодател и напълно приобщаващо работно място, където всеки човек е ценен и може да развие напълно своя потенциал; отбелязва, че интегрираната стратегия в областта на човешките ресурси, приета през юни 2022 г., е структурирана около принципите на приобщаване, задържане, компетентност и ефективност; оценява факта, че едно от първите последващи действия на Комитета беше стартирането на проучване на удовлетвореността на персонала през януари 2023 г. с акцент върху ангажирането на персонала;</w:t>
      </w:r>
    </w:p>
    <w:p w:rsidR="00380FB1" w:rsidRPr="007D7262" w:rsidRDefault="00380FB1" w:rsidP="00380FB1">
      <w:pPr>
        <w:pStyle w:val="NormalHanging12a"/>
      </w:pPr>
      <w:r w:rsidRPr="007D7262">
        <w:lastRenderedPageBreak/>
        <w:t>23.</w:t>
      </w:r>
      <w:r w:rsidRPr="007D7262">
        <w:tab/>
        <w:t xml:space="preserve">подчертава, че приобщаването на </w:t>
      </w:r>
      <w:proofErr w:type="spellStart"/>
      <w:r w:rsidRPr="007D7262">
        <w:t>новопостъпилите</w:t>
      </w:r>
      <w:proofErr w:type="spellEnd"/>
      <w:r w:rsidRPr="007D7262">
        <w:t xml:space="preserve"> служители е важен фактор за стратегическо съгласуване, който гарантира, че служителите са информирани за действащите правила и стратегии в дадена институция; отбелязва, че въвеждащите обучения за </w:t>
      </w:r>
      <w:proofErr w:type="spellStart"/>
      <w:r w:rsidRPr="007D7262">
        <w:t>новопостъпили</w:t>
      </w:r>
      <w:proofErr w:type="spellEnd"/>
      <w:r w:rsidRPr="007D7262">
        <w:t xml:space="preserve"> служители на Комитета са възобновени през април 2022 г.; приветства разработването от Комитета на схема за наставничество, при която на наставниците се осигуряват подкрепа и съвети под формата на обмен на най-добри практики за адаптиране на техните методи към хибридната работна среда;</w:t>
      </w:r>
    </w:p>
    <w:p w:rsidR="00380FB1" w:rsidRPr="007D7262" w:rsidRDefault="00380FB1" w:rsidP="00380FB1">
      <w:pPr>
        <w:pStyle w:val="NormalHanging12a"/>
      </w:pPr>
      <w:r w:rsidRPr="007D7262">
        <w:t>24.</w:t>
      </w:r>
      <w:r w:rsidRPr="007D7262">
        <w:tab/>
        <w:t>отбелязва, че с оглед на по-доброто разпределение на ограничените си ресурси, през 2022 г. Комитетът е поръчал външно картографиране на човешките ресурси, което е потвърдило голямото работно натоварване на множество различни служби в Комитета поради недостига на ресурси след намаляването на щатното разписание през 2013 г.; отбелязва, че като последващо действие на външния одит на картографирането на човешките ресурси Комитетът е започнал подготовка на план за действие, включващ действия в обхвата на интегрираната стратегия за човешките ресурси, като преглед на системата за оценка на ефективността, разработване на вътрешна комуникационна стратегия, приемане на новото решение относно условията на труд и организиране на редовен мониторинг на ангажираността на персонала; призовава Комитета да предостави актуализирана информация относно последващите действия във връзка с картографирането на човешките ресурси през 2023 г.;</w:t>
      </w:r>
    </w:p>
    <w:p w:rsidR="00380FB1" w:rsidRPr="007D7262" w:rsidRDefault="00380FB1" w:rsidP="00380FB1">
      <w:pPr>
        <w:pStyle w:val="NormalHanging12a"/>
      </w:pPr>
      <w:r w:rsidRPr="007D7262">
        <w:t>25.</w:t>
      </w:r>
      <w:r w:rsidRPr="007D7262">
        <w:tab/>
        <w:t>отбелязва със задоволство новото решение за гъвкави схеми на работа, влязло в сила на 1 април 2022 г. под формата на пилотен проект, което въвежда гъвкава и основана на доверие политика за хибридна работа и предвижда широк спектър от модели на работа на непълно работно време и гъвкави дневни и седмични схеми на работа за служителите; отбелязва, че около 25% от жените и 14,4% от мъжете, работещи в Комитета, са подали заявления за нестандартни модели на работа през 2022 г.; отбелязва, че решението относно условията на труд предоставя на служителите възможност да работят дистанционно до 60% от работното си време, при условие че това е съвместимо с интереса на службата, и да работят от разстояние от място, различно от мястото им на работа, 15 дни на календарна година; отбелязва, че служителите на Комитета разполагат с необходимото оборудване, за да имат добри условия на труд, когато работят дистанционно; приветства провеждането от комисията за оценка на проучване на удовлетвореността на персонала, започнало в края на 2022 г.; отбелязва, че окончателното решение относно условията на труд след социалния диалог със синдикалните организации на персонала и комитета по персонала и правната служба на Комитета е следвало да бъде прието до края на 2023 г.; изисква от Комитета своевременно да информира органа по освобождаване от отговорност относно развитието във връзка с това;</w:t>
      </w:r>
    </w:p>
    <w:p w:rsidR="00380FB1" w:rsidRPr="007D7262" w:rsidRDefault="00380FB1" w:rsidP="00380FB1">
      <w:pPr>
        <w:pStyle w:val="NormalHanging12a"/>
      </w:pPr>
      <w:r w:rsidRPr="007D7262">
        <w:t>26.</w:t>
      </w:r>
      <w:r w:rsidRPr="007D7262">
        <w:tab/>
        <w:t xml:space="preserve">изразява съжаление, че и за 2022 г. Комитетът не може да предостави данни за случаи на професионално изчерпване в рамките на Комитета; зачита ограниченията, свързани със защитата на данните, но припомня на Комитета значението на </w:t>
      </w:r>
      <w:proofErr w:type="spellStart"/>
      <w:r w:rsidRPr="007D7262">
        <w:t>анонимизираните</w:t>
      </w:r>
      <w:proofErr w:type="spellEnd"/>
      <w:r w:rsidRPr="007D7262">
        <w:t xml:space="preserve"> статистически данни в рамките на дадена организация в подкрепа на управленските решения; отново заявява, че следва да се вземат предвид действията за повишаване на осведомеността, добрите практики във връзка с управлението на работното натоварване, комуникацията и разрешаването на конфликти, както и политиката относно завръщането на работа; </w:t>
      </w:r>
      <w:r w:rsidRPr="007D7262">
        <w:lastRenderedPageBreak/>
        <w:t>разбира, че приемането на новите схеми на работа е положителна стъпка към по-ефективно предотвратяване на професионалното изчерпване на организационно равнище, което следва също така да отчита констатациите от резултатите от картографирането на човешките ресурси;</w:t>
      </w:r>
    </w:p>
    <w:p w:rsidR="00380FB1" w:rsidRPr="007D7262" w:rsidRDefault="00380FB1" w:rsidP="00380FB1">
      <w:pPr>
        <w:pStyle w:val="NormalHanging12a"/>
      </w:pPr>
      <w:r w:rsidRPr="007D7262">
        <w:t>27.</w:t>
      </w:r>
      <w:r w:rsidRPr="007D7262">
        <w:tab/>
        <w:t>отбелязва, че през 2022 г. жените продължават да съставляват по-голям дял от служителите на Комитета (64,6% от всички служители), включително на средно управленско равнище (59% от всички служители на ръководни длъжности); отбелязва, че все още има какво да се желае по отношение на представителството на жените на висши ръководни длъжности, като се има предвид, че в края на 2022 г. само трима от седемте членове на висшето ръководство са жени; насърчава Комитета да продължи усилията си по отношение на баланса между половете, по-специално като повишава осведомеността на органа по назначаване и като гарантира, че съставът на различните органи, включително комисиите за набиране и подбор на човешки ресурси, остава балансиран по отношение на половете;</w:t>
      </w:r>
    </w:p>
    <w:p w:rsidR="00380FB1" w:rsidRPr="007D7262" w:rsidRDefault="00380FB1" w:rsidP="00380FB1">
      <w:pPr>
        <w:pStyle w:val="NormalHanging12a"/>
      </w:pPr>
      <w:r w:rsidRPr="007D7262">
        <w:t>28.</w:t>
      </w:r>
      <w:r w:rsidRPr="007D7262">
        <w:tab/>
        <w:t>приветства работата за приемане на нова политика за многообразие и приобщаване от 2022 г. до 2023 г. и консултациите в тази връзка с ръководството на Комитета, съвместния комитет за равни възможности на Комитета и комитета по персонала на Комитета; отбелязва, че в допълнение към проведените вътрешни комуникационни дейности през декември 2022 г. беше проведена специална кампания за повишаване на осведомеността срещу хомофобията; приветства провеждането на специално обучение по въпросите на многообразието и приобщаването, което е било задължително за служителите на ръководни длъжности и препоръчително за персонала, както и специалния курс по въпросите на многообразието и приобщаването, предложен на членовете на Комитета като част от годишната им програма за обучение; насърчава Комитета да продължи да обсъжда с Парламента присъединяването си към Програмата на Парламента за позитивно действие за хората с увреждания с цел назначаване на договорно наети служители с увреждания; отново отправя призива си от процедурата по освобождаване от отговорност във връзка с изпълнението на бюджета за 2021 г. Комитетът да финализира актуализирана стратегия и план за действие за многообразие и приобщаване;</w:t>
      </w:r>
    </w:p>
    <w:p w:rsidR="00380FB1" w:rsidRPr="007D7262" w:rsidRDefault="00380FB1" w:rsidP="00380FB1">
      <w:pPr>
        <w:pStyle w:val="NormalHanging12a"/>
      </w:pPr>
      <w:r w:rsidRPr="007D7262">
        <w:t>29.</w:t>
      </w:r>
      <w:r w:rsidRPr="007D7262">
        <w:tab/>
        <w:t xml:space="preserve">отбелязва, че въпреки че всички държави членки са представени сред служителите на Комитета, все още не е постигнат географски баланс, тъй като някои националности продължават да бъдат </w:t>
      </w:r>
      <w:proofErr w:type="spellStart"/>
      <w:r w:rsidRPr="007D7262">
        <w:t>свръхпредставени</w:t>
      </w:r>
      <w:proofErr w:type="spellEnd"/>
      <w:r w:rsidRPr="007D7262">
        <w:t xml:space="preserve"> в сравнение с други; отбелязва, че през 2022 г. 21% от служителите на ръководни длъжности на Комитета са били от 13-те държави членки, присъединили се към Съюза след 2004 г., което представлява леко увеличение в сравнение с 19% през 2021 г.; отново насърчава Комитета да продължи да предприема стъпки за постигане на балансирано от географска гледна точка представителство в рамките на своя персонал, със специален акцент върху управленското равнище;</w:t>
      </w:r>
    </w:p>
    <w:p w:rsidR="00380FB1" w:rsidRPr="007D7262" w:rsidRDefault="00380FB1" w:rsidP="00380FB1">
      <w:pPr>
        <w:pStyle w:val="NormalHanging12a"/>
      </w:pPr>
      <w:r w:rsidRPr="007D7262">
        <w:t>30.</w:t>
      </w:r>
      <w:r w:rsidRPr="007D7262">
        <w:tab/>
        <w:t xml:space="preserve">отбелязва, че през 2022 г. Комитетът е приел 52-ма стажанти за срок от пет месеца, четирима стажанти за срок от три месеца и двама стажанти, получили безвъзмездни средства, отпуснати от външни публични органи; отбелязва, че всички стажантите със срок от пет месеца са получавали месечна стипендия и надбавки, докато по-краткосрочните стажанти не са имали право на никакъв финансов принос; приветства факта, че вследствие на призива на Парламента по </w:t>
      </w:r>
      <w:r w:rsidRPr="007D7262">
        <w:lastRenderedPageBreak/>
        <w:t>време на процедурата по освобождаване от отговорност във връзка с изпълнението на бюджета за 2020 г. през 2022 г. е започнала процедура по преразглеждане на решението относно стажовете в Комитета с цел прекратяване на неплатените краткосрочни стажове и гарантиране, че всички стажанти получават достойно възнаграждение; подчертава, че новото решение относно стажовете влезе в сила през юли 2023 г., като гарантира месечен доход, както и надбавки за пътуване и мобилност и помощ за инвалидност, когато е приложима, както за дългосрочните, така и за краткосрочните стажанти;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Етична рамка и прозрачност</w:t>
      </w:r>
    </w:p>
    <w:p w:rsidR="00380FB1" w:rsidRPr="007D7262" w:rsidRDefault="00380FB1" w:rsidP="00380FB1">
      <w:pPr>
        <w:pStyle w:val="NormalHanging12a"/>
      </w:pPr>
      <w:r w:rsidRPr="007D7262">
        <w:t>31.</w:t>
      </w:r>
      <w:r w:rsidRPr="007D7262">
        <w:tab/>
        <w:t>отбелязва, че Комитетът е продължил процеса на вътрешна реформа с приемането на нов процедурен правилник през март 2022 г. и разпоредбите за неговото прилагане през ноември 2022 г.; изразява съжаление въпреки това, че конкретните отношения между член и длъжностно лице не се разглеждат отделно във връзка с тормоза; отбелязва, че процедурният правилник вече е приведен в съответствие и е съгласуван с кодекса за поведение, приет през 2021 г. след вътрешния одит на Комитета относно етиката и почтеността; отправя искане към Комитета да информира Парламента дали е извършена планираната оценка на изпълнението на плана за действие за одит на етиката и почтеността, както и какъв е бил резултатът от тази оценка; приветства инициираното през 2022 г. обсъждане за изготвяне на харта на ценностите за служителите на Комитета след приобщаващ процес на участие, която беше финализирана и съобщена на служителите през 2023 г.; счита, че само политика на нулева толерантност към тормоза ще предпази Комитета от бъдещи обвинения в тормоз и тежки нарушения;</w:t>
      </w:r>
    </w:p>
    <w:p w:rsidR="00380FB1" w:rsidRPr="007D7262" w:rsidRDefault="00380FB1" w:rsidP="00380FB1">
      <w:pPr>
        <w:pStyle w:val="NormalHanging12a"/>
      </w:pPr>
      <w:r w:rsidRPr="007D7262">
        <w:t>32.</w:t>
      </w:r>
      <w:r w:rsidRPr="007D7262">
        <w:tab/>
        <w:t>отбелязва, че след влизането в сила на преразгледаното решение на Комитета относно подаването на сигнали за нередности на 15 декември 2021 г. (Решение 297/21A), както и на преразгледаното решение относно процедурите за предотвратяване и справяне с психически и сексуален тормоз на работното място (Решение 090/22A), прието на 31 март 2022 г., обновената етична правна рамка се очакваше да бъде завършена с преразглеждане на решението за определяне на общи разпоредби за прилагане относно дисциплинарните процедури и административните разследвания, съгласувано с Комитета на регионите; отбелязва, че през 2022 г. е прието ново решение относно външните дейности и задачи (Решение № 141/22A), приложимо за активно заетия персонал, командированите служители и бившите служители, в съответствие с разпоредбите на Правилника за длъжностните лица, приложим към момента на прекратяване на служебното правоотношение;</w:t>
      </w:r>
    </w:p>
    <w:p w:rsidR="00380FB1" w:rsidRPr="007D7262" w:rsidRDefault="00380FB1" w:rsidP="00380FB1">
      <w:pPr>
        <w:pStyle w:val="NormalHanging12a"/>
      </w:pPr>
      <w:r w:rsidRPr="007D7262">
        <w:t>33.</w:t>
      </w:r>
      <w:r w:rsidRPr="007D7262">
        <w:tab/>
        <w:t xml:space="preserve">отбелязва със задоволство, че през 2022 г. Комитетът е продължил да обучава служителите и да повишава осведомеността им относно съществуващата етична рамка, по-специално относно новия кодекс за поведение, тормоза и подаването на сигнали за нередности, както и относно ролята и отговорностите на съветниците по етика, чийто мандат започна през януари 2022 г.; отбелязва, че през 2022 г. 116 служители, включително служители на ръководни длъжности и </w:t>
      </w:r>
      <w:proofErr w:type="spellStart"/>
      <w:r w:rsidRPr="007D7262">
        <w:t>новопостъпили</w:t>
      </w:r>
      <w:proofErr w:type="spellEnd"/>
      <w:r w:rsidRPr="007D7262">
        <w:t xml:space="preserve"> служители, са участвали във вътрешни курсове за обучение по етика, а 26 служители са посещавали курсове за обучение по етика, предоставяни от Комисията и Европейското училище по администрация; отбелязва, че за екипа от съветници по етика е разработен и предоставен специален курс за обучение; приветства факта, че 83% от респондентите в проучването на удовлетвореността </w:t>
      </w:r>
      <w:r w:rsidRPr="007D7262">
        <w:lastRenderedPageBreak/>
        <w:t>на персонала, проведено през 2022 г., показват добра осведоменост относно етичното поведение и засилената етична рамка на Комитета;</w:t>
      </w:r>
    </w:p>
    <w:p w:rsidR="00380FB1" w:rsidRPr="007D7262" w:rsidRDefault="00380FB1" w:rsidP="00380FB1">
      <w:pPr>
        <w:pStyle w:val="NormalHanging12a"/>
        <w:rPr>
          <w:color w:val="000000" w:themeColor="text1"/>
        </w:rPr>
      </w:pPr>
      <w:r w:rsidRPr="007D7262">
        <w:t>34.</w:t>
      </w:r>
      <w:r w:rsidRPr="007D7262">
        <w:tab/>
        <w:t>отбелязва, по отношение на случаите на тормоз, докладвани при освобождаването от отговорност във връзка с изпълнението на бюджета през последните години, че последното споразумение за уреждане на спор, свързано със случай OC/2018/0666/A1 на Европейската служба за борба с измамите (OLAF), е сключено на 1 октомври 2022 г., което позволи на Комитета да приключи изцяло всички искания за помощ, свързани с този случай; приветства факта, че на 13 април 2022 г. тогавашният председател на Комитета направи публично изявление, публикувано на уебсайта на Комитета, в което поднесе официално извинение от името на Комитета на всички жертви, както на членовете на персонала, така и на бившия член на Комитета, във връзка с въпросния случай;</w:t>
      </w:r>
      <w:r w:rsidRPr="007D7262">
        <w:rPr>
          <w:color w:val="000000" w:themeColor="text1"/>
        </w:rPr>
        <w:t xml:space="preserve"> приветства факта, че с решението си от 6 октомври 2022 г. по дело C-673/21</w:t>
      </w:r>
      <w:r w:rsidRPr="007D7262">
        <w:rPr>
          <w:rStyle w:val="FootnoteReference"/>
          <w:color w:val="000000" w:themeColor="text1"/>
        </w:rPr>
        <w:footnoteReference w:id="6"/>
      </w:r>
      <w:r w:rsidRPr="007D7262">
        <w:rPr>
          <w:color w:val="000000" w:themeColor="text1"/>
        </w:rPr>
        <w:t xml:space="preserve"> Съдът на Европейския съюз потвърди законосъобразността на мерките, предприети от бюрото на Комитета с решението му от 9 юни 2020 г.;</w:t>
      </w:r>
    </w:p>
    <w:p w:rsidR="00380FB1" w:rsidRPr="007D7262" w:rsidRDefault="00380FB1" w:rsidP="00380FB1">
      <w:pPr>
        <w:pStyle w:val="NormalHanging12a"/>
      </w:pPr>
      <w:r w:rsidRPr="007D7262">
        <w:t>35.</w:t>
      </w:r>
      <w:r w:rsidRPr="007D7262">
        <w:tab/>
        <w:t>повтаря призива си към Комитета за външно и независимо разследване специално за преглед на процедурите на Комитета в областта на човешките ресурси и тяхната ефективност с акцент върху определянето на отговорностите на административната йерархия при разглеждането на твърдения за тормоз и гарантирането на благосъстоянието на персонала; отхвърля, въпреки мерките, предприети за укрепване на етичната рамка на Комитета през последните години, позицията на Комитета, че такова разследване не е необходимо, тъй като въведените мерки са позволили решаването на случая на тормоз, и припомня, че Парламентът вече изрази загриженост относно повтарящата се бавна реакция на Комитета във въпросните случаи;</w:t>
      </w:r>
    </w:p>
    <w:p w:rsidR="00380FB1" w:rsidRPr="007D7262" w:rsidRDefault="00380FB1" w:rsidP="00380FB1">
      <w:pPr>
        <w:pStyle w:val="NormalHanging12a"/>
      </w:pPr>
      <w:r w:rsidRPr="007D7262">
        <w:t>36.</w:t>
      </w:r>
      <w:r w:rsidRPr="007D7262">
        <w:tab/>
        <w:t>отбелязва, че Европейският омбудсман е извършил три проверки в отговор на жалби през 2022 г.; отбелязва, че един случай е довел до разследване, при което се е стигнало до заключението, че не е налице лошо администриране; отбелязва, че два други случая са приключени без разследване, като омбудсманът счита, че двата случая междувременно са били разрешени;</w:t>
      </w:r>
    </w:p>
    <w:p w:rsidR="00380FB1" w:rsidRPr="007D7262" w:rsidRDefault="00380FB1" w:rsidP="00380FB1">
      <w:pPr>
        <w:pStyle w:val="NormalHanging12a"/>
      </w:pPr>
      <w:r w:rsidRPr="007D7262">
        <w:t>37.</w:t>
      </w:r>
      <w:r w:rsidRPr="007D7262">
        <w:tab/>
        <w:t>отбелязва със загриженост, че четири текущи случая на предполагаем тормоз все още са били в процес на разглеждане от Комитета през 2022 г.; отправя искане към Комитета да информира своевременно Парламента за развитието по тези случаи; отбелязва, че през 2022 г. не са докладвани нови случаи на предполагаем тормоз в рамките на Комитета, засягащи негови служители или негови членове, но отчита, че през 2022 г. в друга институция са докладвани твърдения за тормоз, отнасящи се до член на персонала на Комитета; отправя искане към Комитета да информира Парламента относно последващите действия по този случай в сътрудничество с другата засегната институция;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38.</w:t>
      </w:r>
      <w:r w:rsidRPr="007D7262">
        <w:tab/>
        <w:t xml:space="preserve">отбелязва, че Комитетът е гражданска страна по текущото съдебно производство, образувано от националните органи на Белгия срещу бивш член, обвинен в неправомерни действия, което понастоящем се разглежда от белгийския съд и по което се очаква решение; отправя искане към Комитета да информира </w:t>
      </w:r>
      <w:r w:rsidRPr="007D7262">
        <w:lastRenderedPageBreak/>
        <w:t>своевременно Парламента за развитието по това дело;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39.</w:t>
      </w:r>
      <w:r w:rsidRPr="007D7262">
        <w:tab/>
        <w:t>отбелязва, че три случая на подаване на сигнали за нередности са били официално заведени от членове или служители на Комитета през 2022 г.; отбелязва, че и трите случая са били разгледани и приключени бързо при надлежна защита на лицата, подали сигнал за нередност, в съответствие с решението относно подаването на сигнали за нередности (Решение 297/21A); отбелязва освен това, че два сигнала за потенциални нередности са били получени от съветниците по етика през 2022 г., но че и двата не са били потвърдени;</w:t>
      </w:r>
    </w:p>
    <w:p w:rsidR="00380FB1" w:rsidRPr="007D7262" w:rsidRDefault="00380FB1" w:rsidP="00380FB1">
      <w:pPr>
        <w:pStyle w:val="NormalHanging12a"/>
      </w:pPr>
      <w:r w:rsidRPr="007D7262">
        <w:t>40.</w:t>
      </w:r>
      <w:r w:rsidRPr="007D7262">
        <w:tab/>
        <w:t>оценява готовността на Комитета да съдейства на разследващите органи на Съюза (OLAF и Европейската прокуратура); отбелязва, че през 2022 г. OLAF е приключила два случая на предполагаемо присвояване на средства на Съюза и възможни нередности и тежки нарушения, засягащи двама членове, поради липса на доказателства за измама и разкрития; отбелязва със загриженост, че през 2023 г. OLAF е открила три нови случая срещу членове във връзка с потенциални измами, два от които са приключени през същата година и предадени на Европейската прокуратура за разглеждане; отбелязва, че OLAF е отнесла до комисията по етика на Комитета един случай относно предполагаемо нарушение на кодекса за поведение на Комитета от страна на член на Комитета; отправя искане към Комитета да информира своевременно Парламента за развитието по този случай;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41.</w:t>
      </w:r>
      <w:r w:rsidRPr="007D7262">
        <w:tab/>
        <w:t>поздравява Комитета за решението да се присъедини официално, считано от 1 юни 2023 г., към регистъра на ЕС за прозрачност, създаден с междуинституционалното споразумение от 20 май 2021 г. между Европейския парламент, Съвета на Европейския съюз и Европейската комисия за задължителен регистър за прозрачност</w:t>
      </w:r>
      <w:r w:rsidRPr="007D7262">
        <w:rPr>
          <w:szCs w:val="24"/>
          <w:vertAlign w:val="superscript"/>
        </w:rPr>
        <w:footnoteReference w:id="7"/>
      </w:r>
      <w:r w:rsidRPr="007D7262">
        <w:t>; отбелязва, че на 21 март 2023 г. Комитетът е приел няколко мерки за прозрачност в съответствие с принципите, определени по отношение на регистъра за прозрачност на ЕС, като например препоръката членовете на мандатна длъжност да се срещат само с регистрирани заинтересовани страни, задължението членовете на мандатна длъжност да публикуват списъци на срещите си и въвеждането на доброволен „законодателен отпечатък“ за докладчиците;</w:t>
      </w:r>
    </w:p>
    <w:p w:rsidR="00380FB1" w:rsidRPr="007D7262" w:rsidRDefault="00380FB1" w:rsidP="00380FB1">
      <w:pPr>
        <w:pStyle w:val="NormalHanging12a"/>
      </w:pPr>
      <w:r w:rsidRPr="007D7262">
        <w:t>42.</w:t>
      </w:r>
      <w:r w:rsidRPr="007D7262">
        <w:tab/>
        <w:t>изразява съжаление, че Комитетът е въвел редица мерки за предотвратяване на измамите, но все още не е въвел интегрирана стратегия за борба с измамите, въпреки отправените от Парламента искания; приветства завършването от Комитета на опис на областите, които са от значение за започването на вътрешен анализ на риска от измами, като политики и процедури, обучение на персонала и сътрудничество с други органи, с цел подобряване на рамката за борба с измамите;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 xml:space="preserve">Цифровизация, </w:t>
      </w:r>
      <w:proofErr w:type="spellStart"/>
      <w:r w:rsidRPr="007D7262">
        <w:rPr>
          <w:b/>
          <w:i/>
        </w:rPr>
        <w:t>киберсигурност</w:t>
      </w:r>
      <w:proofErr w:type="spellEnd"/>
      <w:r w:rsidRPr="007D7262">
        <w:rPr>
          <w:b/>
          <w:i/>
        </w:rPr>
        <w:t xml:space="preserve"> и защита на данните</w:t>
      </w:r>
    </w:p>
    <w:p w:rsidR="00380FB1" w:rsidRPr="007D7262" w:rsidRDefault="00380FB1" w:rsidP="00380FB1">
      <w:pPr>
        <w:pStyle w:val="NormalHanging12a"/>
      </w:pPr>
      <w:r w:rsidRPr="007D7262">
        <w:t>43.</w:t>
      </w:r>
      <w:r w:rsidRPr="007D7262">
        <w:tab/>
        <w:t xml:space="preserve">отбелязва, че през 2022 г. общият бюджет за информационни технологии (ИТ) на Комитета и КР възлиза на 11 712 000 EUR , включително допълнителни 750 000 EUR чрез вътрешен бюджетен трансфер през годината, спрямо </w:t>
      </w:r>
      <w:r w:rsidRPr="007D7262">
        <w:lastRenderedPageBreak/>
        <w:t>12 860 000 EUR през 2021 г., т.е. е с 9% по-малък;</w:t>
      </w:r>
    </w:p>
    <w:p w:rsidR="00380FB1" w:rsidRPr="007D7262" w:rsidRDefault="00380FB1" w:rsidP="00380FB1">
      <w:pPr>
        <w:pStyle w:val="NormalHanging12a"/>
      </w:pPr>
      <w:r w:rsidRPr="007D7262">
        <w:t>44.</w:t>
      </w:r>
      <w:r w:rsidRPr="007D7262">
        <w:tab/>
        <w:t xml:space="preserve">отбелязва, че Комитетът разполага със стратегия в областта на цифровите технологии, която има за цел да предоставя ИТ услуги в съответствие с най-добрите практики за управление на ИТ, като същевременно оптимизира използването на човешките и финансовите ресурси; отбелязва, че през цялата 2022 г. Комитетът е работил по адаптирането и разработването на няколко стратегически ИТ инструмента с цел повишаване на ефикасността и ефективността на политическата работа на Комитета и на неговите административни и работни процеси; отбелязва, че основният проект за ИТ инфраструктура през 2022 г. се отнася до адаптирането на мрежовата типология, необходимо за новата компютърна зала в сградата </w:t>
      </w:r>
      <w:proofErr w:type="spellStart"/>
      <w:r w:rsidRPr="007D7262">
        <w:t>Jacques</w:t>
      </w:r>
      <w:proofErr w:type="spellEnd"/>
      <w:r w:rsidRPr="007D7262">
        <w:t xml:space="preserve"> </w:t>
      </w:r>
      <w:proofErr w:type="spellStart"/>
      <w:r w:rsidRPr="007D7262">
        <w:t>Delors</w:t>
      </w:r>
      <w:proofErr w:type="spellEnd"/>
      <w:r w:rsidRPr="007D7262">
        <w:t xml:space="preserve"> (JDE), в съответствие с пътната карта за хибридна инфраструктура за изчисления в облак;</w:t>
      </w:r>
    </w:p>
    <w:p w:rsidR="00380FB1" w:rsidRPr="007D7262" w:rsidRDefault="00380FB1" w:rsidP="00380FB1">
      <w:pPr>
        <w:pStyle w:val="NormalHanging12a"/>
      </w:pPr>
      <w:r w:rsidRPr="007D7262">
        <w:t>45.</w:t>
      </w:r>
      <w:r w:rsidRPr="007D7262">
        <w:tab/>
        <w:t>отбелязва, че Комитетът е увеличил броя на хибридните заседания през 2022 г., за да се адаптира към хибридния начин на работа и да оптимизира начините си на работа, по-специално чрез намаляване на броя на командировките; разбира, че този нов начин на работа изисква техническа модернизация по отношение на оборудването за залите за хибридни заседания;</w:t>
      </w:r>
    </w:p>
    <w:p w:rsidR="00380FB1" w:rsidRPr="007D7262" w:rsidRDefault="00380FB1" w:rsidP="00380FB1">
      <w:pPr>
        <w:pStyle w:val="NormalHanging12a"/>
      </w:pPr>
      <w:r w:rsidRPr="007D7262">
        <w:t>46.</w:t>
      </w:r>
      <w:r w:rsidRPr="007D7262">
        <w:tab/>
        <w:t xml:space="preserve">отбелязва, че Комитетът не е бил обект на </w:t>
      </w:r>
      <w:proofErr w:type="spellStart"/>
      <w:r w:rsidRPr="007D7262">
        <w:t>кибератаки</w:t>
      </w:r>
      <w:proofErr w:type="spellEnd"/>
      <w:r w:rsidRPr="007D7262">
        <w:t xml:space="preserve"> през 2022 г.; отбелязва, че новата съвместна дирекция за иновации и информационни технологии на Комитета и КР се състои от три отдела, които се занимават съответно с цифровата трансформация, цифровите решения и цифровите платформи; отбелязва, че отделът за цифрови платформи отговаря, наред с другото, за </w:t>
      </w:r>
      <w:proofErr w:type="spellStart"/>
      <w:r w:rsidRPr="007D7262">
        <w:t>киберсигурността</w:t>
      </w:r>
      <w:proofErr w:type="spellEnd"/>
      <w:r w:rsidRPr="007D7262">
        <w:t xml:space="preserve">; изисква от Комитета да информира органа по освобождаване от отговорност за начина, по който създаването на тази нова структура е допринесло за повишаване на подготвеността на персонала му в областта на </w:t>
      </w:r>
      <w:proofErr w:type="spellStart"/>
      <w:r w:rsidRPr="007D7262">
        <w:t>киберсигурността</w:t>
      </w:r>
      <w:proofErr w:type="spellEnd"/>
      <w:r w:rsidRPr="007D7262">
        <w:t xml:space="preserve">, в съответствие с рамката за </w:t>
      </w:r>
      <w:proofErr w:type="spellStart"/>
      <w:r w:rsidRPr="007D7262">
        <w:t>киберсигурност</w:t>
      </w:r>
      <w:proofErr w:type="spellEnd"/>
      <w:r w:rsidRPr="007D7262">
        <w:t xml:space="preserve"> на Националния институт за стандарти и технологии (NIST) и в сътрудничество със Службата за </w:t>
      </w:r>
      <w:proofErr w:type="spellStart"/>
      <w:r w:rsidRPr="007D7262">
        <w:t>киберсигурност</w:t>
      </w:r>
      <w:proofErr w:type="spellEnd"/>
      <w:r w:rsidRPr="007D7262">
        <w:t xml:space="preserve"> за институциите, органите, службите и агенциите на Съюза (CERT-EU); насърчава Комитета да повиши осведомеността на своите членове и служители относно </w:t>
      </w:r>
      <w:proofErr w:type="spellStart"/>
      <w:r w:rsidRPr="007D7262">
        <w:t>киберсигурността</w:t>
      </w:r>
      <w:proofErr w:type="spellEnd"/>
      <w:r w:rsidRPr="007D7262">
        <w:t xml:space="preserve">, да извършва редовни оценки на риска на своята ИТ инфраструктура и да гарантира редовни одити и тестове на своята </w:t>
      </w:r>
      <w:proofErr w:type="spellStart"/>
      <w:r w:rsidRPr="007D7262">
        <w:t>киберзащита</w:t>
      </w:r>
      <w:proofErr w:type="spellEnd"/>
      <w:r w:rsidRPr="007D7262">
        <w:t>;</w:t>
      </w:r>
    </w:p>
    <w:p w:rsidR="00380FB1" w:rsidRPr="007D7262" w:rsidRDefault="00380FB1" w:rsidP="00380FB1">
      <w:pPr>
        <w:pStyle w:val="NormalHanging12a"/>
      </w:pPr>
      <w:r w:rsidRPr="007D7262">
        <w:t>47.</w:t>
      </w:r>
      <w:r w:rsidRPr="007D7262">
        <w:tab/>
        <w:t>отбелязва, че Комитетът използва технологии с отворен код в собствените си системи, по-специално основните оперативни приложения, използвани за управление на политическата работа на Комитета („</w:t>
      </w:r>
      <w:proofErr w:type="spellStart"/>
      <w:r w:rsidRPr="007D7262">
        <w:t>Agora</w:t>
      </w:r>
      <w:proofErr w:type="spellEnd"/>
      <w:r w:rsidRPr="007D7262">
        <w:t>“ и „Phoenix“); отбелязва освен това, че Комитетът проследява използването на технологии с отворен код в годишния си ИТ портфейл, така че те да се прилагат за нови приложения;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48.</w:t>
      </w:r>
      <w:r w:rsidRPr="007D7262">
        <w:tab/>
        <w:t>отбелязва, че през 2022 г. Комитетът напредва по приемането на нова рамка за управление на документи с цел повишаване на прозрачността и достъпността; отбелязва с интерес, че Комитетът е започнал своевременно оценка на техническата осъществимост и финансовите последици от използването на системата на Комисията за управление на електронни документи и записи (</w:t>
      </w:r>
      <w:proofErr w:type="spellStart"/>
      <w:r w:rsidRPr="007D7262">
        <w:t>Ares</w:t>
      </w:r>
      <w:proofErr w:type="spellEnd"/>
      <w:r w:rsidRPr="007D7262">
        <w:t>);</w:t>
      </w:r>
    </w:p>
    <w:p w:rsidR="00380FB1" w:rsidRPr="007D7262" w:rsidRDefault="00380FB1" w:rsidP="00380FB1">
      <w:pPr>
        <w:pStyle w:val="NormalHanging12a"/>
        <w:ind w:left="0" w:firstLine="0"/>
        <w:rPr>
          <w:b/>
          <w:i/>
        </w:rPr>
      </w:pPr>
      <w:r w:rsidRPr="007D7262">
        <w:rPr>
          <w:b/>
          <w:i/>
        </w:rPr>
        <w:t xml:space="preserve">Сгради 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49.</w:t>
      </w:r>
      <w:r w:rsidRPr="007D7262">
        <w:tab/>
        <w:t xml:space="preserve">отбелязва, че Комитетът и КР са загубили 5 000 m² офис пространство след </w:t>
      </w:r>
      <w:r w:rsidRPr="007D7262">
        <w:lastRenderedPageBreak/>
        <w:t xml:space="preserve">поемането на договора за наем на бившата сграда на ЕСВД на </w:t>
      </w:r>
      <w:proofErr w:type="spellStart"/>
      <w:r w:rsidRPr="007D7262">
        <w:t>Belliard</w:t>
      </w:r>
      <w:proofErr w:type="spellEnd"/>
      <w:r w:rsidRPr="007D7262">
        <w:t xml:space="preserve"> 100 (B100), което влезе в сила през септември 2021 г., и размяната на сградите на </w:t>
      </w:r>
      <w:proofErr w:type="spellStart"/>
      <w:r w:rsidRPr="007D7262">
        <w:t>Belliard</w:t>
      </w:r>
      <w:proofErr w:type="spellEnd"/>
      <w:r w:rsidRPr="007D7262">
        <w:t xml:space="preserve"> 68 (B68) и </w:t>
      </w:r>
      <w:proofErr w:type="spellStart"/>
      <w:r w:rsidRPr="007D7262">
        <w:t>Trèves</w:t>
      </w:r>
      <w:proofErr w:type="spellEnd"/>
      <w:r w:rsidRPr="007D7262">
        <w:t xml:space="preserve"> 74 (TRE74) на Комитета и КР и сградата на Комисията на </w:t>
      </w:r>
      <w:proofErr w:type="spellStart"/>
      <w:r w:rsidRPr="007D7262">
        <w:t>Van</w:t>
      </w:r>
      <w:proofErr w:type="spellEnd"/>
      <w:r w:rsidRPr="007D7262">
        <w:t xml:space="preserve"> </w:t>
      </w:r>
      <w:proofErr w:type="spellStart"/>
      <w:r w:rsidRPr="007D7262">
        <w:t>Maerlant</w:t>
      </w:r>
      <w:proofErr w:type="spellEnd"/>
      <w:r w:rsidRPr="007D7262">
        <w:t xml:space="preserve"> 2 (VMA), която влезе в сила през септември 2022 г.; отбелязва, че в двете новопридобити сгради са били необходими дейности по оборудване, за да се даде възможност за по-плътно използване на офис пространството; приветства създаването през 2022 г. на съвместна работна група за новите начини на работа, която да разгледа евентуално оптимизиране на начина, по който се организира работата, и начина, по който се използва офис пространството, като същевременно се намали отпечатъкът върху околната среда;</w:t>
      </w:r>
    </w:p>
    <w:p w:rsidR="00380FB1" w:rsidRPr="007D7262" w:rsidRDefault="00380FB1" w:rsidP="00380FB1">
      <w:pPr>
        <w:pStyle w:val="NormalHanging12a"/>
      </w:pPr>
      <w:r w:rsidRPr="007D7262">
        <w:t>50.</w:t>
      </w:r>
      <w:r w:rsidRPr="007D7262">
        <w:tab/>
        <w:t>отбелязва, че общият бюджет, за който са поети задължения през 2021 г. и 2022 г. за обновяването на VMA от третия до деветия етаж от Комитета и КР, възлиза на 9,54 милиона евро; отбелязва, че ремонтните работи, предприети от Комитета и КР, предвиждат използването на интелигентни технологии за пестене на енергия със силен екологичен компонент; отправя искане към Комитета да предостави актуална информация относно възвръщаемостта на инвестициите в тези технологични инсталации;</w:t>
      </w:r>
    </w:p>
    <w:p w:rsidR="00380FB1" w:rsidRPr="007D7262" w:rsidRDefault="00380FB1" w:rsidP="00380FB1">
      <w:pPr>
        <w:spacing w:after="240"/>
        <w:ind w:left="567" w:hanging="567"/>
        <w:rPr>
          <w:szCs w:val="24"/>
        </w:rPr>
      </w:pPr>
      <w:r w:rsidRPr="007D7262">
        <w:t>51.</w:t>
      </w:r>
      <w:r w:rsidRPr="007D7262">
        <w:tab/>
        <w:t>отбелязва, че през 2022 г. стратегията на Комитета и КР в областта на сградния фонд е била с акцент върху географската концентрация на сградите, която беше постигната чрез физическо свързване на всички сгради, използвани от комитетите, с основната им сграда (JDE); приветства новата физическа връзка със сградите на Парламента, която започна да функционира през ноември 2022 г., предлагайки по-пряка, по-лесна и със 125 м по-кратка връзка между сградите на Комитета и КР и сградите на Парламента;</w:t>
      </w:r>
    </w:p>
    <w:p w:rsidR="00380FB1" w:rsidRPr="007D7262" w:rsidRDefault="00380FB1" w:rsidP="00380FB1">
      <w:pPr>
        <w:pStyle w:val="NormalHanging12a"/>
      </w:pPr>
      <w:r w:rsidRPr="007D7262">
        <w:t>52.</w:t>
      </w:r>
      <w:r w:rsidRPr="007D7262">
        <w:tab/>
        <w:t>приветства ангажимента на Комитета и КР да прилагат систематично принципа „проектиране за всички“ по отношение на инфраструктурата си, като гарантират достъпността на своите сгради още при проектирането; отбелязва, че Комитетът и КР са предприели поредица от различни мерки, за да гарантират достъпността на своите сгради за хора с различни видове увреждания;</w:t>
      </w:r>
    </w:p>
    <w:p w:rsidR="00380FB1" w:rsidRPr="007D7262" w:rsidRDefault="00380FB1" w:rsidP="00380FB1">
      <w:pPr>
        <w:pStyle w:val="NormalHanging12a"/>
        <w:ind w:left="0" w:firstLine="0"/>
        <w:rPr>
          <w:b/>
          <w:i/>
        </w:rPr>
      </w:pPr>
      <w:r w:rsidRPr="007D7262">
        <w:rPr>
          <w:b/>
          <w:i/>
        </w:rPr>
        <w:t>Околна среда и устойчивост</w:t>
      </w:r>
    </w:p>
    <w:p w:rsidR="00380FB1" w:rsidRPr="007D7262" w:rsidRDefault="00380FB1" w:rsidP="00380FB1">
      <w:pPr>
        <w:pStyle w:val="NormalHanging12a"/>
      </w:pPr>
      <w:r w:rsidRPr="007D7262">
        <w:t>53.</w:t>
      </w:r>
      <w:r w:rsidRPr="007D7262">
        <w:tab/>
        <w:t>приветства устойчивите практики, и по-специално подхода на Комитета и КР за работа без документи на хартиен носител, които допринесоха за намаляване на техния отпечатък върху околната среда в съответствие със стратегията в областта на цифровите технологии; поздравява комитетите за това, че са преизпълнили целите на EMAS за периода 2021 – 2025 г., с изключение на целите, свързани с потреблението на газ; отбелязва, че бюджет в размер на 60 000 EUR беше заделен за схемата на Комитета за компенсиране на въглеродни емисии чрез закупуване на висококачествени въглеродни кредити през 2023 г.;</w:t>
      </w:r>
    </w:p>
    <w:p w:rsidR="00380FB1" w:rsidRPr="007D7262" w:rsidRDefault="00380FB1" w:rsidP="00380FB1">
      <w:pPr>
        <w:pStyle w:val="NormalHanging12a"/>
      </w:pPr>
      <w:r w:rsidRPr="007D7262">
        <w:t>54.</w:t>
      </w:r>
      <w:r w:rsidRPr="007D7262">
        <w:tab/>
        <w:t>отбелязва, че през 2022 г. общото производство на електроенергия, генерирана от слънчеви панели в сградите на Комитета и КР, е било приблизително 15,5 </w:t>
      </w:r>
      <w:proofErr w:type="spellStart"/>
      <w:r w:rsidRPr="007D7262">
        <w:t>MWh</w:t>
      </w:r>
      <w:proofErr w:type="spellEnd"/>
      <w:r w:rsidRPr="007D7262">
        <w:t>, което представлява 0,25% от общото годишно потребление на Комитета и КР; отбелязва, че към 16 септември 2022 г. само сградата JDE е била оборудвана със слънчеви панели; отчита, че поради административни процедури Комитетът и КР са изправени пред забавяне в разширяването на инсталацията им от слънчеви панели;</w:t>
      </w:r>
    </w:p>
    <w:p w:rsidR="00380FB1" w:rsidRPr="007D7262" w:rsidRDefault="00380FB1" w:rsidP="00380FB1">
      <w:pPr>
        <w:pStyle w:val="NormalHanging12a"/>
      </w:pPr>
      <w:r w:rsidRPr="007D7262">
        <w:lastRenderedPageBreak/>
        <w:t>55.</w:t>
      </w:r>
      <w:r w:rsidRPr="007D7262">
        <w:tab/>
        <w:t>поздравява Комитета за изготвянето на план за осигуряване на транспорт за служебни цели, съгласуван с отдела за мобилност на регион Брюксел-столица, след което Комитетът се ангажира да провежда задължително проучване на мобилността сред своите служители на всеки три години; отбелязва, че Комитетът е въвел план за устойчива мобилност с цел да насърчи служителите си да използват по-устойчив транспорт, включително чрез финансово участие в абонамента за обществен транспорт на персонала или месечна финансова добавка за служителите, които идват на работа на колело; отбелязва, че Комитетът проучва допълнителни решения, като например предоставянето на електрически велосипеди и монтирането на допълнителни зарядни устройства за електрически автомобили;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Междуинституционално сътрудничество</w:t>
      </w:r>
    </w:p>
    <w:p w:rsidR="00380FB1" w:rsidRPr="007D7262" w:rsidRDefault="00380FB1" w:rsidP="00380FB1">
      <w:pPr>
        <w:pStyle w:val="NormalHanging12a"/>
      </w:pPr>
      <w:r w:rsidRPr="007D7262">
        <w:t>56.</w:t>
      </w:r>
      <w:r w:rsidRPr="007D7262">
        <w:tab/>
        <w:t>приветства бюджетните и административните икономии, постигнати чрез междуинституционално сътрудничество, по-специално тясното сътрудничество, установено на административно равнище с КР, с който Комитетът споделя помещения и съвместни служби в областта на писмения превод, инфраструктурата, логистиката и ИТ, като същевременно запазва пълната си институционална автономност; отбелязва, че на 1 октомври 2022 г. са създадени нови съвместни служби, включително нова дирекция за иновации и информационни технологии, отдел за сигурност и безопасност и отдел за обществени поръчки и финансово управление, като част от новото споразумение за сътрудничество, подписано с КР през 2022 г.; отбелязва освен това, че през 2022 г. Комитетът и КР са обединили 470 служители и 55 милиона евро, от които повече от 30 милиона евро от Комитета, без да са включени разходите, свързани със заплати; призовава Комитета да продължи и да разшири това сътрудничество в други области, за да се избегне дублирането и да се рационализират в още по-голяма степен оперативните разходи за наличните служби в помещенията, споделяни от двата комитета; приканва Комитета и КР да проучат възможността за създаване на единна администрация за своите съвместни служби, като поддържат отделни дирекции или отдели за службите, които се занимават с въпроси, свързани с техните специфични и независими мандати;</w:t>
      </w:r>
    </w:p>
    <w:p w:rsidR="00380FB1" w:rsidRPr="007D7262" w:rsidRDefault="00380FB1" w:rsidP="00380FB1">
      <w:pPr>
        <w:pStyle w:val="NormalHanging12a"/>
      </w:pPr>
      <w:r w:rsidRPr="007D7262">
        <w:t>57.</w:t>
      </w:r>
      <w:r w:rsidRPr="007D7262">
        <w:tab/>
        <w:t>приветства факта, че Комитетът търси полезни взаимодействия чрез закупуване на услуги от други институции чрез споразумения за нивото на обслужване и чрез участие в междуинституционални координационни органи и междуинституционални процедури за възлагане на обществени поръчки; отбелязва, че Парламентът предоставя по-специално услуги за устен превод за пленарните сесии на Комитета, които се провеждат в помещенията на Парламента, и за някои заседания, които се провеждат в сградите на Комитета;</w:t>
      </w:r>
    </w:p>
    <w:p w:rsidR="00380FB1" w:rsidRPr="007D7262" w:rsidRDefault="00380FB1" w:rsidP="00380FB1">
      <w:pPr>
        <w:pStyle w:val="NormalHanging12a"/>
      </w:pPr>
      <w:r w:rsidRPr="007D7262">
        <w:t>58.</w:t>
      </w:r>
      <w:r w:rsidRPr="007D7262">
        <w:tab/>
        <w:t>приветства засиленото участие на Комитета в законодателния цикъл и призовава Комитета да гарантира, че неговите становища се споделят с членовете на съответните комисии на Парламента в съответствие със споразумението за сътрудничество между Парламента и Комитета;</w:t>
      </w:r>
    </w:p>
    <w:p w:rsidR="00380FB1" w:rsidRPr="007D7262" w:rsidRDefault="00380FB1" w:rsidP="00380FB1">
      <w:pPr>
        <w:pStyle w:val="NormalHanging12a"/>
      </w:pPr>
      <w:r w:rsidRPr="007D7262">
        <w:t>59.</w:t>
      </w:r>
      <w:r w:rsidRPr="007D7262">
        <w:tab/>
        <w:t xml:space="preserve">отбелязва, че Комитетът е продължил и засилил сътрудничеството си с Комисията през 2022 г. в контекста на споразумението за нивото на обслужване със службата за разследвания и дисциплинарни въпроси за подкрепа по административни разследвания и в рамките на протокола за сътрудничество, актуализиран през </w:t>
      </w:r>
      <w:r w:rsidRPr="007D7262">
        <w:lastRenderedPageBreak/>
        <w:t>2022 г., с който се укрепва политическото, законодателното и комуникационното взаимодействие между тези две институции, по-специално при изпълнението на Европейската гражданска инициатива и Европейския семестър; отбелязва, че съгласно актуализирания протокол използването на проучвателните становища на Комитета от страна на Комисията се е увеличило, като по този начин се засилва участието на Комитета в законодателния цикъл на Съюза;</w:t>
      </w:r>
    </w:p>
    <w:p w:rsidR="00380FB1" w:rsidRPr="007D7262" w:rsidRDefault="00380FB1" w:rsidP="00380FB1">
      <w:pPr>
        <w:pStyle w:val="NormalHanging12a"/>
      </w:pPr>
      <w:r w:rsidRPr="007D7262">
        <w:t>60.</w:t>
      </w:r>
      <w:r w:rsidRPr="007D7262">
        <w:tab/>
        <w:t>отбелязва, че Комитетът играе централна роля за укрепване на връзките със и между националните икономически и социални съвети на държавите членки; насърчава Комитета да продължи да подкрепя сътрудничеството по теми от общ интерес и добри практики и да показва как гражданското общество допринася за справянето с настоящите предизвикателства пред Съюза, по-специално чрез обмен на персонал и организиране на общи прояви;</w:t>
      </w:r>
    </w:p>
    <w:p w:rsidR="00380FB1" w:rsidRPr="007D7262" w:rsidRDefault="00380FB1" w:rsidP="00380FB1">
      <w:pPr>
        <w:pStyle w:val="NormalHanging12a"/>
        <w:rPr>
          <w:b/>
          <w:i/>
        </w:rPr>
      </w:pPr>
      <w:r w:rsidRPr="007D7262">
        <w:rPr>
          <w:b/>
          <w:i/>
        </w:rPr>
        <w:t>Комуникация</w:t>
      </w:r>
    </w:p>
    <w:p w:rsidR="00380FB1" w:rsidRPr="007D7262" w:rsidRDefault="00380FB1" w:rsidP="00380FB1">
      <w:pPr>
        <w:pStyle w:val="NormalHanging12a"/>
      </w:pPr>
      <w:r w:rsidRPr="007D7262">
        <w:t>61.</w:t>
      </w:r>
      <w:r w:rsidRPr="007D7262">
        <w:tab/>
        <w:t>отбелязва, че през 2022 г. общият бюджет на Комитета за комуникация възлиза на 1,5 милиона евро, същата сума както през 2021 г.; отбелязва, че този бюджет е бил разпределен предимно в подкрепа на разработването и поддръжката на уебсайта на Комитета, комуникацията в социалните медии, мониторинга на медиите, връзките с медиите и популяризирането на важни дейности и събития на Комитета, като Наградата за гражданското общество, и дейностите, свързани с Комитета, в работата на Конференцията за бъдещето на Европа (COFE) и подкрепата на Комитета за Украйна;</w:t>
      </w:r>
    </w:p>
    <w:p w:rsidR="00380FB1" w:rsidRPr="007D7262" w:rsidRDefault="00380FB1" w:rsidP="00380FB1">
      <w:pPr>
        <w:pStyle w:val="NormalHanging12a"/>
      </w:pPr>
      <w:r w:rsidRPr="007D7262">
        <w:t>62.</w:t>
      </w:r>
      <w:r w:rsidRPr="007D7262">
        <w:tab/>
        <w:t>приветства приемането от Комитета на нова, основана на данни комуникационна стратегия през октомври 2022 г., която има за цел да разшири обхвата на комуникацията на Комитета и въздействието на неговите становища и която определя европейските организации на гражданското общество (ОГО) и другите институции на Съюза като негови основни комуникационни цели; отбелязва освен това, че през 2022 г. Комитетът е актуализирал правилата за партньорство с цел засилване на стратегическата си ангажираност с организациите на гражданското общество чрез тематични прояви;</w:t>
      </w:r>
    </w:p>
    <w:p w:rsidR="00380FB1" w:rsidRPr="007D7262" w:rsidRDefault="00380FB1" w:rsidP="00380FB1">
      <w:pPr>
        <w:pStyle w:val="NormalHanging12a"/>
      </w:pPr>
      <w:r w:rsidRPr="007D7262">
        <w:t>63.</w:t>
      </w:r>
      <w:r w:rsidRPr="007D7262">
        <w:tab/>
        <w:t>отбелязва, че Комитетът организира големи хибридни прояви по актуални въпроси от значение за гражданското общество, като например проявата на високо равнище на Конференцията за бъдещето на Европа на тема „Бъдещето е в твоите ръце — да формираме заедно Европа“, годишната младежка проява „Твоята Европа, твоето мнение“ за ученици и учители от Съюза и страните кандидатки и годишната младежка пленарна сесия под надслов „Истината за лъжите. Младите хора се противопоставят на дезинформацията“; отбелязва, че Комитетът също така организира по-специализирани дейности с акцент върху Годината на младежта и агресивната война на Русия срещу Украйна, насочени към журналисти и специалисти в областта на комуникацията на ОГО;</w:t>
      </w:r>
    </w:p>
    <w:p w:rsidR="00380FB1" w:rsidRPr="007D7262" w:rsidRDefault="00380FB1" w:rsidP="00380FB1">
      <w:pPr>
        <w:pStyle w:val="NormalHanging12a"/>
      </w:pPr>
      <w:r w:rsidRPr="007D7262">
        <w:t>64.</w:t>
      </w:r>
      <w:r w:rsidRPr="007D7262">
        <w:tab/>
        <w:t xml:space="preserve">приветства, че общият обхват на комуникацията на Комитета се е разширил през 2022 г. в сравнение с 2021 г., по-специално чрез медийно отразяване и присъствие в интернет и социалните медии; отбелязва, че броят на посещенията на централната страница във </w:t>
      </w:r>
      <w:proofErr w:type="spellStart"/>
      <w:r w:rsidRPr="007D7262">
        <w:t>Facebook</w:t>
      </w:r>
      <w:proofErr w:type="spellEnd"/>
      <w:r w:rsidRPr="007D7262">
        <w:t xml:space="preserve"> се е увеличил с 96,9% (57 000 посещения), а броят на посещенията в профила в </w:t>
      </w:r>
      <w:proofErr w:type="spellStart"/>
      <w:r w:rsidRPr="007D7262">
        <w:t>Instagram</w:t>
      </w:r>
      <w:proofErr w:type="spellEnd"/>
      <w:r w:rsidRPr="007D7262">
        <w:t xml:space="preserve"> се е увеличил с 97,9% (20 000 посещения), че броят на потребителите във </w:t>
      </w:r>
      <w:proofErr w:type="spellStart"/>
      <w:r w:rsidRPr="007D7262">
        <w:t>Facebook</w:t>
      </w:r>
      <w:proofErr w:type="spellEnd"/>
      <w:r w:rsidRPr="007D7262">
        <w:t xml:space="preserve"> се е увеличил с 1,1% (6 </w:t>
      </w:r>
      <w:r w:rsidRPr="007D7262">
        <w:lastRenderedPageBreak/>
        <w:t xml:space="preserve">милиона потребители), обхватът в </w:t>
      </w:r>
      <w:proofErr w:type="spellStart"/>
      <w:r w:rsidRPr="007D7262">
        <w:t>Instagram</w:t>
      </w:r>
      <w:proofErr w:type="spellEnd"/>
      <w:r w:rsidRPr="007D7262">
        <w:t xml:space="preserve"> се е увеличил с 33% (над 3 милиона потребители), постовете в </w:t>
      </w:r>
      <w:proofErr w:type="spellStart"/>
      <w:r w:rsidRPr="007D7262">
        <w:t>LinkedIn</w:t>
      </w:r>
      <w:proofErr w:type="spellEnd"/>
      <w:r w:rsidRPr="007D7262">
        <w:t xml:space="preserve"> са генерирали почти 1,2 милиона импресии, а </w:t>
      </w:r>
      <w:proofErr w:type="spellStart"/>
      <w:r w:rsidRPr="007D7262">
        <w:t>туитовете</w:t>
      </w:r>
      <w:proofErr w:type="spellEnd"/>
      <w:r w:rsidRPr="007D7262">
        <w:t xml:space="preserve">, публикувани на X (преди </w:t>
      </w:r>
      <w:proofErr w:type="spellStart"/>
      <w:r w:rsidRPr="007D7262">
        <w:t>Twitter</w:t>
      </w:r>
      <w:proofErr w:type="spellEnd"/>
      <w:r w:rsidRPr="007D7262">
        <w:t>), са събрали над 6 милиона импресии; приветства присъединяването на Комитета през 2023 г. към пилотния проект, ръководен от Европейския надзорен орган по защита на данните (ЕНОЗД), който има за цел да привлече институциите на Съюза в EU-</w:t>
      </w:r>
      <w:proofErr w:type="spellStart"/>
      <w:r w:rsidRPr="007D7262">
        <w:t>Voice</w:t>
      </w:r>
      <w:proofErr w:type="spellEnd"/>
      <w:r w:rsidRPr="007D7262">
        <w:t xml:space="preserve"> и EU-</w:t>
      </w:r>
      <w:proofErr w:type="spellStart"/>
      <w:r w:rsidRPr="007D7262">
        <w:t>Video</w:t>
      </w:r>
      <w:proofErr w:type="spellEnd"/>
      <w:r w:rsidRPr="007D7262">
        <w:t xml:space="preserve">, които са две безплатни мрежи на социалните медии с отворен код, базирани на софтуера </w:t>
      </w:r>
      <w:proofErr w:type="spellStart"/>
      <w:r w:rsidRPr="007D7262">
        <w:t>Mastodon</w:t>
      </w:r>
      <w:proofErr w:type="spellEnd"/>
      <w:r w:rsidRPr="007D7262">
        <w:t xml:space="preserve">, позволяващи на институциите на Съюза да взаимодействат с обществеността чрез споделяне на текстове, изображения, видеоматериали и </w:t>
      </w:r>
      <w:proofErr w:type="spellStart"/>
      <w:r w:rsidRPr="007D7262">
        <w:t>подкастове</w:t>
      </w:r>
      <w:proofErr w:type="spellEnd"/>
      <w:r w:rsidRPr="007D7262">
        <w:t>;</w:t>
      </w:r>
    </w:p>
    <w:p w:rsidR="00380FB1" w:rsidRPr="007D7262" w:rsidRDefault="00380FB1" w:rsidP="00380FB1">
      <w:pPr>
        <w:pStyle w:val="NormalHanging12a"/>
      </w:pPr>
      <w:r w:rsidRPr="007D7262">
        <w:t>65.</w:t>
      </w:r>
      <w:r w:rsidRPr="007D7262">
        <w:tab/>
        <w:t xml:space="preserve">приветства свободния достъп, който Комитетът предоставя на гражданите до своите документи чрез специален електронен регистър; отбелязва, че Комитетът участва в портала за свободно достъпни данни на Комисията със свои набори от данни, като по този начин прави операциите си по-прозрачни чрез свободно достъпни данни в четими от човека и </w:t>
      </w:r>
      <w:proofErr w:type="spellStart"/>
      <w:r w:rsidRPr="007D7262">
        <w:t>машинночетими</w:t>
      </w:r>
      <w:proofErr w:type="spellEnd"/>
      <w:r w:rsidRPr="007D7262">
        <w:t xml:space="preserve"> формати и укрепва връзката си с гражданите.</w:t>
      </w:r>
    </w:p>
    <w:p w:rsidR="00380FB1" w:rsidRPr="007D7262" w:rsidRDefault="00380FB1" w:rsidP="00380FB1"/>
    <w:p w:rsidR="00E365E1" w:rsidRPr="007D7262" w:rsidRDefault="00E365E1" w:rsidP="00380FB1">
      <w:bookmarkStart w:id="10" w:name="TextBodyEnd"/>
      <w:bookmarkEnd w:id="10"/>
    </w:p>
    <w:sectPr w:rsidR="00E365E1" w:rsidRPr="007D7262" w:rsidSect="007D72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74E" w:rsidRPr="007D7262" w:rsidRDefault="0078574E">
      <w:r w:rsidRPr="007D7262">
        <w:separator/>
      </w:r>
    </w:p>
  </w:endnote>
  <w:endnote w:type="continuationSeparator" w:id="0">
    <w:p w:rsidR="0078574E" w:rsidRPr="007D7262" w:rsidRDefault="0078574E">
      <w:r w:rsidRPr="007D72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 w:rsidP="00135CF6">
    <w:pPr>
      <w:pStyle w:val="EPFooter"/>
    </w:pPr>
    <w:r w:rsidRPr="007D7262">
      <w:t>PE</w:t>
    </w:r>
    <w:r w:rsidRPr="007D7262">
      <w:rPr>
        <w:rStyle w:val="HideTWBExt"/>
      </w:rPr>
      <w:t>&lt;NoPE&gt;</w:t>
    </w:r>
    <w:r w:rsidRPr="007D7262">
      <w:t>753.483</w:t>
    </w:r>
    <w:r w:rsidRPr="007D7262">
      <w:rPr>
        <w:rStyle w:val="HideTWBExt"/>
      </w:rPr>
      <w:t>&lt;/NoPE&gt;&lt;Version&gt;</w:t>
    </w:r>
    <w:r w:rsidRPr="007D7262">
      <w:t>v02-00</w:t>
    </w:r>
    <w:r w:rsidRPr="007D7262">
      <w:rPr>
        <w:rStyle w:val="HideTWBExt"/>
      </w:rPr>
      <w:t>&lt;/Version&gt;</w:t>
    </w:r>
    <w:r w:rsidRPr="007D7262">
      <w:tab/>
    </w:r>
    <w:r w:rsidRPr="007D7262">
      <w:fldChar w:fldCharType="begin"/>
    </w:r>
    <w:r w:rsidRPr="007D7262">
      <w:instrText xml:space="preserve"> PAGE  \* MERGEFORMAT </w:instrText>
    </w:r>
    <w:r w:rsidRPr="007D7262">
      <w:fldChar w:fldCharType="separate"/>
    </w:r>
    <w:r w:rsidR="007D7262" w:rsidRPr="007D7262">
      <w:rPr>
        <w:noProof/>
      </w:rPr>
      <w:t>2</w:t>
    </w:r>
    <w:r w:rsidRPr="007D7262">
      <w:fldChar w:fldCharType="end"/>
    </w:r>
    <w:r w:rsidRPr="007D7262">
      <w:t>/</w:t>
    </w:r>
    <w:r w:rsidR="00EC7A79">
      <w:fldChar w:fldCharType="begin"/>
    </w:r>
    <w:r w:rsidR="00EC7A79">
      <w:instrText xml:space="preserve"> NUMPAGES  \* MERGEFORMAT </w:instrText>
    </w:r>
    <w:r w:rsidR="00EC7A79">
      <w:fldChar w:fldCharType="separate"/>
    </w:r>
    <w:r w:rsidR="007D7262" w:rsidRPr="007D7262">
      <w:rPr>
        <w:noProof/>
      </w:rPr>
      <w:t>10</w:t>
    </w:r>
    <w:r w:rsidR="00EC7A79">
      <w:rPr>
        <w:noProof/>
      </w:rPr>
      <w:fldChar w:fldCharType="end"/>
    </w:r>
    <w:r w:rsidRPr="007D7262">
      <w:tab/>
    </w:r>
    <w:r w:rsidRPr="007D7262">
      <w:rPr>
        <w:rStyle w:val="HideTWBExt"/>
      </w:rPr>
      <w:t>&lt;PathFdR&gt;</w:t>
    </w:r>
    <w:r w:rsidRPr="007D7262">
      <w:t>RR\1298480BG.docx</w:t>
    </w:r>
    <w:r w:rsidRPr="007D7262">
      <w:rPr>
        <w:rStyle w:val="HideTWBExt"/>
      </w:rPr>
      <w:t>&lt;/PathFdR&gt;</w:t>
    </w:r>
  </w:p>
  <w:p w:rsidR="00380FB1" w:rsidRPr="007D7262" w:rsidRDefault="00380FB1" w:rsidP="00135CF6">
    <w:pPr>
      <w:pStyle w:val="EPFooter2"/>
    </w:pPr>
    <w:r w:rsidRPr="007D7262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 w:rsidP="00135CF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 w:rsidP="00135CF6">
    <w:pPr>
      <w:pStyle w:val="EPFooter"/>
    </w:pPr>
    <w:r w:rsidRPr="007D7262">
      <w:rPr>
        <w:rStyle w:val="HideTWBExt"/>
      </w:rPr>
      <w:t>&lt;PathFdR&gt;</w:t>
    </w:r>
    <w:r w:rsidRPr="007D7262">
      <w:t>RR\1298480BG.docx</w:t>
    </w:r>
    <w:r w:rsidRPr="007D7262">
      <w:rPr>
        <w:rStyle w:val="HideTWBExt"/>
      </w:rPr>
      <w:t>&lt;/PathFdR&gt;</w:t>
    </w:r>
    <w:r w:rsidRPr="007D7262">
      <w:tab/>
    </w:r>
    <w:r w:rsidRPr="007D7262">
      <w:tab/>
      <w:t>PE</w:t>
    </w:r>
    <w:r w:rsidRPr="007D7262">
      <w:rPr>
        <w:rStyle w:val="HideTWBExt"/>
      </w:rPr>
      <w:t>&lt;NoPE&gt;</w:t>
    </w:r>
    <w:r w:rsidRPr="007D7262">
      <w:t>753.483</w:t>
    </w:r>
    <w:r w:rsidRPr="007D7262">
      <w:rPr>
        <w:rStyle w:val="HideTWBExt"/>
      </w:rPr>
      <w:t>&lt;/NoPE&gt;&lt;Version&gt;</w:t>
    </w:r>
    <w:r w:rsidRPr="007D7262">
      <w:t>v02-00</w:t>
    </w:r>
    <w:r w:rsidRPr="007D7262">
      <w:rPr>
        <w:rStyle w:val="HideTWBExt"/>
      </w:rPr>
      <w:t>&lt;/Version&gt;</w:t>
    </w:r>
  </w:p>
  <w:p w:rsidR="00380FB1" w:rsidRPr="007D7262" w:rsidRDefault="00380FB1" w:rsidP="00135CF6">
    <w:pPr>
      <w:pStyle w:val="EPFooter2"/>
    </w:pPr>
    <w:r w:rsidRPr="007D7262">
      <w:t>BG</w:t>
    </w:r>
    <w:r w:rsidRPr="007D7262">
      <w:tab/>
    </w:r>
    <w:r w:rsidRPr="007D7262">
      <w:rPr>
        <w:b w:val="0"/>
        <w:i/>
        <w:color w:val="C0C0C0"/>
        <w:sz w:val="22"/>
      </w:rPr>
      <w:t>Единство в многообразието</w:t>
    </w:r>
    <w:r w:rsidRPr="007D7262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74E" w:rsidRPr="007D7262" w:rsidRDefault="0078574E">
      <w:r w:rsidRPr="007D7262">
        <w:separator/>
      </w:r>
    </w:p>
  </w:footnote>
  <w:footnote w:type="continuationSeparator" w:id="0">
    <w:p w:rsidR="0078574E" w:rsidRPr="007D7262" w:rsidRDefault="0078574E">
      <w:r w:rsidRPr="007D7262">
        <w:continuationSeparator/>
      </w:r>
    </w:p>
  </w:footnote>
  <w:footnote w:id="1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L 45, 24.2.2022 г.</w:t>
      </w:r>
    </w:p>
  </w:footnote>
  <w:footnote w:id="2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C, C/2023/2, 12.10.2023 г.</w:t>
      </w:r>
    </w:p>
  </w:footnote>
  <w:footnote w:id="3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C, C/2023/103, 4.10.2023 г.</w:t>
      </w:r>
    </w:p>
  </w:footnote>
  <w:footnote w:id="4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C, C/2023/112, 12.10.2023 г.</w:t>
      </w:r>
    </w:p>
  </w:footnote>
  <w:footnote w:id="5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L 193, 30.7.2018 г., стр. 1.</w:t>
      </w:r>
    </w:p>
  </w:footnote>
  <w:footnote w:id="6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 xml:space="preserve">Решение на Съда от 6 октомври 2022 г., </w:t>
      </w:r>
      <w:r w:rsidRPr="007D7262">
        <w:rPr>
          <w:i/>
          <w:sz w:val="24"/>
          <w:lang w:val="bg-BG"/>
        </w:rPr>
        <w:t>KN/Европейски икономически и социален комитет</w:t>
      </w:r>
      <w:r w:rsidRPr="007D7262">
        <w:rPr>
          <w:sz w:val="24"/>
          <w:lang w:val="bg-BG"/>
        </w:rPr>
        <w:t>, C-673/21, ECLI:EU:C:2022:759.</w:t>
      </w:r>
    </w:p>
  </w:footnote>
  <w:footnote w:id="7">
    <w:p w:rsidR="00380FB1" w:rsidRPr="007D7262" w:rsidRDefault="00380FB1" w:rsidP="007D7262">
      <w:pPr>
        <w:pStyle w:val="FootnoteText"/>
        <w:ind w:left="567" w:hanging="567"/>
        <w:rPr>
          <w:sz w:val="24"/>
          <w:lang w:val="bg-BG"/>
        </w:rPr>
      </w:pPr>
      <w:r w:rsidRPr="007D7262">
        <w:rPr>
          <w:rStyle w:val="FootnoteReference"/>
          <w:sz w:val="24"/>
          <w:lang w:val="bg-BG"/>
        </w:rPr>
        <w:footnoteRef/>
      </w:r>
      <w:r w:rsidR="007D7262" w:rsidRPr="007D7262">
        <w:rPr>
          <w:sz w:val="24"/>
          <w:lang w:val="bg-BG"/>
        </w:rPr>
        <w:t xml:space="preserve"> </w:t>
      </w:r>
      <w:r w:rsidR="007D7262" w:rsidRPr="007D7262">
        <w:rPr>
          <w:sz w:val="24"/>
          <w:lang w:val="bg-BG"/>
        </w:rPr>
        <w:tab/>
      </w:r>
      <w:r w:rsidRPr="007D7262">
        <w:rPr>
          <w:sz w:val="24"/>
          <w:lang w:val="bg-BG"/>
        </w:rPr>
        <w:t>ОВ L 207, 11.6.2021 г.,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FB1" w:rsidRPr="007D7262" w:rsidRDefault="00380FB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2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2/2024"/>
    <w:docVar w:name="dvlangue" w:val="BG"/>
    <w:docVar w:name="dvnumam" w:val="0"/>
    <w:docVar w:name="dvpe" w:val="753.483"/>
    <w:docVar w:name="dvrapporteur" w:val="Докладчик: "/>
    <w:docVar w:name="dvtitre" w:val="Решение на Европейския парламент от ... 2024 г. относно освобождаването от отговорност във връзка с изпълнението на общия бюджет на Европейския съюз за финансовата 2022 година, раздел VI ‒ Европейски икономически и социален комитет(2023/2135(DEC))"/>
  </w:docVars>
  <w:rsids>
    <w:rsidRoot w:val="007857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303"/>
    <w:rsid w:val="001F32AE"/>
    <w:rsid w:val="002767FF"/>
    <w:rsid w:val="002B18FE"/>
    <w:rsid w:val="002B5493"/>
    <w:rsid w:val="00343214"/>
    <w:rsid w:val="00361C00"/>
    <w:rsid w:val="00380FB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74E"/>
    <w:rsid w:val="00786EC0"/>
    <w:rsid w:val="00797040"/>
    <w:rsid w:val="007D1690"/>
    <w:rsid w:val="007D726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A7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A9456"/>
  <w15:chartTrackingRefBased/>
  <w15:docId w15:val="{C69C729A-0255-445D-8DE7-06437516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80F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80FB1"/>
    <w:pPr>
      <w:spacing w:before="480" w:after="240"/>
    </w:pPr>
  </w:style>
  <w:style w:type="paragraph" w:customStyle="1" w:styleId="PageHeading">
    <w:name w:val="PageHeading"/>
    <w:basedOn w:val="Normal"/>
    <w:rsid w:val="00380F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80FB1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380FB1"/>
    <w:pPr>
      <w:spacing w:after="240"/>
      <w:ind w:left="567" w:hanging="567"/>
    </w:pPr>
    <w:rPr>
      <w:szCs w:val="24"/>
    </w:rPr>
  </w:style>
  <w:style w:type="paragraph" w:styleId="Header">
    <w:name w:val="header"/>
    <w:basedOn w:val="Normal"/>
    <w:link w:val="HeaderChar"/>
    <w:rsid w:val="00380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FB1"/>
    <w:rPr>
      <w:sz w:val="24"/>
      <w:lang w:val="bg-BG"/>
    </w:rPr>
  </w:style>
  <w:style w:type="paragraph" w:customStyle="1" w:styleId="EPFooter">
    <w:name w:val="EPFooter"/>
    <w:basedOn w:val="Normal"/>
    <w:rsid w:val="00380F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380FB1"/>
    <w:rPr>
      <w:sz w:val="24"/>
      <w:szCs w:val="24"/>
      <w:lang w:val="bg-BG"/>
    </w:rPr>
  </w:style>
  <w:style w:type="paragraph" w:styleId="BalloonText">
    <w:name w:val="Balloon Text"/>
    <w:basedOn w:val="Normal"/>
    <w:link w:val="BalloonTextChar"/>
    <w:rsid w:val="00797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704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7F322-CD09-499D-AD98-73794DD89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7160</Words>
  <Characters>41116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2024-04-11T10:50:00Z</dcterms:created>
  <dcterms:modified xsi:type="dcterms:W3CDTF">2024-04-11T10:50:00Z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A9-0072/2024</vt:lpwstr>
  </property>
  <property fmtid="{D5CDD505-2E9C-101B-9397-08002B2CF9AE}" pid="4" name="&lt;Type&gt;">
    <vt:lpwstr>RR</vt:lpwstr>
  </property>
</Properties>
</file>