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2A1F" w:rsidTr="0010095E">
        <w:trPr>
          <w:trHeight w:hRule="exact" w:val="1418"/>
        </w:trPr>
        <w:tc>
          <w:tcPr>
            <w:tcW w:w="6804" w:type="dxa"/>
            <w:shd w:val="clear" w:color="auto" w:fill="auto"/>
            <w:vAlign w:val="center"/>
          </w:tcPr>
          <w:p w:rsidR="00751A4A" w:rsidRPr="00D02A1F" w:rsidRDefault="000C627A" w:rsidP="0010095E">
            <w:pPr>
              <w:pStyle w:val="EPName"/>
            </w:pPr>
            <w:r w:rsidRPr="00D02A1F">
              <w:t>Europa-Parlamentet</w:t>
            </w:r>
          </w:p>
          <w:p w:rsidR="00751A4A" w:rsidRPr="00D02A1F" w:rsidRDefault="00817416" w:rsidP="00756632">
            <w:pPr>
              <w:pStyle w:val="EPTerm"/>
              <w:rPr>
                <w:rStyle w:val="HideTWBExt"/>
                <w:noProof w:val="0"/>
                <w:vanish w:val="0"/>
                <w:color w:val="auto"/>
              </w:rPr>
            </w:pPr>
            <w:r w:rsidRPr="00D02A1F">
              <w:t>2019-2024</w:t>
            </w:r>
          </w:p>
        </w:tc>
        <w:tc>
          <w:tcPr>
            <w:tcW w:w="2268" w:type="dxa"/>
            <w:shd w:val="clear" w:color="auto" w:fill="auto"/>
          </w:tcPr>
          <w:p w:rsidR="00751A4A" w:rsidRPr="00D02A1F" w:rsidRDefault="00187494" w:rsidP="0010095E">
            <w:pPr>
              <w:pStyle w:val="EPLogo"/>
            </w:pPr>
            <w:r w:rsidRPr="00D02A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2A1F" w:rsidRDefault="00D058B8" w:rsidP="004C5D52">
      <w:pPr>
        <w:pStyle w:val="LineTop"/>
      </w:pPr>
    </w:p>
    <w:p w:rsidR="00680577" w:rsidRPr="00D02A1F" w:rsidRDefault="000C627A" w:rsidP="00680577">
      <w:pPr>
        <w:pStyle w:val="EPBodyTA1"/>
      </w:pPr>
      <w:r w:rsidRPr="00D02A1F">
        <w:t>VEDTAGNE TEKSTER</w:t>
      </w:r>
    </w:p>
    <w:p w:rsidR="00D058B8" w:rsidRPr="00D02A1F" w:rsidRDefault="00D058B8" w:rsidP="00D058B8">
      <w:pPr>
        <w:pStyle w:val="LineBottom"/>
      </w:pPr>
    </w:p>
    <w:p w:rsidR="000C627A" w:rsidRPr="00D02A1F" w:rsidRDefault="000C627A" w:rsidP="000C627A">
      <w:pPr>
        <w:pStyle w:val="ATHeading1"/>
      </w:pPr>
      <w:bookmarkStart w:id="0" w:name="TANumber"/>
      <w:r w:rsidRPr="00D02A1F">
        <w:t>P9_TA(2024)0</w:t>
      </w:r>
      <w:r w:rsidR="005B6BDB">
        <w:t>232</w:t>
      </w:r>
      <w:bookmarkEnd w:id="0"/>
    </w:p>
    <w:p w:rsidR="000C627A" w:rsidRPr="00D02A1F" w:rsidRDefault="000C627A" w:rsidP="000C627A">
      <w:pPr>
        <w:pStyle w:val="ATHeading2"/>
      </w:pPr>
      <w:bookmarkStart w:id="1" w:name="title"/>
      <w:r w:rsidRPr="00D02A1F">
        <w:t>Decharge 2022: EU's almindelige budget – Det Europæiske Økonomiske og Sociale Udvalg</w:t>
      </w:r>
      <w:bookmarkEnd w:id="1"/>
    </w:p>
    <w:p w:rsidR="000C627A" w:rsidRPr="00D02A1F" w:rsidRDefault="000C627A" w:rsidP="000C627A">
      <w:pPr>
        <w:rPr>
          <w:i/>
          <w:vanish/>
        </w:rPr>
      </w:pPr>
      <w:r w:rsidRPr="00D02A1F">
        <w:rPr>
          <w:i/>
        </w:rPr>
        <w:fldChar w:fldCharType="begin"/>
      </w:r>
      <w:r w:rsidRPr="00D02A1F">
        <w:rPr>
          <w:i/>
        </w:rPr>
        <w:instrText xml:space="preserve"> TC"(</w:instrText>
      </w:r>
      <w:bookmarkStart w:id="2" w:name="DocNumber"/>
      <w:r w:rsidRPr="00D02A1F">
        <w:rPr>
          <w:i/>
        </w:rPr>
        <w:instrText>A9-0072/2024</w:instrText>
      </w:r>
      <w:bookmarkEnd w:id="2"/>
      <w:r w:rsidRPr="00D02A1F">
        <w:rPr>
          <w:i/>
        </w:rPr>
        <w:instrText xml:space="preserve"> - Ordfører: Luke Ming Flanagan)"\l3 \n&gt; \* MERGEFORMAT </w:instrText>
      </w:r>
      <w:r w:rsidRPr="00D02A1F">
        <w:rPr>
          <w:i/>
        </w:rPr>
        <w:fldChar w:fldCharType="end"/>
      </w:r>
    </w:p>
    <w:p w:rsidR="000C627A" w:rsidRPr="00D02A1F" w:rsidRDefault="000C627A" w:rsidP="000C627A">
      <w:pPr>
        <w:rPr>
          <w:vanish/>
        </w:rPr>
      </w:pPr>
      <w:bookmarkStart w:id="3" w:name="Commission"/>
      <w:r w:rsidRPr="00D02A1F">
        <w:rPr>
          <w:vanish/>
        </w:rPr>
        <w:t>Budgetkontroludvalget</w:t>
      </w:r>
      <w:bookmarkEnd w:id="3"/>
    </w:p>
    <w:p w:rsidR="000C627A" w:rsidRPr="00D02A1F" w:rsidRDefault="000C627A" w:rsidP="000C627A">
      <w:pPr>
        <w:rPr>
          <w:vanish/>
        </w:rPr>
      </w:pPr>
      <w:bookmarkStart w:id="4" w:name="PE"/>
      <w:r w:rsidRPr="00D02A1F">
        <w:rPr>
          <w:vanish/>
        </w:rPr>
        <w:t>PE753.483</w:t>
      </w:r>
      <w:bookmarkEnd w:id="4"/>
    </w:p>
    <w:p w:rsidR="000C627A" w:rsidRPr="00D02A1F" w:rsidRDefault="000C627A" w:rsidP="000C627A">
      <w:pPr>
        <w:pStyle w:val="ATHeading3"/>
      </w:pPr>
      <w:bookmarkStart w:id="5" w:name="Sujet"/>
      <w:r w:rsidRPr="00D02A1F">
        <w:t>1. Europa-Parlamentets afgørelse af 11. april 2024 om decharge for gennemførelsen af Den Europæiske Unions almindelige budget for regnskabsåret 2022, Sektion VI - Det Europæiske Økonomiske og Sociale Udvalg</w:t>
      </w:r>
      <w:bookmarkEnd w:id="5"/>
      <w:r w:rsidRPr="00D02A1F">
        <w:t xml:space="preserve"> </w:t>
      </w:r>
      <w:bookmarkStart w:id="6" w:name="References"/>
      <w:r w:rsidRPr="00D02A1F">
        <w:t>(2023/2135(DEC))</w:t>
      </w:r>
      <w:bookmarkEnd w:id="6"/>
    </w:p>
    <w:p w:rsidR="0070038F" w:rsidRPr="00D02A1F" w:rsidRDefault="0070038F" w:rsidP="0070038F">
      <w:pPr>
        <w:pStyle w:val="EPComma"/>
        <w:rPr>
          <w:szCs w:val="24"/>
        </w:rPr>
      </w:pPr>
      <w:bookmarkStart w:id="7" w:name="TextBodyBegin"/>
      <w:bookmarkEnd w:id="7"/>
      <w:r w:rsidRPr="00D02A1F">
        <w:rPr>
          <w:i/>
          <w:iCs/>
        </w:rPr>
        <w:t>Europa-Parlamentet,</w:t>
      </w:r>
    </w:p>
    <w:p w:rsidR="0070038F" w:rsidRPr="00D02A1F" w:rsidRDefault="0070038F" w:rsidP="0070038F">
      <w:pPr>
        <w:pStyle w:val="NormalHanging12a"/>
      </w:pPr>
      <w:r w:rsidRPr="00D02A1F">
        <w:t>–</w:t>
      </w:r>
      <w:r w:rsidRPr="00D02A1F">
        <w:tab/>
        <w:t>der henviser til Den Europæiske Unions almindelige budget for regnskabsåret 2022</w:t>
      </w:r>
      <w:r w:rsidRPr="00D02A1F">
        <w:rPr>
          <w:rStyle w:val="FootnoteReference"/>
        </w:rPr>
        <w:footnoteReference w:id="1"/>
      </w:r>
      <w:r w:rsidRPr="00D02A1F">
        <w:t>,</w:t>
      </w:r>
    </w:p>
    <w:p w:rsidR="0070038F" w:rsidRPr="00D02A1F" w:rsidRDefault="0070038F" w:rsidP="0070038F">
      <w:pPr>
        <w:pStyle w:val="NormalHanging12a"/>
      </w:pPr>
      <w:r w:rsidRPr="00D02A1F">
        <w:t>–</w:t>
      </w:r>
      <w:r w:rsidRPr="00D02A1F">
        <w:tab/>
        <w:t>der henviser til Den Europæiske Unions konsoliderede årsregnskab for regnskabsåret 2022 (COM(2023)0391 – C9</w:t>
      </w:r>
      <w:r w:rsidRPr="00D02A1F">
        <w:noBreakHyphen/>
        <w:t>02</w:t>
      </w:r>
      <w:r w:rsidR="001C5EDB" w:rsidRPr="00D02A1F">
        <w:t>54</w:t>
      </w:r>
      <w:r w:rsidRPr="00D02A1F">
        <w:t>/2023)</w:t>
      </w:r>
      <w:r w:rsidRPr="00D02A1F">
        <w:rPr>
          <w:rStyle w:val="FootnoteReference"/>
        </w:rPr>
        <w:footnoteReference w:id="2"/>
      </w:r>
      <w:r w:rsidRPr="00D02A1F">
        <w:t>,</w:t>
      </w:r>
    </w:p>
    <w:p w:rsidR="0070038F" w:rsidRPr="00D02A1F" w:rsidRDefault="0070038F" w:rsidP="0070038F">
      <w:pPr>
        <w:pStyle w:val="NormalHanging12a"/>
      </w:pPr>
      <w:r w:rsidRPr="00D02A1F">
        <w:t>–</w:t>
      </w:r>
      <w:r w:rsidRPr="00D02A1F">
        <w:tab/>
        <w:t>der henviser til Det Europæiske Økonomiske og Sociale Udvalgs årlige aktivitetsrapport for 2022 og dets årsberetning til dechargemyndigheden om de interne revisioner, der er foretaget i 2022,</w:t>
      </w:r>
    </w:p>
    <w:p w:rsidR="0070038F" w:rsidRPr="00D02A1F" w:rsidRDefault="0070038F" w:rsidP="0070038F">
      <w:pPr>
        <w:pStyle w:val="NormalHanging12a"/>
      </w:pPr>
      <w:r w:rsidRPr="00D02A1F">
        <w:t>–</w:t>
      </w:r>
      <w:r w:rsidRPr="00D02A1F">
        <w:tab/>
        <w:t>der henviser til Revisionsrettens årsberetning om budgetgennemførelsen i regnskabsåret 2022, med institutionernes svar</w:t>
      </w:r>
      <w:r w:rsidRPr="00D02A1F">
        <w:rPr>
          <w:rStyle w:val="FootnoteReference"/>
        </w:rPr>
        <w:footnoteReference w:id="3"/>
      </w:r>
      <w:r w:rsidRPr="00D02A1F">
        <w:t>,</w:t>
      </w:r>
    </w:p>
    <w:p w:rsidR="0070038F" w:rsidRPr="00D02A1F" w:rsidRDefault="0070038F" w:rsidP="0070038F">
      <w:pPr>
        <w:pStyle w:val="NormalHanging12a"/>
      </w:pPr>
      <w:r w:rsidRPr="00D02A1F">
        <w:t>–</w:t>
      </w:r>
      <w:r w:rsidRPr="00D02A1F">
        <w:tab/>
        <w:t>der henviser til Revisionsrettens erklæring for regnskabsåret 2022 om regnskabernes rigtighed</w:t>
      </w:r>
      <w:r w:rsidRPr="00D02A1F">
        <w:rPr>
          <w:rStyle w:val="FootnoteReference"/>
        </w:rPr>
        <w:footnoteReference w:id="4"/>
      </w:r>
      <w:r w:rsidRPr="00D02A1F">
        <w:t xml:space="preserve"> og de underliggende transaktioners lovlighed og formelle rigtighed, jf. artikel 287 i traktaten om Den Europæiske Unions funktionsmåde,</w:t>
      </w:r>
    </w:p>
    <w:p w:rsidR="0070038F" w:rsidRPr="00D02A1F" w:rsidRDefault="0070038F" w:rsidP="0070038F">
      <w:pPr>
        <w:pStyle w:val="NormalHanging12a"/>
      </w:pPr>
      <w:r w:rsidRPr="00D02A1F">
        <w:t>–</w:t>
      </w:r>
      <w:r w:rsidRPr="00D02A1F">
        <w:tab/>
        <w:t>der henviser til artikel 314, stk. 10, og artikel 317, 318 og 319 i traktaten om Den Europæiske Unions funktionsmåde,</w:t>
      </w:r>
    </w:p>
    <w:p w:rsidR="0070038F" w:rsidRPr="00D02A1F" w:rsidRDefault="0070038F" w:rsidP="0070038F">
      <w:pPr>
        <w:pStyle w:val="NormalHanging12a"/>
      </w:pPr>
      <w:r w:rsidRPr="00D02A1F">
        <w:t>–</w:t>
      </w:r>
      <w:r w:rsidRPr="00D02A1F">
        <w:tab/>
        <w:t xml:space="preserve">der henviser til Europa-Parlamentets og Rådets forordning (EU, </w:t>
      </w:r>
      <w:proofErr w:type="spellStart"/>
      <w:r w:rsidRPr="00D02A1F">
        <w:t>Euratom</w:t>
      </w:r>
      <w:proofErr w:type="spellEnd"/>
      <w:r w:rsidRPr="00D02A1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02A1F">
        <w:lastRenderedPageBreak/>
        <w:t>Euratom</w:t>
      </w:r>
      <w:proofErr w:type="spellEnd"/>
      <w:r w:rsidRPr="00D02A1F">
        <w:t>) nr. 966/2012</w:t>
      </w:r>
      <w:r w:rsidRPr="00D02A1F">
        <w:rPr>
          <w:rStyle w:val="FootnoteReference"/>
        </w:rPr>
        <w:footnoteReference w:id="5"/>
      </w:r>
      <w:r w:rsidRPr="00D02A1F">
        <w:t>, særlig artikel 59, 118, 260, 261 og 262,</w:t>
      </w:r>
    </w:p>
    <w:p w:rsidR="0070038F" w:rsidRPr="00D02A1F" w:rsidRDefault="0070038F" w:rsidP="0070038F">
      <w:pPr>
        <w:pStyle w:val="NormalHanging12a"/>
      </w:pPr>
      <w:r w:rsidRPr="00D02A1F">
        <w:t>–</w:t>
      </w:r>
      <w:r w:rsidRPr="00D02A1F">
        <w:tab/>
        <w:t>der henviser til forretningsordenens artikel 100 og bilag V,</w:t>
      </w:r>
    </w:p>
    <w:p w:rsidR="0070038F" w:rsidRPr="00D02A1F" w:rsidRDefault="0070038F" w:rsidP="0070038F">
      <w:pPr>
        <w:pStyle w:val="NormalHanging12a"/>
      </w:pPr>
      <w:r w:rsidRPr="00D02A1F">
        <w:t>–</w:t>
      </w:r>
      <w:r w:rsidRPr="00D02A1F">
        <w:tab/>
        <w:t>der henviser til betænkning fra Budgetkontroludvalget (A9-0072/2024),</w:t>
      </w:r>
    </w:p>
    <w:p w:rsidR="0070038F" w:rsidRPr="00D02A1F" w:rsidRDefault="0070038F" w:rsidP="0070038F">
      <w:pPr>
        <w:pStyle w:val="NormalHanging12a"/>
      </w:pPr>
      <w:r w:rsidRPr="00D02A1F">
        <w:t>1.</w:t>
      </w:r>
      <w:r w:rsidRPr="00D02A1F">
        <w:tab/>
        <w:t>meddeler generalsekretæren for Det Europæiske Økonomiske og Sociale Udvalg decharge for gennemførelsen af Det Europæiske Økonomiske og Sociale Udvalgs budget for regnskabsåret 2022;</w:t>
      </w:r>
    </w:p>
    <w:p w:rsidR="0070038F" w:rsidRPr="00D02A1F" w:rsidRDefault="0070038F" w:rsidP="0070038F">
      <w:pPr>
        <w:pStyle w:val="NormalHanging12a"/>
      </w:pPr>
      <w:r w:rsidRPr="00D02A1F">
        <w:t>2.</w:t>
      </w:r>
      <w:r w:rsidRPr="00D02A1F">
        <w:tab/>
        <w:t>fremsætter sine bemærkninger i nedenstående beslutning;</w:t>
      </w:r>
    </w:p>
    <w:p w:rsidR="0070038F" w:rsidRPr="00D02A1F" w:rsidRDefault="0070038F" w:rsidP="0070038F">
      <w:pPr>
        <w:pStyle w:val="NormalHanging12a"/>
      </w:pPr>
      <w:r w:rsidRPr="00D02A1F">
        <w:t>3.</w:t>
      </w:r>
      <w:r w:rsidRPr="00D02A1F">
        <w:tab/>
        <w:t xml:space="preserve">pålægger sin formand at sende denne afgørelse og beslutningen, der er en integrerende del heraf, til generalsekretæren for Det Europæiske Økonomiske og Sociale Udvalg, Rådet, Kommissionen og Revisionsretten og drage omsorg for, at de offentliggøres i </w:t>
      </w:r>
      <w:r w:rsidRPr="00D02A1F">
        <w:rPr>
          <w:i/>
          <w:iCs/>
        </w:rPr>
        <w:t>Den Europæiske Unions Tidende</w:t>
      </w:r>
      <w:r w:rsidRPr="00D02A1F">
        <w:t xml:space="preserve"> (L-udgaven). </w:t>
      </w:r>
    </w:p>
    <w:p w:rsidR="0070038F" w:rsidRPr="00D02A1F" w:rsidRDefault="0070038F" w:rsidP="0070038F"/>
    <w:p w:rsidR="0070038F" w:rsidRPr="00D02A1F" w:rsidRDefault="0070038F" w:rsidP="0070038F">
      <w:pPr>
        <w:pStyle w:val="PageHeading"/>
        <w:sectPr w:rsidR="0070038F" w:rsidRPr="00D02A1F" w:rsidSect="00FA544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0038F" w:rsidRPr="00D02A1F" w:rsidRDefault="0070038F" w:rsidP="00B07742">
      <w:pPr>
        <w:pStyle w:val="ATHeading3"/>
      </w:pPr>
      <w:bookmarkStart w:id="8" w:name="_Toc161653621"/>
      <w:r w:rsidRPr="00D02A1F">
        <w:t xml:space="preserve">2. </w:t>
      </w:r>
      <w:r w:rsidR="00B07742" w:rsidRPr="00D02A1F">
        <w:t>Europa-Parlamentets beslutning</w:t>
      </w:r>
      <w:bookmarkEnd w:id="8"/>
      <w:r w:rsidR="00B07742" w:rsidRPr="00D02A1F">
        <w:t xml:space="preserve"> af 11. april 2024 </w:t>
      </w:r>
      <w:r w:rsidRPr="00D02A1F">
        <w:t>med bemærkningerne, der er en integrerende del af afgørelsen om decharge for gennemførelsen af Den Europæiske Unions almindelige budget for regnskabsåret 2022, Sektion VI – Det Europæiske Økonomiske og Sociale Udvalg</w:t>
      </w:r>
      <w:r w:rsidR="00E03A6A" w:rsidRPr="00D02A1F">
        <w:rPr>
          <w:szCs w:val="24"/>
        </w:rPr>
        <w:t xml:space="preserve"> (2023</w:t>
      </w:r>
      <w:r w:rsidRPr="00D02A1F">
        <w:t>/2135(DEC))</w:t>
      </w:r>
    </w:p>
    <w:p w:rsidR="0070038F" w:rsidRPr="00D02A1F" w:rsidRDefault="0070038F" w:rsidP="0070038F">
      <w:pPr>
        <w:pStyle w:val="EPComma"/>
        <w:rPr>
          <w:szCs w:val="24"/>
        </w:rPr>
      </w:pPr>
      <w:r w:rsidRPr="00D02A1F">
        <w:rPr>
          <w:i/>
          <w:iCs/>
        </w:rPr>
        <w:t>Europa-Parlamentet,</w:t>
      </w:r>
    </w:p>
    <w:p w:rsidR="0070038F" w:rsidRPr="00D02A1F" w:rsidRDefault="0070038F" w:rsidP="0070038F">
      <w:pPr>
        <w:pStyle w:val="NormalHanging12a"/>
      </w:pPr>
      <w:r w:rsidRPr="00D02A1F">
        <w:t>–</w:t>
      </w:r>
      <w:r w:rsidRPr="00D02A1F">
        <w:tab/>
        <w:t>der henviser til sin afgørelse om decharge for gennemførelsen af Den Europæiske Unions almindelige budget for regnskabsåret 2022, Sektion VI - Det Europæiske Økonomiske og Sociale Udvalg,</w:t>
      </w:r>
    </w:p>
    <w:p w:rsidR="0070038F" w:rsidRPr="00D02A1F" w:rsidRDefault="0070038F" w:rsidP="0070038F">
      <w:pPr>
        <w:pStyle w:val="NormalHanging12a"/>
      </w:pPr>
      <w:r w:rsidRPr="00D02A1F">
        <w:t>–</w:t>
      </w:r>
      <w:r w:rsidRPr="00D02A1F">
        <w:tab/>
        <w:t>der henviser til forretningsordenens artikel 100 og bilag V,</w:t>
      </w:r>
    </w:p>
    <w:p w:rsidR="0070038F" w:rsidRPr="00D02A1F" w:rsidRDefault="0070038F" w:rsidP="0070038F">
      <w:pPr>
        <w:pStyle w:val="NormalHanging12a"/>
      </w:pPr>
      <w:r w:rsidRPr="00D02A1F">
        <w:t>–</w:t>
      </w:r>
      <w:r w:rsidRPr="00D02A1F">
        <w:tab/>
        <w:t>der henviser til betænkning fra Budgetkontroludvalget (A9-0072/2024),</w:t>
      </w:r>
    </w:p>
    <w:p w:rsidR="0070038F" w:rsidRPr="00D02A1F" w:rsidRDefault="0070038F" w:rsidP="0070038F">
      <w:pPr>
        <w:pStyle w:val="NormalHanging12a"/>
      </w:pPr>
      <w:r w:rsidRPr="00D02A1F">
        <w:t>A.</w:t>
      </w:r>
      <w:r w:rsidRPr="00D02A1F">
        <w:tab/>
        <w:t>der henviser til, at dechargemyndigheden inden for rammerne af dechargeproceduren gerne vil understrege, at det er særlig vigtigt at styrke EU-institutionernes demokratiske legitimitet yderligere ved at forbedre gennemsigtigheden og ansvarligheden og implementere princippet om resultatbaseret budgettering og god forvaltning af menneskelige ressourcer;</w:t>
      </w:r>
    </w:p>
    <w:p w:rsidR="0070038F" w:rsidRPr="00D02A1F" w:rsidRDefault="0070038F" w:rsidP="0070038F">
      <w:pPr>
        <w:pStyle w:val="NormalHanging12a"/>
      </w:pPr>
      <w:r w:rsidRPr="00D02A1F">
        <w:t>B.</w:t>
      </w:r>
      <w:r w:rsidRPr="00D02A1F">
        <w:tab/>
        <w:t>der henviser til, at Det Europæiske Økonomiske og Sociale Udvalg ("udvalget") er et rådgivende EU-organ, der udgør et forum for høring, dialog og konsensus blandt repræsentanter for de forskellige økonomiske, sociale og civile grupper i det organiserede civilsamfund i medlemsstaterne;</w:t>
      </w:r>
    </w:p>
    <w:p w:rsidR="0070038F" w:rsidRPr="00D02A1F" w:rsidRDefault="0070038F" w:rsidP="0070038F">
      <w:pPr>
        <w:pStyle w:val="NormalHanging12a"/>
      </w:pPr>
      <w:r w:rsidRPr="00D02A1F">
        <w:t>C.</w:t>
      </w:r>
      <w:r w:rsidRPr="00D02A1F">
        <w:tab/>
        <w:t>der henviser til, at udvalget bidrager til EU's beslutningsproces, og at det ved at sikre forbindelser mellem Unionens politikker og de økonomiske, sociale og samfundsmæssige realiteter forfølger sine mål om bedre lovgivning, deltagelsesdemokrati nedefra og op og fremme af Unionens værdier;</w:t>
      </w:r>
    </w:p>
    <w:p w:rsidR="0070038F" w:rsidRPr="00D02A1F" w:rsidRDefault="0070038F" w:rsidP="0070038F">
      <w:pPr>
        <w:pStyle w:val="NormalHanging12a"/>
      </w:pPr>
      <w:r w:rsidRPr="00D02A1F">
        <w:t>D.</w:t>
      </w:r>
      <w:r w:rsidRPr="00D02A1F">
        <w:tab/>
        <w:t>der henviser til, at det i visse tilfælde er obligatorisk for Kommissionen eller Rådet at høre udvalget, og at udvalget også kan vedtage udtalelser på eget initiativ og har et bredt høringsområde som fastlagt i traktaterne, der gør det muligt for det at blive hørt af Parlamentet;</w:t>
      </w:r>
    </w:p>
    <w:p w:rsidR="0070038F" w:rsidRPr="00D02A1F" w:rsidRDefault="0070038F" w:rsidP="0070038F">
      <w:pPr>
        <w:pStyle w:val="NormalHanging12a"/>
      </w:pPr>
      <w:r w:rsidRPr="00D02A1F">
        <w:t>E.</w:t>
      </w:r>
      <w:r w:rsidRPr="00D02A1F">
        <w:tab/>
        <w:t>der henviser til, at udvalgets finans- og budgetudvalg er udvalgets tilsynsorgan for alle budgetprocedurer og navnlig udarbejdelsen af budgetoverslag, budgetgennemførelsen, den årlige aktivitetsrapport, decharge og opfølgning af Revisionsrettens årsberetning;</w:t>
      </w:r>
    </w:p>
    <w:p w:rsidR="0070038F" w:rsidRPr="00D02A1F" w:rsidRDefault="0070038F" w:rsidP="0070038F">
      <w:pPr>
        <w:pStyle w:val="NormalHanging12a"/>
      </w:pPr>
      <w:r w:rsidRPr="00D02A1F">
        <w:t>1.</w:t>
      </w:r>
      <w:r w:rsidRPr="00D02A1F">
        <w:tab/>
        <w:t>bemærker, at udvalgets budget falder ind under FFR-udgiftsområde 7, "Europæisk offentlig forvaltning", som i 2022 beløb sig til i alt 11,6 mia. EUR eller 5,9 % af Unionens udgifter; bemærker, at udvalgets budget i 2022 udgjorde 1,31 % af FFR-udgiftsområde 7;</w:t>
      </w:r>
    </w:p>
    <w:p w:rsidR="0070038F" w:rsidRPr="00D02A1F" w:rsidRDefault="0070038F" w:rsidP="0070038F">
      <w:pPr>
        <w:pStyle w:val="NormalHanging12a"/>
      </w:pPr>
      <w:r w:rsidRPr="00D02A1F">
        <w:t>2.</w:t>
      </w:r>
      <w:r w:rsidRPr="00D02A1F">
        <w:tab/>
        <w:t>bemærker, at Revisionsretten i sin årsberetning for regnskabsåret 2022 undersøgte en stikprøve på 60 transaktioner under "Administration", hvilket er det samme antal, som blev undersøgt i 2021; bemærker endvidere, at Revisionsretten anfører, at administrationsudgifter omfatter udgifter til menneskelige ressourcer, herunder udgifter til pensioner, som i 2022 tegnede sig for ca. 70 % af de samlede administrationsudgifter, samt udgifter til bygninger, udstyr, energi, kommunikation og informationsteknologi, og at dens revisioner gennem mange år viser, at der generelt kun er lav risiko forbundet med disse udgifter;</w:t>
      </w:r>
    </w:p>
    <w:p w:rsidR="0070038F" w:rsidRPr="00D02A1F" w:rsidRDefault="0070038F" w:rsidP="0070038F">
      <w:pPr>
        <w:pStyle w:val="NormalHanging12a"/>
      </w:pPr>
      <w:r w:rsidRPr="00D02A1F">
        <w:t>3.</w:t>
      </w:r>
      <w:r w:rsidRPr="00D02A1F">
        <w:tab/>
        <w:t>noterer sig, at Revisionsretten som led i sin revision for 2022 undersøgte udvalgets overvågnings- og kontrolsystemer, navnlig gennemførelsen af interne kontrolstandarder, risikostyring og centrale kontrollers funktion som defineret i finansforordningen, herunder forudgående og efterfølgende kontrol af betalinger;</w:t>
      </w:r>
    </w:p>
    <w:p w:rsidR="0070038F" w:rsidRPr="00D02A1F" w:rsidRDefault="0070038F" w:rsidP="0070038F">
      <w:pPr>
        <w:pStyle w:val="NormalHanging12a"/>
      </w:pPr>
      <w:r w:rsidRPr="00D02A1F">
        <w:t>4.</w:t>
      </w:r>
      <w:r w:rsidRPr="00D02A1F">
        <w:tab/>
        <w:t>bemærker, at 14 (23 %) af de 60 transaktioner var behæftet med fejl, men at Revisionsretten på grundlag af de fem fejl, der blev kvantificeret, anslår, at fejlforekomsten er under væsentlighedstærsklen;</w:t>
      </w:r>
    </w:p>
    <w:p w:rsidR="0070038F" w:rsidRPr="00D02A1F" w:rsidRDefault="0070038F" w:rsidP="0070038F">
      <w:pPr>
        <w:pStyle w:val="NormalHanging12a"/>
      </w:pPr>
      <w:r w:rsidRPr="00D02A1F">
        <w:t>5.</w:t>
      </w:r>
      <w:r w:rsidRPr="00D02A1F">
        <w:tab/>
        <w:t>noterer sig med tilfredshed, at Revisionsretten i årsberetningen for regnskabsåret 2022 anfører, at den ikke havde konstateret nogen specifikke forhold vedrørende udvalget; bemærker endvidere, at Revisionsretten i sin opfølgning fandt, at den anbefaling, der var fremsat til udvalget i årsberetningen for regnskabsåret 2019 med hensyn til behovet for, at udvalget gennemfører en politik for håndtering af følsomme funktioner i overensstemmelse med dets interne kontrolstandarder, var gennemført i nogle henseender;</w:t>
      </w:r>
    </w:p>
    <w:p w:rsidR="0070038F" w:rsidRPr="00D02A1F" w:rsidRDefault="0070038F" w:rsidP="0070038F">
      <w:pPr>
        <w:pStyle w:val="NormalHanging12a"/>
        <w:rPr>
          <w:b/>
          <w:i/>
        </w:rPr>
      </w:pPr>
      <w:r w:rsidRPr="00D02A1F">
        <w:rPr>
          <w:b/>
          <w:i/>
        </w:rPr>
        <w:t>Budgetmæssig og økonomisk forvaltning</w:t>
      </w:r>
    </w:p>
    <w:p w:rsidR="0070038F" w:rsidRPr="00D02A1F" w:rsidRDefault="0070038F" w:rsidP="0070038F">
      <w:pPr>
        <w:pStyle w:val="NormalHanging12a"/>
      </w:pPr>
      <w:r w:rsidRPr="00D02A1F">
        <w:t>6.</w:t>
      </w:r>
      <w:r w:rsidRPr="00D02A1F">
        <w:tab/>
        <w:t>bemærker, at udvalgets endeligt vedtagne budget for 2022 var på 152 451 643 EUR, hvilket svarer til en samlet stigning på 5,1 % sammenlignet med 2021; bemærker, at budgetposten for vederlag og godtgørelser steg med 5 % mellem 2021 og 2022 som følge af den årlige indeksering af lønninger; bemærker, at budgetposten for indretning af lokaler faldt med 77 % mellem 2021 og 2022 og kom tilbage til det sædvanlige niveau efter gennemførelsen af vigtige renoveringsarbejder i 2021; bemærker, at fordelingen af bevillinger på budgetposterne i 2022-budgettet ellers fortsat var sammenlignelig med fordelingen i de foregående år;</w:t>
      </w:r>
    </w:p>
    <w:p w:rsidR="0070038F" w:rsidRPr="00D02A1F" w:rsidRDefault="0070038F" w:rsidP="0070038F">
      <w:pPr>
        <w:pStyle w:val="NormalHanging12a"/>
      </w:pPr>
      <w:r w:rsidRPr="00D02A1F">
        <w:t>7.</w:t>
      </w:r>
      <w:r w:rsidRPr="00D02A1F">
        <w:tab/>
        <w:t>bemærker, at budgetgennemførelsesgraden var på 96,12 % i 2022 efter to år med lavere budgetgennemførelse som følge af covid-19-pandemien og de dermed forbundne rejserestriktioner; bemærker, at udnyttelsesgraden for betalinger fulgte samme tendens og nåede op på 88,12 % i 2022;</w:t>
      </w:r>
    </w:p>
    <w:p w:rsidR="0070038F" w:rsidRPr="00D02A1F" w:rsidRDefault="0070038F" w:rsidP="0070038F">
      <w:pPr>
        <w:pStyle w:val="NormalHanging12a"/>
      </w:pPr>
      <w:r w:rsidRPr="00D02A1F">
        <w:t>8.</w:t>
      </w:r>
      <w:r w:rsidRPr="00D02A1F">
        <w:tab/>
        <w:t>bemærker, at de fremførte bevillinger til regnskabsåret 2022 beløb sig til 20 162 518 EUR, dvs. ca. 13 % af det årlige budget for 2022, hvilket var betydeligt mere end gennemsnittet i de foregående år; forstår, at disse fremførsler var knyttet til udsættelsen af bygningsarbejder i 2020 og 2021;</w:t>
      </w:r>
    </w:p>
    <w:p w:rsidR="0070038F" w:rsidRPr="00D02A1F" w:rsidRDefault="0070038F" w:rsidP="0070038F">
      <w:pPr>
        <w:pStyle w:val="NormalHanging12a"/>
      </w:pPr>
      <w:r w:rsidRPr="00D02A1F">
        <w:t>9.</w:t>
      </w:r>
      <w:r w:rsidRPr="00D02A1F">
        <w:tab/>
        <w:t>bemærker, at den gennemsnitlige betalingstid i 2022 var 18 dage, hvilket er et kraftigt fald siden 2019, hvor den var 30,19 dage; glæder sig over, at brugen af elektronisk fakturering samtidig steg fra 58,54 % i 2018 til 88,84 % i 2022, hvilket formodentlig bidrog til nedgangen i betalingstiden i denne periode; glæder sig over, at udvalget ændrede sine praksisser som følge af interne revisionshenstillinger om betalingsfrister, som blev iværksat og afsluttet i 2022 og bidrog til et fald i andelen af forsinkede betalinger til ca. 10 % i 2022;</w:t>
      </w:r>
    </w:p>
    <w:p w:rsidR="0070038F" w:rsidRPr="00D02A1F" w:rsidRDefault="0070038F" w:rsidP="0070038F">
      <w:pPr>
        <w:pStyle w:val="NormalHanging12a"/>
      </w:pPr>
      <w:r w:rsidRPr="00D02A1F">
        <w:t>10.</w:t>
      </w:r>
      <w:r w:rsidRPr="00D02A1F">
        <w:tab/>
        <w:t>bemærker, at udvalgets egne tjenester iværksatte 15 udbud med forhandling på under 60 000 EUR i 2022, hovedsagelig med henblik på ekspertise, undersøgelser og logistisk støtte; noterede sig, at der blev iværksat udbudsprocedurer på logistikområdet af de fælles tjenestegrene, som udvalget deler med Regionsudvalget ("RU");</w:t>
      </w:r>
    </w:p>
    <w:p w:rsidR="0070038F" w:rsidRPr="00D02A1F" w:rsidRDefault="0070038F" w:rsidP="0070038F">
      <w:pPr>
        <w:pStyle w:val="NormalHanging12a"/>
      </w:pPr>
      <w:r w:rsidRPr="00D02A1F">
        <w:t>11.</w:t>
      </w:r>
      <w:r w:rsidRPr="00D02A1F">
        <w:tab/>
        <w:t xml:space="preserve">bemærker, at udvalget i 2022 fortsatte med at forbedre omkostningseffektiviteten af sine arbejdsmetoder, navnlig takket være hybridarbejde, fuld dematerialisering af finansielle kredsløb og reduceret energiforbrug; bemærker endvidere, at der blev opnået budgetmæssige og administrative besparelser gennem </w:t>
      </w:r>
      <w:proofErr w:type="spellStart"/>
      <w:r w:rsidRPr="00D02A1F">
        <w:t>interinstitutionelt</w:t>
      </w:r>
      <w:proofErr w:type="spellEnd"/>
      <w:r w:rsidRPr="00D02A1F">
        <w:t xml:space="preserve"> samarbejde, navnlig gennem de fælles tjenestegrene med RU og outsourcing af specifikke tjenester til Kommissionen (mod et årligt gebyr) til håndtering af HR-spørgsmål og anvendelse af forskellige IT-platforme til økonomisk forvaltning og HR samt deltagelse i </w:t>
      </w:r>
      <w:proofErr w:type="spellStart"/>
      <w:r w:rsidRPr="00D02A1F">
        <w:t>interinstitutionelle</w:t>
      </w:r>
      <w:proofErr w:type="spellEnd"/>
      <w:r w:rsidRPr="00D02A1F">
        <w:t xml:space="preserve"> udbudsprocedurer ledet af andre institutioner;</w:t>
      </w:r>
    </w:p>
    <w:p w:rsidR="0070038F" w:rsidRPr="00D02A1F" w:rsidRDefault="0070038F" w:rsidP="0070038F">
      <w:pPr>
        <w:pStyle w:val="NormalHanging12a"/>
      </w:pPr>
      <w:r w:rsidRPr="00D02A1F">
        <w:t>12.</w:t>
      </w:r>
      <w:r w:rsidRPr="00D02A1F">
        <w:tab/>
        <w:t>er klar over, at afgørelserne vedrørende dagpenge til udvalgets medlemmer for deltagelse i møder og størrelsen af sådanne godtgørelser træffes af Rådet; beklager, at Rådet efter den gradvise ophævelse af rejserestriktionerne i forbindelse med covid-19-pandemien besluttede ikke at ophæve den midlertidige afgørelse fra 2021 om at yde en godtgørelse på 145 EUR for medlemmernes fjerndeltagelse i møder, som forblev i kraft indtil den 25. maj 2023, hvor en ny rådsafgørelse blev vedtaget med en fast sats på 145 EUR pr. dag for fjerndeltagelse i møder; mener, at fjerndeltagelse er et vigtigt instrument for moderne institutioner, eftersom det bl.a. reducerer omkostningerne til møder og giver mulighed for bredere deltagelse, navnlig i krisesituationer, som det blev demonstreret under covid-19-pandemien; mener ikke desto mindre, at det er vanskeligt for offentligheden at forstå en godtgørelse for fjerndeltagelse, selv om den er blevet reduceret, og dette gælder så meget desto mere, når der tages hensyn til forskellen i det beløb, der udbetales til udvalgets medlemmer og Regionsudvalgets medlemmer for fjerndeltagelse; noterer sig de forskellige kontrollag, der gennemføres for at bevise, at et medlem deltager i et møde på afstand forud for udbetalingen af godtgørelsen;</w:t>
      </w:r>
    </w:p>
    <w:p w:rsidR="0070038F" w:rsidRPr="00D02A1F" w:rsidRDefault="0070038F" w:rsidP="0070038F">
      <w:pPr>
        <w:pStyle w:val="NormalHanging12a"/>
      </w:pPr>
      <w:r w:rsidRPr="00D02A1F">
        <w:t>13.</w:t>
      </w:r>
      <w:r w:rsidRPr="00D02A1F">
        <w:tab/>
        <w:t>bemærker, at Ruslands angrebskrig mod Ukraine skabte et budgetpres på udvalget, herunder gennem stigende inflation og løntilpasninger, stærkt stigende energiomkostninger og byggeomkostninger og omkostninger til råvarer; bemærker navnlig, at energiomkostningerne steg fra 726 000 EUR til 3 125 000 EUR mellem 2021 og 2022, dvs. en stigning på 330 %; bemærker, at ad hoc-aktiviteter til støtte for det ukrainske civilsamfund førte til direkte og indirekte omkostninger såsom omkostninger i forbindelse med oversættelse og tolkning til og fra ukrainsk, værtskabet for ukrainske NGO'er samt sikkerhedstjenester og uddannelse i forbindelse med tjenesterejser til Ukraine;</w:t>
      </w:r>
    </w:p>
    <w:p w:rsidR="0070038F" w:rsidRPr="00D02A1F" w:rsidRDefault="0070038F" w:rsidP="0070038F">
      <w:pPr>
        <w:pStyle w:val="NormalHanging12a"/>
        <w:rPr>
          <w:b/>
          <w:i/>
        </w:rPr>
      </w:pPr>
      <w:r w:rsidRPr="00D02A1F">
        <w:t>14.</w:t>
      </w:r>
      <w:r w:rsidRPr="00D02A1F">
        <w:tab/>
        <w:t>bemærker, at budgettet for 2022 til personalets tjenesterejser steg med 25 000 EUR i forhold til 2021, hvilket blev finansieret ved en budgetoverførsel for at dække højere udgifter som følge af stigningen i fly- og hotelpriserne i 2022, og beløb sig til i alt 398 974 EUR; bemærker, at udvalgets formand i 2022 deltog i 26 tjenesterejser med samlede udgifter på 38 042 EUR sammenlignet med 12 tjenesterejser med samlede udgifter på 15 327 EUR i 2021 efter ophævelsen af rejserestriktionerne efter covid-19-pandemiens afslutning;</w:t>
      </w:r>
    </w:p>
    <w:p w:rsidR="0070038F" w:rsidRPr="00D02A1F" w:rsidRDefault="0070038F" w:rsidP="0070038F">
      <w:pPr>
        <w:pStyle w:val="NormalHanging12a"/>
        <w:rPr>
          <w:b/>
          <w:i/>
        </w:rPr>
      </w:pPr>
      <w:r w:rsidRPr="00D02A1F">
        <w:rPr>
          <w:b/>
          <w:i/>
        </w:rPr>
        <w:t>Intern forvaltning, performance og intern kontrol</w:t>
      </w:r>
    </w:p>
    <w:p w:rsidR="0070038F" w:rsidRPr="00D02A1F" w:rsidRDefault="0070038F" w:rsidP="0070038F">
      <w:pPr>
        <w:pStyle w:val="NormalHanging12a"/>
      </w:pPr>
      <w:r w:rsidRPr="00D02A1F">
        <w:t>15.</w:t>
      </w:r>
      <w:r w:rsidRPr="00D02A1F">
        <w:tab/>
        <w:t>bemærker, at udvalget varetager sin opgave gennem udtalelser, som henviser til lovgivningsforslag fra Kommissionen (høringsanmodninger), initiativudtalelser, som opfordrer EU-institutionerne til at træffe foranstaltninger, og sonderende udtalelser, som indgår i Kommissionens arbejde vedrørende planlagte initiativer, og at udvalgets holdninger kan fremhæves i beslutninger eller medtages i evaluerings- og informationsrapporter; bemærker, at udvalget i 2022 vedtog 202 udtalelser og rapporter, hvilket er i overensstemmelse med dets gennemsnitlige årlige performance, hvis man ser bort fra 2019 og 2020, hvor udvalgets aktivitet var lavere; bemærker, at udvalget også øgede sit engagement i den politiske og lovgivningsmæssige cyklus ved at deltage i 345 møder, topmøder og konferencer på højt nationalt plan, EU-plan og internationalt plan og ved at tilrettelægge 116 høringer og 29 konferencer;</w:t>
      </w:r>
    </w:p>
    <w:p w:rsidR="0070038F" w:rsidRPr="00D02A1F" w:rsidRDefault="0070038F" w:rsidP="0070038F">
      <w:pPr>
        <w:pStyle w:val="NormalHanging12a"/>
      </w:pPr>
      <w:r w:rsidRPr="00D02A1F">
        <w:t>16.</w:t>
      </w:r>
      <w:r w:rsidRPr="00D02A1F">
        <w:tab/>
        <w:t xml:space="preserve">glæder sig over de projekter, der blev iværksat i 2022 med hensyn til styrkede </w:t>
      </w:r>
      <w:proofErr w:type="spellStart"/>
      <w:r w:rsidRPr="00D02A1F">
        <w:t>opfølgende</w:t>
      </w:r>
      <w:proofErr w:type="spellEnd"/>
      <w:r w:rsidRPr="00D02A1F">
        <w:t xml:space="preserve"> udtalelser med henblik på at øge rækkevidden og virkningen af udvalgte udtalelser og forbedre udvalgets kapacitet til at prioritere sit arbejde og med hensyn til at forbedre rettidigheden af udvalgets udtalelser; bemærker, at disse initiativer ved udgangen af 2022 blev suppleret med overvejelser om udtalelsernes format, hvis sigte var at fremme en mere effektiv og virkningsfuld anvendelse af udvalgets udtalelser i den lovgivningsmæssige beslutningsproces;</w:t>
      </w:r>
    </w:p>
    <w:p w:rsidR="0070038F" w:rsidRPr="00D02A1F" w:rsidRDefault="0070038F" w:rsidP="0070038F">
      <w:pPr>
        <w:pStyle w:val="NormalHanging12a"/>
      </w:pPr>
      <w:r w:rsidRPr="00D02A1F">
        <w:t>17.</w:t>
      </w:r>
      <w:r w:rsidRPr="00D02A1F">
        <w:tab/>
        <w:t>bemærker, at Parlamentets medlemmer i 2022 ved 68 lejligheder deltog i møder eller arrangementer organiseret af udvalget, hvilket var næsten samme niveau som i 2021, mens udvalgets medlemmer næsten fordoblede deres deltagelse i arrangementer, som Parlamentet afholdt i samme periode; glæder sig over, at udvalget i 2022 fokuserede på at intensivere sine forbindelser med Parlamentet og på at fremme udvalgets merværdi og dermed skabe endnu tættere forbindelser mellem udvalgets sektioner og de parlamentariske udvalg;</w:t>
      </w:r>
    </w:p>
    <w:p w:rsidR="0070038F" w:rsidRPr="00D02A1F" w:rsidRDefault="0070038F" w:rsidP="0070038F">
      <w:pPr>
        <w:pStyle w:val="NormalHanging12a"/>
      </w:pPr>
      <w:r w:rsidRPr="00D02A1F">
        <w:t>18.</w:t>
      </w:r>
      <w:r w:rsidRPr="00D02A1F">
        <w:tab/>
        <w:t>bemærker udvalgets brede deltagelse i forskellige initiativer, herunder vigtige arrangementer og årlige konferencer for at samarbejde med europæiske interessenter; glæder sig over udvalgets bestræbelser på at øge inddragelsen af unge i politikudformningen;</w:t>
      </w:r>
    </w:p>
    <w:p w:rsidR="0070038F" w:rsidRPr="00D02A1F" w:rsidRDefault="0070038F" w:rsidP="0070038F">
      <w:pPr>
        <w:pStyle w:val="NormalHanging12a"/>
      </w:pPr>
      <w:r w:rsidRPr="00D02A1F">
        <w:t>19.</w:t>
      </w:r>
      <w:r w:rsidRPr="00D02A1F">
        <w:tab/>
        <w:t>bemærker, at udvalget fortsatte med at styrke sin interne kontrolramme i 2022 med forenklingen af de finansielle kredsløb under proceduren "Kontrolprocedure light" for visse transaktioner af lav værdi og med at udvikle sin politik for følsomme stillinger, som anbefalet af Revisionsretten i dens årsberetning for regnskabsåret 2019; bemærker, at udvalget på grundlag af ajourføringen af listen over følsomme stillinger i hele 2022 og på tidspunktet for offentliggørelsen af den ajourførte liste over 36 stillinger i begyndelsen af 2023 stadig arbejdede på at revidere metoden og risikostyringssystemet under hensyntagen til både institutionens størrelse og arten af dens aktiviteter; anmoder udvalget om at underrette dechargemyndigheden om de fremskridt, der er gjort med hensyn til gennemførelsen af metoden for følsomme stillinger i 2023;</w:t>
      </w:r>
    </w:p>
    <w:p w:rsidR="0070038F" w:rsidRPr="00D02A1F" w:rsidRDefault="0070038F" w:rsidP="0070038F">
      <w:pPr>
        <w:pStyle w:val="NormalHanging12a"/>
      </w:pPr>
      <w:r w:rsidRPr="00D02A1F">
        <w:t>20.</w:t>
      </w:r>
      <w:r w:rsidRPr="00D02A1F">
        <w:tab/>
        <w:t>glæder sig over udvalgets bestræbelser på at etablere en bedre defineret og mere konsekvent revisionsramme gennem færdiggørelsen af chartret for intern revision og chartret for revisionsudvalget med procedureregler, som blev godkendt af revisionsudvalget i december 2022 og vedtaget af udvalgets præsidium i begyndelsen af 2023; glæder sig over, at udvalgets interne revisionsfunktion blev styrket i 2022, navnlig med ansættelsen af en administrator i dets interne revisionstjeneste og tæt koordinering med RU's interne revisor i alle aspekter vedrørende revision af fælles tjenester; bemærker, at der blev iværksat fire revisioner i 2022 om emnerne forsinkede betalinger, mødetilladelser, den strategiske cyklus og udvælgelse af delegerede til udvalgets Rådgivende Kommission for Industrielle Ændringer;</w:t>
      </w:r>
    </w:p>
    <w:p w:rsidR="0070038F" w:rsidRPr="00D02A1F" w:rsidRDefault="0070038F" w:rsidP="0070038F">
      <w:pPr>
        <w:pStyle w:val="NormalHanging12a"/>
        <w:rPr>
          <w:b/>
          <w:i/>
        </w:rPr>
      </w:pPr>
      <w:r w:rsidRPr="00D02A1F">
        <w:rPr>
          <w:b/>
          <w:i/>
        </w:rPr>
        <w:t>Menneskelige ressourcer, ligestilling og personalets trivsel</w:t>
      </w:r>
    </w:p>
    <w:p w:rsidR="0070038F" w:rsidRPr="00D02A1F" w:rsidRDefault="0070038F" w:rsidP="0070038F">
      <w:pPr>
        <w:pStyle w:val="NormalHanging12a"/>
      </w:pPr>
      <w:r w:rsidRPr="00D02A1F">
        <w:t>21.</w:t>
      </w:r>
      <w:r w:rsidRPr="00D02A1F">
        <w:tab/>
        <w:t>bemærker, at udvalget ved udgangen af 2022 havde i alt 706 medarbejdere sammenlignet med 699 i 2021; bemærker, at der ved udgangen af 2022 var 50 kontraktansatte og 128 midlertidigt ansatte i udvalget (hvilket er en stigning sammenlignet med 46 kontraktansatte og 107 midlertidigt ansatte i 2021), herunder 19 kontraktansatte og 3 midlertidigt ansatte med tidsubegrænset kontrakt; bemærker endvidere, at udvalget havde 12 vikarer og 7 eksterne medarbejdere, der arbejdede på stedet, eksklusive eksterne tjenesteydere inden for logistik og IT; bemærker, at besættelsesgraden for stillingerne i stillingsfortegnelsen i 2022 var på 95,1 %;</w:t>
      </w:r>
    </w:p>
    <w:p w:rsidR="0070038F" w:rsidRPr="00D02A1F" w:rsidRDefault="0070038F" w:rsidP="0070038F">
      <w:pPr>
        <w:pStyle w:val="NormalHanging12a"/>
      </w:pPr>
      <w:r w:rsidRPr="00D02A1F">
        <w:t>22.</w:t>
      </w:r>
      <w:r w:rsidRPr="00D02A1F">
        <w:tab/>
        <w:t xml:space="preserve">glæder sig over udvalgets fortsatte bestræbelser på at forbedre sin HR-ramme med henblik på at blive en attraktiv arbejdsgiver og en fuldt inklusiv arbejdsplads, hvor alle værdsættes og fuldt ud kan udvikle deres potentiale; bemærker, at den integrerede HR-strategi, der blev vedtaget i juni 2022, er formuleret omkring principperne om inklusion, fastholdelse, kompetencer og resultater; glæder sig over, at en af de første </w:t>
      </w:r>
      <w:proofErr w:type="spellStart"/>
      <w:r w:rsidRPr="00D02A1F">
        <w:t>opfølgende</w:t>
      </w:r>
      <w:proofErr w:type="spellEnd"/>
      <w:r w:rsidRPr="00D02A1F">
        <w:t xml:space="preserve"> foranstaltninger var lanceringen af en medarbejdertilfredshedsundersøgelse i januar 2023 med fokus på personalets engagement;</w:t>
      </w:r>
    </w:p>
    <w:p w:rsidR="0070038F" w:rsidRPr="00D02A1F" w:rsidRDefault="0070038F" w:rsidP="0070038F">
      <w:pPr>
        <w:pStyle w:val="NormalHanging12a"/>
      </w:pPr>
      <w:r w:rsidRPr="00D02A1F">
        <w:t>23.</w:t>
      </w:r>
      <w:r w:rsidRPr="00D02A1F">
        <w:tab/>
        <w:t>understreger, at indslusning af nytilkomne udgør en vigtig faktor for strategisk tilpasning ved at sikre, at personalet informeres om de gældende regler og strategier i en institution; bemærker, at introduktionskurserne for udvalgets nytilkomne blev genoptaget i april 2022; glæder sig over, at udvalget har udviklet en mentorordning, hvor mentorer fik støtte og rådgivning i form af udveksling af bedste praksis for at tilpasse deres metoder til det hybride arbejdsmiljø;</w:t>
      </w:r>
    </w:p>
    <w:p w:rsidR="0070038F" w:rsidRPr="00D02A1F" w:rsidRDefault="0070038F" w:rsidP="0070038F">
      <w:pPr>
        <w:pStyle w:val="NormalHanging12a"/>
      </w:pPr>
      <w:r w:rsidRPr="00D02A1F">
        <w:t>24.</w:t>
      </w:r>
      <w:r w:rsidRPr="00D02A1F">
        <w:tab/>
        <w:t>bemærker, at udvalget med henblik på en bedre fordeling af sine knappe ressourcer i 2022 bestilte en ekstern kortlægning af menneskelige ressourcer (HR-kortlægning), som bekræftede den store arbejdsbyrde i mange forskellige tjenester i udvalget i lyset af de knappe ressourcer efter reduktionen af stillingsfortegnelsen i 2013; bemærker, at udvalget som opfølgning på den eksterne revision af HR-kortlægningen begyndte at udarbejde en handlingsplan, der omfatter foranstaltninger inden for rammerne af den integrerede HR-strategi, såsom en gennemgang af bedømmelses- og resultatsystemet, udvikling af en intern kommunikationsstrategi, vedtagelse af den nye afgørelse om arbejdsvilkår og tilrettelæggelse af regelmæssig overvågning af personalets engagement; opfordrer udvalget til at give en opdatering om opfølgningen på HR-kortlægningen i 2023;</w:t>
      </w:r>
    </w:p>
    <w:p w:rsidR="0070038F" w:rsidRPr="00D02A1F" w:rsidRDefault="0070038F" w:rsidP="0070038F">
      <w:pPr>
        <w:pStyle w:val="NormalHanging12a"/>
      </w:pPr>
      <w:r w:rsidRPr="00D02A1F">
        <w:t>25.</w:t>
      </w:r>
      <w:r w:rsidRPr="00D02A1F">
        <w:tab/>
        <w:t>bemærker med tilfredshed, at en ny afgørelse om fleksible arbejdsordninger, som omfatter en fleksibel og tillidsbaseret politik for hybridarbejde, trådte i kraft den 1. april 2022 i form af et pilotprojekt, der sikrer en bred vifte af ordninger for deltidsarbejde og fleksible daglige og ugentlige ordninger for personalet; bemærker, at omkring 25 % af de kvindelige og 14,4 % af de mandlige ansatte i udvalget anvendte ikkestandardmæssige arbejdsordninger i 2022; bemærker, at afgørelsen om arbejdsvilkår giver personalet mulighed for at telearbejde op til 60 % af deres arbejdstid, forudsat at det er foreneligt med tjenestens interesse, og for at telearbejde et andet sted end på tjenestestedet 15 dage pr. kalenderår; bemærker, at udvalgets personale har det nødvendige udstyr til at have gode arbejdsvilkår, når de fjernarbejder; glæder sig over, at evalueringsudvalget gennemførte en undersøgelse af personalets tilfredshed, som blev iværksat ved udgangen af 2022; bemærker, at den endelige afgørelse om arbejdsvilkår efter den sociale dialog med fagforeninger og udvalgets personaleudvalg og juridiske tjeneste burde have været vedtaget inden udgangen af 2023; anmoder udvalget om rettidigt at underrette dechargemyndigheden om udviklingen på dette område;</w:t>
      </w:r>
    </w:p>
    <w:p w:rsidR="0070038F" w:rsidRPr="00D02A1F" w:rsidRDefault="0070038F" w:rsidP="0070038F">
      <w:pPr>
        <w:pStyle w:val="NormalHanging12a"/>
      </w:pPr>
      <w:r w:rsidRPr="00D02A1F">
        <w:t>26.</w:t>
      </w:r>
      <w:r w:rsidRPr="00D02A1F">
        <w:tab/>
        <w:t xml:space="preserve">beklager, at udvalget heller ikke i 2022 var i stand til at fremlægge data om tilfælde af </w:t>
      </w:r>
      <w:proofErr w:type="spellStart"/>
      <w:r w:rsidRPr="00D02A1F">
        <w:t>udbrændthed</w:t>
      </w:r>
      <w:proofErr w:type="spellEnd"/>
      <w:r w:rsidRPr="00D02A1F">
        <w:t xml:space="preserve"> i udvalget; respekterer databeskyttelsesbegrænsningerne, men minder udvalget om betydningen af anonymiserede statistiske data inden for en institution med henblik på at understøtte ledelsesbeslutninger; gentager, at der bør tages hensyn til oplysningskampagner, god praksis i forbindelse med håndtering af arbejdsbyrden, kommunikation og konfliktløsning samt en politik for tilbagevenden til arbejdet; forstår, at vedtagelsen af de nye arbejdsordninger er et positivt skridt i retning af en mere effektiv forebyggelse af </w:t>
      </w:r>
      <w:proofErr w:type="spellStart"/>
      <w:r w:rsidRPr="00D02A1F">
        <w:t>udbrændthed</w:t>
      </w:r>
      <w:proofErr w:type="spellEnd"/>
      <w:r w:rsidRPr="00D02A1F">
        <w:t xml:space="preserve"> på organisatorisk plan, som også bør tage hensyn til resultaterne af HR-kortlægningen;</w:t>
      </w:r>
    </w:p>
    <w:p w:rsidR="0070038F" w:rsidRPr="00D02A1F" w:rsidRDefault="0070038F" w:rsidP="0070038F">
      <w:pPr>
        <w:pStyle w:val="NormalHanging12a"/>
      </w:pPr>
      <w:r w:rsidRPr="00D02A1F">
        <w:t>27.</w:t>
      </w:r>
      <w:r w:rsidRPr="00D02A1F">
        <w:tab/>
        <w:t>bemærker, at udvalget i 2022 fortsat beskæftigede en høj andel af kvindelige medarbejdere (64,6 % af alt personale), herunder på mellemlederniveau (59 % af alle ledere); bemærker, at kvinders repræsentation i den øverste ledelse stadig skal forbedres, eftersom kun tre ud af syv topledere var kvinder ved udgangen af 2022; opfordrer udvalget til at fortsætte sine bestræbelser med hensyn til kønsbalance, navnlig gennem bevidstgørelse af ansættelsesmyndigheden og sikring af, at sammensætningen af forskellige organer, herunder personalerekrutterings- og udvælgelsespaneler, forbliver kønsbalanceret;</w:t>
      </w:r>
    </w:p>
    <w:p w:rsidR="0070038F" w:rsidRPr="00D02A1F" w:rsidRDefault="0070038F" w:rsidP="0070038F">
      <w:pPr>
        <w:pStyle w:val="NormalHanging12a"/>
      </w:pPr>
      <w:r w:rsidRPr="00D02A1F">
        <w:t>28.</w:t>
      </w:r>
      <w:r w:rsidRPr="00D02A1F">
        <w:tab/>
        <w:t>glæder sig over arbejdet hen imod vedtagelsen af en ny mangfoldigheds- og inklusionspolitik fra 2022 til 2023 i samråd med udvalgets ledelse, udvalgets Paritetiske Ligestillingsudvalg og udvalgets personaleudvalg; bemærker, at der ud over de interne kommunikationstiltag, der blev gennemført, blev gennemført en specifik oplysningskampagne mod homofobi i december 2022; glæder sig over, at et særligt kursus i mangfoldighed og inklusion blev gjort obligatorisk for ledere og anbefalet for personalet, og at der blev tilbudt et særligt kursus om mangfoldighed og inklusion til udvalgets medlemmer som led i deres årlige uddannelsesprogram; opfordrer udvalget til at fortsætte sine drøftelser med Parlamentet med henblik på at tilslutte sig Parlamentets program for positiv særbehandling af personer med handicap med henblik på at ansætte kontraktansatte med handicap; gentager sin opfordring fra dechargeproceduren for 2021 til udvalget om at færdiggøre en ajourført strategi og handlingsplan for mangfoldighed og inklusion;</w:t>
      </w:r>
    </w:p>
    <w:p w:rsidR="0070038F" w:rsidRPr="00D02A1F" w:rsidRDefault="0070038F" w:rsidP="0070038F">
      <w:pPr>
        <w:pStyle w:val="NormalHanging12a"/>
      </w:pPr>
      <w:r w:rsidRPr="00D02A1F">
        <w:t>29.</w:t>
      </w:r>
      <w:r w:rsidRPr="00D02A1F">
        <w:tab/>
        <w:t>bemærker, at selv om alle medlemsstater er repræsenteret blandt udvalgets personale, er der stadig ikke opnået geografisk balance, da nogle nationaliteter fortsat er overrepræsenteret i forhold til andre; bemærker, at 21 % af lederne i udvalget i 2022 var fra de 13 medlemsstater, der tiltrådte Unionen efter 2004, hvilket er en lille stigning i forhold til 19 % i 2021; gentager sin opfordring til udvalget om fortsat at tage skridt til at opnå en reel afbalanceret geografisk fordeling af sit personale med særlig fokus på ledelsen;</w:t>
      </w:r>
    </w:p>
    <w:p w:rsidR="0070038F" w:rsidRPr="00D02A1F" w:rsidRDefault="0070038F" w:rsidP="0070038F">
      <w:pPr>
        <w:pStyle w:val="NormalHanging12a"/>
      </w:pPr>
      <w:r w:rsidRPr="00D02A1F">
        <w:t>30.</w:t>
      </w:r>
      <w:r w:rsidRPr="00D02A1F">
        <w:tab/>
        <w:t>bemærker, at udvalget i 2022 tog imod i alt 52 praktikanter for en periode på fem måneder, fire praktikanter for en periode på tre måneder og to praktikanter, som modtog tilskud fra eksterne offentlige organer; bemærker, at alle praktikanter med et ophold af en varighed på fem måneder modtog et månedligt tilskud og godtgørelser, mens praktikanter med kortere ophold ikke var berettiget til noget finansielt bidrag; glæder sig over, at der også efter Parlamentets opfordring under dechargeproceduren for 2020 blev iværksat en revision af afgørelsen om udvalgets praktikophold i 2022 med det formål at ophøre med at tilbyde ulønnede kortvarige praktikophold og sikre, at alle praktikanter modtager en anstændig løn; understreger, at den nye afgørelse om praktikophold trådte i kraft i juli 2023 og sikrede en månedlig indkomst samt rejse- og mobilitetsgodtgørelser, og hvis det er relevant, en handicapydelse til praktikanter med ophold af både længere og kortere varighed;</w:t>
      </w:r>
    </w:p>
    <w:p w:rsidR="0070038F" w:rsidRPr="00D02A1F" w:rsidRDefault="0070038F" w:rsidP="0070038F">
      <w:pPr>
        <w:pStyle w:val="NormalHanging12a"/>
        <w:rPr>
          <w:b/>
          <w:i/>
        </w:rPr>
      </w:pPr>
      <w:r w:rsidRPr="00D02A1F">
        <w:rPr>
          <w:b/>
          <w:i/>
        </w:rPr>
        <w:t>Etiske rammer og gennemsigtighed</w:t>
      </w:r>
    </w:p>
    <w:p w:rsidR="0070038F" w:rsidRPr="00D02A1F" w:rsidRDefault="0070038F" w:rsidP="0070038F">
      <w:pPr>
        <w:pStyle w:val="NormalHanging12a"/>
      </w:pPr>
      <w:r w:rsidRPr="00D02A1F">
        <w:t>31.</w:t>
      </w:r>
      <w:r w:rsidRPr="00D02A1F">
        <w:tab/>
        <w:t>bemærker, at udvalget fortsatte sin interne reformproces med vedtagelsen af en ny forretningsorden i marts 2022 og gennemførelsesbestemmelserne hertil i november 2022; beklager stadig, at de specifikke forbindelser mellem et medlem og en tjenestemand ikke behandles særskilt i forbindelse med chikane; bemærker, at forretningsordenen nu er tilpasset og i overensstemmelse med den adfærdskodeks, der blev vedtaget i 2021 efter udvalgets interne revision af etik og integritet; anmoder udvalget om at underrette Parlamentet om, hvorvidt en evaluering af gennemførelsen af handlingsplanen for revision af etik og integritet blev gennemført som planlagt, og hvad resultatet af denne evaluering var; glæder sig over det arbejde, der blev indledt i 2022 med henblik på at udarbejde et værdicharter for udvalgets personale efter en inklusiv og deltagelsesbaseret proces, og som blev afsluttet og meddelt personalet i 2023; mener, at kun en nultolerancepolitik over for chikane vil forebygge, at der fremover forekommer påstande om chikane og alvorlige forseelser i udvalget;</w:t>
      </w:r>
    </w:p>
    <w:p w:rsidR="0070038F" w:rsidRPr="00D02A1F" w:rsidRDefault="0070038F" w:rsidP="0070038F">
      <w:pPr>
        <w:pStyle w:val="NormalHanging12a"/>
      </w:pPr>
      <w:r w:rsidRPr="00D02A1F">
        <w:t>32.</w:t>
      </w:r>
      <w:r w:rsidRPr="00D02A1F">
        <w:tab/>
        <w:t xml:space="preserve">bemærker, at det efter ikrafttrædelsen af udvalgets reviderede afgørelse om </w:t>
      </w:r>
      <w:proofErr w:type="spellStart"/>
      <w:r w:rsidRPr="00D02A1F">
        <w:t>whistleblowing</w:t>
      </w:r>
      <w:proofErr w:type="spellEnd"/>
      <w:r w:rsidRPr="00D02A1F">
        <w:t xml:space="preserve"> den 15. december 2021 (afgørelse 297/21A) og af den reviderede afgørelse om procedurer for forebyggelse og bekæmpelse af psykologisk og seksuel chikane på arbejdspladsen (afgørelse 090/22A), der blev vedtaget den 31. marts 2022, forventedes, at den fornyede etiske retlige ramme ville blive suppleret med en revideret afgørelse om generelle gennemførelsesbestemmelser for disciplinærprocedurer og administrative undersøgelser i 2023 i samordning med RU; bemærker, at der i 2022 blev vedtaget en ny afgørelse om arbejdsopgaver og eksterne aktiviteter (afgørelse nr. 141/22A), som finder anvendelse på tjenstgørende personale, udstationeret personale og tidligere ansatte, i overensstemmelse med de bestemmelser i personalevedtægten, der var gældende på tidspunktet for udtrædelsen af tjenesten;</w:t>
      </w:r>
    </w:p>
    <w:p w:rsidR="0070038F" w:rsidRPr="00D02A1F" w:rsidRDefault="0070038F" w:rsidP="0070038F">
      <w:pPr>
        <w:pStyle w:val="NormalHanging12a"/>
      </w:pPr>
      <w:r w:rsidRPr="00D02A1F">
        <w:t>33.</w:t>
      </w:r>
      <w:r w:rsidRPr="00D02A1F">
        <w:tab/>
        <w:t xml:space="preserve">bemærker med tilfredshed, at udvalget i 2022 fortsatte med at uddanne personale og øge bevidstheden om den eksisterende etiske ramme, navnlig den nye adfærdskodeks, chikane og </w:t>
      </w:r>
      <w:proofErr w:type="spellStart"/>
      <w:r w:rsidRPr="00D02A1F">
        <w:t>whistleblowing</w:t>
      </w:r>
      <w:proofErr w:type="spellEnd"/>
      <w:r w:rsidRPr="00D02A1F">
        <w:t>, og rollen og ansvarsområderne for de etiske rådgivere, hvis mandat begyndte i januar 2022; bemærker, at 116 medarbejdere, herunder ledere og nytilkomne, i 2022 deltog i interne uddannelseskurser om etik, og at 26 medarbejdere deltog i kurser i etik, der blev afholdt af Kommissionen og Den Europæiske Forvaltningsskole; bemærker, at der blev udviklet og stillet et skræddersyet uddannelseskursus til rådighed for teamet af etiske rådgivere; glæder sig over, at 83 % af respondenterne i den medarbejdertilfredshedsundersøgelse, der blev iværksat i 2022, viste en stærk bevidsthed om etisk adfærd og udvalgets styrkede etiske ramme;</w:t>
      </w:r>
    </w:p>
    <w:p w:rsidR="0070038F" w:rsidRPr="00D02A1F" w:rsidRDefault="0070038F" w:rsidP="0070038F">
      <w:pPr>
        <w:pStyle w:val="NormalHanging12a"/>
        <w:rPr>
          <w:color w:val="000000" w:themeColor="text1"/>
        </w:rPr>
      </w:pPr>
      <w:r w:rsidRPr="00D02A1F">
        <w:t>34.</w:t>
      </w:r>
      <w:r w:rsidRPr="00D02A1F">
        <w:tab/>
        <w:t>bemærker med hensyn til de chikanesager, der blev rapporteret om i de seneste års dechargeprocedurer, at den sidste forligsaftale vedrørende sag OC/2018/0666/A1 fra Det Europæiske Kontor for Bekæmpelse af Svig (OLAF) blev indgået den 1. oktober 2022, hvilket gjorde det muligt for udvalget at afslutte alle anmodninger om bistand i forbindelse med denne sag fuldt ud; glæder sig over, at udvalgets formand den 13. april 2022 fremsatte en offentlig erklæring, der blev offentliggjort på udvalgets websted, og hvori hun på udvalgets vegne rettede sin officielle undskyldning til alle ofrene i den pågældende sag, både de ansatte og det tidligere medlem;</w:t>
      </w:r>
      <w:r w:rsidRPr="00D02A1F">
        <w:rPr>
          <w:color w:val="000000" w:themeColor="text1"/>
        </w:rPr>
        <w:t xml:space="preserve"> glæder sig over, at Domstolen ved sin afgørelse af den 6. oktober 2022 i sag C-673/21</w:t>
      </w:r>
      <w:r w:rsidRPr="00D02A1F">
        <w:rPr>
          <w:rStyle w:val="FootnoteReference"/>
          <w:color w:val="000000" w:themeColor="text1"/>
        </w:rPr>
        <w:footnoteReference w:id="6"/>
      </w:r>
      <w:r w:rsidRPr="00D02A1F">
        <w:rPr>
          <w:color w:val="000000" w:themeColor="text1"/>
        </w:rPr>
        <w:t xml:space="preserve"> bekræftede lovligheden af de foranstaltninger, der var truffet ved udvalgets præsidiums afgørelse af 9. juni 2020;</w:t>
      </w:r>
    </w:p>
    <w:p w:rsidR="0070038F" w:rsidRPr="00D02A1F" w:rsidRDefault="0070038F" w:rsidP="0070038F">
      <w:pPr>
        <w:pStyle w:val="NormalHanging12a"/>
      </w:pPr>
      <w:r w:rsidRPr="00D02A1F">
        <w:t>35.</w:t>
      </w:r>
      <w:r w:rsidRPr="00D02A1F">
        <w:tab/>
        <w:t>gentager sin opfordring til udvalget om en ekstern og uafhængig undersøgelse med henblik på specifikt at gennemgå udvalgets procedurer for menneskelige ressourcer og effektiviteten heraf med fokus på at identificere det administrative hierarkis ansvar med hensyn til håndtering af påstande om chikane og sikring af personalets trivsel; afviser på trods af de foranstaltninger, der er truffet for at styrke udvalgets etiske rammer i de seneste år, udvalgets holdning om, at en sådan undersøgelse ikke er nødvendig, eftersom de gældende foranstaltninger gjorde det muligt at behandle chikanesagen, og minder om, at Parlamentet allerede har udtrykt bekymring over udvalgets stadig langsomme reaktion i de pågældende sager;</w:t>
      </w:r>
    </w:p>
    <w:p w:rsidR="0070038F" w:rsidRPr="00D02A1F" w:rsidRDefault="0070038F" w:rsidP="0070038F">
      <w:pPr>
        <w:pStyle w:val="NormalHanging12a"/>
      </w:pPr>
      <w:r w:rsidRPr="00D02A1F">
        <w:t>36.</w:t>
      </w:r>
      <w:r w:rsidRPr="00D02A1F">
        <w:tab/>
        <w:t>bemærker, at Den Europæiske Ombudsmand gennemførte tre undersøgelser efter klager i 2022; bemærker, at én sag førte til en undersøgelse, som konkluderede, at der ikke havde fundet fejl eller forsømmelser sted; bemærker, at to andre sager blev lukket uden undersøgelse, idet Ombudsmanden mente, at begge sager i mellemtiden var blevet afklaret;</w:t>
      </w:r>
    </w:p>
    <w:p w:rsidR="0070038F" w:rsidRPr="00D02A1F" w:rsidRDefault="0070038F" w:rsidP="0070038F">
      <w:pPr>
        <w:pStyle w:val="NormalHanging12a"/>
      </w:pPr>
      <w:r w:rsidRPr="00D02A1F">
        <w:t>37.</w:t>
      </w:r>
      <w:r w:rsidRPr="00D02A1F">
        <w:tab/>
        <w:t>bemærker med bekymring, at fire igangværende sager om påstået chikane stadig var under behandling i udvalget i 2022; anmoder udvalget om rettidigt at underrette Parlamentet om opfølgningen på disse sager; bemærker, at der ikke blev indberettet nye tilfælde af påstået chikane i udvalget vedrørende hverken dets ansatte eller dets medlemmer i 2022, men er bekendt med, at påstande om chikane, der involverer en ansat i udvalget, blev indberettet i en anden institution i 2022; anmoder udvalget om at holde Parlamentet underrettet om opfølgningen på denne sag i samarbejde med den anden berørte institution;</w:t>
      </w:r>
    </w:p>
    <w:p w:rsidR="0070038F" w:rsidRPr="00D02A1F" w:rsidRDefault="0070038F" w:rsidP="0070038F">
      <w:pPr>
        <w:spacing w:after="240"/>
        <w:ind w:left="567" w:hanging="567"/>
        <w:rPr>
          <w:szCs w:val="24"/>
        </w:rPr>
      </w:pPr>
      <w:r w:rsidRPr="00D02A1F">
        <w:t>38.</w:t>
      </w:r>
      <w:r w:rsidRPr="00D02A1F">
        <w:tab/>
        <w:t>bemærker, at udvalget er civil part i de verserende retssager, som de belgiske nationale myndigheder har indledt mod et tidligere medlem, der er anklaget for at have begået forseelser, og som i øjeblikket afventer en afgørelse ved den belgiske domstol; anmoder udvalget om rettidigt at underrette Parlamentet om sagens udvikling;</w:t>
      </w:r>
    </w:p>
    <w:p w:rsidR="0070038F" w:rsidRPr="00D02A1F" w:rsidRDefault="0070038F" w:rsidP="0070038F">
      <w:pPr>
        <w:spacing w:after="240"/>
        <w:ind w:left="567" w:hanging="567"/>
        <w:rPr>
          <w:szCs w:val="24"/>
        </w:rPr>
      </w:pPr>
      <w:r w:rsidRPr="00D02A1F">
        <w:t>39.</w:t>
      </w:r>
      <w:r w:rsidRPr="00D02A1F">
        <w:tab/>
        <w:t xml:space="preserve">bemærker, at der formelt blev åbnet tre </w:t>
      </w:r>
      <w:proofErr w:type="spellStart"/>
      <w:r w:rsidRPr="00D02A1F">
        <w:t>whistleblowersager</w:t>
      </w:r>
      <w:proofErr w:type="spellEnd"/>
      <w:r w:rsidRPr="00D02A1F">
        <w:t xml:space="preserve"> af enten medlemmer eller ansatte i 2022; bemærker, at alle tre sager blev behandlet og afsluttet hurtigt med behørig respekt for beskyttelsen af </w:t>
      </w:r>
      <w:proofErr w:type="spellStart"/>
      <w:r w:rsidRPr="00D02A1F">
        <w:t>whistleblowere</w:t>
      </w:r>
      <w:proofErr w:type="spellEnd"/>
      <w:r w:rsidRPr="00D02A1F">
        <w:t xml:space="preserve"> i overensstemmelse med afgørelsen om </w:t>
      </w:r>
      <w:proofErr w:type="spellStart"/>
      <w:r w:rsidRPr="00D02A1F">
        <w:t>whistleblowing</w:t>
      </w:r>
      <w:proofErr w:type="spellEnd"/>
      <w:r w:rsidRPr="00D02A1F">
        <w:t xml:space="preserve"> (afgørelse 297/21A); bemærker endvidere, at to tilfælde af potentiel </w:t>
      </w:r>
      <w:proofErr w:type="spellStart"/>
      <w:r w:rsidRPr="00D02A1F">
        <w:t>whistleblowing</w:t>
      </w:r>
      <w:proofErr w:type="spellEnd"/>
      <w:r w:rsidRPr="00D02A1F">
        <w:t xml:space="preserve"> blev forelagt for de etiske rådgivere i 2022, men at ingen af dem blev bekræftet;</w:t>
      </w:r>
    </w:p>
    <w:p w:rsidR="0070038F" w:rsidRPr="00D02A1F" w:rsidRDefault="0070038F" w:rsidP="0070038F">
      <w:pPr>
        <w:pStyle w:val="NormalHanging12a"/>
      </w:pPr>
      <w:r w:rsidRPr="00D02A1F">
        <w:t>40.</w:t>
      </w:r>
      <w:r w:rsidRPr="00D02A1F">
        <w:tab/>
        <w:t>påskønner udvalgets vilje til at samarbejde med Unionens undersøgelsesorganer (OLAF og Den Europæiske Anklagemyndighed (EPPO)); bemærker, at OLAF i 2022 afsluttede to sager om påstået uretmæssig tilegnelse af EU-midler og mulige uregelmæssigheder og alvorlige forseelser vedrørende to medlemmer i mangel af beviser for svig og konklusioner; bemærker med bekymring, at OLAF indledte tre nye sager mod medlemmer vedrørende potentiel svig i 2023, hvoraf to blev afsluttet samme år og fremsendt til EPPO til undersøgelse; bemærker, at OLAF henviste én sag vedrørende et medlems påståede overtrædelse af adfærdskodeksen til udvalgets etiske udvalg; anmoder udvalget om rettidigt at underrette Parlamentet om opfølgningen på denne sag;</w:t>
      </w:r>
    </w:p>
    <w:p w:rsidR="0070038F" w:rsidRPr="00D02A1F" w:rsidRDefault="0070038F" w:rsidP="0070038F">
      <w:pPr>
        <w:spacing w:after="240"/>
        <w:ind w:left="567" w:hanging="567"/>
        <w:rPr>
          <w:szCs w:val="24"/>
        </w:rPr>
      </w:pPr>
      <w:r w:rsidRPr="00D02A1F">
        <w:t>41.</w:t>
      </w:r>
      <w:r w:rsidRPr="00D02A1F">
        <w:tab/>
        <w:t xml:space="preserve">lykønsker udvalget for at træffe beslutningen om formelt pr. 1. juni 2023 at tilslutte sig EU's åbenhedsregister, der blev oprettet ved den </w:t>
      </w:r>
      <w:proofErr w:type="spellStart"/>
      <w:r w:rsidRPr="00D02A1F">
        <w:t>interinstitutionelle</w:t>
      </w:r>
      <w:proofErr w:type="spellEnd"/>
      <w:r w:rsidRPr="00D02A1F">
        <w:t xml:space="preserve"> aftale af 20. maj 2021 mellem Europa-Parlamentet, Rådet for Den Europæiske Union og Europa-Kommissionen om et obligatorisk åbenhedsregister</w:t>
      </w:r>
      <w:r w:rsidRPr="00D02A1F">
        <w:rPr>
          <w:szCs w:val="24"/>
          <w:vertAlign w:val="superscript"/>
        </w:rPr>
        <w:footnoteReference w:id="7"/>
      </w:r>
      <w:r w:rsidRPr="00D02A1F">
        <w:t>; bemærker, at udvalget den 21. marts 2023 vedtog flere åbenhedsforanstaltninger i overensstemmelse med de principper, der er fastlagt med hensyn til EU's åbenhedsregister, såsom en henstilling til medlemmer, der varetager formandskab, om kun at mødes med registrerede interessenter, forpligtelsen for medlemmer, der varetager formandskab, til at offentliggøre deres lister over møder og indførelsen af et frivilligt lovgivningsmæssigt "fodaftryk" for ordførere;</w:t>
      </w:r>
    </w:p>
    <w:p w:rsidR="0070038F" w:rsidRPr="00D02A1F" w:rsidRDefault="0070038F" w:rsidP="0070038F">
      <w:pPr>
        <w:pStyle w:val="NormalHanging12a"/>
      </w:pPr>
      <w:r w:rsidRPr="00D02A1F">
        <w:t>42.</w:t>
      </w:r>
      <w:r w:rsidRPr="00D02A1F">
        <w:tab/>
        <w:t>beklager, at udvalget har indført en række foranstaltninger til forebyggelse af svig, men endnu ikke har indført en integreret strategi for bekæmpelse af svig, trods tidligere anmodninger fra Parlamentet; glæder sig over, at udvalget har udarbejdet en opgørelse over de områder, der er relevante for iværksættelsen af en intern analyse af risikoen for svig, såsom politikker og procedurer, personaleuddannelse og samarbejde med andre organer, med henblik på at forbedre rammen for bekæmpelse af svig;</w:t>
      </w:r>
    </w:p>
    <w:p w:rsidR="0070038F" w:rsidRPr="00D02A1F" w:rsidRDefault="0070038F" w:rsidP="0070038F">
      <w:pPr>
        <w:pStyle w:val="NormalHanging12a"/>
        <w:rPr>
          <w:b/>
          <w:i/>
        </w:rPr>
      </w:pPr>
      <w:r w:rsidRPr="00D02A1F">
        <w:rPr>
          <w:b/>
          <w:i/>
        </w:rPr>
        <w:t xml:space="preserve">Digitalisering, </w:t>
      </w:r>
      <w:proofErr w:type="spellStart"/>
      <w:r w:rsidRPr="00D02A1F">
        <w:rPr>
          <w:b/>
          <w:i/>
        </w:rPr>
        <w:t>cybersikkerhed</w:t>
      </w:r>
      <w:proofErr w:type="spellEnd"/>
      <w:r w:rsidRPr="00D02A1F">
        <w:rPr>
          <w:b/>
          <w:i/>
        </w:rPr>
        <w:t xml:space="preserve"> og databeskyttelse</w:t>
      </w:r>
    </w:p>
    <w:p w:rsidR="0070038F" w:rsidRPr="00D02A1F" w:rsidRDefault="0070038F" w:rsidP="0070038F">
      <w:pPr>
        <w:pStyle w:val="NormalHanging12a"/>
      </w:pPr>
      <w:r w:rsidRPr="00D02A1F">
        <w:t>43.</w:t>
      </w:r>
      <w:r w:rsidRPr="00D02A1F">
        <w:tab/>
        <w:t>bemærker, at udvalgets og RU's samlede IT-budget beløb sig til 11 712 000 EUR i 2022, herunder en forhøjelse på 750 000 EUR gennem en intern budgetoverførsel i løbet af året, sammenlignet med 12 860 000 EUR i 2021, dvs. et fald på 9 %;</w:t>
      </w:r>
    </w:p>
    <w:p w:rsidR="0070038F" w:rsidRPr="00D02A1F" w:rsidRDefault="0070038F" w:rsidP="0070038F">
      <w:pPr>
        <w:pStyle w:val="NormalHanging12a"/>
      </w:pPr>
      <w:r w:rsidRPr="00D02A1F">
        <w:t>44</w:t>
      </w:r>
      <w:r w:rsidR="00375BD0">
        <w:t>.</w:t>
      </w:r>
      <w:bookmarkStart w:id="9" w:name="_GoBack"/>
      <w:bookmarkEnd w:id="9"/>
      <w:r w:rsidRPr="00D02A1F">
        <w:tab/>
        <w:t xml:space="preserve">bemærker, at udvalget har en digital strategi, der har til formål at levere IT-tjenester i overensstemmelse med bedste praksis inden for IT-forvaltning, samtidig med at anvendelsen af menneskelige og finansielle ressourcer optimeres; bemærker, at udvalget arbejdede på tilpasning og udvikling af flere strategiske IT-værktøjer i løbet af 2022 med henblik på at øge effektiviteten af udvalgets politiske arbejde og af dets administrative processer og arbejdsgange; bemærker, at det vigtigste IT-infrastrukturprojekt i 2022 vedrørte en tilpasning af den netværkstypologi, der var nødvendig for det nye computerrum i Jacques Delors-bygningen (JDE) i overensstemmelse med den hybride </w:t>
      </w:r>
      <w:proofErr w:type="spellStart"/>
      <w:r w:rsidRPr="00D02A1F">
        <w:t>cloudkøreplan</w:t>
      </w:r>
      <w:proofErr w:type="spellEnd"/>
      <w:r w:rsidRPr="00D02A1F">
        <w:t>;</w:t>
      </w:r>
    </w:p>
    <w:p w:rsidR="0070038F" w:rsidRPr="00D02A1F" w:rsidRDefault="0070038F" w:rsidP="0070038F">
      <w:pPr>
        <w:pStyle w:val="NormalHanging12a"/>
      </w:pPr>
      <w:r w:rsidRPr="00D02A1F">
        <w:t>45.</w:t>
      </w:r>
      <w:r w:rsidRPr="00D02A1F">
        <w:tab/>
        <w:t>bemærker, at udvalget øgede antallet af hybridmøder i 2022 for at tilpasse sig hybridarbejde og optimere sin arbejdsmåde, navnlig ved at reducere antallet af tjenesterejser; forstår, at denne nye måde at arbejde på krævede en teknisk opgradering med hensyn til udstyr til hybridmødelokaler;</w:t>
      </w:r>
    </w:p>
    <w:p w:rsidR="0070038F" w:rsidRPr="00D02A1F" w:rsidRDefault="0070038F" w:rsidP="0070038F">
      <w:pPr>
        <w:pStyle w:val="NormalHanging12a"/>
      </w:pPr>
      <w:r w:rsidRPr="00D02A1F">
        <w:t>46.</w:t>
      </w:r>
      <w:r w:rsidRPr="00D02A1F">
        <w:tab/>
        <w:t xml:space="preserve">bemærker, at udvalget ikke blev udsat for </w:t>
      </w:r>
      <w:proofErr w:type="spellStart"/>
      <w:r w:rsidRPr="00D02A1F">
        <w:t>cyberangreb</w:t>
      </w:r>
      <w:proofErr w:type="spellEnd"/>
      <w:r w:rsidRPr="00D02A1F">
        <w:t xml:space="preserve"> i 2022; bemærker, at udvalgets og RU's nye fælles direktorat for innovation og informationsteknologi består af tre enheder, én for digital omstilling, én for digitale løsninger og én for digitale platforme; bemærker, at enheden for digitale platforme bl.a. er ansvarlig for </w:t>
      </w:r>
      <w:proofErr w:type="spellStart"/>
      <w:r w:rsidRPr="00D02A1F">
        <w:t>cybersikkerhed</w:t>
      </w:r>
      <w:proofErr w:type="spellEnd"/>
      <w:r w:rsidRPr="00D02A1F">
        <w:t xml:space="preserve">; anmoder udvalget om at underrette dechargemyndigheden om, hvordan oprettelsen af denne nye struktur bidrog til at forbedre dets personales </w:t>
      </w:r>
      <w:proofErr w:type="spellStart"/>
      <w:r w:rsidRPr="00D02A1F">
        <w:t>cybersikkerhedsberedskab</w:t>
      </w:r>
      <w:proofErr w:type="spellEnd"/>
      <w:r w:rsidRPr="00D02A1F">
        <w:t xml:space="preserve"> i overensstemmelse med </w:t>
      </w:r>
      <w:proofErr w:type="spellStart"/>
      <w:r w:rsidRPr="00D02A1F">
        <w:t>cybersikkerhedsrammen</w:t>
      </w:r>
      <w:proofErr w:type="spellEnd"/>
      <w:r w:rsidRPr="00D02A1F">
        <w:t xml:space="preserve"> fra National </w:t>
      </w:r>
      <w:proofErr w:type="spellStart"/>
      <w:r w:rsidRPr="00D02A1F">
        <w:t>Institute</w:t>
      </w:r>
      <w:proofErr w:type="spellEnd"/>
      <w:r w:rsidRPr="00D02A1F">
        <w:t xml:space="preserve"> of Standards and Technology (NIST) og i samarbejde med </w:t>
      </w:r>
      <w:proofErr w:type="spellStart"/>
      <w:r w:rsidRPr="00D02A1F">
        <w:t>Cybersikkerhedstjenesten</w:t>
      </w:r>
      <w:proofErr w:type="spellEnd"/>
      <w:r w:rsidRPr="00D02A1F">
        <w:t xml:space="preserve"> for Unionens Institutioner, Organer og Agenturer (CERT-EU); tilskynder udvalget til at øge bevidstheden om </w:t>
      </w:r>
      <w:proofErr w:type="spellStart"/>
      <w:r w:rsidRPr="00D02A1F">
        <w:t>cybersikkerhed</w:t>
      </w:r>
      <w:proofErr w:type="spellEnd"/>
      <w:r w:rsidRPr="00D02A1F">
        <w:t xml:space="preserve"> blandt dets medlemmer og personale, til at foretage regelmæssige risikovurderinger af sin IT-infrastruktur og til at sikre regelmæssige revisioner og test af sit </w:t>
      </w:r>
      <w:proofErr w:type="spellStart"/>
      <w:r w:rsidRPr="00D02A1F">
        <w:t>cyberforsvar</w:t>
      </w:r>
      <w:proofErr w:type="spellEnd"/>
      <w:r w:rsidRPr="00D02A1F">
        <w:t>;</w:t>
      </w:r>
    </w:p>
    <w:p w:rsidR="0070038F" w:rsidRPr="00D02A1F" w:rsidRDefault="0070038F" w:rsidP="0070038F">
      <w:pPr>
        <w:pStyle w:val="NormalHanging12a"/>
      </w:pPr>
      <w:r w:rsidRPr="00D02A1F">
        <w:t>47.</w:t>
      </w:r>
      <w:r w:rsidRPr="00D02A1F">
        <w:tab/>
        <w:t>noterer sig udvalgets anvendelse af open source-teknologi i sine egne systemer, navnlig de vigtigste operationelle applikationer, der anvendes til at forvalte udvalgets politiske arbejde ("Agora" og "Phoenix"); bemærker endvidere, at udvalget følger anvendelsen af open source-teknologier i sin årlige IT-portefølje, således at de anvendes på nye applikationer;</w:t>
      </w:r>
    </w:p>
    <w:p w:rsidR="0070038F" w:rsidRPr="00D02A1F" w:rsidRDefault="0070038F" w:rsidP="0070038F">
      <w:pPr>
        <w:spacing w:after="240"/>
        <w:ind w:left="567" w:hanging="567"/>
        <w:rPr>
          <w:szCs w:val="24"/>
        </w:rPr>
      </w:pPr>
      <w:r w:rsidRPr="00D02A1F">
        <w:t>48.</w:t>
      </w:r>
      <w:r w:rsidRPr="00D02A1F">
        <w:tab/>
        <w:t>bemærker, at udvalget i 2022 gjorde fremskridt hen imod vedtagelsen af en ny ramme for håndtering af dokumenter med henblik på at øge gennemsigtigheden og tilgængeligheden; bemærker med interesse, at udvalget begyndte at evaluere den tekniske gennemførlighed og de finansielle konsekvenser af at anvende Kommissionens system til elektronisk forvaltning af dokumenter (Ares) på et senere tidspunkt;</w:t>
      </w:r>
    </w:p>
    <w:p w:rsidR="0070038F" w:rsidRPr="00D02A1F" w:rsidRDefault="0070038F" w:rsidP="0070038F">
      <w:pPr>
        <w:pStyle w:val="NormalHanging12a"/>
        <w:ind w:left="0" w:firstLine="0"/>
        <w:rPr>
          <w:b/>
          <w:i/>
        </w:rPr>
      </w:pPr>
      <w:r w:rsidRPr="00D02A1F">
        <w:rPr>
          <w:b/>
          <w:i/>
        </w:rPr>
        <w:t xml:space="preserve">Bygninger </w:t>
      </w:r>
    </w:p>
    <w:p w:rsidR="0070038F" w:rsidRPr="00D02A1F" w:rsidRDefault="0070038F" w:rsidP="0070038F">
      <w:pPr>
        <w:spacing w:after="240"/>
        <w:ind w:left="567" w:hanging="567"/>
        <w:rPr>
          <w:szCs w:val="24"/>
        </w:rPr>
      </w:pPr>
      <w:r w:rsidRPr="00D02A1F">
        <w:t>49.</w:t>
      </w:r>
      <w:r w:rsidRPr="00D02A1F">
        <w:tab/>
        <w:t xml:space="preserve">bemærker, at udvalget og RU mistede 5 000 m² i kontorarealer efter overtagelsen af lejekontrakten for EU-Udenrigstjenestens tidligere bygning i Belliard 100, som trådte i kraft i september 2021, og bygningsudvekslingen mellem udvalgets og RU's Belliard 68 og </w:t>
      </w:r>
      <w:proofErr w:type="spellStart"/>
      <w:r w:rsidRPr="00D02A1F">
        <w:t>Trèves</w:t>
      </w:r>
      <w:proofErr w:type="spellEnd"/>
      <w:r w:rsidRPr="00D02A1F">
        <w:t xml:space="preserve"> 74 og Kommissionens Van </w:t>
      </w:r>
      <w:proofErr w:type="spellStart"/>
      <w:r w:rsidRPr="00D02A1F">
        <w:t>Maerlant</w:t>
      </w:r>
      <w:proofErr w:type="spellEnd"/>
      <w:r w:rsidRPr="00D02A1F">
        <w:t xml:space="preserve"> 2 (VMA), som trådte i kraft i september 2022; bemærker, at indretningsarbejder i de to nyerhvervede bygninger var nødvendige for at muliggøre en tættere anvendelse af kontorlokalerne; glæder sig over oprettelsen i 2022 af en fælles </w:t>
      </w:r>
      <w:proofErr w:type="spellStart"/>
      <w:r w:rsidRPr="00D02A1F">
        <w:t>taskforce</w:t>
      </w:r>
      <w:proofErr w:type="spellEnd"/>
      <w:r w:rsidRPr="00D02A1F">
        <w:t xml:space="preserve"> om nye arbejdsmetoder med henblik på at overveje en mulig optimering af den måde, hvorpå arbejdet tilrettelægges, og hvordan kontorlokalerne anvendes, samtidig med at miljøaftrykket reduceres;</w:t>
      </w:r>
    </w:p>
    <w:p w:rsidR="0070038F" w:rsidRPr="00D02A1F" w:rsidRDefault="0070038F" w:rsidP="0070038F">
      <w:pPr>
        <w:pStyle w:val="NormalHanging12a"/>
      </w:pPr>
      <w:r w:rsidRPr="00D02A1F">
        <w:t>50.</w:t>
      </w:r>
      <w:r w:rsidRPr="00D02A1F">
        <w:tab/>
        <w:t>bemærker, at det samlede budget, som udvalget og RU i 2021 og 2022 afsatte til renovering af VMA-bygningen fra tredje til niende sal, beløb sig til 9,54 mio. EUR; bemærker, at udvalgets og RU's renoveringsarbejde integrerede anvendelsen af intelligente energibesparende teknologier med en stærk miljøkomponent; anmoder udvalget om at give en opdatering om afkastet af investeringerne i disse teknologiske anlæg;</w:t>
      </w:r>
    </w:p>
    <w:p w:rsidR="0070038F" w:rsidRPr="00D02A1F" w:rsidRDefault="0070038F" w:rsidP="0070038F">
      <w:pPr>
        <w:spacing w:after="240"/>
        <w:ind w:left="567" w:hanging="567"/>
        <w:rPr>
          <w:szCs w:val="24"/>
        </w:rPr>
      </w:pPr>
      <w:r w:rsidRPr="00D02A1F">
        <w:t>51.</w:t>
      </w:r>
      <w:r w:rsidRPr="00D02A1F">
        <w:tab/>
        <w:t>bemærker, at udvalgets og RU's bygningsstrategi i 2022 fokuserede på den geografiske koncentration af bygningerne, som blev opnået ved fysisk at forbinde alle de bygninger, der anvendes af udvalgene, med deres hovedbygning (JDE); glæder sig over den nye fysiske forbindelse til Parlamentets bygninger, som blev taget i brug i november 2022, og som giver en mere direkte, lettere og 125 m kortere vej mellem udvalgets og RU's bygninger og Parlamentets bygninger;</w:t>
      </w:r>
    </w:p>
    <w:p w:rsidR="0070038F" w:rsidRPr="00D02A1F" w:rsidRDefault="0070038F" w:rsidP="0070038F">
      <w:pPr>
        <w:pStyle w:val="NormalHanging12a"/>
      </w:pPr>
      <w:r w:rsidRPr="00D02A1F">
        <w:t>52.</w:t>
      </w:r>
      <w:r w:rsidRPr="00D02A1F">
        <w:tab/>
        <w:t>glæder sig over udvalgets og RU's tilsagn om systematisk at anvende princippet om "design for alle" på deres infrastruktur og sikre adgang til deres bygninger gennem design; bemærker, at udvalget og RU traf en række forskellige foranstaltninger for at sikre adgangen til deres bygninger for personer med forskellige former for handicap;</w:t>
      </w:r>
    </w:p>
    <w:p w:rsidR="0070038F" w:rsidRPr="00D02A1F" w:rsidRDefault="0070038F" w:rsidP="0070038F">
      <w:pPr>
        <w:pStyle w:val="NormalHanging12a"/>
        <w:ind w:left="0" w:firstLine="0"/>
        <w:rPr>
          <w:b/>
          <w:i/>
        </w:rPr>
      </w:pPr>
      <w:r w:rsidRPr="00D02A1F">
        <w:rPr>
          <w:b/>
          <w:i/>
        </w:rPr>
        <w:t>Miljø og bæredygtighed</w:t>
      </w:r>
    </w:p>
    <w:p w:rsidR="0070038F" w:rsidRPr="00D02A1F" w:rsidRDefault="0070038F" w:rsidP="0070038F">
      <w:pPr>
        <w:pStyle w:val="NormalHanging12a"/>
      </w:pPr>
      <w:r w:rsidRPr="00D02A1F">
        <w:t>53.</w:t>
      </w:r>
      <w:r w:rsidRPr="00D02A1F">
        <w:tab/>
        <w:t>glæder sig over den bæredygtige praksis og navnlig udvalgets og RU's papirløse tilgang, som bidrog til at reducere deres miljøaftryk i overensstemmelse med den digitale strategi; lykønsker udvalgene med at have overgået EMAS-målene for 2021-2025, bortset fra målene vedrørende gasforbrug; bemærker, at et budget på 60 000 EUR blev øremærket til udvalgets CO</w:t>
      </w:r>
      <w:r w:rsidRPr="00D02A1F">
        <w:rPr>
          <w:vertAlign w:val="subscript"/>
        </w:rPr>
        <w:t>2</w:t>
      </w:r>
      <w:r w:rsidRPr="00D02A1F">
        <w:t>-kompensationsordning ved at købe CO</w:t>
      </w:r>
      <w:r w:rsidRPr="00D02A1F">
        <w:rPr>
          <w:vertAlign w:val="subscript"/>
        </w:rPr>
        <w:t>2</w:t>
      </w:r>
      <w:r w:rsidRPr="00D02A1F">
        <w:t>-kreditter af høj kvalitet i 2023;</w:t>
      </w:r>
    </w:p>
    <w:p w:rsidR="0070038F" w:rsidRPr="00D02A1F" w:rsidRDefault="0070038F" w:rsidP="0070038F">
      <w:pPr>
        <w:pStyle w:val="NormalHanging12a"/>
      </w:pPr>
      <w:r w:rsidRPr="00D02A1F">
        <w:t>54.</w:t>
      </w:r>
      <w:r w:rsidRPr="00D02A1F">
        <w:tab/>
        <w:t xml:space="preserve">bemærker, at den samlede </w:t>
      </w:r>
      <w:proofErr w:type="spellStart"/>
      <w:r w:rsidRPr="00D02A1F">
        <w:t>elproduktion</w:t>
      </w:r>
      <w:proofErr w:type="spellEnd"/>
      <w:r w:rsidRPr="00D02A1F">
        <w:t xml:space="preserve"> fra solpaneler i udvalgets og RU's bygninger i 2022 var på ca. 15,5 MWh, hvilket svarer til 0,25 % af udvalgets og RU's samlede årlige forbrug; bemærker, at kun JDE-bygningen var udstyret med solpaneler pr. 16. september 2022; er klar over, at udvalget og RU på grund af administrative procedurer vil skulle vente, inden de kan udvide deres solcellepanelinstallation;</w:t>
      </w:r>
    </w:p>
    <w:p w:rsidR="0070038F" w:rsidRPr="00D02A1F" w:rsidRDefault="0070038F" w:rsidP="0070038F">
      <w:pPr>
        <w:pStyle w:val="NormalHanging12a"/>
      </w:pPr>
      <w:r w:rsidRPr="00D02A1F">
        <w:t>55.</w:t>
      </w:r>
      <w:r w:rsidRPr="00D02A1F">
        <w:tab/>
        <w:t xml:space="preserve">lykønsker udvalget med udarbejdelsen af en forretningstransportplan efter aftale med mobilitetsafdelingen i hovedstadsregionen Bruxelles, i henhold til hvilken udvalget forpligter sig til at gennemføre en obligatorisk mobilitetsundersøgelse blandt sine ansatte hvert tredje år; bemærker, at udvalget har indført en plan for bæredygtig mobilitet, der har til formål at tilskynde dets personale til at anvende mere bæredygtige transportmidler, herunder gennem et finansielt bidrag til personalets abonnementer på offentlig transport eller et månedligt finansielt bidrag til medarbejdere, der cykler på arbejde; bemærker, at udvalget er i færd med at undersøge yderligere løsninger såsom </w:t>
      </w:r>
      <w:proofErr w:type="spellStart"/>
      <w:r w:rsidRPr="00D02A1F">
        <w:t>tilrådighedsstillelse</w:t>
      </w:r>
      <w:proofErr w:type="spellEnd"/>
      <w:r w:rsidRPr="00D02A1F">
        <w:t xml:space="preserve"> af elektroniske cykler og installation af yderligere opladere til elbiler;</w:t>
      </w:r>
    </w:p>
    <w:p w:rsidR="0070038F" w:rsidRPr="00D02A1F" w:rsidRDefault="0070038F" w:rsidP="0070038F">
      <w:pPr>
        <w:pStyle w:val="NormalHanging12a"/>
        <w:rPr>
          <w:b/>
          <w:i/>
        </w:rPr>
      </w:pPr>
      <w:proofErr w:type="spellStart"/>
      <w:r w:rsidRPr="00D02A1F">
        <w:rPr>
          <w:b/>
          <w:i/>
        </w:rPr>
        <w:t>Interinstitutionelt</w:t>
      </w:r>
      <w:proofErr w:type="spellEnd"/>
      <w:r w:rsidRPr="00D02A1F">
        <w:rPr>
          <w:b/>
          <w:i/>
        </w:rPr>
        <w:t xml:space="preserve"> samarbejde</w:t>
      </w:r>
    </w:p>
    <w:p w:rsidR="0070038F" w:rsidRPr="00D02A1F" w:rsidRDefault="0070038F" w:rsidP="0070038F">
      <w:pPr>
        <w:pStyle w:val="NormalHanging12a"/>
      </w:pPr>
      <w:r w:rsidRPr="00D02A1F">
        <w:t>56.</w:t>
      </w:r>
      <w:r w:rsidRPr="00D02A1F">
        <w:tab/>
        <w:t xml:space="preserve">glæder sig over de budgetmæssige og administrative besparelser, der er opnået gennem det </w:t>
      </w:r>
      <w:proofErr w:type="spellStart"/>
      <w:r w:rsidRPr="00D02A1F">
        <w:t>interinstitutionelle</w:t>
      </w:r>
      <w:proofErr w:type="spellEnd"/>
      <w:r w:rsidRPr="00D02A1F">
        <w:t xml:space="preserve"> samarbejde, navnlig det tætte samarbejde, der er etableret på administrativt plan med RU, som udvalget deler lokaler og fælles tjenester med inden for oversættelse, infrastruktur, logistik og IT, samtidig med at det bevarer sin fulde institutionelle autonomi; bemærker, at der den 1. oktober 2022 blev oprettet nye fælles tjenester, herunder et nyt direktorat for innovation og informationsteknologi, en sikkerhedstjeneste og en enhed for offentlige indkøb og finansiel forvaltning som led i den nye samarbejdsaftale, der blev undertegnet med RU i 2022; bemærker endvidere, at 470 ansatte og 55 mio. EUR blev samlet af udvalget og RU i 2022, hvoraf mere end 30 mio. EUR kom fra udvalget, eksklusive lønrelaterede udgifter; opfordrer udvalget til at fortsætte og udvide dette samarbejde på andre områder med henblik på at undgå dobbeltarbejde og yderligere at rationalisere driftsomkostningerne for de tjenester, der er til rådighed i de lokaler, som udvalget og RU deler; opfordrer udvalget og RU til at undersøge muligheden for at oprette en fælles administration for deres fælles tjenester og beholde separate direktorater eller enheder for de tjenester, der beskæftiger sig med spørgsmål vedrørende deres specifikke og uafhængige mandater;</w:t>
      </w:r>
    </w:p>
    <w:p w:rsidR="0070038F" w:rsidRPr="00D02A1F" w:rsidRDefault="0070038F" w:rsidP="0070038F">
      <w:pPr>
        <w:pStyle w:val="NormalHanging12a"/>
      </w:pPr>
      <w:r w:rsidRPr="00D02A1F">
        <w:t>57.</w:t>
      </w:r>
      <w:r w:rsidRPr="00D02A1F">
        <w:tab/>
        <w:t xml:space="preserve">glæder sig over udvalgets søgen efter </w:t>
      </w:r>
      <w:proofErr w:type="spellStart"/>
      <w:r w:rsidRPr="00D02A1F">
        <w:t>synergier</w:t>
      </w:r>
      <w:proofErr w:type="spellEnd"/>
      <w:r w:rsidRPr="00D02A1F">
        <w:t xml:space="preserve"> ved at købe tjenester fra andre institutioner gennem serviceleveranceaftaler og ved at deltage i </w:t>
      </w:r>
      <w:proofErr w:type="spellStart"/>
      <w:r w:rsidRPr="00D02A1F">
        <w:t>interinstitutionelle</w:t>
      </w:r>
      <w:proofErr w:type="spellEnd"/>
      <w:r w:rsidRPr="00D02A1F">
        <w:t xml:space="preserve"> koordineringsorganer og </w:t>
      </w:r>
      <w:proofErr w:type="spellStart"/>
      <w:r w:rsidRPr="00D02A1F">
        <w:t>interinstitutionelle</w:t>
      </w:r>
      <w:proofErr w:type="spellEnd"/>
      <w:r w:rsidRPr="00D02A1F">
        <w:t xml:space="preserve"> udbudsprocedurer; bemærker, at Parlamentet navnlig yder tolketjenester til udvalgets plenarforsamlinger, der finder sted i Parlamentets bygninger, og til visse møder, der finder sted i udvalgets bygninger;</w:t>
      </w:r>
    </w:p>
    <w:p w:rsidR="0070038F" w:rsidRPr="00D02A1F" w:rsidRDefault="0070038F" w:rsidP="0070038F">
      <w:pPr>
        <w:pStyle w:val="NormalHanging12a"/>
      </w:pPr>
      <w:r w:rsidRPr="00D02A1F">
        <w:t>58.</w:t>
      </w:r>
      <w:r w:rsidRPr="00D02A1F">
        <w:tab/>
        <w:t>glæder sig over udvalgets øgede inddragelse i lovgivningsprocessen og opfordrer udvalget til at sikre, at dets udtalelser deles med medlemmerne af de relevante udvalg i Parlamentet i overensstemmelse med samarbejdsaftalen mellem Parlamentet og udvalget;</w:t>
      </w:r>
    </w:p>
    <w:p w:rsidR="0070038F" w:rsidRPr="00D02A1F" w:rsidRDefault="0070038F" w:rsidP="0070038F">
      <w:pPr>
        <w:pStyle w:val="NormalHanging12a"/>
      </w:pPr>
      <w:r w:rsidRPr="00D02A1F">
        <w:t>59.</w:t>
      </w:r>
      <w:r w:rsidRPr="00D02A1F">
        <w:tab/>
        <w:t xml:space="preserve">bemærker, at udvalget fortsatte og intensiverede sit samarbejde med Kommissionen i 2022 i forbindelse med serviceleveranceaftalen med Kommissionens Undersøgelses- og Disciplinærkontor om støtte til administrative undersøgelser og inden for rammerne af samarbejdsprotokollen, der blev ajourført i 2022, og som styrkede de politiske, lovgivningsmæssige og kommunikationsmæssige </w:t>
      </w:r>
      <w:proofErr w:type="spellStart"/>
      <w:r w:rsidRPr="00D02A1F">
        <w:t>synergier</w:t>
      </w:r>
      <w:proofErr w:type="spellEnd"/>
      <w:r w:rsidRPr="00D02A1F">
        <w:t xml:space="preserve"> mellem disse to institutioner, navnlig i forbindelse med gennemførelsen af det europæiske borgerinitiativ og det europæiske semester; bemærker, at Kommissionens anvendelse af udvalgets sonderende udtalelser i henhold til den opdaterede protokol blev styrket, hvilket styrkede udvalgets deltagelse i Unionens lovgivningscyklus;</w:t>
      </w:r>
    </w:p>
    <w:p w:rsidR="0070038F" w:rsidRPr="00D02A1F" w:rsidRDefault="0070038F" w:rsidP="0070038F">
      <w:pPr>
        <w:pStyle w:val="NormalHanging12a"/>
      </w:pPr>
      <w:r w:rsidRPr="00D02A1F">
        <w:t>60.</w:t>
      </w:r>
      <w:r w:rsidRPr="00D02A1F">
        <w:tab/>
        <w:t>bemærker, at udvalget spiller en central rolle med hensyn til at styrke forbindelserne med og mellem de nationale økonomiske og sociale råd i medlemsstaterne; opfordrer udvalget til fortsat at fremme samarbejdet om emner af fælles interesse og om god praksis og fremhæve, hvordan civilsamfundet bidrager til Unionens aktuelle udfordringer, navnlig gennem udveksling af personale og afholdelse af fælles arrangementer;</w:t>
      </w:r>
    </w:p>
    <w:p w:rsidR="0070038F" w:rsidRPr="00D02A1F" w:rsidRDefault="0070038F" w:rsidP="0070038F">
      <w:pPr>
        <w:pStyle w:val="NormalHanging12a"/>
        <w:rPr>
          <w:b/>
          <w:i/>
        </w:rPr>
      </w:pPr>
      <w:r w:rsidRPr="00D02A1F">
        <w:rPr>
          <w:b/>
          <w:i/>
        </w:rPr>
        <w:t>Kommunikation</w:t>
      </w:r>
    </w:p>
    <w:p w:rsidR="0070038F" w:rsidRPr="00D02A1F" w:rsidRDefault="0070038F" w:rsidP="0070038F">
      <w:pPr>
        <w:pStyle w:val="NormalHanging12a"/>
      </w:pPr>
      <w:r w:rsidRPr="00D02A1F">
        <w:t>61.</w:t>
      </w:r>
      <w:r w:rsidRPr="00D02A1F">
        <w:tab/>
        <w:t>bemærker, at udvalgets samlede budget til kommunikation i 2022 var på 1,5 mio. EUR, hvilket er det samme beløb som i 2021; bemærker, at dette budget primært blev afsat til at støtte udviklingen og vedligeholdelsen af udvalgets websted, kommunikation på de sociale medier, medieovervågning, medierelationer og fremme af udvalgets større aktiviteter og arrangementer såsom civilsamfundsprisen og aktiviteter i relation til udvalget i forbindelse med arbejdet på konferencen om Europas fremtid og udvalgets støtte til Ukraine;</w:t>
      </w:r>
    </w:p>
    <w:p w:rsidR="0070038F" w:rsidRPr="00D02A1F" w:rsidRDefault="0070038F" w:rsidP="0070038F">
      <w:pPr>
        <w:pStyle w:val="NormalHanging12a"/>
      </w:pPr>
      <w:r w:rsidRPr="00D02A1F">
        <w:t>62.</w:t>
      </w:r>
      <w:r w:rsidRPr="00D02A1F">
        <w:tab/>
        <w:t>glæder sig over udvalgets vedtagelse af en ny datadrevet kommunikationsstrategi i oktober 2022, der har til formål at øge rækkevidden af udvalgets kommunikation og virkningen af dets udtalelser og definere europæiske civilsamfundsorganisationer og de øvrige EU-institutioner som dets vigtigste kommunikationsmål; bemærker endvidere, at udvalget i 2022 ajourførte reglerne om partnerskab med henblik på at styrke sit strategiske engagement med civilsamfundsorganisationer gennem tematiske arrangementer;</w:t>
      </w:r>
    </w:p>
    <w:p w:rsidR="0070038F" w:rsidRPr="00D02A1F" w:rsidRDefault="0070038F" w:rsidP="0070038F">
      <w:pPr>
        <w:pStyle w:val="NormalHanging12a"/>
      </w:pPr>
      <w:r w:rsidRPr="00D02A1F">
        <w:t>63.</w:t>
      </w:r>
      <w:r w:rsidRPr="00D02A1F">
        <w:tab/>
        <w:t>bemærker, at udvalget afholdt store hybride arrangementer om aktuelle emner af relevans for civilsamfundet, såsom arrangementet på højt niveau inden for rammerne af konferencen om Europas fremtid om "</w:t>
      </w:r>
      <w:proofErr w:type="spellStart"/>
      <w:r w:rsidRPr="00D02A1F">
        <w:t>Shaping</w:t>
      </w:r>
      <w:proofErr w:type="spellEnd"/>
      <w:r w:rsidRPr="00D02A1F">
        <w:t xml:space="preserve"> Europe </w:t>
      </w:r>
      <w:proofErr w:type="spellStart"/>
      <w:r w:rsidRPr="00D02A1F">
        <w:t>together</w:t>
      </w:r>
      <w:proofErr w:type="spellEnd"/>
      <w:r w:rsidRPr="00D02A1F">
        <w:t xml:space="preserve"> – the future is in </w:t>
      </w:r>
      <w:proofErr w:type="spellStart"/>
      <w:r w:rsidRPr="00D02A1F">
        <w:t>your</w:t>
      </w:r>
      <w:proofErr w:type="spellEnd"/>
      <w:r w:rsidRPr="00D02A1F">
        <w:t xml:space="preserve"> </w:t>
      </w:r>
      <w:proofErr w:type="spellStart"/>
      <w:r w:rsidRPr="00D02A1F">
        <w:t>hand</w:t>
      </w:r>
      <w:proofErr w:type="spellEnd"/>
      <w:r w:rsidRPr="00D02A1F">
        <w:t>", det årlige ungdomsarrangement "Dit Europa, din mening" for elever og lærere i Unionen og kandidatlandene og den årlige ungdomsplenarforsamling "Sandheden om løgne. Unge til kamp mod desinformation" for studerende; bemærker, at udvalget også tilrettelagde mere specialiserede aktiviteter med fokus på ungdomsåret og Ruslands angrebskrig mod Ukraine rettet mod journalister og kommunikationsfagfolk fra civilsamfundsorganisationer;</w:t>
      </w:r>
    </w:p>
    <w:p w:rsidR="0070038F" w:rsidRPr="00D02A1F" w:rsidRDefault="0070038F" w:rsidP="0070038F">
      <w:pPr>
        <w:pStyle w:val="NormalHanging12a"/>
      </w:pPr>
      <w:r w:rsidRPr="00D02A1F">
        <w:t>64.</w:t>
      </w:r>
      <w:r w:rsidRPr="00D02A1F">
        <w:tab/>
        <w:t xml:space="preserve">glæder sig over, at den samlede rækkevidde af udvalgets kommunikation steg i 2022 i forhold til 2021, navnlig gennem mediedækning og tilstedeværelse på internettet og sociale medier; bemærker, at antallet af besøg på den centrale Facebookside steg med 96,9 % (57 000 besøg), og at antallet af besøg på </w:t>
      </w:r>
      <w:proofErr w:type="spellStart"/>
      <w:r w:rsidRPr="00D02A1F">
        <w:t>Instagram</w:t>
      </w:r>
      <w:proofErr w:type="spellEnd"/>
      <w:r w:rsidRPr="00D02A1F">
        <w:t xml:space="preserve">-kontoen steg med 97,9 % (20 000 besøg), mens antallet af Facebook-brugere steg med 1,1 % (6 mio. brugere), at der blev nået ud til 33 % flere på </w:t>
      </w:r>
      <w:proofErr w:type="spellStart"/>
      <w:r w:rsidRPr="00D02A1F">
        <w:t>Instagram</w:t>
      </w:r>
      <w:proofErr w:type="spellEnd"/>
      <w:r w:rsidRPr="00D02A1F">
        <w:t xml:space="preserve"> (over 3 mio. brugere), at de opslag, der blev offentliggjort på LinkedIn, genererede næsten 1,2 mio. visninger, og at de </w:t>
      </w:r>
      <w:proofErr w:type="spellStart"/>
      <w:r w:rsidRPr="00D02A1F">
        <w:t>tweets</w:t>
      </w:r>
      <w:proofErr w:type="spellEnd"/>
      <w:r w:rsidRPr="00D02A1F">
        <w:t xml:space="preserve">, der blev offentliggjort på X (tidligere Twitter), fik over 6 mio. visninger; glæder sig over udvalgets deltagelse fra og med 2023 i det pilotprojekt, der gennemføres under ledelse af Den Europæiske Tilsynsførende for Databeskyttelse, og som har til formål at få EU's institutioner til at anvende EU-Voice og EU-Video, som er to gratis open source sociale medienetværk baseret på </w:t>
      </w:r>
      <w:proofErr w:type="spellStart"/>
      <w:r w:rsidRPr="00D02A1F">
        <w:t>Mastodonsoftware</w:t>
      </w:r>
      <w:proofErr w:type="spellEnd"/>
      <w:r w:rsidRPr="00D02A1F">
        <w:t>, og som gør det muligt for EU's institutioner at interagere med offentligheden ved at dele tekster, billeder, videoer og podcasts;</w:t>
      </w:r>
    </w:p>
    <w:p w:rsidR="0070038F" w:rsidRPr="00D02A1F" w:rsidRDefault="0070038F" w:rsidP="0070038F">
      <w:pPr>
        <w:pStyle w:val="NormalHanging12a"/>
      </w:pPr>
      <w:r w:rsidRPr="00D02A1F">
        <w:t>65.</w:t>
      </w:r>
      <w:r w:rsidRPr="00D02A1F">
        <w:tab/>
        <w:t>glæder sig over, at udvalget sikrer, at borgerne har åben adgang til dets dokumenter via et særligt elektronisk register; bemærker, at udvalget bidrager til Kommissionens åbne dataportal med sine egne datasæt og dermed støtter større gennemsigtighed i sine aktiviteter gennem frit tilgængelige data i menneskeligt læsbare og maskinlæsbare formater og styrker forbindelsen til borgerne.</w:t>
      </w:r>
    </w:p>
    <w:p w:rsidR="00E365E1" w:rsidRPr="00D02A1F" w:rsidRDefault="00E365E1" w:rsidP="000C627A">
      <w:bookmarkStart w:id="10" w:name="TextBodyEnd"/>
      <w:bookmarkEnd w:id="10"/>
    </w:p>
    <w:sectPr w:rsidR="00E365E1" w:rsidRPr="00D02A1F" w:rsidSect="00FA544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8B0" w:rsidRPr="00FA544E" w:rsidRDefault="000A28B0">
      <w:r w:rsidRPr="00FA544E">
        <w:separator/>
      </w:r>
    </w:p>
  </w:endnote>
  <w:endnote w:type="continuationSeparator" w:id="0">
    <w:p w:rsidR="000A28B0" w:rsidRPr="00FA544E" w:rsidRDefault="000A28B0">
      <w:r w:rsidRPr="00FA54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B0" w:rsidRPr="00FA544E" w:rsidRDefault="000A28B0" w:rsidP="000A28B0">
    <w:pPr>
      <w:pStyle w:val="EPFooter"/>
    </w:pPr>
    <w:r w:rsidRPr="00FA544E">
      <w:t>PE</w:t>
    </w:r>
    <w:r w:rsidRPr="00FA544E">
      <w:rPr>
        <w:rStyle w:val="HideTWBExt"/>
      </w:rPr>
      <w:t>&lt;NoPE&gt;</w:t>
    </w:r>
    <w:r w:rsidRPr="00FA544E">
      <w:t>753.483</w:t>
    </w:r>
    <w:r w:rsidRPr="00FA544E">
      <w:rPr>
        <w:rStyle w:val="HideTWBExt"/>
      </w:rPr>
      <w:t>&lt;/NoPE&gt;&lt;Version&gt;</w:t>
    </w:r>
    <w:r w:rsidRPr="00FA544E">
      <w:t>v02-00</w:t>
    </w:r>
    <w:r w:rsidRPr="00FA544E">
      <w:rPr>
        <w:rStyle w:val="HideTWBExt"/>
      </w:rPr>
      <w:t>&lt;/Version&gt;</w:t>
    </w:r>
    <w:r w:rsidRPr="00FA544E">
      <w:tab/>
    </w:r>
    <w:r w:rsidRPr="00FA544E">
      <w:fldChar w:fldCharType="begin"/>
    </w:r>
    <w:r w:rsidRPr="00FA544E">
      <w:instrText xml:space="preserve"> PAGE  \* MERGEFORMAT </w:instrText>
    </w:r>
    <w:r w:rsidRPr="00FA544E">
      <w:fldChar w:fldCharType="separate"/>
    </w:r>
    <w:r w:rsidRPr="00FA544E">
      <w:rPr>
        <w:noProof/>
      </w:rPr>
      <w:t>2</w:t>
    </w:r>
    <w:r w:rsidRPr="00FA544E">
      <w:fldChar w:fldCharType="end"/>
    </w:r>
    <w:r w:rsidRPr="00FA544E">
      <w:t>/</w:t>
    </w:r>
    <w:r w:rsidR="00375BD0">
      <w:fldChar w:fldCharType="begin"/>
    </w:r>
    <w:r w:rsidR="00375BD0">
      <w:instrText xml:space="preserve"> NUMPAGES  \* MERGEFORMAT </w:instrText>
    </w:r>
    <w:r w:rsidR="00375BD0">
      <w:fldChar w:fldCharType="separate"/>
    </w:r>
    <w:r w:rsidRPr="00FA544E">
      <w:rPr>
        <w:noProof/>
      </w:rPr>
      <w:t>2</w:t>
    </w:r>
    <w:r w:rsidR="00375BD0">
      <w:rPr>
        <w:noProof/>
      </w:rPr>
      <w:fldChar w:fldCharType="end"/>
    </w:r>
    <w:r w:rsidRPr="00FA544E">
      <w:tab/>
    </w:r>
    <w:r w:rsidRPr="00FA544E">
      <w:rPr>
        <w:rStyle w:val="HideTWBExt"/>
      </w:rPr>
      <w:t>&lt;PathFdR&gt;</w:t>
    </w:r>
    <w:r w:rsidRPr="00FA544E">
      <w:t>RR\1298480DA.docx</w:t>
    </w:r>
    <w:r w:rsidRPr="00FA544E">
      <w:rPr>
        <w:rStyle w:val="HideTWBExt"/>
      </w:rPr>
      <w:t>&lt;/PathFdR&gt;</w:t>
    </w:r>
  </w:p>
  <w:p w:rsidR="000A28B0" w:rsidRPr="00FA544E" w:rsidRDefault="000A28B0" w:rsidP="000A28B0">
    <w:pPr>
      <w:pStyle w:val="EPFooter2"/>
    </w:pPr>
    <w:r w:rsidRPr="00FA544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B0" w:rsidRPr="00FA544E" w:rsidRDefault="000A28B0" w:rsidP="000A28B0">
    <w:pPr>
      <w:pStyle w:val="EPFooter"/>
    </w:pPr>
    <w:r w:rsidRPr="00FA544E">
      <w:rPr>
        <w:rStyle w:val="HideTWBExt"/>
      </w:rPr>
      <w:t>&lt;PathFdR&gt;</w:t>
    </w:r>
    <w:r w:rsidRPr="00FA544E">
      <w:t>RR\1298480DA.docx</w:t>
    </w:r>
    <w:r w:rsidRPr="00FA544E">
      <w:rPr>
        <w:rStyle w:val="HideTWBExt"/>
      </w:rPr>
      <w:t>&lt;/PathFdR&gt;</w:t>
    </w:r>
    <w:r w:rsidRPr="00FA544E">
      <w:tab/>
    </w:r>
    <w:r w:rsidRPr="00FA544E">
      <w:tab/>
      <w:t>PE</w:t>
    </w:r>
    <w:r w:rsidRPr="00FA544E">
      <w:rPr>
        <w:rStyle w:val="HideTWBExt"/>
      </w:rPr>
      <w:t>&lt;NoPE&gt;</w:t>
    </w:r>
    <w:r w:rsidRPr="00FA544E">
      <w:t>753.483</w:t>
    </w:r>
    <w:r w:rsidRPr="00FA544E">
      <w:rPr>
        <w:rStyle w:val="HideTWBExt"/>
      </w:rPr>
      <w:t>&lt;/NoPE&gt;&lt;Version&gt;</w:t>
    </w:r>
    <w:r w:rsidRPr="00FA544E">
      <w:t>v02-00</w:t>
    </w:r>
    <w:r w:rsidRPr="00FA544E">
      <w:rPr>
        <w:rStyle w:val="HideTWBExt"/>
      </w:rPr>
      <w:t>&lt;/Version&gt;</w:t>
    </w:r>
  </w:p>
  <w:p w:rsidR="000A28B0" w:rsidRPr="00FA544E" w:rsidRDefault="000A28B0" w:rsidP="000A28B0">
    <w:pPr>
      <w:pStyle w:val="EPFooter2"/>
    </w:pPr>
    <w:r w:rsidRPr="00FA544E">
      <w:t>DA</w:t>
    </w:r>
    <w:r w:rsidRPr="00FA544E">
      <w:tab/>
    </w:r>
    <w:r w:rsidRPr="00FA544E">
      <w:rPr>
        <w:b w:val="0"/>
        <w:i/>
        <w:color w:val="C0C0C0"/>
        <w:sz w:val="22"/>
      </w:rPr>
      <w:t>Forenet i mangfoldighed</w:t>
    </w:r>
    <w:r w:rsidRPr="00FA544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B0" w:rsidRPr="00FA544E" w:rsidRDefault="000A28B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B0" w:rsidRPr="00FA544E" w:rsidRDefault="000A28B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B0" w:rsidRPr="00FA544E" w:rsidRDefault="000A28B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8B0" w:rsidRPr="00FA544E" w:rsidRDefault="000A28B0">
      <w:r w:rsidRPr="00FA544E">
        <w:separator/>
      </w:r>
    </w:p>
  </w:footnote>
  <w:footnote w:type="continuationSeparator" w:id="0">
    <w:p w:rsidR="000A28B0" w:rsidRPr="00FA544E" w:rsidRDefault="000A28B0">
      <w:r w:rsidRPr="00FA544E">
        <w:continuationSeparator/>
      </w:r>
    </w:p>
  </w:footnote>
  <w:footnote w:id="1">
    <w:p w:rsidR="000A28B0" w:rsidRPr="00FA544E" w:rsidRDefault="000A28B0" w:rsidP="00FA544E">
      <w:pPr>
        <w:pStyle w:val="FootnoteText"/>
        <w:ind w:left="567" w:hanging="567"/>
        <w:rPr>
          <w:sz w:val="24"/>
          <w:lang w:val="da-DK"/>
        </w:rPr>
      </w:pPr>
      <w:r w:rsidRPr="00FA544E">
        <w:rPr>
          <w:rStyle w:val="FootnoteReference"/>
          <w:sz w:val="24"/>
          <w:lang w:val="da-DK"/>
        </w:rPr>
        <w:footnoteRef/>
      </w:r>
      <w:r w:rsidRPr="00FA544E">
        <w:rPr>
          <w:sz w:val="24"/>
          <w:lang w:val="da-DK"/>
        </w:rPr>
        <w:t xml:space="preserve"> </w:t>
      </w:r>
      <w:r w:rsidRPr="00FA544E">
        <w:rPr>
          <w:sz w:val="24"/>
          <w:lang w:val="da-DK"/>
        </w:rPr>
        <w:tab/>
        <w:t xml:space="preserve">EUT L </w:t>
      </w:r>
      <w:r w:rsidRPr="007B5ED3">
        <w:rPr>
          <w:sz w:val="24"/>
          <w:lang w:val="da-DK"/>
        </w:rPr>
        <w:t>45</w:t>
      </w:r>
      <w:r w:rsidRPr="00FA544E">
        <w:rPr>
          <w:sz w:val="24"/>
          <w:lang w:val="da-DK"/>
        </w:rPr>
        <w:t xml:space="preserve"> af </w:t>
      </w:r>
      <w:r w:rsidRPr="007B5ED3">
        <w:rPr>
          <w:sz w:val="24"/>
          <w:lang w:val="da-DK"/>
        </w:rPr>
        <w:t>24</w:t>
      </w:r>
      <w:r w:rsidRPr="00FA544E">
        <w:rPr>
          <w:sz w:val="24"/>
          <w:lang w:val="da-DK"/>
        </w:rPr>
        <w:t>.</w:t>
      </w:r>
      <w:r w:rsidRPr="007B5ED3">
        <w:rPr>
          <w:sz w:val="24"/>
          <w:lang w:val="da-DK"/>
        </w:rPr>
        <w:t>2</w:t>
      </w:r>
      <w:r w:rsidRPr="00FA544E">
        <w:rPr>
          <w:sz w:val="24"/>
          <w:lang w:val="da-DK"/>
        </w:rPr>
        <w:t>.</w:t>
      </w:r>
      <w:r w:rsidRPr="007B5ED3">
        <w:rPr>
          <w:sz w:val="24"/>
          <w:lang w:val="da-DK"/>
        </w:rPr>
        <w:t>2022</w:t>
      </w:r>
      <w:r w:rsidRPr="00FA544E">
        <w:rPr>
          <w:sz w:val="24"/>
          <w:lang w:val="da-DK"/>
        </w:rPr>
        <w:t>.</w:t>
      </w:r>
    </w:p>
  </w:footnote>
  <w:footnote w:id="2">
    <w:p w:rsidR="000A28B0" w:rsidRPr="00FA544E" w:rsidRDefault="000A28B0" w:rsidP="00FA544E">
      <w:pPr>
        <w:pStyle w:val="FootnoteText"/>
        <w:ind w:left="567" w:hanging="567"/>
        <w:rPr>
          <w:sz w:val="24"/>
          <w:lang w:val="da-DK"/>
        </w:rPr>
      </w:pPr>
      <w:r w:rsidRPr="00FA544E">
        <w:rPr>
          <w:rStyle w:val="FootnoteReference"/>
          <w:sz w:val="24"/>
          <w:lang w:val="da-DK"/>
        </w:rPr>
        <w:footnoteRef/>
      </w:r>
      <w:r w:rsidRPr="00FA544E">
        <w:rPr>
          <w:sz w:val="24"/>
          <w:lang w:val="da-DK"/>
        </w:rPr>
        <w:t xml:space="preserve"> </w:t>
      </w:r>
      <w:r w:rsidRPr="00FA544E">
        <w:rPr>
          <w:sz w:val="24"/>
          <w:lang w:val="da-DK"/>
        </w:rPr>
        <w:tab/>
        <w:t>EUT C, C/</w:t>
      </w:r>
      <w:r w:rsidRPr="007B5ED3">
        <w:rPr>
          <w:sz w:val="24"/>
          <w:lang w:val="da-DK"/>
        </w:rPr>
        <w:t>2023</w:t>
      </w:r>
      <w:r w:rsidRPr="00FA544E">
        <w:rPr>
          <w:sz w:val="24"/>
          <w:lang w:val="da-DK"/>
        </w:rPr>
        <w:t>/</w:t>
      </w:r>
      <w:r w:rsidRPr="007B5ED3">
        <w:rPr>
          <w:sz w:val="24"/>
          <w:lang w:val="da-DK"/>
        </w:rPr>
        <w:t>2</w:t>
      </w:r>
      <w:r w:rsidRPr="00FA544E">
        <w:rPr>
          <w:sz w:val="24"/>
          <w:lang w:val="da-DK"/>
        </w:rPr>
        <w:t xml:space="preserve">, </w:t>
      </w:r>
      <w:r w:rsidRPr="007B5ED3">
        <w:rPr>
          <w:sz w:val="24"/>
          <w:lang w:val="da-DK"/>
        </w:rPr>
        <w:t>12</w:t>
      </w:r>
      <w:r w:rsidRPr="00FA544E">
        <w:rPr>
          <w:sz w:val="24"/>
          <w:lang w:val="da-DK"/>
        </w:rPr>
        <w:t>.</w:t>
      </w:r>
      <w:r w:rsidRPr="007B5ED3">
        <w:rPr>
          <w:sz w:val="24"/>
          <w:lang w:val="da-DK"/>
        </w:rPr>
        <w:t>10</w:t>
      </w:r>
      <w:r w:rsidR="00D02A1F">
        <w:rPr>
          <w:sz w:val="24"/>
          <w:lang w:val="da-DK"/>
        </w:rPr>
        <w:t>.</w:t>
      </w:r>
      <w:r w:rsidRPr="007B5ED3">
        <w:rPr>
          <w:sz w:val="24"/>
          <w:lang w:val="da-DK"/>
        </w:rPr>
        <w:t>2023</w:t>
      </w:r>
      <w:r w:rsidRPr="00FA544E">
        <w:rPr>
          <w:sz w:val="24"/>
          <w:lang w:val="da-DK"/>
        </w:rPr>
        <w:t>.</w:t>
      </w:r>
    </w:p>
  </w:footnote>
  <w:footnote w:id="3">
    <w:p w:rsidR="000A28B0" w:rsidRPr="005B6BDB" w:rsidRDefault="000A28B0" w:rsidP="00FA544E">
      <w:pPr>
        <w:pStyle w:val="FootnoteText"/>
        <w:ind w:left="567" w:hanging="567"/>
        <w:rPr>
          <w:sz w:val="24"/>
        </w:rPr>
      </w:pPr>
      <w:r w:rsidRPr="00FA544E">
        <w:rPr>
          <w:rStyle w:val="FootnoteReference"/>
          <w:sz w:val="24"/>
          <w:lang w:val="da-DK"/>
        </w:rPr>
        <w:footnoteRef/>
      </w:r>
      <w:r w:rsidRPr="005B6BDB">
        <w:rPr>
          <w:sz w:val="24"/>
        </w:rPr>
        <w:t xml:space="preserve"> </w:t>
      </w:r>
      <w:r w:rsidRPr="005B6BDB">
        <w:rPr>
          <w:sz w:val="24"/>
        </w:rPr>
        <w:tab/>
        <w:t>EUT C, C/2023/103, 4.10.2023.</w:t>
      </w:r>
    </w:p>
  </w:footnote>
  <w:footnote w:id="4">
    <w:p w:rsidR="000A28B0" w:rsidRPr="005B6BDB" w:rsidRDefault="000A28B0" w:rsidP="00FA544E">
      <w:pPr>
        <w:pStyle w:val="FootnoteText"/>
        <w:ind w:left="567" w:hanging="567"/>
        <w:rPr>
          <w:sz w:val="24"/>
        </w:rPr>
      </w:pPr>
      <w:r w:rsidRPr="00FA544E">
        <w:rPr>
          <w:rStyle w:val="FootnoteReference"/>
          <w:sz w:val="24"/>
          <w:lang w:val="da-DK"/>
        </w:rPr>
        <w:footnoteRef/>
      </w:r>
      <w:r w:rsidRPr="005B6BDB">
        <w:rPr>
          <w:sz w:val="24"/>
        </w:rPr>
        <w:t xml:space="preserve"> </w:t>
      </w:r>
      <w:r w:rsidRPr="005B6BDB">
        <w:rPr>
          <w:sz w:val="24"/>
        </w:rPr>
        <w:tab/>
        <w:t>EUT C, C/2023/112, 12.10.2023.</w:t>
      </w:r>
    </w:p>
  </w:footnote>
  <w:footnote w:id="5">
    <w:p w:rsidR="000A28B0" w:rsidRPr="00FA544E" w:rsidRDefault="000A28B0" w:rsidP="00FA544E">
      <w:pPr>
        <w:pStyle w:val="FootnoteText"/>
        <w:ind w:left="567" w:hanging="567"/>
        <w:rPr>
          <w:sz w:val="24"/>
          <w:lang w:val="da-DK"/>
        </w:rPr>
      </w:pPr>
      <w:r w:rsidRPr="00FA544E">
        <w:rPr>
          <w:rStyle w:val="FootnoteReference"/>
          <w:sz w:val="24"/>
          <w:lang w:val="da-DK"/>
        </w:rPr>
        <w:footnoteRef/>
      </w:r>
      <w:r w:rsidRPr="00FA544E">
        <w:rPr>
          <w:sz w:val="24"/>
          <w:lang w:val="da-DK"/>
        </w:rPr>
        <w:t xml:space="preserve"> </w:t>
      </w:r>
      <w:r w:rsidRPr="00FA544E">
        <w:rPr>
          <w:sz w:val="24"/>
          <w:lang w:val="da-DK"/>
        </w:rPr>
        <w:tab/>
        <w:t>EUT L </w:t>
      </w:r>
      <w:r w:rsidRPr="007B5ED3">
        <w:rPr>
          <w:sz w:val="24"/>
          <w:lang w:val="da-DK"/>
        </w:rPr>
        <w:t>193</w:t>
      </w:r>
      <w:r w:rsidRPr="00FA544E">
        <w:rPr>
          <w:sz w:val="24"/>
          <w:lang w:val="da-DK"/>
        </w:rPr>
        <w:t xml:space="preserve"> af </w:t>
      </w:r>
      <w:r w:rsidRPr="007B5ED3">
        <w:rPr>
          <w:sz w:val="24"/>
          <w:lang w:val="da-DK"/>
        </w:rPr>
        <w:t>30</w:t>
      </w:r>
      <w:r w:rsidRPr="00FA544E">
        <w:rPr>
          <w:sz w:val="24"/>
          <w:lang w:val="da-DK"/>
        </w:rPr>
        <w:t>.</w:t>
      </w:r>
      <w:r w:rsidRPr="007B5ED3">
        <w:rPr>
          <w:sz w:val="24"/>
          <w:lang w:val="da-DK"/>
        </w:rPr>
        <w:t>7</w:t>
      </w:r>
      <w:r w:rsidRPr="00FA544E">
        <w:rPr>
          <w:sz w:val="24"/>
          <w:lang w:val="da-DK"/>
        </w:rPr>
        <w:t>.</w:t>
      </w:r>
      <w:r w:rsidRPr="007B5ED3">
        <w:rPr>
          <w:sz w:val="24"/>
          <w:lang w:val="da-DK"/>
        </w:rPr>
        <w:t>2018</w:t>
      </w:r>
      <w:r w:rsidRPr="00FA544E">
        <w:rPr>
          <w:sz w:val="24"/>
          <w:lang w:val="da-DK"/>
        </w:rPr>
        <w:t>, s. </w:t>
      </w:r>
      <w:r w:rsidRPr="007B5ED3">
        <w:rPr>
          <w:sz w:val="24"/>
          <w:lang w:val="da-DK"/>
        </w:rPr>
        <w:t>1</w:t>
      </w:r>
      <w:r w:rsidRPr="00FA544E">
        <w:rPr>
          <w:sz w:val="24"/>
          <w:lang w:val="da-DK"/>
        </w:rPr>
        <w:t>.</w:t>
      </w:r>
    </w:p>
  </w:footnote>
  <w:footnote w:id="6">
    <w:p w:rsidR="000A28B0" w:rsidRPr="00FA544E" w:rsidRDefault="000A28B0" w:rsidP="00FA544E">
      <w:pPr>
        <w:pStyle w:val="FootnoteText"/>
        <w:ind w:left="567" w:hanging="567"/>
        <w:rPr>
          <w:sz w:val="24"/>
          <w:lang w:val="da-DK"/>
        </w:rPr>
      </w:pPr>
      <w:r w:rsidRPr="00FA544E">
        <w:rPr>
          <w:rStyle w:val="FootnoteReference"/>
          <w:sz w:val="24"/>
          <w:lang w:val="da-DK"/>
        </w:rPr>
        <w:footnoteRef/>
      </w:r>
      <w:r w:rsidRPr="00FA544E">
        <w:rPr>
          <w:sz w:val="24"/>
          <w:lang w:val="da-DK"/>
        </w:rPr>
        <w:t xml:space="preserve"> </w:t>
      </w:r>
      <w:r w:rsidRPr="00FA544E">
        <w:rPr>
          <w:sz w:val="24"/>
          <w:lang w:val="da-DK"/>
        </w:rPr>
        <w:tab/>
        <w:t xml:space="preserve">Domstolens dom af </w:t>
      </w:r>
      <w:r w:rsidRPr="007B5ED3">
        <w:rPr>
          <w:sz w:val="24"/>
          <w:lang w:val="da-DK"/>
        </w:rPr>
        <w:t>6</w:t>
      </w:r>
      <w:r w:rsidRPr="00FA544E">
        <w:rPr>
          <w:sz w:val="24"/>
          <w:lang w:val="da-DK"/>
        </w:rPr>
        <w:t xml:space="preserve">. oktober </w:t>
      </w:r>
      <w:r w:rsidRPr="007B5ED3">
        <w:rPr>
          <w:sz w:val="24"/>
          <w:lang w:val="da-DK"/>
        </w:rPr>
        <w:t>2022</w:t>
      </w:r>
      <w:r w:rsidRPr="00FA544E">
        <w:rPr>
          <w:sz w:val="24"/>
          <w:lang w:val="da-DK"/>
        </w:rPr>
        <w:t xml:space="preserve">, </w:t>
      </w:r>
      <w:r w:rsidRPr="00FA544E">
        <w:rPr>
          <w:i/>
          <w:sz w:val="24"/>
          <w:lang w:val="da-DK"/>
        </w:rPr>
        <w:t>KN mod Det Europæiske Økonomiske og Sociale Udvalg,</w:t>
      </w:r>
      <w:r w:rsidRPr="00FA544E">
        <w:rPr>
          <w:sz w:val="24"/>
          <w:lang w:val="da-DK"/>
        </w:rPr>
        <w:t xml:space="preserve"> i sag C-</w:t>
      </w:r>
      <w:r w:rsidRPr="007B5ED3">
        <w:rPr>
          <w:sz w:val="24"/>
          <w:lang w:val="da-DK"/>
        </w:rPr>
        <w:t>673</w:t>
      </w:r>
      <w:r w:rsidRPr="00FA544E">
        <w:rPr>
          <w:sz w:val="24"/>
          <w:lang w:val="da-DK"/>
        </w:rPr>
        <w:t>/</w:t>
      </w:r>
      <w:r w:rsidRPr="007B5ED3">
        <w:rPr>
          <w:sz w:val="24"/>
          <w:lang w:val="da-DK"/>
        </w:rPr>
        <w:t>21</w:t>
      </w:r>
      <w:r w:rsidRPr="00FA544E">
        <w:rPr>
          <w:sz w:val="24"/>
          <w:lang w:val="da-DK"/>
        </w:rPr>
        <w:t>, ECLI:EU:C:</w:t>
      </w:r>
      <w:r w:rsidRPr="007B5ED3">
        <w:rPr>
          <w:sz w:val="24"/>
          <w:lang w:val="da-DK"/>
        </w:rPr>
        <w:t>2022</w:t>
      </w:r>
      <w:r w:rsidRPr="00FA544E">
        <w:rPr>
          <w:sz w:val="24"/>
          <w:lang w:val="da-DK"/>
        </w:rPr>
        <w:t>:</w:t>
      </w:r>
      <w:r w:rsidRPr="007B5ED3">
        <w:rPr>
          <w:sz w:val="24"/>
          <w:lang w:val="da-DK"/>
        </w:rPr>
        <w:t>759</w:t>
      </w:r>
      <w:r w:rsidRPr="00FA544E">
        <w:rPr>
          <w:sz w:val="24"/>
          <w:lang w:val="da-DK"/>
        </w:rPr>
        <w:t>.</w:t>
      </w:r>
    </w:p>
  </w:footnote>
  <w:footnote w:id="7">
    <w:p w:rsidR="000A28B0" w:rsidRPr="00FA544E" w:rsidRDefault="000A28B0" w:rsidP="00FA544E">
      <w:pPr>
        <w:pStyle w:val="FootnoteText"/>
        <w:ind w:left="567" w:hanging="567"/>
        <w:rPr>
          <w:sz w:val="24"/>
          <w:lang w:val="da-DK"/>
        </w:rPr>
      </w:pPr>
      <w:r w:rsidRPr="00FA544E">
        <w:rPr>
          <w:rStyle w:val="FootnoteReference"/>
          <w:sz w:val="24"/>
          <w:lang w:val="da-DK"/>
        </w:rPr>
        <w:footnoteRef/>
      </w:r>
      <w:r w:rsidRPr="00FA544E">
        <w:rPr>
          <w:sz w:val="24"/>
          <w:lang w:val="da-DK"/>
        </w:rPr>
        <w:t xml:space="preserve"> </w:t>
      </w:r>
      <w:r w:rsidRPr="00FA544E">
        <w:rPr>
          <w:sz w:val="24"/>
          <w:lang w:val="da-DK"/>
        </w:rPr>
        <w:tab/>
        <w:t xml:space="preserve">EUT L </w:t>
      </w:r>
      <w:r w:rsidRPr="007B5ED3">
        <w:rPr>
          <w:sz w:val="24"/>
          <w:lang w:val="da-DK"/>
        </w:rPr>
        <w:t>207</w:t>
      </w:r>
      <w:r w:rsidRPr="00FA544E">
        <w:rPr>
          <w:sz w:val="24"/>
          <w:lang w:val="da-DK"/>
        </w:rPr>
        <w:t xml:space="preserve"> af </w:t>
      </w:r>
      <w:r w:rsidRPr="007B5ED3">
        <w:rPr>
          <w:sz w:val="24"/>
          <w:lang w:val="da-DK"/>
        </w:rPr>
        <w:t>11</w:t>
      </w:r>
      <w:r w:rsidRPr="00FA544E">
        <w:rPr>
          <w:sz w:val="24"/>
          <w:lang w:val="da-DK"/>
        </w:rPr>
        <w:t>.</w:t>
      </w:r>
      <w:r w:rsidRPr="007B5ED3">
        <w:rPr>
          <w:sz w:val="24"/>
          <w:lang w:val="da-DK"/>
        </w:rPr>
        <w:t>6</w:t>
      </w:r>
      <w:r w:rsidRPr="00FA544E">
        <w:rPr>
          <w:sz w:val="24"/>
          <w:lang w:val="da-DK"/>
        </w:rPr>
        <w:t>.</w:t>
      </w:r>
      <w:r w:rsidRPr="007B5ED3">
        <w:rPr>
          <w:sz w:val="24"/>
          <w:lang w:val="da-DK"/>
        </w:rPr>
        <w:t>2021</w:t>
      </w:r>
      <w:r w:rsidRPr="00FA544E">
        <w:rPr>
          <w:sz w:val="24"/>
          <w:lang w:val="da-DK"/>
        </w:rPr>
        <w:t xml:space="preserve">, s. </w:t>
      </w:r>
      <w:r w:rsidRPr="007B5ED3">
        <w:rPr>
          <w:sz w:val="24"/>
          <w:lang w:val="da-DK"/>
        </w:rPr>
        <w:t>1</w:t>
      </w:r>
      <w:r w:rsidRPr="00FA544E">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B0" w:rsidRPr="00FA544E" w:rsidRDefault="000A28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B0" w:rsidRPr="00FA544E" w:rsidRDefault="000A28B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B0" w:rsidRPr="00FA544E" w:rsidRDefault="000A2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DA"/>
    <w:docVar w:name="dvnumam" w:val="0"/>
    <w:docVar w:name="dvpe" w:val="753.483"/>
    <w:docVar w:name="dvrapporteur" w:val="Ordfører: "/>
    <w:docVar w:name="dvtitre" w:val="1. Europa-Parlamentets afgørelse af 11. april 2024 om decharge for gennemførelsen af Den Europæiske Unions almindelige budget for regnskabsåret 2022, Sektion VI - Det Europæiske Økonomiske og Sociale Udvalg(2023/2135(DEC))"/>
  </w:docVars>
  <w:rsids>
    <w:rsidRoot w:val="000C627A"/>
    <w:rsid w:val="00002272"/>
    <w:rsid w:val="00064002"/>
    <w:rsid w:val="000677B9"/>
    <w:rsid w:val="000831BA"/>
    <w:rsid w:val="000A28B0"/>
    <w:rsid w:val="000A42CC"/>
    <w:rsid w:val="000C627A"/>
    <w:rsid w:val="000E7DD9"/>
    <w:rsid w:val="0010095E"/>
    <w:rsid w:val="00125B37"/>
    <w:rsid w:val="00187494"/>
    <w:rsid w:val="001C5EDB"/>
    <w:rsid w:val="001F32AE"/>
    <w:rsid w:val="002767FF"/>
    <w:rsid w:val="002B18FE"/>
    <w:rsid w:val="002B5493"/>
    <w:rsid w:val="00343214"/>
    <w:rsid w:val="00361C00"/>
    <w:rsid w:val="00375BD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BDB"/>
    <w:rsid w:val="005C2568"/>
    <w:rsid w:val="006037C0"/>
    <w:rsid w:val="006631B6"/>
    <w:rsid w:val="00680577"/>
    <w:rsid w:val="006F74FA"/>
    <w:rsid w:val="0070038F"/>
    <w:rsid w:val="00731ADD"/>
    <w:rsid w:val="00734777"/>
    <w:rsid w:val="00747932"/>
    <w:rsid w:val="00751A4A"/>
    <w:rsid w:val="00756632"/>
    <w:rsid w:val="00762C74"/>
    <w:rsid w:val="00786EC0"/>
    <w:rsid w:val="007B5ED3"/>
    <w:rsid w:val="007D1690"/>
    <w:rsid w:val="007E22AD"/>
    <w:rsid w:val="00817416"/>
    <w:rsid w:val="00842779"/>
    <w:rsid w:val="00865F67"/>
    <w:rsid w:val="00881A7B"/>
    <w:rsid w:val="008840E5"/>
    <w:rsid w:val="00887B3E"/>
    <w:rsid w:val="00895C1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742"/>
    <w:rsid w:val="00B12E95"/>
    <w:rsid w:val="00B22876"/>
    <w:rsid w:val="00B558F0"/>
    <w:rsid w:val="00BD48FE"/>
    <w:rsid w:val="00BD7BD8"/>
    <w:rsid w:val="00BE6ADC"/>
    <w:rsid w:val="00C05BFE"/>
    <w:rsid w:val="00C23CD4"/>
    <w:rsid w:val="00C61C0C"/>
    <w:rsid w:val="00C941CB"/>
    <w:rsid w:val="00CC2357"/>
    <w:rsid w:val="00CF071A"/>
    <w:rsid w:val="00D02A1F"/>
    <w:rsid w:val="00D058B8"/>
    <w:rsid w:val="00D56C11"/>
    <w:rsid w:val="00D834A0"/>
    <w:rsid w:val="00D872DF"/>
    <w:rsid w:val="00D91E21"/>
    <w:rsid w:val="00DA7FCD"/>
    <w:rsid w:val="00E03A6A"/>
    <w:rsid w:val="00E365E1"/>
    <w:rsid w:val="00E820A4"/>
    <w:rsid w:val="00EA171A"/>
    <w:rsid w:val="00EB006A"/>
    <w:rsid w:val="00EB4772"/>
    <w:rsid w:val="00ED169E"/>
    <w:rsid w:val="00ED4235"/>
    <w:rsid w:val="00F04346"/>
    <w:rsid w:val="00F075DC"/>
    <w:rsid w:val="00F149E9"/>
    <w:rsid w:val="00F5134D"/>
    <w:rsid w:val="00F74202"/>
    <w:rsid w:val="00F87713"/>
    <w:rsid w:val="00FA544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032CC"/>
  <w15:chartTrackingRefBased/>
  <w15:docId w15:val="{D0818E9B-15AA-4CB3-8F4A-1DBEFD4B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038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0038F"/>
    <w:pPr>
      <w:spacing w:before="480" w:after="240"/>
    </w:pPr>
  </w:style>
  <w:style w:type="paragraph" w:customStyle="1" w:styleId="PageHeading">
    <w:name w:val="PageHeading"/>
    <w:basedOn w:val="Normal"/>
    <w:rsid w:val="0070038F"/>
    <w:pPr>
      <w:keepNext/>
      <w:spacing w:after="480"/>
      <w:jc w:val="center"/>
    </w:pPr>
    <w:rPr>
      <w:rFonts w:ascii="Arial" w:hAnsi="Arial" w:cs="Arial"/>
      <w:b/>
    </w:rPr>
  </w:style>
  <w:style w:type="paragraph" w:customStyle="1" w:styleId="NormalBold">
    <w:name w:val="NormalBold"/>
    <w:basedOn w:val="Normal"/>
    <w:rsid w:val="0070038F"/>
    <w:rPr>
      <w:b/>
    </w:rPr>
  </w:style>
  <w:style w:type="paragraph" w:customStyle="1" w:styleId="NormalHanging12a">
    <w:name w:val="NormalHanging12a"/>
    <w:basedOn w:val="Normal"/>
    <w:link w:val="NormalHanging12aChar"/>
    <w:qFormat/>
    <w:rsid w:val="0070038F"/>
    <w:pPr>
      <w:spacing w:after="240"/>
      <w:ind w:left="567" w:hanging="567"/>
    </w:pPr>
    <w:rPr>
      <w:szCs w:val="24"/>
    </w:rPr>
  </w:style>
  <w:style w:type="paragraph" w:styleId="Header">
    <w:name w:val="header"/>
    <w:basedOn w:val="Normal"/>
    <w:link w:val="HeaderChar"/>
    <w:rsid w:val="0070038F"/>
    <w:pPr>
      <w:tabs>
        <w:tab w:val="center" w:pos="4513"/>
        <w:tab w:val="right" w:pos="9026"/>
      </w:tabs>
    </w:pPr>
  </w:style>
  <w:style w:type="character" w:customStyle="1" w:styleId="HeaderChar">
    <w:name w:val="Header Char"/>
    <w:basedOn w:val="DefaultParagraphFont"/>
    <w:link w:val="Header"/>
    <w:rsid w:val="0070038F"/>
    <w:rPr>
      <w:sz w:val="24"/>
      <w:lang w:val="da-DK"/>
    </w:rPr>
  </w:style>
  <w:style w:type="paragraph" w:customStyle="1" w:styleId="EPFooter">
    <w:name w:val="EPFooter"/>
    <w:basedOn w:val="Normal"/>
    <w:rsid w:val="0070038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0038F"/>
    <w:rPr>
      <w:sz w:val="24"/>
      <w:szCs w:val="24"/>
      <w:lang w:val="da-DK"/>
    </w:rPr>
  </w:style>
  <w:style w:type="paragraph" w:styleId="Footer">
    <w:name w:val="footer"/>
    <w:basedOn w:val="Normal"/>
    <w:link w:val="FooterChar"/>
    <w:rsid w:val="00B07742"/>
    <w:pPr>
      <w:tabs>
        <w:tab w:val="center" w:pos="4513"/>
        <w:tab w:val="right" w:pos="9026"/>
      </w:tabs>
    </w:pPr>
  </w:style>
  <w:style w:type="character" w:customStyle="1" w:styleId="FooterChar">
    <w:name w:val="Footer Char"/>
    <w:basedOn w:val="DefaultParagraphFont"/>
    <w:link w:val="Footer"/>
    <w:rsid w:val="00B07742"/>
    <w:rPr>
      <w:sz w:val="24"/>
      <w:lang w:val="da-DK"/>
    </w:rPr>
  </w:style>
  <w:style w:type="paragraph" w:styleId="BalloonText">
    <w:name w:val="Balloon Text"/>
    <w:basedOn w:val="Normal"/>
    <w:link w:val="BalloonTextChar"/>
    <w:rsid w:val="00D02A1F"/>
    <w:rPr>
      <w:rFonts w:ascii="Segoe UI" w:hAnsi="Segoe UI" w:cs="Segoe UI"/>
      <w:sz w:val="18"/>
      <w:szCs w:val="18"/>
    </w:rPr>
  </w:style>
  <w:style w:type="character" w:customStyle="1" w:styleId="BalloonTextChar">
    <w:name w:val="Balloon Text Char"/>
    <w:basedOn w:val="DefaultParagraphFont"/>
    <w:link w:val="BalloonText"/>
    <w:rsid w:val="00D02A1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A6660-1FCB-4993-9D90-9D9EA97F1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6342</Words>
  <Characters>38425</Characters>
  <Application>Microsoft Office Word</Application>
  <DocSecurity>0</DocSecurity>
  <Lines>320</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2024-05-21T13:58:00Z</dcterms:created>
  <dcterms:modified xsi:type="dcterms:W3CDTF">2024-05-21T13:58:00Z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P9_TA(2024)0232_</vt:lpwstr>
  </property>
  <property fmtid="{D5CDD505-2E9C-101B-9397-08002B2CF9AE}" pid="4" name="&lt;Type&gt;">
    <vt:lpwstr>RR</vt:lpwstr>
  </property>
</Properties>
</file>