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47E5" w:rsidTr="0010095E">
        <w:trPr>
          <w:trHeight w:hRule="exact" w:val="1418"/>
        </w:trPr>
        <w:tc>
          <w:tcPr>
            <w:tcW w:w="6804" w:type="dxa"/>
            <w:shd w:val="clear" w:color="auto" w:fill="auto"/>
            <w:vAlign w:val="center"/>
          </w:tcPr>
          <w:p w:rsidR="00751A4A" w:rsidRPr="009F47E5" w:rsidRDefault="00ED2BB2" w:rsidP="0010095E">
            <w:pPr>
              <w:pStyle w:val="EPName"/>
            </w:pPr>
            <w:r w:rsidRPr="009F47E5">
              <w:t>Euroopan parlamentti</w:t>
            </w:r>
          </w:p>
          <w:p w:rsidR="00751A4A" w:rsidRPr="009F47E5" w:rsidRDefault="00817416" w:rsidP="00756632">
            <w:pPr>
              <w:pStyle w:val="EPTerm"/>
              <w:rPr>
                <w:rStyle w:val="HideTWBExt"/>
                <w:noProof w:val="0"/>
                <w:vanish w:val="0"/>
                <w:color w:val="auto"/>
              </w:rPr>
            </w:pPr>
            <w:r w:rsidRPr="009F47E5">
              <w:t>2019-2024</w:t>
            </w:r>
          </w:p>
        </w:tc>
        <w:tc>
          <w:tcPr>
            <w:tcW w:w="2268" w:type="dxa"/>
            <w:shd w:val="clear" w:color="auto" w:fill="auto"/>
          </w:tcPr>
          <w:p w:rsidR="00751A4A" w:rsidRPr="009F47E5" w:rsidRDefault="00187494" w:rsidP="0010095E">
            <w:pPr>
              <w:pStyle w:val="EPLogo"/>
            </w:pPr>
            <w:r w:rsidRPr="009F47E5">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F47E5" w:rsidRDefault="00D058B8" w:rsidP="004C5D52">
      <w:pPr>
        <w:pStyle w:val="LineTop"/>
      </w:pPr>
    </w:p>
    <w:p w:rsidR="00680577" w:rsidRPr="009F47E5" w:rsidRDefault="00ED2BB2" w:rsidP="00680577">
      <w:pPr>
        <w:pStyle w:val="EPBodyTA1"/>
      </w:pPr>
      <w:r w:rsidRPr="009F47E5">
        <w:t>HYVÄKSYTYT TEKSTIT</w:t>
      </w:r>
    </w:p>
    <w:p w:rsidR="00D058B8" w:rsidRPr="009F47E5" w:rsidRDefault="00D058B8" w:rsidP="00D058B8">
      <w:pPr>
        <w:pStyle w:val="LineBottom"/>
      </w:pPr>
    </w:p>
    <w:p w:rsidR="00ED2BB2" w:rsidRPr="009F47E5" w:rsidRDefault="00ED2BB2" w:rsidP="00ED2BB2">
      <w:pPr>
        <w:pStyle w:val="ATHeading1"/>
      </w:pPr>
      <w:bookmarkStart w:id="0" w:name="TANumber"/>
      <w:r w:rsidRPr="009F47E5">
        <w:t>P9_</w:t>
      </w:r>
      <w:proofErr w:type="gramStart"/>
      <w:r w:rsidRPr="009F47E5">
        <w:t>TA(</w:t>
      </w:r>
      <w:proofErr w:type="gramEnd"/>
      <w:r w:rsidRPr="009F47E5">
        <w:t>2024)0</w:t>
      </w:r>
      <w:r w:rsidR="0064246C" w:rsidRPr="009F47E5">
        <w:t>232</w:t>
      </w:r>
      <w:bookmarkEnd w:id="0"/>
    </w:p>
    <w:p w:rsidR="00ED2BB2" w:rsidRPr="009F47E5" w:rsidRDefault="00642B42" w:rsidP="00ED2BB2">
      <w:pPr>
        <w:pStyle w:val="ATHeading2"/>
      </w:pPr>
      <w:bookmarkStart w:id="1" w:name="title"/>
      <w:r w:rsidRPr="009F47E5">
        <w:rPr>
          <w:bCs/>
        </w:rPr>
        <w:t>Vastuuvapaus 2022: EU:n yleinen talousarvio – Euroopan talous- ja sosiaalikomite</w:t>
      </w:r>
      <w:bookmarkEnd w:id="1"/>
      <w:r w:rsidRPr="009F47E5">
        <w:rPr>
          <w:bCs/>
        </w:rPr>
        <w:t>a</w:t>
      </w:r>
    </w:p>
    <w:p w:rsidR="00ED2BB2" w:rsidRPr="009F47E5" w:rsidRDefault="00ED2BB2" w:rsidP="00ED2BB2">
      <w:pPr>
        <w:rPr>
          <w:i/>
          <w:vanish/>
        </w:rPr>
      </w:pPr>
      <w:r w:rsidRPr="009F47E5">
        <w:rPr>
          <w:i/>
        </w:rPr>
        <w:fldChar w:fldCharType="begin"/>
      </w:r>
      <w:r w:rsidRPr="009F47E5">
        <w:rPr>
          <w:i/>
        </w:rPr>
        <w:instrText xml:space="preserve"> TC"(</w:instrText>
      </w:r>
      <w:bookmarkStart w:id="2" w:name="DocNumber"/>
      <w:r w:rsidRPr="009F47E5">
        <w:rPr>
          <w:i/>
        </w:rPr>
        <w:instrText>A9-0072/2024</w:instrText>
      </w:r>
      <w:bookmarkEnd w:id="2"/>
      <w:r w:rsidRPr="009F47E5">
        <w:rPr>
          <w:i/>
        </w:rPr>
        <w:instrText xml:space="preserve"> - Esittelijä: Luke Ming Flanagan)"\l3 \n&gt; \* MERGEFORMAT </w:instrText>
      </w:r>
      <w:r w:rsidRPr="009F47E5">
        <w:rPr>
          <w:i/>
        </w:rPr>
        <w:fldChar w:fldCharType="end"/>
      </w:r>
    </w:p>
    <w:p w:rsidR="00ED2BB2" w:rsidRPr="009F47E5" w:rsidRDefault="00ED2BB2" w:rsidP="00ED2BB2">
      <w:pPr>
        <w:rPr>
          <w:vanish/>
        </w:rPr>
      </w:pPr>
      <w:bookmarkStart w:id="3" w:name="Commission"/>
      <w:r w:rsidRPr="009F47E5">
        <w:rPr>
          <w:vanish/>
        </w:rPr>
        <w:t>Talousarvion valvontavaliokunta</w:t>
      </w:r>
      <w:bookmarkEnd w:id="3"/>
    </w:p>
    <w:p w:rsidR="00ED2BB2" w:rsidRPr="009F47E5" w:rsidRDefault="00ED2BB2" w:rsidP="00ED2BB2">
      <w:pPr>
        <w:rPr>
          <w:vanish/>
        </w:rPr>
      </w:pPr>
      <w:bookmarkStart w:id="4" w:name="PE"/>
      <w:r w:rsidRPr="009F47E5">
        <w:rPr>
          <w:vanish/>
        </w:rPr>
        <w:t>PE753.483</w:t>
      </w:r>
      <w:bookmarkEnd w:id="4"/>
    </w:p>
    <w:p w:rsidR="00ED2BB2" w:rsidRPr="009F47E5" w:rsidRDefault="00642B42" w:rsidP="00ED2BB2">
      <w:pPr>
        <w:pStyle w:val="ATHeading3"/>
      </w:pPr>
      <w:bookmarkStart w:id="5" w:name="Sujet"/>
      <w:r w:rsidRPr="009F47E5">
        <w:t>1. E</w:t>
      </w:r>
      <w:r w:rsidR="00ED2BB2" w:rsidRPr="009F47E5">
        <w:t xml:space="preserve">uroopan parlamentin päätös </w:t>
      </w:r>
      <w:r w:rsidRPr="009F47E5">
        <w:t>11</w:t>
      </w:r>
      <w:r w:rsidR="00ED2BB2" w:rsidRPr="009F47E5">
        <w:t>. huhtikuuta 2024 vastuuvapauden myöntämisestä Euroopan unionin yleisen talousarvion toteuttamisesta varainhoitovuonna 2022, pääluokka VI – Talous- ja sosiaalikomitea</w:t>
      </w:r>
      <w:bookmarkEnd w:id="5"/>
      <w:r w:rsidR="00ED2BB2" w:rsidRPr="009F47E5">
        <w:t xml:space="preserve"> </w:t>
      </w:r>
      <w:bookmarkStart w:id="6" w:name="References"/>
      <w:r w:rsidR="00ED2BB2" w:rsidRPr="009F47E5">
        <w:t>(2023/2135(DEC))</w:t>
      </w:r>
      <w:bookmarkEnd w:id="6"/>
    </w:p>
    <w:p w:rsidR="00D175FA" w:rsidRPr="009F47E5" w:rsidRDefault="00D175FA" w:rsidP="00CC2452">
      <w:pPr>
        <w:pStyle w:val="EPComma"/>
        <w:widowControl/>
        <w:rPr>
          <w:szCs w:val="24"/>
        </w:rPr>
      </w:pPr>
      <w:bookmarkStart w:id="7" w:name="TextBodyBegin"/>
      <w:bookmarkEnd w:id="7"/>
      <w:r w:rsidRPr="009F47E5">
        <w:rPr>
          <w:i/>
          <w:iCs/>
        </w:rPr>
        <w:t>Euroopan parlamentti</w:t>
      </w:r>
      <w:r w:rsidRPr="009F47E5">
        <w:t>, joka</w:t>
      </w:r>
    </w:p>
    <w:p w:rsidR="00D175FA" w:rsidRPr="009F47E5" w:rsidRDefault="00D175FA" w:rsidP="00CC2452">
      <w:pPr>
        <w:pStyle w:val="NormalHanging12a"/>
        <w:widowControl/>
      </w:pPr>
      <w:r w:rsidRPr="009F47E5">
        <w:t>–</w:t>
      </w:r>
      <w:r w:rsidRPr="009F47E5">
        <w:tab/>
        <w:t>ottaa huomioon Euroopan unionin yleisen talousarvion varainhoitovuodeksi 2022</w:t>
      </w:r>
      <w:r w:rsidRPr="009F47E5">
        <w:rPr>
          <w:rStyle w:val="FootnoteReference"/>
        </w:rPr>
        <w:footnoteReference w:id="1"/>
      </w:r>
      <w:r w:rsidRPr="009F47E5">
        <w:t>,</w:t>
      </w:r>
    </w:p>
    <w:p w:rsidR="00D175FA" w:rsidRPr="009F47E5" w:rsidRDefault="00D175FA" w:rsidP="00CC2452">
      <w:pPr>
        <w:pStyle w:val="NormalHanging12a"/>
        <w:widowControl/>
      </w:pPr>
      <w:r w:rsidRPr="009F47E5">
        <w:t>–</w:t>
      </w:r>
      <w:r w:rsidRPr="009F47E5">
        <w:tab/>
        <w:t xml:space="preserve">ottaa huomioon Euroopan unionin </w:t>
      </w:r>
      <w:proofErr w:type="spellStart"/>
      <w:r w:rsidRPr="009F47E5">
        <w:t>konsolidoidun</w:t>
      </w:r>
      <w:proofErr w:type="spellEnd"/>
      <w:r w:rsidRPr="009F47E5">
        <w:t xml:space="preserve"> tilinpäätöksen varainhoitovuodelta 2022 (COM(2023)0391 – C9</w:t>
      </w:r>
      <w:r w:rsidRPr="009F47E5">
        <w:noBreakHyphen/>
        <w:t>0254/2023)</w:t>
      </w:r>
      <w:r w:rsidRPr="009F47E5">
        <w:rPr>
          <w:rStyle w:val="FootnoteReference"/>
        </w:rPr>
        <w:footnoteReference w:id="2"/>
      </w:r>
      <w:r w:rsidRPr="009F47E5">
        <w:t>,</w:t>
      </w:r>
    </w:p>
    <w:p w:rsidR="00D175FA" w:rsidRPr="009F47E5" w:rsidRDefault="00D175FA" w:rsidP="00CC2452">
      <w:pPr>
        <w:pStyle w:val="NormalHanging12a"/>
        <w:widowControl/>
      </w:pPr>
      <w:r w:rsidRPr="009F47E5">
        <w:t>–</w:t>
      </w:r>
      <w:r w:rsidRPr="009F47E5">
        <w:tab/>
        <w:t>ottaa huomioon talous- ja sosiaalikomitean vuotuisen toimintakertomuksen 2022 ja sen vuosikertomuksen vastuuvapauden myöntävälle viranomaiselle vuonna 2022 toimitetuista sisäisistä tarkastuksista,</w:t>
      </w:r>
    </w:p>
    <w:p w:rsidR="00D175FA" w:rsidRPr="009F47E5" w:rsidRDefault="00D175FA" w:rsidP="00CC2452">
      <w:pPr>
        <w:pStyle w:val="NormalHanging12a"/>
        <w:widowControl/>
      </w:pPr>
      <w:r w:rsidRPr="009F47E5">
        <w:t>–</w:t>
      </w:r>
      <w:r w:rsidRPr="009F47E5">
        <w:tab/>
        <w:t>ottaa huomioon tilintarkastustuomioistuimen vuosikertomuksen talousarvion toteuttamisesta varainhoitovuonna 2022 sekä toimielinten vastaukset</w:t>
      </w:r>
      <w:r w:rsidRPr="009F47E5">
        <w:rPr>
          <w:rStyle w:val="FootnoteReference"/>
        </w:rPr>
        <w:footnoteReference w:id="3"/>
      </w:r>
      <w:r w:rsidRPr="009F47E5">
        <w:t>,</w:t>
      </w:r>
    </w:p>
    <w:p w:rsidR="00D175FA" w:rsidRPr="009F47E5" w:rsidRDefault="00D175FA" w:rsidP="00CC2452">
      <w:pPr>
        <w:pStyle w:val="NormalHanging12a"/>
        <w:widowControl/>
      </w:pPr>
      <w:r w:rsidRPr="009F47E5">
        <w:t>–</w:t>
      </w:r>
      <w:r w:rsidRPr="009F47E5">
        <w:tab/>
        <w:t>ottaa huomioon tilintarkastustuomioistuimen Euroopan unionin toiminnasta tehdyn sopimuksen 287 artiklan mukaisesti antaman varainhoitovuotta 2022 koskevan lausuman</w:t>
      </w:r>
      <w:r w:rsidRPr="009F47E5">
        <w:rPr>
          <w:rStyle w:val="FootnoteReference"/>
        </w:rPr>
        <w:footnoteReference w:id="4"/>
      </w:r>
      <w:r w:rsidRPr="009F47E5">
        <w:t xml:space="preserve"> tilien luotettavuudesta sekä tilien perustana olevien toimien laillisuudesta ja asianmukaisuudesta (sääntöjenmukaisuudesta),</w:t>
      </w:r>
    </w:p>
    <w:p w:rsidR="00D175FA" w:rsidRPr="009F47E5" w:rsidRDefault="00D175FA" w:rsidP="00CC2452">
      <w:pPr>
        <w:pStyle w:val="NormalHanging12a"/>
        <w:widowControl/>
      </w:pPr>
      <w:r w:rsidRPr="009F47E5">
        <w:t>–</w:t>
      </w:r>
      <w:r w:rsidRPr="009F47E5">
        <w:tab/>
        <w:t>ottaa huomioon Euroopan unionin toiminnasta tehdyn sopimuksen 314 artiklan 10 kohdan sekä 317, 318 ja 319 artiklan,</w:t>
      </w:r>
    </w:p>
    <w:p w:rsidR="00D175FA" w:rsidRPr="009F47E5" w:rsidRDefault="00D175FA" w:rsidP="00CC2452">
      <w:pPr>
        <w:pStyle w:val="NormalHanging12a"/>
        <w:widowControl/>
      </w:pPr>
      <w:r w:rsidRPr="009F47E5">
        <w:t>–</w:t>
      </w:r>
      <w:r w:rsidRPr="009F47E5">
        <w:tab/>
        <w:t xml:space="preserve">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w:t>
      </w:r>
      <w:r w:rsidRPr="009F47E5">
        <w:lastRenderedPageBreak/>
        <w:t>N:o 966/2012</w:t>
      </w:r>
      <w:r w:rsidRPr="009F47E5">
        <w:rPr>
          <w:rStyle w:val="FootnoteReference"/>
        </w:rPr>
        <w:footnoteReference w:id="5"/>
      </w:r>
      <w:r w:rsidRPr="009F47E5">
        <w:t xml:space="preserve"> kumoamisesta 18. heinäkuuta 2018 annetun Euroopan parlamentin ja neuvoston asetuksen (EU, Euratom) 2018/1046 ja erityisesti sen 59, 118, 260, 261 ja 262 artiklan,</w:t>
      </w:r>
    </w:p>
    <w:p w:rsidR="00D175FA" w:rsidRPr="009F47E5" w:rsidRDefault="00D175FA" w:rsidP="00CC2452">
      <w:pPr>
        <w:pStyle w:val="NormalHanging12a"/>
        <w:widowControl/>
      </w:pPr>
      <w:r w:rsidRPr="009F47E5">
        <w:t>–</w:t>
      </w:r>
      <w:r w:rsidRPr="009F47E5">
        <w:tab/>
        <w:t>ottaa huomioon työjärjestyksen 100 artiklan ja liitteen V,</w:t>
      </w:r>
    </w:p>
    <w:p w:rsidR="00D175FA" w:rsidRPr="009F47E5" w:rsidRDefault="00D175FA" w:rsidP="00CC2452">
      <w:pPr>
        <w:pStyle w:val="NormalHanging12a"/>
        <w:widowControl/>
      </w:pPr>
      <w:r w:rsidRPr="009F47E5">
        <w:t>–</w:t>
      </w:r>
      <w:r w:rsidRPr="009F47E5">
        <w:tab/>
        <w:t>ottaa huomioon talousarvion valvontavaliokunnan mietinnön (A9-0072/2024),</w:t>
      </w:r>
    </w:p>
    <w:p w:rsidR="00D175FA" w:rsidRPr="009F47E5" w:rsidRDefault="00D175FA" w:rsidP="00CC2452">
      <w:pPr>
        <w:pStyle w:val="NormalHanging12a"/>
        <w:widowControl/>
      </w:pPr>
      <w:r w:rsidRPr="009F47E5">
        <w:t>1.</w:t>
      </w:r>
      <w:r w:rsidRPr="009F47E5">
        <w:tab/>
        <w:t>myöntää talous- ja sosiaalikomitean pääsihteerille vastuuvapauden talous- ja sosiaalikomitean talousarvion toteuttamisesta varainhoitovuonna 2022;</w:t>
      </w:r>
    </w:p>
    <w:p w:rsidR="00D175FA" w:rsidRPr="009F47E5" w:rsidRDefault="00D175FA" w:rsidP="00CC2452">
      <w:pPr>
        <w:pStyle w:val="NormalHanging12a"/>
        <w:widowControl/>
      </w:pPr>
      <w:r w:rsidRPr="009F47E5">
        <w:t>2.</w:t>
      </w:r>
      <w:r w:rsidRPr="009F47E5">
        <w:tab/>
        <w:t>esittää huomautuksensa oheisessa päätöslauselmassa;</w:t>
      </w:r>
    </w:p>
    <w:p w:rsidR="00D175FA" w:rsidRPr="009F47E5" w:rsidRDefault="00D175FA" w:rsidP="00CC2452">
      <w:pPr>
        <w:pStyle w:val="NormalHanging12a"/>
        <w:widowControl/>
      </w:pPr>
      <w:r w:rsidRPr="009F47E5">
        <w:t>3.</w:t>
      </w:r>
      <w:r w:rsidRPr="009F47E5">
        <w:tab/>
        <w:t xml:space="preserve">kehottaa puhemiestä välittämään tämän päätöksen ja siihen erottamattomasti kuuluvan päätöslauselman Euroopan talous- ja sosiaalikomitean pääsihteerille, neuvostolle, komissiolle ja tilintarkastustuomioistuimelle sekä huolehtimaan niiden julkaisemisesta </w:t>
      </w:r>
      <w:r w:rsidRPr="009F47E5">
        <w:rPr>
          <w:i/>
        </w:rPr>
        <w:t>Euroopan unionin v</w:t>
      </w:r>
      <w:r w:rsidR="00CC2452" w:rsidRPr="009F47E5">
        <w:rPr>
          <w:i/>
        </w:rPr>
        <w:t>irallisessa lehdessä</w:t>
      </w:r>
      <w:r w:rsidR="00CC2452" w:rsidRPr="009F47E5">
        <w:t xml:space="preserve"> (L-sarja).</w:t>
      </w:r>
    </w:p>
    <w:p w:rsidR="00D175FA" w:rsidRPr="009F47E5" w:rsidRDefault="00D175FA" w:rsidP="00CC2452">
      <w:pPr>
        <w:pStyle w:val="PageHeading"/>
        <w:widowControl/>
        <w:sectPr w:rsidR="00D175FA" w:rsidRPr="009F47E5" w:rsidSect="006E1F6F">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D175FA" w:rsidRPr="009F47E5" w:rsidRDefault="00642B42" w:rsidP="00E655E2">
      <w:pPr>
        <w:pStyle w:val="ATHeading3"/>
        <w:rPr>
          <w:szCs w:val="24"/>
        </w:rPr>
      </w:pPr>
      <w:r w:rsidRPr="009F47E5">
        <w:lastRenderedPageBreak/>
        <w:t>2. Euroopan parlamentin päätöslauselma 11. huhtikuuta 2024, j</w:t>
      </w:r>
      <w:r w:rsidR="00D175FA" w:rsidRPr="009F47E5">
        <w:t>oka sisältää huomautukset, jotka ovat erottamaton osa päätöstä vastuuvapauden myöntämisestä Euroopan unionin yleisen talousarvion toteuttamisesta varainhoitovuonna 2022, pääluokka VI – Talous- ja sosiaalikomitea</w:t>
      </w:r>
      <w:r w:rsidR="00FD64B7" w:rsidRPr="009F47E5">
        <w:t xml:space="preserve"> </w:t>
      </w:r>
      <w:r w:rsidR="00D175FA" w:rsidRPr="009F47E5">
        <w:t>(2023/2135(DEC))</w:t>
      </w:r>
    </w:p>
    <w:p w:rsidR="00D175FA" w:rsidRPr="009F47E5" w:rsidRDefault="00D175FA" w:rsidP="00CC2452">
      <w:pPr>
        <w:pStyle w:val="EPComma"/>
        <w:widowControl/>
        <w:rPr>
          <w:szCs w:val="24"/>
        </w:rPr>
      </w:pPr>
      <w:r w:rsidRPr="009F47E5">
        <w:rPr>
          <w:i/>
          <w:iCs/>
        </w:rPr>
        <w:t>Euroopan parlamentti</w:t>
      </w:r>
      <w:r w:rsidRPr="009F47E5">
        <w:t>, joka</w:t>
      </w:r>
    </w:p>
    <w:p w:rsidR="00D175FA" w:rsidRPr="009F47E5" w:rsidRDefault="00D175FA" w:rsidP="00CC2452">
      <w:pPr>
        <w:pStyle w:val="NormalHanging12a"/>
        <w:widowControl/>
      </w:pPr>
      <w:r w:rsidRPr="009F47E5">
        <w:t>–</w:t>
      </w:r>
      <w:r w:rsidRPr="009F47E5">
        <w:tab/>
        <w:t>ottaa huomioon päätöksensä vastuuvapauden myöntämisestä Euroopan unionin yleisen talousarvion toteuttamisesta varainhoitovuonna 2022, pääluokka VI – Talous- ja sosiaalikomitea,</w:t>
      </w:r>
    </w:p>
    <w:p w:rsidR="00D175FA" w:rsidRPr="009F47E5" w:rsidRDefault="00D175FA" w:rsidP="00CC2452">
      <w:pPr>
        <w:pStyle w:val="NormalHanging12a"/>
        <w:widowControl/>
      </w:pPr>
      <w:r w:rsidRPr="009F47E5">
        <w:t>–</w:t>
      </w:r>
      <w:r w:rsidRPr="009F47E5">
        <w:tab/>
        <w:t>ottaa huomioon työjärjestyksen 100 artiklan ja liitteen V,</w:t>
      </w:r>
    </w:p>
    <w:p w:rsidR="00D175FA" w:rsidRPr="009F47E5" w:rsidRDefault="00D175FA" w:rsidP="00CC2452">
      <w:pPr>
        <w:pStyle w:val="NormalHanging12a"/>
        <w:widowControl/>
      </w:pPr>
      <w:r w:rsidRPr="009F47E5">
        <w:t>–</w:t>
      </w:r>
      <w:r w:rsidRPr="009F47E5">
        <w:tab/>
        <w:t>ottaa huomioon talousarvion valvontavaliokunnan mietinnön (A9-0072/2024),</w:t>
      </w:r>
    </w:p>
    <w:p w:rsidR="00D175FA" w:rsidRPr="009F47E5" w:rsidRDefault="00D175FA" w:rsidP="00CC2452">
      <w:pPr>
        <w:pStyle w:val="NormalHanging12a"/>
        <w:widowControl/>
      </w:pPr>
      <w:r w:rsidRPr="009F47E5">
        <w:t>A.</w:t>
      </w:r>
      <w:r w:rsidRPr="009F47E5">
        <w:tab/>
        <w:t>haluaa korostaa vastuuvapauden myöntävänä viranomaisena vastuuvapausmenettelyn yhteydessä, että unionin toimielinten demokraattista legitimiteettiä on erityisen tärkeää vahvistaa edelleen lisäämällä avoimuutta ja vastuuvelvollisuutta sekä soveltamalla tulosbudjetoinnin käsitettä ja noudattamalla henkilöresursseja koskevaa hyvää hallintotapaa;</w:t>
      </w:r>
    </w:p>
    <w:p w:rsidR="00D175FA" w:rsidRPr="009F47E5" w:rsidRDefault="00D175FA" w:rsidP="00CC2452">
      <w:pPr>
        <w:pStyle w:val="NormalHanging12a"/>
        <w:widowControl/>
      </w:pPr>
      <w:r w:rsidRPr="009F47E5">
        <w:t>B.</w:t>
      </w:r>
      <w:r w:rsidRPr="009F47E5">
        <w:tab/>
        <w:t>ottaa huomioon, että Euroopan talous- ja sosiaalikomitea, jäljempänä ’komitea’, on unionin neuvoa-antava elin, joka tarjoaa foorumin jäsenvaltioiden järjestäytyneen kansalaisyhteiskunnan erilaisten talouselämän, sosiaalialan ja yhteiskuntaelämän toimijoiden kuulemiselle ja niiden väliselle vuoropuhelulle ja yhteisymmärrykselle;</w:t>
      </w:r>
    </w:p>
    <w:p w:rsidR="00D175FA" w:rsidRPr="009F47E5" w:rsidRDefault="00D175FA" w:rsidP="00CC2452">
      <w:pPr>
        <w:pStyle w:val="NormalHanging12a"/>
        <w:widowControl/>
      </w:pPr>
      <w:r w:rsidRPr="009F47E5">
        <w:t>C.</w:t>
      </w:r>
      <w:r w:rsidRPr="009F47E5">
        <w:tab/>
        <w:t>ottaa huomioon, että komitea osallistuu unionin päätöksentekoprosessiin ja varmistamalla yhteydet unionin politiikkojen sekä taloudellisten ja sosiaalisten olojen ja kansalaisten todellisuuden välillä se pyrkii tavoitteisiinsa, joita ovat parempi lainsäädäntö, alhaalta ylöspäin suuntautuva osallistava demokratia ja unionin arvojen edistäminen;</w:t>
      </w:r>
    </w:p>
    <w:p w:rsidR="00D175FA" w:rsidRPr="009F47E5" w:rsidRDefault="00D175FA" w:rsidP="00CC2452">
      <w:pPr>
        <w:pStyle w:val="NormalHanging12a"/>
        <w:widowControl/>
      </w:pPr>
      <w:r w:rsidRPr="009F47E5">
        <w:t>D.</w:t>
      </w:r>
      <w:r w:rsidRPr="009F47E5">
        <w:tab/>
        <w:t>ottaa huomioon, että tietyissä tapauksissa komission tai neuvoston on kuultava komiteaa, että komitea voi myös antaa lausuntoja omasta aloitteestaan ja että perussopimuksissa on vahvistettu laaja lausuntopyyntöjen ala, jolla parlamentti voi kuulla komiteaa;</w:t>
      </w:r>
    </w:p>
    <w:p w:rsidR="00D175FA" w:rsidRPr="009F47E5" w:rsidRDefault="00D175FA" w:rsidP="00CC2452">
      <w:pPr>
        <w:pStyle w:val="NormalHanging12a"/>
        <w:widowControl/>
      </w:pPr>
      <w:r w:rsidRPr="009F47E5">
        <w:t>E.</w:t>
      </w:r>
      <w:r w:rsidRPr="009F47E5">
        <w:tab/>
        <w:t>ottaa huomioon, että komitean talous- ja budjettiasiain toimikunta on sen valvontaelin, joka valvoo kaikkia talousarviomenettelyjä ja etenkin ennakkoarvioiden laatimista, talousarvion toteuttamista, vuotuista toimintakertomusta, vastuuvapausmenettelyä ja tilintarkastustuomioistuimen vuosikertomuksen johdosta toteutettavia jatkotoimia;</w:t>
      </w:r>
    </w:p>
    <w:p w:rsidR="00D175FA" w:rsidRPr="009F47E5" w:rsidRDefault="00D175FA" w:rsidP="00CC2452">
      <w:pPr>
        <w:pStyle w:val="NormalHanging12a"/>
        <w:widowControl/>
      </w:pPr>
      <w:r w:rsidRPr="009F47E5">
        <w:t>1.</w:t>
      </w:r>
      <w:r w:rsidRPr="009F47E5">
        <w:tab/>
        <w:t>panee merkille, että komitean talousarvio kuuluu monivuotisen rahoituskehyksen otsakkeeseen 7 ”EU:n yleinen hallinto”, jonka kokonaismäärä vuonna 2022 oli 11,6 miljardia euroa eli 5,9 prosenttia unionin talousarviomenoista; toteaa, että vuonna 2022 komitean talousarvio oli 1,31 prosenttia monivuotisen rahoituskehyksen otsakkeesta 7;</w:t>
      </w:r>
    </w:p>
    <w:p w:rsidR="00D175FA" w:rsidRPr="009F47E5" w:rsidRDefault="00D175FA" w:rsidP="00CC2452">
      <w:pPr>
        <w:pStyle w:val="NormalHanging12a"/>
        <w:widowControl/>
      </w:pPr>
      <w:r w:rsidRPr="009F47E5">
        <w:t>2.</w:t>
      </w:r>
      <w:r w:rsidRPr="009F47E5">
        <w:tab/>
        <w:t xml:space="preserve">toteaa, että varainhoitovuotta 2022 koskevassa vuosikertomuksessaan tilintarkastustuomioistuin tarkasti hallinnon alaan kuuluvan 60 tapahtuman otoksen eli saman verran kuin tarkastettiin vuonna 2021; toteaa myös tilintarkastustuomioistuimen </w:t>
      </w:r>
      <w:r w:rsidRPr="009F47E5">
        <w:lastRenderedPageBreak/>
        <w:t>kirjoittavan, että hallintomenoja ovat muun muassa henkilöstömenot ja eläkemenot, joiden osuus hallintomenojen kokonaismäärästä oli vuonna 2022 noin 70 prosenttia, ja lisäksi kiinteistöihin, laitteisiin, energiaan, viestintään ja tietotekniikkaan liittyvät menot ja että sen tarkastukset ovat jo useamman vuoden ajan osoittaneet, että hallintomenoissa riski on yleisesti ottaen alhainen;</w:t>
      </w:r>
    </w:p>
    <w:p w:rsidR="00D175FA" w:rsidRPr="009F47E5" w:rsidRDefault="00D175FA" w:rsidP="00CC2452">
      <w:pPr>
        <w:pStyle w:val="NormalHanging12a"/>
        <w:widowControl/>
      </w:pPr>
      <w:r w:rsidRPr="009F47E5">
        <w:t>3.</w:t>
      </w:r>
      <w:r w:rsidRPr="009F47E5">
        <w:tab/>
        <w:t>toteaa, että osana vuoden 2022 tarkastusta tilintarkastustuomioistuin tutki komitean valvontajärjestelmiä, erityisesti varainhoitoasetuksessa määriteltyjen sisäisen valvonnan standardien, riskienhallinnan ja keskeisten valvontamenettelyjen täytäntöönpanoa, myös maksuihin kohdistettavia ennakko- ja jälkitarkastuksia;</w:t>
      </w:r>
    </w:p>
    <w:p w:rsidR="00D175FA" w:rsidRPr="009F47E5" w:rsidRDefault="00D175FA" w:rsidP="00CC2452">
      <w:pPr>
        <w:pStyle w:val="NormalHanging12a"/>
        <w:widowControl/>
      </w:pPr>
      <w:r w:rsidRPr="009F47E5">
        <w:t>4.</w:t>
      </w:r>
      <w:r w:rsidRPr="009F47E5">
        <w:tab/>
        <w:t xml:space="preserve">panee merkille, että tarkastetuista 60 tapahtumasta 14 (23 prosenttia) sisälsi virheitä mutta että tilintarkastustuomioistuin arvioi </w:t>
      </w:r>
      <w:proofErr w:type="spellStart"/>
      <w:r w:rsidRPr="009F47E5">
        <w:t>kvantifioimiensa</w:t>
      </w:r>
      <w:proofErr w:type="spellEnd"/>
      <w:r w:rsidRPr="009F47E5">
        <w:t xml:space="preserve"> viiden virheen perusteella, että virhetaso on alle olennaisuusrajan;</w:t>
      </w:r>
    </w:p>
    <w:p w:rsidR="00D175FA" w:rsidRPr="009F47E5" w:rsidRDefault="00D175FA" w:rsidP="00CC2452">
      <w:pPr>
        <w:pStyle w:val="NormalHanging12a"/>
        <w:widowControl/>
      </w:pPr>
      <w:r w:rsidRPr="009F47E5">
        <w:t>5.</w:t>
      </w:r>
      <w:r w:rsidRPr="009F47E5">
        <w:tab/>
        <w:t>panee tyytyväisenä merkille, että tilintarkastustuomioistuin toteaa varainhoitovuotta 2022 koskevassa vuosikertomuksessaan, ettei se havainnut komiteaa koskevia erityisiä ongelmia; panee lisäksi merkille, että tilintarkastustuomioistuin katsoi seurantatarkastuksessaan, että komitealle varainhoitovuotta 2019 koskevassa vuosikertomuksessa annettu suositus, joka koski komitean tarvetta laatia erityistä luotettavuutta edellyttäviä tehtäviä koskevat toimintaperiaatteet sisäisen valvonnan standardiensa mukaisesti, oli pantu joltakin osin täytäntöön;</w:t>
      </w:r>
    </w:p>
    <w:p w:rsidR="00D175FA" w:rsidRPr="009F47E5" w:rsidRDefault="00D175FA" w:rsidP="00D210F6">
      <w:pPr>
        <w:pStyle w:val="NormalHanging12a"/>
        <w:keepNext/>
        <w:widowControl/>
        <w:rPr>
          <w:b/>
          <w:i/>
        </w:rPr>
      </w:pPr>
      <w:r w:rsidRPr="009F47E5">
        <w:rPr>
          <w:b/>
          <w:i/>
        </w:rPr>
        <w:t>Talousarvio- ja varainhallinto</w:t>
      </w:r>
    </w:p>
    <w:p w:rsidR="00D175FA" w:rsidRPr="009F47E5" w:rsidRDefault="00D175FA" w:rsidP="00CC2452">
      <w:pPr>
        <w:pStyle w:val="NormalHanging12a"/>
        <w:widowControl/>
      </w:pPr>
      <w:r w:rsidRPr="009F47E5">
        <w:t>6.</w:t>
      </w:r>
      <w:r w:rsidRPr="009F47E5">
        <w:tab/>
        <w:t>panee merkille, että vuonna 2022 komitean lopullinen hyväksytty talousarvio oli 152 451 643 euroa, mikä merkitsee 5,1 prosentin kokonaislisäystä vuoteen 2021 verrattuna; panee merkille, että palkkoja ja palkanlisiä koskevan budjettikohdan määrärahat lisääntyivät 5 prosenttia vuosien 2021 ja 2022 välillä, mikä johtui palkkojen vuotuisesta indeksoinnista; panee merkille, että tilojen kunnostusta koskevan budjettikohdan määrärahat vähenivät 77 prosenttia vuosien 2021 ja 2022 välillä ja palautuivat tavanomaiselle tasolle, kun merkittävät kunnostustyöt oli saatu tehtyä vuonna 2021; panee merkille, että muilta osin määrärahojen jakautuminen budjettikohdittain vuoden 2022 talousarviossa pysyi aiempia vuosia vastaavana;</w:t>
      </w:r>
    </w:p>
    <w:p w:rsidR="00D175FA" w:rsidRPr="009F47E5" w:rsidRDefault="00D175FA" w:rsidP="00CC2452">
      <w:pPr>
        <w:pStyle w:val="NormalHanging12a"/>
        <w:widowControl/>
      </w:pPr>
      <w:r w:rsidRPr="009F47E5">
        <w:t>7.</w:t>
      </w:r>
      <w:r w:rsidRPr="009F47E5">
        <w:tab/>
        <w:t>panee merkille, että vuonna 2022 talousarvion toteutusaste oli 96,12 prosenttia oltuaan kahtena vuonna matalampi covid-19-pandemian ja siihen liittyvien matkustusrajoitusten vuoksi; toteaa, että maksujen toteutusaste noudatti samaa suuntausta ja oli 88,12 prosenttia vuonna 2022;</w:t>
      </w:r>
      <w:bookmarkStart w:id="8" w:name="_GoBack"/>
      <w:bookmarkEnd w:id="8"/>
    </w:p>
    <w:p w:rsidR="00D175FA" w:rsidRPr="009F47E5" w:rsidRDefault="00D175FA" w:rsidP="00CC2452">
      <w:pPr>
        <w:pStyle w:val="NormalHanging12a"/>
        <w:widowControl/>
      </w:pPr>
      <w:r w:rsidRPr="009F47E5">
        <w:t>8.</w:t>
      </w:r>
      <w:r w:rsidRPr="009F47E5">
        <w:tab/>
        <w:t xml:space="preserve">panee merkille, että vuodelle 2022 siirretyt määrärahat olivat </w:t>
      </w:r>
      <w:r w:rsidR="003A5F99" w:rsidRPr="003A5F99">
        <w:t>20 162 518</w:t>
      </w:r>
      <w:r w:rsidRPr="009F47E5">
        <w:t xml:space="preserve"> euroa, eli noin 13 prosenttia vuoden 2022 talousarviosta, mikä oli huomattavasti edellisten vuosien keskiarvoa korkeampi; ymmärtää, että määrärahojen siirto liittyi rakennustöiden lykkäämiseen vuosina 2020 ja 2021;</w:t>
      </w:r>
    </w:p>
    <w:p w:rsidR="00D175FA" w:rsidRPr="009F47E5" w:rsidRDefault="00D175FA" w:rsidP="00CC2452">
      <w:pPr>
        <w:pStyle w:val="NormalHanging12a"/>
        <w:widowControl/>
      </w:pPr>
      <w:r w:rsidRPr="009F47E5">
        <w:t>9.</w:t>
      </w:r>
      <w:r w:rsidRPr="009F47E5">
        <w:tab/>
        <w:t xml:space="preserve">toteaa, että keskimääräinen maksuaika vuonna 2022 oli 18 päivää, mikä merkitsee jyrkkää laskua vuodesta 2019, jolloin se oli 30,19 päivää; panee tyytyväisenä merkille, että samaan aikaan sähköisen laskutuksen käyttö lisääntyi 58,54 prosentista 88,84 prosenttiin vuodesta 2018 vuoteen 2022, mikä oletettavasti lyhensi maksuaikaa kyseisenä ajanjaksona; on tyytyväinen siihen, että komitea muutti käytäntöjään vuonna 2022 käynnistetyssä ja päätetyssä sisäisessä tarkastuksessa annettujen maksuaikoja </w:t>
      </w:r>
      <w:r w:rsidRPr="009F47E5">
        <w:lastRenderedPageBreak/>
        <w:t>koskevien suositusten perusteella, minkä ansiosta maksuviivästysten osuus pieneni noin 10 prosenttiin vuonna 2022;</w:t>
      </w:r>
    </w:p>
    <w:p w:rsidR="00D175FA" w:rsidRPr="009F47E5" w:rsidRDefault="00D175FA" w:rsidP="00CC2452">
      <w:pPr>
        <w:pStyle w:val="NormalHanging12a"/>
        <w:widowControl/>
      </w:pPr>
      <w:r w:rsidRPr="009F47E5">
        <w:t>10.</w:t>
      </w:r>
      <w:r w:rsidRPr="009F47E5">
        <w:tab/>
        <w:t>panee merkille, että vuonna 2022 komitean omat yksiköt käynnistivät 15 neuvottelumenettelyä, joiden arvo oli alle 60 000 euroa ja jotka koskivat lähinnä asiantuntija-apua, tutkimuksia ja logistista tukea; toteaa, että logistiikan alalla hankintamenettelyjen käynnistämisestä vastasivat komitean ja Euroopan alueiden komitean yhteispalvelut;</w:t>
      </w:r>
    </w:p>
    <w:p w:rsidR="00D175FA" w:rsidRPr="009F47E5" w:rsidRDefault="00D175FA" w:rsidP="00CC2452">
      <w:pPr>
        <w:pStyle w:val="NormalHanging12a"/>
        <w:widowControl/>
      </w:pPr>
      <w:r w:rsidRPr="009F47E5">
        <w:t>11.</w:t>
      </w:r>
      <w:r w:rsidRPr="009F47E5">
        <w:tab/>
        <w:t>panee merkille, että vuonna 2022 komitea paransi edelleen työmenetelmiensä kustannustehokkuutta, mikä oli erityisesti hybridityön, rahoitusketjujen täydellisen arvo-osuuksiksi muuttamisen ja pienentyneen energiankulutuksen ansiota; panee lisäksi merkille, että talousarvio- ja hallinnollisia säästöjä saavutettiin toimielinten välisen yhteistyön avulla, erityisesti alueiden komitean kanssa yhteisten palvelujen ansiosta ja ulkoistamalla tietyt henkilöstöasioiden käsittelyyn liittyvät palvelut komissiolle (vuosimaksua vastaan) ja käyttämällä erilaisia tietotekniikka-alustoja talous- ja henkilöstöhallinnossa sekä osallistumalla muiden toimielinten järjestämiin toimielinten välisiin hankintamenettelyihin;</w:t>
      </w:r>
    </w:p>
    <w:p w:rsidR="00D175FA" w:rsidRPr="009F47E5" w:rsidRDefault="00D175FA" w:rsidP="00CC2452">
      <w:pPr>
        <w:pStyle w:val="NormalHanging12a"/>
        <w:widowControl/>
      </w:pPr>
      <w:r w:rsidRPr="009F47E5">
        <w:t>12.</w:t>
      </w:r>
      <w:r w:rsidRPr="009F47E5">
        <w:tab/>
        <w:t>on tietoinen siitä, että neuvosto päättää komitean jäsenten kokouksiin osallistumista koskevista korvauksista ja näiden korvausten määrästä; pitää valitettavana, että covid-19-pandemiaan liittyvien matkustusrajoitusten asteittaisen poistamisen jälkeen neuvosto päätti olla kumoamatta vuonna 2021 tehtyä väliaikaista päätöstä, jolla komitean jäsenille myönnettiin etäkokouksiin osallistumisesta 145 euron korvaus ja joka oli voimassa 25. toukokuuta 2023 asti, jolloin neuvosto hyväksyi uuden päätöksen 145 euron päiväkohtaisesta kiinteämääräisestä korvauksesta kokouksiin osallistumisesta; katsoo, että etäosallistumismahdollisuus on tärkeä väline nykyaikaisille toimielimille, koska se muun muassa vähentää kokouskustannuksia ja mahdollistaa laajemman osallistumisen erityisesti kriisitilanteissa, kuten covid-19-pandemian aikana kävi ilmi; katsoo kuitenkin, että vaikka etäosallistumiskorvausta pienennettiin, yleisön on vaikea ymmärtää sen maksamista, etenkin kun otetaan huomioon komitean jäsenille maksettavan etäkokouspalkkion ero alueiden komitean jäseniin verrattuna; panee merkille, että jäsenen osallistuminen etäkokoukseen tarkistetaan usealla tasolla ennen korvauksen maksamista;</w:t>
      </w:r>
    </w:p>
    <w:p w:rsidR="00D175FA" w:rsidRPr="009F47E5" w:rsidRDefault="00D175FA" w:rsidP="00CC2452">
      <w:pPr>
        <w:pStyle w:val="NormalHanging12a"/>
        <w:widowControl/>
      </w:pPr>
      <w:r w:rsidRPr="009F47E5">
        <w:t>13.</w:t>
      </w:r>
      <w:r w:rsidRPr="009F47E5">
        <w:tab/>
        <w:t xml:space="preserve">toteaa, että Venäjän hyökkäyssota Ukrainaa vastaan aiheutti komitealle talousarviopaineita muun muassa inflaation kiihtymisen ja palkkamukautusten, energiakustannusten merkittävän nousun sekä rakennusmateriaalien ja raaka-aineiden kustannusten muodossa; panee erityisesti merkille, että energiakustannukset nousivat 726 000 eurosta 3 125 000 euroon vuosien 2021 ja 2022 välillä, mikä on 330 prosentin kasvu; panee merkille, että Ukrainan kansalaisyhteiskunnan tukemiseksi toteutetuista </w:t>
      </w:r>
      <w:proofErr w:type="spellStart"/>
      <w:r w:rsidRPr="009F47E5">
        <w:t>ad</w:t>
      </w:r>
      <w:proofErr w:type="spellEnd"/>
      <w:r w:rsidRPr="009F47E5">
        <w:t xml:space="preserve"> hoc -toimista aiheutui suoria ja epäsuoria kustannuksia, kuten käännös- ja tulkkauskulut ukrainaksi ja ukrainasta, ukrainalaisten kansalaisjärjestöjen isännöinti sekä turvallisuuspalvelut ja -koulutus Ukrainaan suuntautuvia virkamatkoja varten;</w:t>
      </w:r>
    </w:p>
    <w:p w:rsidR="00D175FA" w:rsidRPr="009F47E5" w:rsidRDefault="00D175FA" w:rsidP="00CC2452">
      <w:pPr>
        <w:pStyle w:val="NormalHanging12a"/>
        <w:widowControl/>
        <w:rPr>
          <w:b/>
          <w:i/>
        </w:rPr>
      </w:pPr>
      <w:r w:rsidRPr="009F47E5">
        <w:t>14.</w:t>
      </w:r>
      <w:r w:rsidRPr="009F47E5">
        <w:tab/>
        <w:t xml:space="preserve">panee merkille, että vuonna 2022 henkilöstön virkamatkamäärärahat kasvoivat 25 000 euroa vuoteen 2021 verrattuna, ja tämä määrä rahoitettiin määrärahasiirrolla, jolla katettiin kohonneista lentojen ja hotellien hinnoista vuonna 2022 aiheutuneet korkeammat kustannukset, ja että määrärahat olivat yhteensä 398 974 euroa; panee merkille, että vuonna 2022 komitean puheenjohtaja teki 26 virkamatkaa, joista aiheutui 38 042 euron kokonaiskustannukset verrattuna vuoteen 2021, jolloin hän </w:t>
      </w:r>
      <w:r w:rsidRPr="009F47E5">
        <w:lastRenderedPageBreak/>
        <w:t>matkustusrajoitusten poistuttua covid-19-pand</w:t>
      </w:r>
      <w:r w:rsidR="00D210F6" w:rsidRPr="009F47E5">
        <w:t>emian päättymisen myötä teki 12 </w:t>
      </w:r>
      <w:r w:rsidRPr="009F47E5">
        <w:t>virkamatkaa, joiden kustannukset olivat 15 327 euroa;</w:t>
      </w:r>
    </w:p>
    <w:p w:rsidR="00D175FA" w:rsidRPr="009F47E5" w:rsidRDefault="00D175FA" w:rsidP="00D210F6">
      <w:pPr>
        <w:pStyle w:val="NormalHanging12a"/>
        <w:keepNext/>
        <w:widowControl/>
        <w:rPr>
          <w:b/>
          <w:i/>
        </w:rPr>
      </w:pPr>
      <w:r w:rsidRPr="009F47E5">
        <w:rPr>
          <w:b/>
          <w:i/>
        </w:rPr>
        <w:t>Sisäinen hallinto, toiminnan tuloksellisuus ja sisäinen valvonta</w:t>
      </w:r>
    </w:p>
    <w:p w:rsidR="00D175FA" w:rsidRPr="009F47E5" w:rsidRDefault="00D175FA" w:rsidP="00CC2452">
      <w:pPr>
        <w:pStyle w:val="NormalHanging12a"/>
        <w:widowControl/>
      </w:pPr>
      <w:r w:rsidRPr="009F47E5">
        <w:t>15.</w:t>
      </w:r>
      <w:r w:rsidRPr="009F47E5">
        <w:tab/>
        <w:t>panee merkille, että komitea hoitaa tehtäväänsä antamalla lausuntoja, jotka koskevat komission tekemiä lainsäädäntöehdotuksia (lausuntopyynnöt), ja oma-aloitteisia lausuntoja, joissa kehotetaan unionin toimielimiä toimimaan, sekä valmistelevia lausuntoja, joita komissio hyödyntää työstäessään suunniteltuja aloitteita, ja että komitean kantoja voidaan tuoda esiin päätöslauselmissa tai sisällyttää arviointikertomuksiin ja tiedonantoihin; panee merkille, että vuonna 2022 komitea hyväksyi 202 lausuntoa ja raporttia, mikä vastaa sen keskimääräistä vuositulosta, kun ei oteta huomioon vuosia 2019 ja 2020, jolloin komitean toiminta oli vähäisempää; panee merkille, että komitea myös tehosti osallistumistaan poliittiseen ja lainsäädäntösykliin osallistumalla 345:een korkean tason kansalliseen, unionin tason ja kansainväliseen kokoukseen, huippukokoukseen ja konferenssiin, j</w:t>
      </w:r>
      <w:r w:rsidR="00D210F6" w:rsidRPr="009F47E5">
        <w:t>a järjesti 116 kuulemista ja 29 </w:t>
      </w:r>
      <w:r w:rsidRPr="009F47E5">
        <w:t>konferenssia;</w:t>
      </w:r>
    </w:p>
    <w:p w:rsidR="00D175FA" w:rsidRPr="009F47E5" w:rsidRDefault="00D175FA" w:rsidP="00CC2452">
      <w:pPr>
        <w:pStyle w:val="NormalHanging12a"/>
        <w:widowControl/>
      </w:pPr>
      <w:r w:rsidRPr="009F47E5">
        <w:t>16.</w:t>
      </w:r>
      <w:r w:rsidRPr="009F47E5">
        <w:tab/>
        <w:t>panee tyytyväisenä merkille vuonna 2022 lisälausuntojen osalta käynnistetyt hankkeet, joilla pyrittiin lisäämään valikoitujen lausuntojen tavoittavuutta ja vaikuttavuutta ja parantamaan komitean valmiuksia priorisoida työtään ja sen lausuntojen oikea-aikaisuutta; toteaa, että näitä aloitteita täydennettiin vuoden 2022 lopussa ottamalla huomioon lausuntojen muoto, millä pyrittiin edistämään komitean lausuntojen vaikuttavampaa ja tehokkaampaa hyödyntämistä lainsäädäntöön liittyvässä päätöksenteossa;</w:t>
      </w:r>
    </w:p>
    <w:p w:rsidR="00D175FA" w:rsidRPr="009F47E5" w:rsidRDefault="00D175FA" w:rsidP="00CC2452">
      <w:pPr>
        <w:pStyle w:val="NormalHanging12a"/>
        <w:widowControl/>
      </w:pPr>
      <w:r w:rsidRPr="009F47E5">
        <w:t>17.</w:t>
      </w:r>
      <w:r w:rsidRPr="009F47E5">
        <w:tab/>
        <w:t>panee merkille, että parlamentin jäsenet osallistuivat vuonna 2022 komitean järjestämiin kokouksiin tai tapahtumiin 68 kertaa, eli osallistuminen pysyi samalla tasolla kuin vuonna 2021, kun taas komitean jäsenten osallistuminen parlamentin tapahtumiin lähes kaksinkertaistui vastaavana ajanjaksona; panee tyytyväisenä merkille, että vuonna 2022 komitea keskittyi tiivistämään suhteitaan parlamenttiin ja parantamaan komitean tarjoamaa lisäarvoa, mikä edisti entistä tiiviimpiä yhteyksiä komitean jaostojen ja parlamentin valiokuntien välillä;</w:t>
      </w:r>
    </w:p>
    <w:p w:rsidR="00D175FA" w:rsidRPr="009F47E5" w:rsidRDefault="00D175FA" w:rsidP="00CC2452">
      <w:pPr>
        <w:pStyle w:val="NormalHanging12a"/>
        <w:widowControl/>
      </w:pPr>
      <w:r w:rsidRPr="009F47E5">
        <w:t>18.</w:t>
      </w:r>
      <w:r w:rsidRPr="009F47E5">
        <w:tab/>
        <w:t>panee merkille komitean laajan osallistumisen erilaisiin aloitteisiin, kuten keskeisiin tapahtumiin ja vuotuisiin konferensseihin, pitääkseen yhteyttä eurooppalaisiin sidosryhmiin; panee tyytyväisenä merkille komitean pyrkimykset lisätä nuorten osallistumista päätöksentekoon;</w:t>
      </w:r>
    </w:p>
    <w:p w:rsidR="00D175FA" w:rsidRPr="009F47E5" w:rsidRDefault="00D175FA" w:rsidP="00CC2452">
      <w:pPr>
        <w:pStyle w:val="NormalHanging12a"/>
        <w:widowControl/>
      </w:pPr>
      <w:r w:rsidRPr="009F47E5">
        <w:t>19.</w:t>
      </w:r>
      <w:r w:rsidRPr="009F47E5">
        <w:tab/>
        <w:t xml:space="preserve">panee merkille, että komitea jatkoi vuonna 2022 sisäisen tarkastuskehyksensä vahvistamista ja yksinkertaisti rahoitusketjuja kevyen tarkastusmenettelyn mukaisesti joidenkin arvoltaan vähäisten maksutapahtumien osalta sekä kehitti erityistä luotettavuutta edellyttäviä tehtäviä koskevia toimintaperiaatteitaan siten kuin tilintarkastustuomioistuin suositteli varainhoitovuotta 2019 koskevassa vuosikertomuksessaan; panee merkille, että julkaistessaan vuoden 2023 alussa 36 tehtävän päivitetyn luettelon komitea tarkisti edelleen menettelyjä ja riskinhallintajärjestelmää vuoden 2022 aikana toteutetun erityistä luottamuksellisuutta edellyttävien tehtävien luettelon päivityksen pohjalta kiinnittäen huomiota sekä toimielimen kokoon että sen toimintojen luonteeseen; kehottaa komiteaa tiedottamaan vastuuvapauden myöntävälle viranomaiselle siitä, miten erityistä luotettavuutta </w:t>
      </w:r>
      <w:r w:rsidRPr="009F47E5">
        <w:lastRenderedPageBreak/>
        <w:t>edellyttäviin tehtäviin liittyvien menettelyjen täytäntöönpano edistyi vuoden 2023 aikana;</w:t>
      </w:r>
    </w:p>
    <w:p w:rsidR="00D175FA" w:rsidRPr="009F47E5" w:rsidRDefault="00D175FA" w:rsidP="00CC2452">
      <w:pPr>
        <w:pStyle w:val="NormalHanging12a"/>
        <w:widowControl/>
      </w:pPr>
      <w:r w:rsidRPr="009F47E5">
        <w:t>20.</w:t>
      </w:r>
      <w:r w:rsidRPr="009F47E5">
        <w:tab/>
        <w:t>panee tyytyväisenä merkille komitean pyrkimykset perustaa paremmin määritelty ja johdonmukaisempi tarkastuskehys saattamalla päätökseen sisäisen tarkastuksen toimintaohje ja tarkastusvaliokunnan johtosääntö, joihin kuuluvat menettelysäännöt, jotka tarkastusvaliokunta hyväksyi joulukuussa 2022 ja työvaliokunta vuoden 2023 alussa; panee tyytyväisenä merkille, että komitean sisäisen tarkastuksen toimintoa vahvistettiin vuonna 2022 erityisesti ottamalla palvelukseen hallintovirkamies sisäisen tarkastuksen yksikköön ja tekemällä tiivistä yhteistyötä alueiden komitean sisäisen tarkastajan kanssa kaikissa yhteisten palvelujen tarkastukseen liittyvissä asioissa; panee merkille, että vuonna 2022 käynnistettiin neljä tarkastusta, jotka koskivat maksuviivästyksiä, kokousvaltuutuksia, strategista sykliä ja edustajien valintaa komitean neuvoa-antavaan valiokuntaan ”teollisuuden muutokset”;</w:t>
      </w:r>
    </w:p>
    <w:p w:rsidR="00D175FA" w:rsidRPr="009F47E5" w:rsidRDefault="00D175FA" w:rsidP="00D210F6">
      <w:pPr>
        <w:pStyle w:val="NormalHanging12a"/>
        <w:keepNext/>
        <w:widowControl/>
        <w:rPr>
          <w:b/>
          <w:i/>
        </w:rPr>
      </w:pPr>
      <w:r w:rsidRPr="009F47E5">
        <w:rPr>
          <w:b/>
          <w:i/>
        </w:rPr>
        <w:t>Henkilöresurssit, tasa-arvo ja henkilöstön hyvinvointi</w:t>
      </w:r>
    </w:p>
    <w:p w:rsidR="00D175FA" w:rsidRPr="009F47E5" w:rsidRDefault="00D175FA" w:rsidP="00CC2452">
      <w:pPr>
        <w:pStyle w:val="NormalHanging12a"/>
        <w:widowControl/>
      </w:pPr>
      <w:r w:rsidRPr="009F47E5">
        <w:t>21.</w:t>
      </w:r>
      <w:r w:rsidRPr="009F47E5">
        <w:tab/>
        <w:t>panee merkille, että vuoden 2022 lopussa komitean palveluksessa oli yhteensä 706 työntekijää, kun vuonna 2021 heitä oli 699; panee merkille, että vuoden 2022 lopussa komiteassa oli 50 sopimussuhteista toimihenkilöä ja 128 väliaikaista toimihenkilöä (missä on kasvua vuoteen 2021 verrattuna, jolloin sopimussuhteisia toimihenkilöitä oli 46 ja väliaikaisia toimihenkilöitä 107), joista 19 sopimussuhteisella toimihenkilöllä ja kolmella väliaikaisella sopimushenkilöllä oli toistaiseksi voimassa oleva sopimus; panee lisäksi merkille, että komiteassa oli 12 tilapäistä työntekijää ja seitsemän ulkoiseen henkilöstöön kuuluvaa paikan päällä työskentelevää henkilöä, lukuun ottamatta ulkoisia palveluntarjoajia logistiikan ja tietotekniikan aloilla; panee merkille, että vuonna 2022 henkilöstötaulukkoon sisältyvien virkojen/toimien täyttöaste oli 95,1 prosenttia;</w:t>
      </w:r>
    </w:p>
    <w:p w:rsidR="00D175FA" w:rsidRPr="009F47E5" w:rsidRDefault="00D175FA" w:rsidP="00CC2452">
      <w:pPr>
        <w:pStyle w:val="NormalHanging12a"/>
        <w:widowControl/>
      </w:pPr>
      <w:r w:rsidRPr="009F47E5">
        <w:t>22.</w:t>
      </w:r>
      <w:r w:rsidRPr="009F47E5">
        <w:tab/>
        <w:t>pitää myönteisenä komitean jatkuvia pyrkimyksiä parantaa henkilöstöhallinnon kehystään, jotta siitä tulisi houkutteleva työnantaja ja se tarjoaisi täysin osallistavan työympäristön, jossa jokaista yksilöä arvostetaan ja jokainen voi kehittää potentiaaliaan täysimääräisesti; panee merkille, että kesäkuussa 2022 hyväksytty yhdistetty henkilöstöhallintostrategia nivoutuu osallisuuden, jatkuvuuden, osaamisen ja tulosten periaatteisiin; panee tyytyväisenä merkille, että yhtenä ensimmäisistä seurantatoimista komitea käynnisti tammikuussa 2023 henkilöstön tyytyväisyyskyselyn, jossa keskityttiin henkilöstön osallistumiseen;</w:t>
      </w:r>
    </w:p>
    <w:p w:rsidR="00D175FA" w:rsidRPr="009F47E5" w:rsidRDefault="00D175FA" w:rsidP="00CC2452">
      <w:pPr>
        <w:pStyle w:val="NormalHanging12a"/>
        <w:widowControl/>
      </w:pPr>
      <w:r w:rsidRPr="009F47E5">
        <w:t>23.</w:t>
      </w:r>
      <w:r w:rsidRPr="009F47E5">
        <w:tab/>
        <w:t>korostaa, että tulokkaiden perehdyttäminen on keskeinen tekijä strategisessa yhteensovittamisessa, jolla varmistetaan, että henkilöstö on tietoinen toimielimessä käytössä olevista säännöistä ja strategioista; panee merkille, että komitean uusille tulokkaille tarkoitetut perehdytyskoulutukset otettiin uudestaan käyttöön huhtikuussa 2022; panee tyytyväisenä merkille, että komitea kehitti mentorointiohjelman, jossa mentoreille annettiin tukea ja neuvoja vaihtamalla parhaita käytäntöjä siitä, miten heidän menetelmänsä voidaan mukauttaa hybridityöympäristöön;</w:t>
      </w:r>
    </w:p>
    <w:p w:rsidR="00D175FA" w:rsidRPr="009F47E5" w:rsidRDefault="00D175FA" w:rsidP="00CC2452">
      <w:pPr>
        <w:pStyle w:val="NormalHanging12a"/>
        <w:widowControl/>
      </w:pPr>
      <w:r w:rsidRPr="009F47E5">
        <w:t>24.</w:t>
      </w:r>
      <w:r w:rsidRPr="009F47E5">
        <w:tab/>
        <w:t xml:space="preserve">panee merkille, että jakaakseen paremmin niukkoja resursseja komitea tilasi vuonna 2022 ulkopuolisen henkilöstökartoituksen, joka vahvisti useiden eri yksiköiden suuren työtaakan komiteassa, kun otetaan huomioon resurssien niukkuus, joka on seurausta henkilöstötaulukon pienentämisestä vuonna 2013; panee merkille, että komitea alkoi henkilöstökartoitusta koskevan ulkoisen tarkastuksen jatkotoimena valmistella </w:t>
      </w:r>
      <w:r w:rsidRPr="009F47E5">
        <w:lastRenderedPageBreak/>
        <w:t>toimintasuunnitelmaa, johon kuuluu toimia yhdennetyn henkilöstöhallintostrategian alalla, kuten suorituksenarviointijärjestelmän tarkistaminen, sisäisen viestintästrategian kehittäminen, uuden työoloja koskevan päätöksen hyväksyminen ja henkilöstön osallistumisen säännöllisen seurannan järjestäminen; pyytää komiteaa antamaan ajantasaista tietoa henkilöstökartoituksen seurannasta vuonna 2023;</w:t>
      </w:r>
    </w:p>
    <w:p w:rsidR="00D175FA" w:rsidRPr="009F47E5" w:rsidRDefault="00D175FA" w:rsidP="00CC2452">
      <w:pPr>
        <w:pStyle w:val="NormalHanging12a"/>
        <w:widowControl/>
      </w:pPr>
      <w:r w:rsidRPr="009F47E5">
        <w:t>25.</w:t>
      </w:r>
      <w:r w:rsidRPr="009F47E5">
        <w:tab/>
        <w:t>panee tyytyväisenä merkille uuden joustavia työjärjestelyjä koskevan päätöksen, jossa vahvistetaan joustava ja luottamukseen perustuva hybridityökäytäntö, joka tuli voimaan 1. huhtikuuta 2022 pilottihankkeena ja tarjoaa useita erilaisia osa-aikatyömahdollisuuksia ja joustavia päivittäisiä ja viikoittaisia järjestelyjä henkilöstölle; panee merkille, että noin 25 prosenttia komiteassa työskentelevistä naisista ja 14,4 prosenttia miehistä haki ei-vakiomuotoista työjärjestelyä vuonna 2022; panee merkille, että työoloja koskeva päätös antaa henkilöstölle mahdollisuuden tehdä etätöitä enintään 60 prosenttia työajastaan, jos se on yksiköiden edun mukaista, ja tehdä etätöitä asemapaikan ulkopuolella 15 päivää kalenterivuodessa; toteaa, että komitean henkilöstölle annetaan tarvittavat välineet, jotta heillä olisi asianmukaiset etätyöolosuhteet; pitää myönteisenä, että arviointikomitea suoritti henkilöstön tyytyväisyyskyselyn, joka käynnistettiin vuoden 2022 lopulla; panee merkille, että työoloja koskeva lopullinen päätös oli määrä hyväksyä vuoden 2023 lopussa ammattiliittojen, komitean henkilöstökomitean ja oikeudellisen yksikön kanssa käydyn sosiaalisen vuoropuhelun jälkeen; pyytää komiteaa ilmoittamaan hyvissä ajoin vastuuvapauden myöntävälle viranomaiselle tässä asiassa tapahtuvasta kehityksestä;</w:t>
      </w:r>
    </w:p>
    <w:p w:rsidR="00D175FA" w:rsidRPr="009F47E5" w:rsidRDefault="00D175FA" w:rsidP="00CC2452">
      <w:pPr>
        <w:pStyle w:val="NormalHanging12a"/>
        <w:widowControl/>
      </w:pPr>
      <w:r w:rsidRPr="009F47E5">
        <w:t>26.</w:t>
      </w:r>
      <w:r w:rsidRPr="009F47E5">
        <w:tab/>
        <w:t xml:space="preserve">pitää valitettavana, ettei komitea kyennyt myöskään vuonna 2022 tarjoamaan tietoja työuupumustapauksista komiteassa; kunnioittaa tietosuojaan liittyviä rajoituksia mutta muistuttaa komiteaa </w:t>
      </w:r>
      <w:proofErr w:type="spellStart"/>
      <w:r w:rsidRPr="009F47E5">
        <w:t>anonymisoitujen</w:t>
      </w:r>
      <w:proofErr w:type="spellEnd"/>
      <w:r w:rsidRPr="009F47E5">
        <w:t xml:space="preserve"> tilastotietojen tärkeydestä organisaatiossa, jotta ne tukisivat johdon päätöksiä; toteaa jälleen, että tietoisuuden lisäämiseen tähtäävät toimet, työmäärän hallintaan, viestintään ja konfliktinratkaisuun liittyvät hyvät käytännöt sekä </w:t>
      </w:r>
      <w:proofErr w:type="spellStart"/>
      <w:r w:rsidRPr="009F47E5">
        <w:t>työhönpaluuta</w:t>
      </w:r>
      <w:proofErr w:type="spellEnd"/>
      <w:r w:rsidRPr="009F47E5">
        <w:t xml:space="preserve"> koskevat toimintaperiaatteet olisi otettava huomioon; ymmärtää, että uusien työjärjestelyjen käyttöönotto on myönteinen askel kohti tehokkaampaa työuupumuksen ehkäisyä organisaation tasolla, missä pitäisi ottaa huomioon myös henkilöstökartoituksen havainnot ja tulokset;</w:t>
      </w:r>
    </w:p>
    <w:p w:rsidR="00D175FA" w:rsidRPr="009F47E5" w:rsidRDefault="00D175FA" w:rsidP="00CC2452">
      <w:pPr>
        <w:pStyle w:val="NormalHanging12a"/>
        <w:widowControl/>
      </w:pPr>
      <w:r w:rsidRPr="009F47E5">
        <w:t>27.</w:t>
      </w:r>
      <w:r w:rsidRPr="009F47E5">
        <w:tab/>
        <w:t>panee merkille, että vuonna 2022 suuri osuus komitean henkilöstöstä oli edelleen naisia (64,6 prosenttia koko henkilöstöstä), myös keskijohdon tasolla (59 prosenttia kaikista johtajista); panee merkille, että ylemmissä johtotehtävissä on edelleen parannettava naisten edustusta, sillä vain kolme seitsemästä ylemmästä johtajasta oli naisia vuoden 2022 lopussa; kannustaa komiteaa jatkamaan tasa-arvopyrkimyksiään erityisesti lisäämällä nimittävän viranomaisen tietoisuutta ja varmistamalla, että eri elimissä, mukaan lukien henkilöstön rekrytointi- ja valintapaneeleissa, säilyy sukupuolten tasapuolinen edustus;</w:t>
      </w:r>
    </w:p>
    <w:p w:rsidR="00D175FA" w:rsidRPr="009F47E5" w:rsidRDefault="00D175FA" w:rsidP="00CC2452">
      <w:pPr>
        <w:pStyle w:val="NormalHanging12a"/>
        <w:widowControl/>
      </w:pPr>
      <w:r w:rsidRPr="009F47E5">
        <w:t>28.</w:t>
      </w:r>
      <w:r w:rsidRPr="009F47E5">
        <w:tab/>
        <w:t xml:space="preserve">panee tyytyväisenä merkille uusien monimuotoisuutta ja osallisuutta koskevien toimintaperiaatteiden hyväksymisen vuodesta 2022 vuoteen 2023 sen jälkeen, kun oli kuultu komitean johtoa, yhtäläisiä mahdollisuuksia käsittelevää sekakomiteaa ja henkilöstökomiteaa; panee merkille, että toteutettujen sisäisten viestintätoimien lisäksi joulukuussa 2022 toteutettiin erityinen tietoisuuden lisäämiskampanja homofobian torjumiseksi; panee tyytyväisenä merkille, että erityisestä monimuotoisuutta ja osallisuutta koskevasta koulutuksesta tehtiin pakollinen johtajille ja suositeltava henkilöstölle ja että monimuotoisuutta ja osallisuutta koskevaa kurssia tarjottiin komitean jäsenille osana heidän vuotuista koulutusohjelmaansa; kannustaa komiteaa </w:t>
      </w:r>
      <w:r w:rsidRPr="009F47E5">
        <w:lastRenderedPageBreak/>
        <w:t>jatkamaan keskusteluja parlamentin kanssa liittymisestä vammaisia henkilöitä koskevaan parlamentin positiivisten erityistoimien ohjelmaan, jotta voidaan rekrytoida vammaisia sopimussuhteisia toimihenkilöitä; toistaa komitealle vuonna 2021 myönnetyn vastuuvapauden yhteydessä esittämänsä kehotuksen saattaa valmiiksi päivitetty monimuotoisuutta ja osallisuutta koskeva strategia ja toimintasuunnitelma;</w:t>
      </w:r>
    </w:p>
    <w:p w:rsidR="00D175FA" w:rsidRPr="009F47E5" w:rsidRDefault="00D175FA" w:rsidP="00CC2452">
      <w:pPr>
        <w:pStyle w:val="NormalHanging12a"/>
        <w:widowControl/>
      </w:pPr>
      <w:r w:rsidRPr="009F47E5">
        <w:t>29.</w:t>
      </w:r>
      <w:r w:rsidRPr="009F47E5">
        <w:tab/>
        <w:t>panee merkille, että vaikka kaikki jäsenvaltiot ovat edustettuina komitean henkilöstössä, maantieteellistä tasapainoa ei ole edelleenkään saavutettu, sillä jotkut kansallisuudet ovat yliedustettuina muihin verrattuna; panee merkille, että vuonna 2022 komitean johtajista 21 prosenttia tuli 13 jäsenvaltiosta, jotka liittyivät unioniin vuoden 2004 jälkeen, mikä on hienoinen lisäys vuoteen 2021 verrattuna, jolloin osuus oli 19 prosenttia; kannustaa jälleen komiteaa jatkamaan toimia saavuttaakseen henkilöstönsä keskuudessa asianmukaisen maantieteellisen jakauman keskittyen tässä erityisesti johdon tasoon;</w:t>
      </w:r>
    </w:p>
    <w:p w:rsidR="00D175FA" w:rsidRPr="009F47E5" w:rsidRDefault="00D175FA" w:rsidP="00CC2452">
      <w:pPr>
        <w:pStyle w:val="NormalHanging12a"/>
        <w:widowControl/>
      </w:pPr>
      <w:r w:rsidRPr="009F47E5">
        <w:t>30.</w:t>
      </w:r>
      <w:r w:rsidRPr="009F47E5">
        <w:tab/>
        <w:t>panee merkille, että vuonna 2022 komitea otti yhteensä 52 harjoittelijaa viiden kuukauden ajaksi, neljä harjoittelijaa kolmen kuukauden ajaksi ja kaksi harjoittelijaa ulkopuolisten julkisten elinten myöntämien avustusten perusteella; toteaa, että kaikki viiden kuukauden ajaksi otetut harjoittelijat saivat kuukausittaisen avustuksen ja korvauksen, kun taas lyhytaikaisemmat harjoittelijat eivät olleet oikeutettuja taloudelliseen tukeen; pitää myönteisenä, että myös parlamentin vuoden 2020 vastuuvapausmenettelyssä esittämän pyynnön johdosta vuonna 2022 käynnistettiin komitean harjoittelujaksoja koskevan päätöksen tarkistaminen, jossa on tavoitteena luopua palkattomista lyhyistä harjoittelujaksoista ja varmistaa, että kaikki harjoittelijat saavat kohtuullisen korvauksen; korostaa, että harjoittelujaksoja koskeva uusi päätös tuli voimaan heinäkuussa 2023 ja sillä varmistetaan kuukausittaiset tulot, matka- ja liikkumiskorvaukset ja tarvittaessa vammaistuki niin pitkä- kuin lyhytaikaisillekin harjoittelijoille;</w:t>
      </w:r>
    </w:p>
    <w:p w:rsidR="00D175FA" w:rsidRPr="009F47E5" w:rsidRDefault="00D175FA" w:rsidP="00D210F6">
      <w:pPr>
        <w:pStyle w:val="NormalHanging12a"/>
        <w:keepNext/>
        <w:widowControl/>
        <w:rPr>
          <w:b/>
          <w:i/>
        </w:rPr>
      </w:pPr>
      <w:r w:rsidRPr="009F47E5">
        <w:rPr>
          <w:b/>
          <w:i/>
        </w:rPr>
        <w:t>Eettiset toimintapuitteet ja avoimuus</w:t>
      </w:r>
    </w:p>
    <w:p w:rsidR="00D175FA" w:rsidRPr="009F47E5" w:rsidRDefault="00D175FA" w:rsidP="00CC2452">
      <w:pPr>
        <w:pStyle w:val="NormalHanging12a"/>
        <w:widowControl/>
      </w:pPr>
      <w:r w:rsidRPr="009F47E5">
        <w:t>31.</w:t>
      </w:r>
      <w:r w:rsidRPr="009F47E5">
        <w:tab/>
        <w:t>panee merkille, että komitea jatkoi sisäistä uudistusprosessiaan hyväksymällä uuden työjärjestyksen maaliskuussa 2022 ja niiden soveltamissäännökset marraskuussa 2022; pitää edelleen valitettavana, ettei niissä käsitellä erikseen jäsenen ja virkamiehen välisiä erityisiä suhteita häirinnän osalta; panee merkille, että työjärjestys on nyt yhdenmukainen käytännesääntöjen kanssa, jotka hyväksyttiin vuonna 2021 etiikkaa ja lahjomattomuutta koskeneen komitean sisäisen tarkastuksen tuloksena; pyytää komiteaa ilmoittamaan parlamentille, onko etiikkaa ja lahjomattomuutta koskevan tarkastuksen toimintasuunnitelman täytäntöönpanon arviointi toteutettu suunnitellusti ja mikä oli tämän arvioinnin tulos; pitää myönteisenä vuonna 2022 aloitettua pohdintaa komitean henkilöstölle tarkoitetun arvoja koskevan peruskirjan valmistelemiseksi osallistavan prosessin pohjalta, joka saatiin päätökseen ja josta tiedotettiin henkilöstölle vuonna 2023; katsoo, että vain nollatoleranssi häirintää koskevassa toimintapolitiikassa estää tulevaisuudessa sen, että komiteassa esiintyy väitteitä häirinnästä ja vakavista väärinkäytöksistä;</w:t>
      </w:r>
    </w:p>
    <w:p w:rsidR="00D175FA" w:rsidRPr="009F47E5" w:rsidRDefault="00D175FA" w:rsidP="00CC2452">
      <w:pPr>
        <w:pStyle w:val="NormalHanging12a"/>
        <w:widowControl/>
      </w:pPr>
      <w:r w:rsidRPr="009F47E5">
        <w:t>32.</w:t>
      </w:r>
      <w:r w:rsidRPr="009F47E5">
        <w:tab/>
        <w:t xml:space="preserve">panee merkille, että väärinkäytösten paljastamista koskevan komitean tarkistetun päätöksen (päätös 297/21A) tultua voimaan 15. joulukuuta 2021 ja menettelyistä työpaikkakiusaamisen ja seksuaalisen häirinnän ehkäisemiseksi ja käsittelemiseksi 31. maaliskuuta 2022 hyväksytyn tarkistetun päätöksen (päätös 090/22A) tultua voimaan uudistettua eettistä oikeudellista kehystä täydennetään tarkistetulla päätöksellä, </w:t>
      </w:r>
      <w:r w:rsidRPr="009F47E5">
        <w:lastRenderedPageBreak/>
        <w:t>jossa vahvistetaan kurinpitomenettelyjä ja hallinnollisia tutkimuksia koskevat yleiset täytäntöönpanosäännökset ja jonka oli määrä valmistua vuonna 2023 yhteistyössä alueiden komitean kanssa; panee merkille, että uusi tehtäviä ja ulkopuolista toimintaa koskeva päätös (päätös nro 141/22A) hyväksyttiin vuonna 2022 ja sitä sovelletaan kaikkiin palveluksessa oleviin henkilöihin, lähetettyyn henkilöstöön ja entiseen henkilöstöön henkilöstösääntöjen määräysten mukaisesti, jotka olivat voimassa palveluksen päättyessä;</w:t>
      </w:r>
    </w:p>
    <w:p w:rsidR="00D175FA" w:rsidRPr="009F47E5" w:rsidRDefault="00D175FA" w:rsidP="00CC2452">
      <w:pPr>
        <w:pStyle w:val="NormalHanging12a"/>
        <w:widowControl/>
      </w:pPr>
      <w:r w:rsidRPr="009F47E5">
        <w:t>33.</w:t>
      </w:r>
      <w:r w:rsidRPr="009F47E5">
        <w:tab/>
        <w:t>panee tyytyväisenä merkille, että komitea jatkoi vuonna 2022 henkilöstön kouluttamista ja tietoisuuden lisäämistä voimassa olevista eettisistä toimintapuitteista ja erityisesti uusista käytännesäännöistä, häirinnästä ja väärinkäytösten paljastamisesta sekä tammikuussa 2022 aloittaneiden eettisten neuvonantajien tehtävistä ja vastuista; panee merkille, että vuonna 2022 yhteensä 116 henkilöstön jäsentä, joihin kuului johtajia ja tulokkaita, osallistui sisäisille etiikkaa koskeville koulutuskursseille ja 26 henkilöstön jäsentä osallistui komission ja Euroopan unionin henkilöstökoulutuskeskuksen tarjoamille etiikkaa koskeville koulutuskursseille; toteaa, että räätälöidyn koulutuskurssin laati ja toteutti eettisten neuvonantajien ryhmä; pitää myönteisenä, että 83 prosenttia vuonna 2022 käynnistettyyn henkilöstön tyytyväiskyselyyn vastanneista oli selvästi tietoisia eettisestä käytöksestä ja komitean vahvistetuista eettisistä toimintapuitteista;</w:t>
      </w:r>
    </w:p>
    <w:p w:rsidR="00D175FA" w:rsidRPr="009F47E5" w:rsidRDefault="00D175FA" w:rsidP="00CC2452">
      <w:pPr>
        <w:pStyle w:val="NormalHanging12a"/>
        <w:widowControl/>
        <w:rPr>
          <w:color w:val="000000" w:themeColor="text1"/>
        </w:rPr>
      </w:pPr>
      <w:r w:rsidRPr="009F47E5">
        <w:t>34.</w:t>
      </w:r>
      <w:r w:rsidRPr="009F47E5">
        <w:tab/>
        <w:t>panee merkille viime vuosien vastuuvapauskertomuksissa ilmoitettujen häirintätapausten osalta, että viimeinen sovintoratkaisu, joka koski Euroopan petostentorjuntaviraston (OLAF) tapausta OC/2018/0666/A1, saatiin päätökseen 1. lokakuuta 2022, minkä ansiosta komitea pystyi päättämään kaikki tapaukseen liittyvät avunpyynnöt; pitää myönteisenä, että komitean puheenjohtaja antoi 13. huhtikuuta 2022 julkisen lausunnon, joka julkaistiin komitean verkkosivustolla ja jossa hän esitti komitean puolesta virallisen anteeksipyyntönsä kaikille kyseisen tapauksen uhreille, sekä henkilöstön jäsenille että entiselle jäsenelle;</w:t>
      </w:r>
      <w:r w:rsidRPr="009F47E5">
        <w:rPr>
          <w:color w:val="000000" w:themeColor="text1"/>
        </w:rPr>
        <w:t xml:space="preserve"> panee tyytyväisenä merkille, että unionin tuomioistuin vahvisti 6. lokakuuta 2022 asiassa C-673/21</w:t>
      </w:r>
      <w:r w:rsidRPr="009F47E5">
        <w:rPr>
          <w:rStyle w:val="FootnoteReference"/>
          <w:color w:val="000000" w:themeColor="text1"/>
        </w:rPr>
        <w:footnoteReference w:id="6"/>
      </w:r>
      <w:r w:rsidRPr="009F47E5">
        <w:rPr>
          <w:color w:val="000000" w:themeColor="text1"/>
        </w:rPr>
        <w:t xml:space="preserve"> antamassaan tuomiossa komitean työvaliokunnan 9. kesäkuuta 2020 tekemällä päätöksellä toteutettujen toimenpiteiden laillisuuden;</w:t>
      </w:r>
    </w:p>
    <w:p w:rsidR="00D175FA" w:rsidRPr="009F47E5" w:rsidRDefault="00D175FA" w:rsidP="00CC2452">
      <w:pPr>
        <w:pStyle w:val="NormalHanging12a"/>
        <w:widowControl/>
      </w:pPr>
      <w:r w:rsidRPr="009F47E5">
        <w:t>35.</w:t>
      </w:r>
      <w:r w:rsidRPr="009F47E5">
        <w:tab/>
        <w:t>toistaa kehotuksensa, että komitean olisi tehtävä riippumaton ulkopuolinen tutkinta, jossa tarkastellaan erityisesti komitean henkilöstöhallinnon menettelyjä ja niiden vaikuttavuutta keskittyen hallintohierarkian vastuiden tunnistamiseen häirintäväitteiden käsittelyssä ja henkilöstön hyvinvoinnin varmistamiseen; hylkää komitean viime vuosina eettisten toimintapuitteiden vahvistamiseksi toteuttamista toimenpiteistä huolimatta komitean kannan, jonka mukaan tällainen tutkinta ei ole tarpeellinen, koska käytössä olleet toimenpiteet mahdollistivat häirintätapaukseen puuttumisen, ja muistuttaa, että parlamentti on jo ilmaissut huolensa komitean toistuvasti hitaasta reagoinnista kyseisissä tapauksissa;</w:t>
      </w:r>
    </w:p>
    <w:p w:rsidR="00D175FA" w:rsidRPr="009F47E5" w:rsidRDefault="00D175FA" w:rsidP="00CC2452">
      <w:pPr>
        <w:pStyle w:val="NormalHanging12a"/>
        <w:widowControl/>
      </w:pPr>
      <w:r w:rsidRPr="009F47E5">
        <w:t>36.</w:t>
      </w:r>
      <w:r w:rsidRPr="009F47E5">
        <w:tab/>
        <w:t xml:space="preserve">panee merkille, että Euroopan oikeusasiamies suoritti kolme tutkimusta valitusten perusteella vuonna 2022; toteaa, että yksi tapaus johti tutkintaan, jossa todettiin, ettei kyseessä ollut hallinnollinen väärinkäytös; panee merkille, että kaksi muuta tapausta </w:t>
      </w:r>
      <w:r w:rsidRPr="009F47E5">
        <w:lastRenderedPageBreak/>
        <w:t>päätettiin ilman tutkintaa, sillä oikeusasiamies katsoi, että molemmat tapaukset oli tällä välin ratkaistu;</w:t>
      </w:r>
    </w:p>
    <w:p w:rsidR="00D175FA" w:rsidRPr="009F47E5" w:rsidRDefault="00D175FA" w:rsidP="00CC2452">
      <w:pPr>
        <w:pStyle w:val="NormalHanging12a"/>
        <w:widowControl/>
      </w:pPr>
      <w:r w:rsidRPr="009F47E5">
        <w:t>37.</w:t>
      </w:r>
      <w:r w:rsidRPr="009F47E5">
        <w:tab/>
        <w:t>panee huolestuneena merkille, että neljä vireillä olevaa väitettyä häirintätapausta oli edelleen komitean tutkittavina vuonna 2022; pyytää komiteaa tiedottamaan parlamentille oikea-aikaisesti näiden tapausten seurannasta; panee merkille, että vuonna 2022 komiteassa ei ilmoitettu sen henkilöstöä tai jäseniä koskevia uusia väitettyjä häirintätapauksia, mutta on tietoinen siitä, että komitean henkilöstön jäseneen liittyvästä häirinnästä esitettiin väitteitä toisessa toimielimessä vuonna 2022; pyytää komiteaa pitämään parlamentin ajan tasalla kyseisen tapauksen seurannasta yhteistyössä kyseisen toisen toimielimen kanssa;</w:t>
      </w:r>
    </w:p>
    <w:p w:rsidR="00D175FA" w:rsidRPr="009F47E5" w:rsidRDefault="00D175FA" w:rsidP="00CC2452">
      <w:pPr>
        <w:widowControl/>
        <w:spacing w:after="240"/>
        <w:ind w:left="567" w:hanging="567"/>
        <w:rPr>
          <w:szCs w:val="24"/>
        </w:rPr>
      </w:pPr>
      <w:r w:rsidRPr="009F47E5">
        <w:t>38.</w:t>
      </w:r>
      <w:r w:rsidRPr="009F47E5">
        <w:tab/>
        <w:t>panee merkille, että komitea on asianomistaja vireillä olevassa oikeudenkäynnissä, jonka Belgian kansalliset viranomaiset ovat käynnistäneet väärinkäytöksistä syytettyä entistä jäsentä vastaan, ja että belgialainen tuomioistuin käsittelee väärinkäytöksiä parhaillaan antaakseen päätöksen; pyytää komiteaa tiedottamaan parlamentille tapauksen etenemisestä oikea-aikaisesti;</w:t>
      </w:r>
    </w:p>
    <w:p w:rsidR="00D175FA" w:rsidRPr="009F47E5" w:rsidRDefault="00D175FA" w:rsidP="00CC2452">
      <w:pPr>
        <w:widowControl/>
        <w:spacing w:after="240"/>
        <w:ind w:left="567" w:hanging="567"/>
        <w:rPr>
          <w:szCs w:val="24"/>
        </w:rPr>
      </w:pPr>
      <w:r w:rsidRPr="009F47E5">
        <w:t>39.</w:t>
      </w:r>
      <w:r w:rsidRPr="009F47E5">
        <w:tab/>
        <w:t>panee merkille, että vuonna 2022 jäsenet tai henkilöstö käynnistivät virallisesti kolme väärinkäytösten paljastamista koskevaa tapausta; panee merkille, että kaikki kolme tapausta käsiteltiin ja saatiin päätökseen nopeasti noudattaen asianmukaisesti väärinkäytösten paljastajien suojelua väärinkäytösten paljastamista koskevan päätöksen mukaisesti (päätös 297/21A); panee lisäksi merkille, että eettisten neuvonantajien tietoon tuotiin kaksi mahdollista väärinkäytösten paljastajia koskevaa tapausta, mutta kumpaakaan näistä ei vahvistettu;</w:t>
      </w:r>
    </w:p>
    <w:p w:rsidR="00D175FA" w:rsidRPr="009F47E5" w:rsidRDefault="00D175FA" w:rsidP="00CC2452">
      <w:pPr>
        <w:pStyle w:val="NormalHanging12a"/>
        <w:widowControl/>
      </w:pPr>
      <w:r w:rsidRPr="009F47E5">
        <w:t>40.</w:t>
      </w:r>
      <w:r w:rsidRPr="009F47E5">
        <w:tab/>
        <w:t xml:space="preserve">arvostaa komitean halukkuutta tehdä yhteistyötä unionin tutkintaelinten (OLAF ja Euroopan syyttäjänvirasto (EPPO)) kanssa; panee merkille, että vuonna 2022 OLAF päätti kahden tapauksen käsittelyn, jotka koskivat väitettyä unionin varojen väärinkäyttöä ja mahdollisia sääntöjenvastaisuuksia ja kahden jäsenen vakavaa väärinkäytöstä, koska saatavilla ei ollut todisteita ja havaintoja; panee huolestuneena merkille, että vuonna 2023 OLAF käynnisti jäseniä vastaan kolme uutta tapausta, jotka koskivat mahdollista petosta ja joista kahden käsittely päätettiin samana vuonna ja ne siirrettiin </w:t>
      </w:r>
      <w:proofErr w:type="spellStart"/>
      <w:r w:rsidRPr="009F47E5">
        <w:t>EPPOn</w:t>
      </w:r>
      <w:proofErr w:type="spellEnd"/>
      <w:r w:rsidRPr="009F47E5">
        <w:t xml:space="preserve"> tutkittaviksi; panee merkille, että OLAF siirsi komitean eettiselle valiokunnalle yhden tapauksen, joka koski jäsenen väitettyä menettelysääntöjen rikkomista; pyytää komiteaa tiedottamaan parlamentille oikea-aikaisesti tapauksen seurannasta;</w:t>
      </w:r>
    </w:p>
    <w:p w:rsidR="00D175FA" w:rsidRPr="009F47E5" w:rsidRDefault="00D175FA" w:rsidP="00CC2452">
      <w:pPr>
        <w:widowControl/>
        <w:spacing w:after="240"/>
        <w:ind w:left="567" w:hanging="567"/>
        <w:rPr>
          <w:szCs w:val="24"/>
        </w:rPr>
      </w:pPr>
      <w:r w:rsidRPr="009F47E5">
        <w:t>41.</w:t>
      </w:r>
      <w:r w:rsidRPr="009F47E5">
        <w:tab/>
        <w:t>kiittää komiteaa päätöksestä liittyä virallisesti 1. kesäkuuta 2023 alkaen EU:n avoimuusrekisteriin, joka on perustettu pakollisesta avoimuusrekisteristä 20. toukokuuta 2021 tehdyllä Euroopan parlamentin, Euroopan unionin neuvoston ja Euroopan komission välisellä toimielinten sopimuksella</w:t>
      </w:r>
      <w:r w:rsidRPr="009F47E5">
        <w:rPr>
          <w:szCs w:val="24"/>
          <w:vertAlign w:val="superscript"/>
        </w:rPr>
        <w:footnoteReference w:id="7"/>
      </w:r>
      <w:r w:rsidRPr="009F47E5">
        <w:t>; panee merkille, että komitea hyväksyi 21. maaliskuuta 2023 useita avoimuustoimenpiteitä EU:n avoimuusrekisterin osalta vahvistettujen periaatteiden mukaisesti, kuten suosituksen luottamustehtävissä oleville jäsenille tavata ainoastaan rekisteröityneitä sidosryhmiä, luottamustehtävissä olevien jäsenten velvollisuuden julkaista luettelo tapaamisistaan ja vapaaehtoisen lainsäädäntöjalanjäljen esittelijöille;</w:t>
      </w:r>
    </w:p>
    <w:p w:rsidR="00D175FA" w:rsidRPr="009F47E5" w:rsidRDefault="00D175FA" w:rsidP="00CC2452">
      <w:pPr>
        <w:pStyle w:val="NormalHanging12a"/>
        <w:widowControl/>
      </w:pPr>
      <w:r w:rsidRPr="009F47E5">
        <w:lastRenderedPageBreak/>
        <w:t>42.</w:t>
      </w:r>
      <w:r w:rsidRPr="009F47E5">
        <w:tab/>
        <w:t>pitää valitettavana, että vaikka komitealla on käytössään toimenpiteitä petosten torjumiseksi, se ei ole ottanut vielä käyttöön yhdennettyä petostentorjuntastrategiaa parlamentin aiemmista kehotuksista huolimatta; panee tyytyväisenä merkille, että komitea on suorittanut luetteloinnin aloista, joilla on syytä käynnistää sisäinen petosriskien analyysi, kuten toimintapolitiikat ja menettelyt, henkilöstön koulutus ja yhteistyö muiden elinten kanssa, jotta voidaan parantaa petostentorjuntakehystä;</w:t>
      </w:r>
    </w:p>
    <w:p w:rsidR="00D175FA" w:rsidRPr="009F47E5" w:rsidRDefault="00D175FA" w:rsidP="00D210F6">
      <w:pPr>
        <w:pStyle w:val="NormalHanging12a"/>
        <w:keepNext/>
        <w:widowControl/>
        <w:rPr>
          <w:b/>
          <w:i/>
        </w:rPr>
      </w:pPr>
      <w:proofErr w:type="spellStart"/>
      <w:r w:rsidRPr="009F47E5">
        <w:rPr>
          <w:b/>
          <w:i/>
        </w:rPr>
        <w:t>Digitalisaatio</w:t>
      </w:r>
      <w:proofErr w:type="spellEnd"/>
      <w:r w:rsidRPr="009F47E5">
        <w:rPr>
          <w:b/>
          <w:i/>
        </w:rPr>
        <w:t>, kyberturvallisuus ja tietosuoja</w:t>
      </w:r>
    </w:p>
    <w:p w:rsidR="00D175FA" w:rsidRPr="009F47E5" w:rsidRDefault="00D175FA" w:rsidP="00CC2452">
      <w:pPr>
        <w:pStyle w:val="NormalHanging12a"/>
        <w:widowControl/>
      </w:pPr>
      <w:r w:rsidRPr="009F47E5">
        <w:t>43.</w:t>
      </w:r>
      <w:r w:rsidRPr="009F47E5">
        <w:tab/>
        <w:t>panee merkille, että vuonna 2022 komitean ja alueiden komitean yhdistetty tietotekniikkabudjetti oli 11 712 000 euroa ja että siihen sisältyi 750 000 euron lisäys sisäisellä määrärahasiirrolla vuoden aikana, kun se vuonna 2021 oli 12 860 000 euroa, mikä merkitsee 9 prosentin vähennystä;</w:t>
      </w:r>
    </w:p>
    <w:p w:rsidR="00D175FA" w:rsidRPr="009F47E5" w:rsidRDefault="00D175FA" w:rsidP="00CC2452">
      <w:pPr>
        <w:pStyle w:val="NormalHanging12a"/>
        <w:widowControl/>
      </w:pPr>
      <w:r w:rsidRPr="009F47E5">
        <w:t>44</w:t>
      </w:r>
      <w:r w:rsidR="005B3EA4">
        <w:t>.</w:t>
      </w:r>
      <w:r w:rsidRPr="009F47E5">
        <w:tab/>
        <w:t xml:space="preserve">panee merkille, että komitealla on digitaalistrategia, jonka tavoitteena on tarjota tietotekniikkapalveluja tietotekniikkahallinnan parhaiden käytäntöjen mukaisesti ja samalla optimoida henkilöresurssien ja taloudellisten resurssien käyttö; panee merkille, että komitea työskenteli vuoden 2022 aikana useiden strategisten tietoteknisten välineiden mukauttamiseksi ja kehittämiseksi, jotta voidaan parantaa komitean poliittisen työn sekä sen hallinnollisten prosessien ja työnkulkujen tehokkuutta ja vaikuttavuutta; panee merkille, että komitean tärkein tietotekniikkainfrastruktuurihanke vuonna 2022 koski Jacques </w:t>
      </w:r>
      <w:proofErr w:type="spellStart"/>
      <w:r w:rsidRPr="009F47E5">
        <w:t>Delors</w:t>
      </w:r>
      <w:proofErr w:type="spellEnd"/>
      <w:r w:rsidRPr="009F47E5">
        <w:t xml:space="preserve"> ‑rakennuksen (JDE) uuden tietokonehuoneen edellyttämän verkkoluokituksen mukauttamista hybridipilvipalveluja koskevan etenemissuunnitelman mukaisesti;</w:t>
      </w:r>
    </w:p>
    <w:p w:rsidR="00D175FA" w:rsidRPr="009F47E5" w:rsidRDefault="00D175FA" w:rsidP="00CC2452">
      <w:pPr>
        <w:pStyle w:val="NormalHanging12a"/>
        <w:widowControl/>
      </w:pPr>
      <w:r w:rsidRPr="009F47E5">
        <w:t>45.</w:t>
      </w:r>
      <w:r w:rsidRPr="009F47E5">
        <w:tab/>
        <w:t>panee merkille, että komitea lisäsi hybridikokousten määrää vuonna 2022 mukautuakseen hybridityöhön ja optimoidakseen työskentelytapojaan ja vähensi erityisesti virkamatkojen määrää; ymmärtää, että tämä uusi työskentelytapa edellytti teknisiä päivityksiä hybridikokoushuoneiden laitteisiin;</w:t>
      </w:r>
    </w:p>
    <w:p w:rsidR="00D175FA" w:rsidRPr="009F47E5" w:rsidRDefault="00D175FA" w:rsidP="00CC2452">
      <w:pPr>
        <w:pStyle w:val="NormalHanging12a"/>
        <w:widowControl/>
      </w:pPr>
      <w:r w:rsidRPr="009F47E5">
        <w:t>46.</w:t>
      </w:r>
      <w:r w:rsidRPr="009F47E5">
        <w:tab/>
        <w:t xml:space="preserve">toteaa, että komiteaan ei kohdistunut kyberhyökkäyksiä vuonna 2022; panee merkille, että komitean ja alueiden komitean uusi yhteinen innovoinnin ja tietotekniikan osasto koostuu kolmesta yksiköstä, joita ovat digitaalisen siirtymän, digitaalisten ratkaisujen ja digitaalisten alustojen yksiköt; panee merkille, että digitaalisten alustojen yksikkö vastaa muun muassa kyberturvallisuudesta; pyytää komiteaa tiedottamaan vastuuvapauden myöntävälle viranomaiselle, miten tämän uuden rakenteen luominen auttoi parantamaan henkilöstön kyberturvallisuusvalmiutta </w:t>
      </w:r>
      <w:proofErr w:type="spellStart"/>
      <w:r w:rsidRPr="009F47E5">
        <w:t>NIST:n</w:t>
      </w:r>
      <w:proofErr w:type="spellEnd"/>
      <w:r w:rsidRPr="009F47E5">
        <w:t xml:space="preserve"> (Yhdysvaltain kansallinen standardointi- ja teknologiainstituutti) kyberturvallisuuskehyksen mukaisesti ja yhteistyössä unionin toimielinten, elinten, toimistojen ja virastojen kyberturvallisuuspalvelun (CERT-EU) kanssa; kannustaa komiteaa lisäämään jäsenten ja henkilöstön tietoisuutta kyberturvallisuudesta, tekemään säännöllisiä riskinarviointeja tietoteknisestä infrastruktuuristaan ja varmistamaan kyberpuolustuksensa säännölliset tarkastukset ja testit;</w:t>
      </w:r>
    </w:p>
    <w:p w:rsidR="00D175FA" w:rsidRPr="009F47E5" w:rsidRDefault="00D175FA" w:rsidP="00CC2452">
      <w:pPr>
        <w:pStyle w:val="NormalHanging12a"/>
        <w:widowControl/>
      </w:pPr>
      <w:r w:rsidRPr="009F47E5">
        <w:t>47.</w:t>
      </w:r>
      <w:r w:rsidRPr="009F47E5">
        <w:tab/>
        <w:t>panee merkille, että komitea käyttää avoimen lähdekoodin teknologiaa omissa järjestelmissään, erityisesti komitean poliittisen työn hallinnoinnissa käytettävissä tärkeimmissä operatiivisissa sovelluksissa (</w:t>
      </w:r>
      <w:proofErr w:type="spellStart"/>
      <w:r w:rsidRPr="009F47E5">
        <w:t>Agora</w:t>
      </w:r>
      <w:proofErr w:type="spellEnd"/>
      <w:r w:rsidRPr="009F47E5">
        <w:t xml:space="preserve"> ja Phoenix); panee lisäksi merkille, että komitea seuraa avoimen lähdekoodin teknologioiden käyttöä vuotuisessa tietotekniikkakatsauksessaan, jotta niitä voidaan käyttää uusissa sovelluksissa;</w:t>
      </w:r>
    </w:p>
    <w:p w:rsidR="00D175FA" w:rsidRPr="009F47E5" w:rsidRDefault="00D175FA" w:rsidP="00CC2452">
      <w:pPr>
        <w:widowControl/>
        <w:spacing w:after="240"/>
        <w:ind w:left="567" w:hanging="567"/>
        <w:rPr>
          <w:szCs w:val="24"/>
        </w:rPr>
      </w:pPr>
      <w:r w:rsidRPr="009F47E5">
        <w:lastRenderedPageBreak/>
        <w:t>48.</w:t>
      </w:r>
      <w:r w:rsidRPr="009F47E5">
        <w:tab/>
        <w:t>panee merkille, että vuonna 2022 komitea edistyi uuden asiakirjahallintaan tarkoitetun kehyksen käyttöönotossa avoimuuden ja saavutettavuuden parantamiseksi; panee kiinnostuneena merkille, että komitea aloitti arvioinnin, joka koskee komission sähköisen asiakirjahallintajärjestelmän (</w:t>
      </w:r>
      <w:proofErr w:type="spellStart"/>
      <w:r w:rsidRPr="009F47E5">
        <w:t>Ares</w:t>
      </w:r>
      <w:proofErr w:type="spellEnd"/>
      <w:r w:rsidRPr="009F47E5">
        <w:t>) käyttöönoton teknistä toteutettavuutta ja taloudellisia seurauksia;</w:t>
      </w:r>
    </w:p>
    <w:p w:rsidR="00D175FA" w:rsidRPr="009F47E5" w:rsidRDefault="00D210F6" w:rsidP="00D210F6">
      <w:pPr>
        <w:pStyle w:val="NormalHanging12a"/>
        <w:keepNext/>
        <w:widowControl/>
        <w:rPr>
          <w:b/>
          <w:i/>
        </w:rPr>
      </w:pPr>
      <w:r w:rsidRPr="009F47E5">
        <w:rPr>
          <w:b/>
          <w:i/>
        </w:rPr>
        <w:t>Kiinteistöt</w:t>
      </w:r>
    </w:p>
    <w:p w:rsidR="00D175FA" w:rsidRPr="009F47E5" w:rsidRDefault="00D175FA" w:rsidP="00CC2452">
      <w:pPr>
        <w:widowControl/>
        <w:spacing w:after="240"/>
        <w:ind w:left="567" w:hanging="567"/>
        <w:rPr>
          <w:szCs w:val="24"/>
        </w:rPr>
      </w:pPr>
      <w:r w:rsidRPr="009F47E5">
        <w:t>49.</w:t>
      </w:r>
      <w:r w:rsidRPr="009F47E5">
        <w:tab/>
        <w:t xml:space="preserve">panee merkille, että komitea ja alueiden komitea menettivät 5 000 neliömetriä toimistotiloja sen jälkeen, kun niille siirrettiin syyskuussa 2021 vuokrasopimus </w:t>
      </w:r>
      <w:proofErr w:type="spellStart"/>
      <w:r w:rsidRPr="009F47E5">
        <w:t>EUH:n</w:t>
      </w:r>
      <w:proofErr w:type="spellEnd"/>
      <w:r w:rsidRPr="009F47E5">
        <w:t xml:space="preserve"> entisestä toimitilasta osoitteessa </w:t>
      </w:r>
      <w:proofErr w:type="spellStart"/>
      <w:r w:rsidRPr="009F47E5">
        <w:t>Belliard</w:t>
      </w:r>
      <w:proofErr w:type="spellEnd"/>
      <w:r w:rsidRPr="009F47E5">
        <w:t xml:space="preserve"> 100 sekä kun komitea ja alueiden komitea vaihtoivat kiinteistöt osoitteissa </w:t>
      </w:r>
      <w:proofErr w:type="spellStart"/>
      <w:r w:rsidRPr="009F47E5">
        <w:t>Belliard</w:t>
      </w:r>
      <w:proofErr w:type="spellEnd"/>
      <w:r w:rsidRPr="009F47E5">
        <w:t xml:space="preserve"> 68 ja </w:t>
      </w:r>
      <w:proofErr w:type="spellStart"/>
      <w:r w:rsidRPr="009F47E5">
        <w:t>Trèves</w:t>
      </w:r>
      <w:proofErr w:type="spellEnd"/>
      <w:r w:rsidRPr="009F47E5">
        <w:t xml:space="preserve"> 74 komission rakennukseen osoitteessa Van </w:t>
      </w:r>
      <w:proofErr w:type="spellStart"/>
      <w:r w:rsidRPr="009F47E5">
        <w:t>Maerlant</w:t>
      </w:r>
      <w:proofErr w:type="spellEnd"/>
      <w:r w:rsidRPr="009F47E5">
        <w:t> 2 (VMA) syyskuussa 2022; toteaa, että kahden äskettäin hankitun rakennuksen kunnostustyöt olivat välttämättömiä toimistotilojen tiiviimmän käytön mahdollistamiseksi; pitää myönteisenä, että vuonna 2022 perustettiin uusia työskentelytapoja käsittelevä yhteinen työryhmä, jonka tehtävänä on pohtia työn organisoinnin ja toimistotilojen käytön mahdollista optimointia ja pienentää samalla ympäristöjalanjälkeä;</w:t>
      </w:r>
    </w:p>
    <w:p w:rsidR="00D175FA" w:rsidRPr="009F47E5" w:rsidRDefault="00D175FA" w:rsidP="00CC2452">
      <w:pPr>
        <w:pStyle w:val="NormalHanging12a"/>
        <w:widowControl/>
      </w:pPr>
      <w:r w:rsidRPr="009F47E5">
        <w:t>50.</w:t>
      </w:r>
      <w:r w:rsidRPr="009F47E5">
        <w:tab/>
        <w:t>panee merkille, että vuosina 2021 ja 2022 kokonaismäärärahat, jotka oli sidottu komitean ja alueiden komitean toteuttamaan VMA-rakennuksen kunnostukseen kolmannesta yhdeksänteen kerrokseen, olivat 9,54 miljoonaa euroa; panee merkille, että komitean ja alueiden komitean toteuttamissa kunnostustöissä käytettiin älykästä energiansäästöteknologiaa, johon sisältyy vahva ympäristöulottuvuus; pyytää komiteaa antamaa ajantasaiset tiedot näiden teknologia-investointien tuotosta;</w:t>
      </w:r>
    </w:p>
    <w:p w:rsidR="00D175FA" w:rsidRPr="009F47E5" w:rsidRDefault="00D175FA" w:rsidP="00CC2452">
      <w:pPr>
        <w:widowControl/>
        <w:spacing w:after="240"/>
        <w:ind w:left="567" w:hanging="567"/>
        <w:rPr>
          <w:szCs w:val="24"/>
        </w:rPr>
      </w:pPr>
      <w:r w:rsidRPr="009F47E5">
        <w:t>51.</w:t>
      </w:r>
      <w:r w:rsidRPr="009F47E5">
        <w:tab/>
        <w:t>panee merkille, että vuonna 2022 komitean ja alueiden komitean kiinteistöstrategiassa keskityttiin rakennusten maantieteelliseen keskittämiseen, joka saavutettiin liittämällä kaikki komitean ja alueiden komitean käyttämät rakennukset fyysisesti niiden päärakennukseen (JDE); suhtautuu myönteisesti marraskuussa 2022 käyttöön otettuun uuteen fyysiseen yhteyteen parlamentin rakennuksiin, mikä tarjoaa suoremman, helpomman ja 125 metriä lyhyemmän reitin komitean ja alueiden komitean rakennusten ja parlamentin rakennusten välillä;</w:t>
      </w:r>
    </w:p>
    <w:p w:rsidR="00D175FA" w:rsidRPr="009F47E5" w:rsidRDefault="00D175FA" w:rsidP="00CC2452">
      <w:pPr>
        <w:pStyle w:val="NormalHanging12a"/>
        <w:widowControl/>
      </w:pPr>
      <w:r w:rsidRPr="009F47E5">
        <w:t>52.</w:t>
      </w:r>
      <w:r w:rsidRPr="009F47E5">
        <w:tab/>
        <w:t>suhtautuu myönteisesti komitean ja alueiden komitean sitoumukseen soveltaa järjestelmällisesti kaikkien käyttäjien tarpeet huomioon ottavan suunnittelun periaatetta infrastruktuuriinsa, millä varmistetaan rakennusten lähtökohtainen esteettömyys; panee merkille, että komitea ja alueiden komitea toteuttivat useita erilaisia toimenpiteitä varmistaakseen rakennustensa esteettömyyden henkilöille, joilla on erilaisia vammoja;</w:t>
      </w:r>
    </w:p>
    <w:p w:rsidR="00D175FA" w:rsidRPr="009F47E5" w:rsidRDefault="00D175FA" w:rsidP="00D210F6">
      <w:pPr>
        <w:pStyle w:val="NormalHanging12a"/>
        <w:keepNext/>
        <w:widowControl/>
        <w:rPr>
          <w:b/>
          <w:i/>
        </w:rPr>
      </w:pPr>
      <w:r w:rsidRPr="009F47E5">
        <w:rPr>
          <w:b/>
          <w:i/>
        </w:rPr>
        <w:t>Ympäristö ja kestävä kehitys</w:t>
      </w:r>
    </w:p>
    <w:p w:rsidR="00D175FA" w:rsidRPr="009F47E5" w:rsidRDefault="00D175FA" w:rsidP="00CC2452">
      <w:pPr>
        <w:pStyle w:val="NormalHanging12a"/>
        <w:widowControl/>
      </w:pPr>
      <w:r w:rsidRPr="009F47E5">
        <w:t>53.</w:t>
      </w:r>
      <w:r w:rsidRPr="009F47E5">
        <w:tab/>
        <w:t>panee tyytyväisenä merkille komitean ja alueiden komitean kestävät käytännöt ja erityisesti paperittoman työskentelyn, jotka auttoivat pienentämään niiden ympäristöjalanjälkeä digitaalistrategian mukaisesti; onnittelee komiteoita siitä, että ne ovat ylittäneet vuosien 2021–2025 EMAS-tavoitteensa lukuun ottamatta kaasunkulutukseen liittyviä tavoitteita; panee merkille, että määrärahoja varattiin 60 000 euroa komitean päästöjen kompensointijärjestelmään ostamalla korkealaatuisia päästöhyvityksiä vuonna 2023;</w:t>
      </w:r>
    </w:p>
    <w:p w:rsidR="00D175FA" w:rsidRPr="009F47E5" w:rsidRDefault="00D175FA" w:rsidP="00CC2452">
      <w:pPr>
        <w:pStyle w:val="NormalHanging12a"/>
        <w:widowControl/>
      </w:pPr>
      <w:r w:rsidRPr="009F47E5">
        <w:lastRenderedPageBreak/>
        <w:t>54.</w:t>
      </w:r>
      <w:r w:rsidRPr="009F47E5">
        <w:tab/>
        <w:t>panee merkille, että vuonna 2022 aurinkopaneelien tuottama kokonaissähköntuotanto komitean ja alueiden komitean rakennuksissa oli noin 15,5 MWh, mikä vastaa 0,25:tä prosenttia komitean ja alueiden komitean vuotuisesta kokonaiskulutuksesta; panee merkille, että 16. syyskuuta 2022 vain JDE-rakennukseen oli asennettu aurinkopaneeleja; on tietoinen siitä, että hallinnollisten menettelyjen vuoksi komitea ja alueiden komitea joutuvat odottamaan, ennen kuin ne voivat asentaa lisää aurinkopaneeleja;</w:t>
      </w:r>
    </w:p>
    <w:p w:rsidR="00D175FA" w:rsidRPr="009F47E5" w:rsidRDefault="00D175FA" w:rsidP="00CC2452">
      <w:pPr>
        <w:pStyle w:val="NormalHanging12a"/>
        <w:widowControl/>
      </w:pPr>
      <w:r w:rsidRPr="009F47E5">
        <w:t>55.</w:t>
      </w:r>
      <w:r w:rsidRPr="009F47E5">
        <w:tab/>
        <w:t>onnittelee komiteaa siitä, että se on vahvistanut liikennesuunnitelman yhdessä Brysselin pääkaupunkialueen liikenneosaston kanssa, minkä johdosta komitea sitoutuu suorittamaan pakollisen liikkumistutkimuksen henkilöstönsä keskuudessa joka kolmas vuosi; panee merkille, että komitea otti käyttöön kestävän liikkumissuunnitelman, jolla kannustetaan henkilöstöä käyttämään kestävämpiä liikennevälineitä tarjoamalla muun muassa taloudellista tukea henkilöstön julkisen liikenteen käyttömaksuihin tai kuukausittaista taloudellista tukea henkilöstön jäsenille, jotka pyöräilevät töihin; panee merkille, että komitea tutkii uusia ratkaisuja, kuten sähköpyörien tarjoamista tai uusien latureiden asentamista sähköautoille;</w:t>
      </w:r>
    </w:p>
    <w:p w:rsidR="00D175FA" w:rsidRPr="009F47E5" w:rsidRDefault="00D175FA" w:rsidP="00D210F6">
      <w:pPr>
        <w:pStyle w:val="NormalHanging12a"/>
        <w:keepNext/>
        <w:widowControl/>
        <w:rPr>
          <w:b/>
          <w:i/>
        </w:rPr>
      </w:pPr>
      <w:r w:rsidRPr="009F47E5">
        <w:rPr>
          <w:b/>
          <w:i/>
        </w:rPr>
        <w:t>Toimielinten välinen yhteistyö</w:t>
      </w:r>
    </w:p>
    <w:p w:rsidR="00D175FA" w:rsidRPr="009F47E5" w:rsidRDefault="00D175FA" w:rsidP="00CC2452">
      <w:pPr>
        <w:pStyle w:val="NormalHanging12a"/>
        <w:widowControl/>
      </w:pPr>
      <w:r w:rsidRPr="009F47E5">
        <w:t>56.</w:t>
      </w:r>
      <w:r w:rsidRPr="009F47E5">
        <w:tab/>
        <w:t>suhtautuu myönteisesti toimielinten välisellä yhteistyöllä saavutettuihin talousarviosäästöihin ja hallinnollisiin säästöihin ja erityisesti alueiden komitean kanssa luotuun tiiviiseen hallinnolliseen yhteistyöhön, sillä komitealla on alueiden komitean kanssa yhteiset toimitilat ja yhteiset palvelut kääntämisen, infrastruktuurin, logistiikan ja tietotekniikan aloilla, samalla kun se säilyttää täyden institutionaalisen riippumattomuutensa; panee merkille, että 1. lokakuuta 2022 perustettiin uudet yhteispalvelut, joihin kuuluu uusi innovoinnin ja tietotekniikan osasto, turvallisuusasioiden yksikkö ja julkisista hankinnoista ja varainhoidosta vastaava yksikkö, jotka ovat osa alueiden komitean kanssa vuonna 2022 tehtyä yhteistyösopimusta; panee lisäksi merkille, että vuonna 2022 komitean ja alueiden komitean yhteisissä palveluissa työskenteli 470 henkilöstön jäsentä ja niiden yhteiset menot kattoivat 55 miljoonaa euroa, joista yli 30 miljoonaa euroa tuli komitealta, lukuun ottamatta palkkoihin liittyviä menoja; kehottaa komiteaa jatkamaan ja laajentamaan tätä yhteistyötä muilla aloilla päällekkäisyyksien välttämiseksi ja komitean ja alueiden komitean yhteisissä tiloissa tarjottavien palvelujen toimintakustannusten järkeistämiseksi edelleen; kehottaa komiteaa ja alueiden komiteaa tutkimaan mahdollisuutta perustaa yhteisille yksiköilleen yhteinen hallintorakenne, jossa olisi erilliset osastot tai yksiköt niiden erityisiin ja riippumattomiin toimeksiantoihin liittyville asioille;</w:t>
      </w:r>
    </w:p>
    <w:p w:rsidR="00D175FA" w:rsidRPr="009F47E5" w:rsidRDefault="00D175FA" w:rsidP="00CC2452">
      <w:pPr>
        <w:pStyle w:val="NormalHanging12a"/>
        <w:widowControl/>
      </w:pPr>
      <w:r w:rsidRPr="009F47E5">
        <w:t>57.</w:t>
      </w:r>
      <w:r w:rsidRPr="009F47E5">
        <w:tab/>
        <w:t>pitää myönteisenä komitean pyrkimystä saada aikaan synergioita hankkimalla palveluja muilta toimielimiltä palvelutasosopimusten avulla ja osallistumalla toimielinten välisiin koordinointielimiin ja toimielinten välisiin hankintamenettelyihin; panee merkille, että parlamentti tarjoaa tulkkauspalveluja parlamentin tiloissa järjestettäville komitean täysistunnoille ja joillekin komitean tiloissa järjestettäville kokouksille;</w:t>
      </w:r>
    </w:p>
    <w:p w:rsidR="00D175FA" w:rsidRPr="009F47E5" w:rsidRDefault="00D175FA" w:rsidP="00CC2452">
      <w:pPr>
        <w:pStyle w:val="NormalHanging12a"/>
        <w:widowControl/>
      </w:pPr>
      <w:r w:rsidRPr="009F47E5">
        <w:t>58.</w:t>
      </w:r>
      <w:r w:rsidRPr="009F47E5">
        <w:tab/>
        <w:t>pitää myönteisenä komitean tiiviimpää osallistumista lainsäädäntösykliin ja pyytää komiteaa varmistamaan, että sen lausunnot jaetaan parlamentin asianomaisten valiokuntien jäsenille parlamentin ja komitean välisen yhteistyösopimuksen mukaisesti;</w:t>
      </w:r>
    </w:p>
    <w:p w:rsidR="00D175FA" w:rsidRPr="009F47E5" w:rsidRDefault="00D175FA" w:rsidP="00CC2452">
      <w:pPr>
        <w:pStyle w:val="NormalHanging12a"/>
        <w:widowControl/>
      </w:pPr>
      <w:r w:rsidRPr="009F47E5">
        <w:lastRenderedPageBreak/>
        <w:t>59.</w:t>
      </w:r>
      <w:r w:rsidRPr="009F47E5">
        <w:tab/>
        <w:t>panee merkille, että komitea jatkoi ja tiivisti yhteistyötään komission kanssa vuonna 2022 komission tutkinta- ja kurinpitotoimiston kanssa tuen tarjoamisesta hallinnollisiin tutkimuksiin tehdyn palvelutasosopimuksen yhteydessä ja vuonna 2022 päivitetyn yhteistyöpöytäkirjan puitteissa, mikä vahvistaa poliittisia, lainsäädännöllisiä ja viestintään liittyviä synergioita näiden kahden toimielimen välillä erityisesti eurooppalaisen kansalaisaloitteen ja eurooppalaisen ohjausjakson täytäntöönpanossa; panee merkille, että komissio lisäsi päivitetyn pöytäkirjan mukaisesti komitean valmistelevien lausuntojen käyttöä, mikä vahvisti komitean osallistumista unionin lainsäädäntösykliin;</w:t>
      </w:r>
    </w:p>
    <w:p w:rsidR="00D175FA" w:rsidRPr="009F47E5" w:rsidRDefault="00D175FA" w:rsidP="00CC2452">
      <w:pPr>
        <w:pStyle w:val="NormalHanging12a"/>
        <w:widowControl/>
      </w:pPr>
      <w:r w:rsidRPr="009F47E5">
        <w:t>60.</w:t>
      </w:r>
      <w:r w:rsidRPr="009F47E5">
        <w:tab/>
        <w:t>panee merkille, että komitealla on keskeinen tehtävä jäsenvaltioiden kansallisten talous- ja sosiaalineuvostojen yhteyksien vahvistamisessa; kannustaa komiteaa jatkamaan yhteistyön tukemista yhteisen kiinnostuksen kohteena olevien aiheiden ja hyvien käytäntöjen aloilla ja korostamaan, kuinka kansalaisyhteiskunta voi auttaa unionin nykyisiin haasteisiin vastaamisessa, erityisesti henkilöstövaihdoin ja yhteisten tapahtumien avulla;</w:t>
      </w:r>
    </w:p>
    <w:p w:rsidR="00D175FA" w:rsidRPr="009F47E5" w:rsidRDefault="00D175FA" w:rsidP="00D210F6">
      <w:pPr>
        <w:pStyle w:val="NormalHanging12a"/>
        <w:keepNext/>
        <w:widowControl/>
        <w:rPr>
          <w:b/>
          <w:i/>
        </w:rPr>
      </w:pPr>
      <w:r w:rsidRPr="009F47E5">
        <w:rPr>
          <w:b/>
          <w:i/>
        </w:rPr>
        <w:t>Viestintä</w:t>
      </w:r>
    </w:p>
    <w:p w:rsidR="00D175FA" w:rsidRPr="009F47E5" w:rsidRDefault="00D175FA" w:rsidP="00CC2452">
      <w:pPr>
        <w:pStyle w:val="NormalHanging12a"/>
        <w:widowControl/>
      </w:pPr>
      <w:r w:rsidRPr="009F47E5">
        <w:t>61.</w:t>
      </w:r>
      <w:r w:rsidRPr="009F47E5">
        <w:tab/>
        <w:t>panee merkille, että vuonna 2022 komitean viestinnän kokonaismäärärahat olivat 1,5 miljoonaa euroa eli saman verran kuin vuonna 2021; panee merkille, että nämä määrärahat oli ensisijaisesti osoitettu komitean verkkosivuston kehittämiseen ja ylläpitoon, viestintään sosiaalisessa mediassa, tiedotusvälineiden seurantaan, mediasuhteisiin ja edistämään komitean tärkeitä toimia ja tapahtumia, kuten kansalaisyhteiskuntapalkintoa ja komitean toimia, jotka liittyvät Euroopan tulevaisuuskonferenssiin ja komitean tukeen Ukrainalle;</w:t>
      </w:r>
    </w:p>
    <w:p w:rsidR="00D175FA" w:rsidRPr="009F47E5" w:rsidRDefault="00D175FA" w:rsidP="00CC2452">
      <w:pPr>
        <w:pStyle w:val="NormalHanging12a"/>
        <w:widowControl/>
      </w:pPr>
      <w:r w:rsidRPr="009F47E5">
        <w:t>62.</w:t>
      </w:r>
      <w:r w:rsidRPr="009F47E5">
        <w:tab/>
        <w:t>pitää myönteisenä, että komitea otti lokakuussa 2022 käyttöön uuden datavetoisen viestintästrategian, jolla pyritään lisäämään komitean viestinnän tavoittavuutta ja sen lausuntojen vaikuttavuutta ja jossa määritellään sen viestinnän pääkohteiksi kansalaisyhteiskunnan eurooppalaiset organisaatiot ja muut unionin toimielimet; panee lisäksi merkille, että vuonna 2022 komitea päivitti kumppanuutta koskevia sääntöjään lisätäkseen strategista osallistumistaan kansalaisyhteiskunnan eurooppalaisiin organisaatioihin temaattisten tapahtumien kautta;</w:t>
      </w:r>
    </w:p>
    <w:p w:rsidR="00D175FA" w:rsidRPr="009F47E5" w:rsidRDefault="00D175FA" w:rsidP="00CC2452">
      <w:pPr>
        <w:pStyle w:val="NormalHanging12a"/>
        <w:widowControl/>
      </w:pPr>
      <w:r w:rsidRPr="009F47E5">
        <w:t>63.</w:t>
      </w:r>
      <w:r w:rsidRPr="009F47E5">
        <w:tab/>
        <w:t xml:space="preserve">panee merkille, että komitea järjesti tärkeitä hybriditapahtumia kansalaisyhteiskunnalle tärkeistä ajankohtaisista aiheista, kuten eurooppalaisen tulevaisuuskonferenssin korkean tason tapahtuman ”Yhdessä rakentamassa Eurooppaa – tulevaisuus on käsissäsi”, vuotuisen ”Sinun Eurooppasi, sinun mielipiteesi” ‑nuorisotapahtuman unionin ja ehdokasmaiden oppilaille ja opettajille sekä vuotuisen nuorisotäysistunnon ”Totuus valheista: Nuoret haastavat </w:t>
      </w:r>
      <w:proofErr w:type="spellStart"/>
      <w:r w:rsidRPr="009F47E5">
        <w:t>disinformaation</w:t>
      </w:r>
      <w:proofErr w:type="spellEnd"/>
      <w:r w:rsidRPr="009F47E5">
        <w:t>” opiskelijoille; panee merkille, että komitea järjesti myös kohdennetumpia toimia, joissa keskityttiin nuorison teemavuoteen ja Venäjän hyökkäyssotaan Ukrainaa vastaan ja jotka oli tarkoitettu toimittajille ja kansalaisyhteiskunnan eurooppalaisten organisaatioiden viestintäammattilaisille;</w:t>
      </w:r>
    </w:p>
    <w:p w:rsidR="00D175FA" w:rsidRPr="009F47E5" w:rsidRDefault="00D175FA" w:rsidP="00CC2452">
      <w:pPr>
        <w:pStyle w:val="NormalHanging12a"/>
        <w:widowControl/>
      </w:pPr>
      <w:r w:rsidRPr="009F47E5">
        <w:t>64.</w:t>
      </w:r>
      <w:r w:rsidRPr="009F47E5">
        <w:tab/>
        <w:t xml:space="preserve">pitää myönteisenä, että komitean viestinnän kokonaistavoittavuus kasvoi vuonna 2022 verrattuna vuoteen 2021 erityisesti medianäkyvyyden sekä verkossa ja sosiaalisessa mediassa läsnäolon ansiosta; panee merkille, että vierailut virallisella Facebook-sivulla kasvoivat 96,9 prosenttia (57 000 vierailua) ja vierailujen määrä Instagram-tilillä 97,9 prosenttia (20 000 vierailua), kun taas Facebook-käyttäjien määrä kasvoi 1,1 prosenttia (6 miljoonaa käyttäjää), tavoittavuus Instagramissa kasvoi 33 prosenttia </w:t>
      </w:r>
      <w:r w:rsidRPr="009F47E5">
        <w:lastRenderedPageBreak/>
        <w:t xml:space="preserve">(yli 3 miljoonaa käyttäjää), </w:t>
      </w:r>
      <w:proofErr w:type="spellStart"/>
      <w:r w:rsidRPr="009F47E5">
        <w:t>LinkedInissä</w:t>
      </w:r>
      <w:proofErr w:type="spellEnd"/>
      <w:r w:rsidRPr="009F47E5">
        <w:t xml:space="preserve"> julkaistut </w:t>
      </w:r>
      <w:r w:rsidR="00CC2452" w:rsidRPr="009F47E5">
        <w:t>viestit saivat aikaan lähes 1,2 </w:t>
      </w:r>
      <w:r w:rsidRPr="009F47E5">
        <w:t>miljoonaa katselukertaa ja X:ssä (entinen Twitter) jul</w:t>
      </w:r>
      <w:r w:rsidR="00CC2452" w:rsidRPr="009F47E5">
        <w:t xml:space="preserve">kaistut </w:t>
      </w:r>
      <w:proofErr w:type="spellStart"/>
      <w:r w:rsidR="00CC2452" w:rsidRPr="009F47E5">
        <w:t>tviitit</w:t>
      </w:r>
      <w:proofErr w:type="spellEnd"/>
      <w:r w:rsidR="00CC2452" w:rsidRPr="009F47E5">
        <w:t xml:space="preserve"> keräsivät yli 6 </w:t>
      </w:r>
      <w:r w:rsidRPr="009F47E5">
        <w:t xml:space="preserve">miljoonaa katselukertaa; on tyytyväinen, että komitea osallistuu vuodesta 2023 alkaen Euroopan tietosuojavaltuutetun johtamaan pilottihankkeeseen, jonka tarkoituksena on tuoda unionin toimielimet EU Voiceen ja EU Videoon, jotka ovat </w:t>
      </w:r>
      <w:proofErr w:type="spellStart"/>
      <w:r w:rsidRPr="009F47E5">
        <w:t>Mastodon</w:t>
      </w:r>
      <w:proofErr w:type="spellEnd"/>
      <w:r w:rsidRPr="009F47E5">
        <w:t xml:space="preserve">-ohjelmistoon perustuvia avoimen lähdekoodin sosiaalisen median verkostoja, joissa unionin toimielimet voivat olla vuorovaikutuksessa yleisön kanssa jakamalla tekstejä, kuvia, videoita ja </w:t>
      </w:r>
      <w:proofErr w:type="spellStart"/>
      <w:r w:rsidRPr="009F47E5">
        <w:t>podcasteja</w:t>
      </w:r>
      <w:proofErr w:type="spellEnd"/>
      <w:r w:rsidRPr="009F47E5">
        <w:t>;</w:t>
      </w:r>
    </w:p>
    <w:p w:rsidR="00E365E1" w:rsidRPr="006E1F6F" w:rsidRDefault="00D175FA" w:rsidP="00D210F6">
      <w:pPr>
        <w:pStyle w:val="NormalHanging12a"/>
        <w:widowControl/>
      </w:pPr>
      <w:r w:rsidRPr="009F47E5">
        <w:t>65.</w:t>
      </w:r>
      <w:r w:rsidRPr="009F47E5">
        <w:tab/>
        <w:t>panee tyytyväisenä merkille, että komitea varmistaa kansalaisille avoimen pääsyn asiakirjoihinsa sähköisen rekisterin kautta; panee merkille, että komitea tukee komission avoimen datan portaalia omilla tietoaineistoillaan, mikä edistää sen toimintojen avoimuutta, kun tiedot ovat vapaasti saatavilla ihmisten ja koneiden luettavissa muodoissa, ja vahvistaa yhteyttä kansalaisiin.</w:t>
      </w:r>
      <w:bookmarkStart w:id="9" w:name="TextBodyEnd"/>
      <w:bookmarkEnd w:id="9"/>
    </w:p>
    <w:sectPr w:rsidR="00E365E1" w:rsidRPr="006E1F6F" w:rsidSect="006E1F6F">
      <w:headerReference w:type="even" r:id="rId11"/>
      <w:headerReference w:type="default" r:id="rId12"/>
      <w:footerReference w:type="even"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2BB2" w:rsidRPr="006E1F6F" w:rsidRDefault="00ED2BB2">
      <w:r w:rsidRPr="006E1F6F">
        <w:separator/>
      </w:r>
    </w:p>
  </w:endnote>
  <w:endnote w:type="continuationSeparator" w:id="0">
    <w:p w:rsidR="00ED2BB2" w:rsidRPr="006E1F6F" w:rsidRDefault="00ED2BB2">
      <w:r w:rsidRPr="006E1F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75FA" w:rsidRPr="006E1F6F" w:rsidRDefault="00D175FA" w:rsidP="00A06E6B">
    <w:pPr>
      <w:pStyle w:val="EPFooter"/>
    </w:pPr>
    <w:r w:rsidRPr="006E1F6F">
      <w:t>PE</w:t>
    </w:r>
    <w:r w:rsidRPr="006E1F6F">
      <w:rPr>
        <w:rStyle w:val="HideTWBExt"/>
      </w:rPr>
      <w:t>&lt;NoPE&gt;</w:t>
    </w:r>
    <w:r w:rsidRPr="006E1F6F">
      <w:t>753.483</w:t>
    </w:r>
    <w:r w:rsidRPr="006E1F6F">
      <w:rPr>
        <w:rStyle w:val="HideTWBExt"/>
      </w:rPr>
      <w:t>&lt;/NoPE&gt;&lt;Version&gt;</w:t>
    </w:r>
    <w:r w:rsidRPr="006E1F6F">
      <w:t>v02-00</w:t>
    </w:r>
    <w:r w:rsidRPr="006E1F6F">
      <w:rPr>
        <w:rStyle w:val="HideTWBExt"/>
      </w:rPr>
      <w:t>&lt;/Version&gt;</w:t>
    </w:r>
    <w:r w:rsidRPr="006E1F6F">
      <w:tab/>
    </w:r>
    <w:r w:rsidRPr="006E1F6F">
      <w:fldChar w:fldCharType="begin"/>
    </w:r>
    <w:r w:rsidRPr="006E1F6F">
      <w:instrText xml:space="preserve"> PAGE  \* MERGEFORMAT </w:instrText>
    </w:r>
    <w:r w:rsidRPr="006E1F6F">
      <w:fldChar w:fldCharType="separate"/>
    </w:r>
    <w:r w:rsidRPr="006E1F6F">
      <w:rPr>
        <w:noProof/>
      </w:rPr>
      <w:t>2</w:t>
    </w:r>
    <w:r w:rsidRPr="006E1F6F">
      <w:fldChar w:fldCharType="end"/>
    </w:r>
    <w:r w:rsidRPr="006E1F6F">
      <w:t>/</w:t>
    </w:r>
    <w:fldSimple w:instr=" NUMPAGES  \* MERGEFORMAT ">
      <w:r w:rsidRPr="006E1F6F">
        <w:rPr>
          <w:noProof/>
        </w:rPr>
        <w:t>2</w:t>
      </w:r>
    </w:fldSimple>
    <w:r w:rsidRPr="006E1F6F">
      <w:tab/>
    </w:r>
    <w:r w:rsidRPr="006E1F6F">
      <w:rPr>
        <w:rStyle w:val="HideTWBExt"/>
      </w:rPr>
      <w:t>&lt;PathFdR&gt;</w:t>
    </w:r>
    <w:r w:rsidRPr="006E1F6F">
      <w:t>RR\1298480FI.docx</w:t>
    </w:r>
    <w:r w:rsidRPr="006E1F6F">
      <w:rPr>
        <w:rStyle w:val="HideTWBExt"/>
      </w:rPr>
      <w:t>&lt;/PathFdR&gt;</w:t>
    </w:r>
  </w:p>
  <w:p w:rsidR="00D175FA" w:rsidRPr="006E1F6F" w:rsidRDefault="00D175FA" w:rsidP="00A06E6B">
    <w:pPr>
      <w:pStyle w:val="EPFooter2"/>
    </w:pPr>
    <w:r w:rsidRPr="006E1F6F">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75FA" w:rsidRPr="006E1F6F" w:rsidRDefault="00D175FA" w:rsidP="00A06E6B">
    <w:pPr>
      <w:pStyle w:val="EPFooter"/>
    </w:pPr>
    <w:r w:rsidRPr="006E1F6F">
      <w:rPr>
        <w:rStyle w:val="HideTWBExt"/>
      </w:rPr>
      <w:t>&lt;PathFdR&gt;</w:t>
    </w:r>
    <w:r w:rsidRPr="006E1F6F">
      <w:t>RR\1298480FI.docx</w:t>
    </w:r>
    <w:r w:rsidRPr="006E1F6F">
      <w:rPr>
        <w:rStyle w:val="HideTWBExt"/>
      </w:rPr>
      <w:t>&lt;/PathFdR&gt;</w:t>
    </w:r>
    <w:r w:rsidRPr="006E1F6F">
      <w:tab/>
    </w:r>
    <w:r w:rsidRPr="006E1F6F">
      <w:tab/>
      <w:t>PE</w:t>
    </w:r>
    <w:r w:rsidRPr="006E1F6F">
      <w:rPr>
        <w:rStyle w:val="HideTWBExt"/>
      </w:rPr>
      <w:t>&lt;NoPE&gt;</w:t>
    </w:r>
    <w:r w:rsidRPr="006E1F6F">
      <w:t>753.483</w:t>
    </w:r>
    <w:r w:rsidRPr="006E1F6F">
      <w:rPr>
        <w:rStyle w:val="HideTWBExt"/>
      </w:rPr>
      <w:t>&lt;/NoPE&gt;&lt;Version&gt;</w:t>
    </w:r>
    <w:r w:rsidRPr="006E1F6F">
      <w:t>v02-00</w:t>
    </w:r>
    <w:r w:rsidRPr="006E1F6F">
      <w:rPr>
        <w:rStyle w:val="HideTWBExt"/>
      </w:rPr>
      <w:t>&lt;/Version&gt;</w:t>
    </w:r>
  </w:p>
  <w:p w:rsidR="00D175FA" w:rsidRPr="006E1F6F" w:rsidRDefault="00D175FA" w:rsidP="00A06E6B">
    <w:pPr>
      <w:pStyle w:val="EPFooter2"/>
    </w:pPr>
    <w:r w:rsidRPr="006E1F6F">
      <w:t>FI</w:t>
    </w:r>
    <w:r w:rsidRPr="006E1F6F">
      <w:tab/>
    </w:r>
    <w:r w:rsidRPr="006E1F6F">
      <w:rPr>
        <w:b w:val="0"/>
        <w:i/>
        <w:color w:val="C0C0C0"/>
        <w:sz w:val="22"/>
      </w:rPr>
      <w:t>Moninaisuudessaan yhtenäinen</w:t>
    </w:r>
    <w:r w:rsidRPr="006E1F6F">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1F6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1F6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2BB2" w:rsidRPr="006E1F6F" w:rsidRDefault="00ED2BB2">
      <w:r w:rsidRPr="006E1F6F">
        <w:separator/>
      </w:r>
    </w:p>
  </w:footnote>
  <w:footnote w:type="continuationSeparator" w:id="0">
    <w:p w:rsidR="00ED2BB2" w:rsidRPr="006E1F6F" w:rsidRDefault="00ED2BB2">
      <w:r w:rsidRPr="006E1F6F">
        <w:continuationSeparator/>
      </w:r>
    </w:p>
  </w:footnote>
  <w:footnote w:id="1">
    <w:p w:rsidR="00D175FA" w:rsidRPr="006E1F6F" w:rsidRDefault="00D175FA" w:rsidP="006E1F6F">
      <w:pPr>
        <w:pStyle w:val="FootnoteText"/>
        <w:ind w:left="567" w:hanging="567"/>
        <w:rPr>
          <w:sz w:val="24"/>
          <w:lang w:val="fi-FI"/>
        </w:rPr>
      </w:pPr>
      <w:r w:rsidRPr="006E1F6F">
        <w:rPr>
          <w:rStyle w:val="FootnoteReference"/>
          <w:sz w:val="24"/>
          <w:lang w:val="fi-FI"/>
        </w:rPr>
        <w:footnoteRef/>
      </w:r>
      <w:r w:rsidR="006E1F6F" w:rsidRPr="006E1F6F">
        <w:rPr>
          <w:sz w:val="24"/>
          <w:lang w:val="fi-FI"/>
        </w:rPr>
        <w:t xml:space="preserve"> </w:t>
      </w:r>
      <w:r w:rsidR="006E1F6F" w:rsidRPr="006E1F6F">
        <w:rPr>
          <w:sz w:val="24"/>
          <w:lang w:val="fi-FI"/>
        </w:rPr>
        <w:tab/>
      </w:r>
      <w:r w:rsidRPr="006E1F6F">
        <w:rPr>
          <w:sz w:val="24"/>
          <w:lang w:val="fi-FI"/>
        </w:rPr>
        <w:t>EUVL L 45, 24.2.2022.</w:t>
      </w:r>
    </w:p>
  </w:footnote>
  <w:footnote w:id="2">
    <w:p w:rsidR="00D175FA" w:rsidRPr="006E1F6F" w:rsidRDefault="00D175FA" w:rsidP="006E1F6F">
      <w:pPr>
        <w:pStyle w:val="FootnoteText"/>
        <w:ind w:left="567" w:hanging="567"/>
        <w:rPr>
          <w:sz w:val="24"/>
          <w:lang w:val="fi-FI"/>
        </w:rPr>
      </w:pPr>
      <w:r w:rsidRPr="006E1F6F">
        <w:rPr>
          <w:rStyle w:val="FootnoteReference"/>
          <w:sz w:val="24"/>
          <w:lang w:val="fi-FI"/>
        </w:rPr>
        <w:footnoteRef/>
      </w:r>
      <w:r w:rsidR="006E1F6F" w:rsidRPr="006E1F6F">
        <w:rPr>
          <w:sz w:val="24"/>
          <w:lang w:val="fi-FI"/>
        </w:rPr>
        <w:t xml:space="preserve"> </w:t>
      </w:r>
      <w:r w:rsidR="006E1F6F" w:rsidRPr="006E1F6F">
        <w:rPr>
          <w:sz w:val="24"/>
          <w:lang w:val="fi-FI"/>
        </w:rPr>
        <w:tab/>
      </w:r>
      <w:r w:rsidRPr="006E1F6F">
        <w:rPr>
          <w:sz w:val="24"/>
          <w:lang w:val="fi-FI"/>
        </w:rPr>
        <w:t>EUVL C, C/2023/2, 12.10.2023.</w:t>
      </w:r>
    </w:p>
  </w:footnote>
  <w:footnote w:id="3">
    <w:p w:rsidR="00D175FA" w:rsidRPr="006E1F6F" w:rsidRDefault="00D175FA" w:rsidP="006E1F6F">
      <w:pPr>
        <w:pStyle w:val="FootnoteText"/>
        <w:ind w:left="567" w:hanging="567"/>
        <w:rPr>
          <w:sz w:val="24"/>
          <w:lang w:val="fi-FI"/>
        </w:rPr>
      </w:pPr>
      <w:r w:rsidRPr="006E1F6F">
        <w:rPr>
          <w:rStyle w:val="FootnoteReference"/>
          <w:sz w:val="24"/>
          <w:lang w:val="fi-FI"/>
        </w:rPr>
        <w:footnoteRef/>
      </w:r>
      <w:r w:rsidR="006E1F6F" w:rsidRPr="006E1F6F">
        <w:rPr>
          <w:sz w:val="24"/>
          <w:lang w:val="fi-FI"/>
        </w:rPr>
        <w:t xml:space="preserve"> </w:t>
      </w:r>
      <w:r w:rsidR="006E1F6F" w:rsidRPr="006E1F6F">
        <w:rPr>
          <w:sz w:val="24"/>
          <w:lang w:val="fi-FI"/>
        </w:rPr>
        <w:tab/>
      </w:r>
      <w:r w:rsidRPr="006E1F6F">
        <w:rPr>
          <w:sz w:val="24"/>
          <w:lang w:val="fi-FI"/>
        </w:rPr>
        <w:t>EUVL C, C/2023/103, 4.10.2023.</w:t>
      </w:r>
    </w:p>
  </w:footnote>
  <w:footnote w:id="4">
    <w:p w:rsidR="00D175FA" w:rsidRPr="006E1F6F" w:rsidRDefault="00D175FA" w:rsidP="006E1F6F">
      <w:pPr>
        <w:pStyle w:val="FootnoteText"/>
        <w:ind w:left="567" w:hanging="567"/>
        <w:rPr>
          <w:sz w:val="24"/>
          <w:lang w:val="fi-FI"/>
        </w:rPr>
      </w:pPr>
      <w:r w:rsidRPr="006E1F6F">
        <w:rPr>
          <w:rStyle w:val="FootnoteReference"/>
          <w:sz w:val="24"/>
          <w:lang w:val="fi-FI"/>
        </w:rPr>
        <w:footnoteRef/>
      </w:r>
      <w:r w:rsidR="006E1F6F" w:rsidRPr="006E1F6F">
        <w:rPr>
          <w:sz w:val="24"/>
          <w:lang w:val="fi-FI"/>
        </w:rPr>
        <w:t xml:space="preserve"> </w:t>
      </w:r>
      <w:r w:rsidR="006E1F6F" w:rsidRPr="006E1F6F">
        <w:rPr>
          <w:sz w:val="24"/>
          <w:lang w:val="fi-FI"/>
        </w:rPr>
        <w:tab/>
      </w:r>
      <w:r w:rsidRPr="006E1F6F">
        <w:rPr>
          <w:sz w:val="24"/>
          <w:lang w:val="fi-FI"/>
        </w:rPr>
        <w:t>EUVL C, C/2023/112, 12.10.2023.</w:t>
      </w:r>
    </w:p>
  </w:footnote>
  <w:footnote w:id="5">
    <w:p w:rsidR="00D175FA" w:rsidRPr="006E1F6F" w:rsidRDefault="00D175FA" w:rsidP="006E1F6F">
      <w:pPr>
        <w:pStyle w:val="FootnoteText"/>
        <w:ind w:left="567" w:hanging="567"/>
        <w:rPr>
          <w:sz w:val="24"/>
          <w:lang w:val="fi-FI"/>
        </w:rPr>
      </w:pPr>
      <w:r w:rsidRPr="006E1F6F">
        <w:rPr>
          <w:rStyle w:val="FootnoteReference"/>
          <w:sz w:val="24"/>
          <w:lang w:val="fi-FI"/>
        </w:rPr>
        <w:footnoteRef/>
      </w:r>
      <w:r w:rsidR="006E1F6F" w:rsidRPr="006E1F6F">
        <w:rPr>
          <w:sz w:val="24"/>
          <w:lang w:val="fi-FI"/>
        </w:rPr>
        <w:t xml:space="preserve"> </w:t>
      </w:r>
      <w:r w:rsidR="006E1F6F" w:rsidRPr="006E1F6F">
        <w:rPr>
          <w:sz w:val="24"/>
          <w:lang w:val="fi-FI"/>
        </w:rPr>
        <w:tab/>
      </w:r>
      <w:r w:rsidRPr="006E1F6F">
        <w:rPr>
          <w:sz w:val="24"/>
          <w:lang w:val="fi-FI"/>
        </w:rPr>
        <w:t>EUVL L 193, 30.7.2018, s. 1.</w:t>
      </w:r>
    </w:p>
  </w:footnote>
  <w:footnote w:id="6">
    <w:p w:rsidR="00D175FA" w:rsidRPr="006E1F6F" w:rsidRDefault="00D175FA" w:rsidP="006E1F6F">
      <w:pPr>
        <w:pStyle w:val="FootnoteText"/>
        <w:ind w:left="567" w:hanging="567"/>
        <w:rPr>
          <w:sz w:val="24"/>
          <w:lang w:val="fi-FI"/>
        </w:rPr>
      </w:pPr>
      <w:r w:rsidRPr="006E1F6F">
        <w:rPr>
          <w:rStyle w:val="FootnoteReference"/>
          <w:sz w:val="24"/>
          <w:lang w:val="fi-FI"/>
        </w:rPr>
        <w:footnoteRef/>
      </w:r>
      <w:r w:rsidR="006E1F6F" w:rsidRPr="006E1F6F">
        <w:rPr>
          <w:sz w:val="24"/>
          <w:lang w:val="fi-FI"/>
        </w:rPr>
        <w:t xml:space="preserve"> </w:t>
      </w:r>
      <w:r w:rsidR="006E1F6F" w:rsidRPr="006E1F6F">
        <w:rPr>
          <w:sz w:val="24"/>
          <w:lang w:val="fi-FI"/>
        </w:rPr>
        <w:tab/>
      </w:r>
      <w:r w:rsidRPr="006E1F6F">
        <w:rPr>
          <w:sz w:val="24"/>
          <w:lang w:val="fi-FI"/>
        </w:rPr>
        <w:t>Unionin tuomioistuimen tuomio 6. lokakuuta 2022, KN v. Euroopan talous- ja sosiaalikomitea, C-673/21, ECLI:EU:C:2022:759.</w:t>
      </w:r>
    </w:p>
  </w:footnote>
  <w:footnote w:id="7">
    <w:p w:rsidR="00D175FA" w:rsidRPr="006E1F6F" w:rsidRDefault="00D175FA" w:rsidP="006E1F6F">
      <w:pPr>
        <w:pStyle w:val="FootnoteText"/>
        <w:ind w:left="567" w:hanging="567"/>
        <w:rPr>
          <w:sz w:val="24"/>
          <w:lang w:val="fi-FI"/>
        </w:rPr>
      </w:pPr>
      <w:r w:rsidRPr="006E1F6F">
        <w:rPr>
          <w:rStyle w:val="FootnoteReference"/>
          <w:sz w:val="24"/>
          <w:lang w:val="fi-FI"/>
        </w:rPr>
        <w:footnoteRef/>
      </w:r>
      <w:r w:rsidR="006E1F6F" w:rsidRPr="006E1F6F">
        <w:rPr>
          <w:sz w:val="24"/>
          <w:lang w:val="fi-FI"/>
        </w:rPr>
        <w:t xml:space="preserve"> </w:t>
      </w:r>
      <w:r w:rsidR="006E1F6F" w:rsidRPr="006E1F6F">
        <w:rPr>
          <w:sz w:val="24"/>
          <w:lang w:val="fi-FI"/>
        </w:rPr>
        <w:tab/>
      </w:r>
      <w:r w:rsidRPr="006E1F6F">
        <w:rPr>
          <w:sz w:val="24"/>
          <w:lang w:val="fi-FI"/>
        </w:rPr>
        <w:t>EUVL L 207, 11.6.2021,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1F6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1F6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1F6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2/2024"/>
    <w:docVar w:name="dvlangue" w:val="FI"/>
    <w:docVar w:name="dvnumam" w:val="0"/>
    <w:docVar w:name="dvpe" w:val="753.483"/>
    <w:docVar w:name="dvrapporteur" w:val="Esittelijä: "/>
    <w:docVar w:name="dvtitre" w:val="Euroopan parlamentin päätöslauselma xx. huhtikuuta 2024 vastuuvapauden myöntämisestä Euroopan unionin yleisen talousarvion toteuttamisesta varainhoitovuonna 2022, pääluokka VI – Talous- ja sosiaalikomitea(2023/2135(DEC))"/>
  </w:docVars>
  <w:rsids>
    <w:rsidRoot w:val="00ED2BB2"/>
    <w:rsid w:val="00002272"/>
    <w:rsid w:val="00064002"/>
    <w:rsid w:val="000677B9"/>
    <w:rsid w:val="000831BA"/>
    <w:rsid w:val="000A42CC"/>
    <w:rsid w:val="000E7DD9"/>
    <w:rsid w:val="0010095E"/>
    <w:rsid w:val="00125B37"/>
    <w:rsid w:val="00187494"/>
    <w:rsid w:val="001D0391"/>
    <w:rsid w:val="001F32AE"/>
    <w:rsid w:val="002767FF"/>
    <w:rsid w:val="002B18FE"/>
    <w:rsid w:val="002B5493"/>
    <w:rsid w:val="00343214"/>
    <w:rsid w:val="00361C00"/>
    <w:rsid w:val="00395FA1"/>
    <w:rsid w:val="003A5F99"/>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3EA4"/>
    <w:rsid w:val="005C2568"/>
    <w:rsid w:val="006037C0"/>
    <w:rsid w:val="0064246C"/>
    <w:rsid w:val="00642B42"/>
    <w:rsid w:val="006631B6"/>
    <w:rsid w:val="00680577"/>
    <w:rsid w:val="006E1F6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47E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2452"/>
    <w:rsid w:val="00CF071A"/>
    <w:rsid w:val="00D058B8"/>
    <w:rsid w:val="00D175FA"/>
    <w:rsid w:val="00D210F6"/>
    <w:rsid w:val="00D56C11"/>
    <w:rsid w:val="00D834A0"/>
    <w:rsid w:val="00D872DF"/>
    <w:rsid w:val="00D91E21"/>
    <w:rsid w:val="00DA7FCD"/>
    <w:rsid w:val="00E365E1"/>
    <w:rsid w:val="00E655E2"/>
    <w:rsid w:val="00E73C75"/>
    <w:rsid w:val="00E820A4"/>
    <w:rsid w:val="00EB006A"/>
    <w:rsid w:val="00EB4772"/>
    <w:rsid w:val="00ED169E"/>
    <w:rsid w:val="00ED2BB2"/>
    <w:rsid w:val="00ED4235"/>
    <w:rsid w:val="00F04346"/>
    <w:rsid w:val="00F075DC"/>
    <w:rsid w:val="00F149E9"/>
    <w:rsid w:val="00F5134D"/>
    <w:rsid w:val="00F74202"/>
    <w:rsid w:val="00F87713"/>
    <w:rsid w:val="00FB4360"/>
    <w:rsid w:val="00FD0C70"/>
    <w:rsid w:val="00FD64B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CA2B169-224C-4C07-8535-3FA1B0CA9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175F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175FA"/>
    <w:pPr>
      <w:spacing w:before="480" w:after="240"/>
    </w:pPr>
  </w:style>
  <w:style w:type="paragraph" w:customStyle="1" w:styleId="PageHeading">
    <w:name w:val="PageHeading"/>
    <w:basedOn w:val="Normal"/>
    <w:rsid w:val="00D175FA"/>
    <w:pPr>
      <w:keepNext/>
      <w:spacing w:after="480"/>
      <w:jc w:val="center"/>
    </w:pPr>
    <w:rPr>
      <w:rFonts w:ascii="Arial" w:hAnsi="Arial" w:cs="Arial"/>
      <w:b/>
    </w:rPr>
  </w:style>
  <w:style w:type="paragraph" w:customStyle="1" w:styleId="NormalBold">
    <w:name w:val="NormalBold"/>
    <w:basedOn w:val="Normal"/>
    <w:rsid w:val="00D175FA"/>
    <w:rPr>
      <w:b/>
    </w:rPr>
  </w:style>
  <w:style w:type="paragraph" w:customStyle="1" w:styleId="NormalHanging12a">
    <w:name w:val="NormalHanging12a"/>
    <w:basedOn w:val="Normal"/>
    <w:link w:val="NormalHanging12aChar"/>
    <w:qFormat/>
    <w:rsid w:val="00D175FA"/>
    <w:pPr>
      <w:spacing w:after="240"/>
      <w:ind w:left="567" w:hanging="567"/>
    </w:pPr>
    <w:rPr>
      <w:szCs w:val="24"/>
    </w:rPr>
  </w:style>
  <w:style w:type="paragraph" w:styleId="Header">
    <w:name w:val="header"/>
    <w:basedOn w:val="Normal"/>
    <w:link w:val="HeaderChar"/>
    <w:rsid w:val="00D175FA"/>
    <w:pPr>
      <w:tabs>
        <w:tab w:val="center" w:pos="4513"/>
        <w:tab w:val="right" w:pos="9026"/>
      </w:tabs>
    </w:pPr>
  </w:style>
  <w:style w:type="character" w:customStyle="1" w:styleId="HeaderChar">
    <w:name w:val="Header Char"/>
    <w:basedOn w:val="DefaultParagraphFont"/>
    <w:link w:val="Header"/>
    <w:rsid w:val="00D175FA"/>
    <w:rPr>
      <w:sz w:val="24"/>
      <w:lang w:val="fi-FI"/>
    </w:rPr>
  </w:style>
  <w:style w:type="paragraph" w:customStyle="1" w:styleId="EPFooter">
    <w:name w:val="EPFooter"/>
    <w:basedOn w:val="Normal"/>
    <w:rsid w:val="00D175FA"/>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D175FA"/>
    <w:rPr>
      <w:sz w:val="24"/>
      <w:szCs w:val="24"/>
      <w:lang w:val="fi-FI"/>
    </w:rPr>
  </w:style>
  <w:style w:type="paragraph" w:styleId="Footer">
    <w:name w:val="footer"/>
    <w:basedOn w:val="Normal"/>
    <w:link w:val="FooterChar"/>
    <w:rsid w:val="00CC2452"/>
    <w:pPr>
      <w:tabs>
        <w:tab w:val="center" w:pos="4513"/>
        <w:tab w:val="right" w:pos="9026"/>
      </w:tabs>
    </w:pPr>
  </w:style>
  <w:style w:type="character" w:customStyle="1" w:styleId="FooterChar">
    <w:name w:val="Footer Char"/>
    <w:basedOn w:val="DefaultParagraphFont"/>
    <w:link w:val="Footer"/>
    <w:rsid w:val="00CC2452"/>
    <w:rPr>
      <w:sz w:val="24"/>
      <w:lang w:val="fi-FI"/>
    </w:rPr>
  </w:style>
  <w:style w:type="paragraph" w:styleId="BalloonText">
    <w:name w:val="Balloon Text"/>
    <w:basedOn w:val="Normal"/>
    <w:link w:val="BalloonTextChar"/>
    <w:rsid w:val="00FD64B7"/>
    <w:rPr>
      <w:rFonts w:ascii="Segoe UI" w:hAnsi="Segoe UI" w:cs="Segoe UI"/>
      <w:sz w:val="18"/>
      <w:szCs w:val="18"/>
    </w:rPr>
  </w:style>
  <w:style w:type="character" w:customStyle="1" w:styleId="BalloonTextChar">
    <w:name w:val="Balloon Text Char"/>
    <w:basedOn w:val="DefaultParagraphFont"/>
    <w:link w:val="BalloonText"/>
    <w:rsid w:val="00FD64B7"/>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73EE4D-2B4F-41DC-A036-A8F221C1F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5022</Words>
  <Characters>42527</Characters>
  <Application>Microsoft Office Word</Application>
  <DocSecurity>0</DocSecurity>
  <Lines>354</Lines>
  <Paragraphs>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KINNUNEN Hannele</cp:lastModifiedBy>
  <cp:revision>2</cp:revision>
  <cp:lastPrinted>2004-11-19T15:42:00Z</cp:lastPrinted>
  <dcterms:created xsi:type="dcterms:W3CDTF">2024-09-12T11:35:00Z</dcterms:created>
  <dcterms:modified xsi:type="dcterms:W3CDTF">2024-09-12T11:35:00Z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P9_TA(2024)0232_</vt:lpwstr>
  </property>
  <property fmtid="{D5CDD505-2E9C-101B-9397-08002B2CF9AE}" pid="4" name="&lt;Type&gt;">
    <vt:lpwstr>RR</vt:lpwstr>
  </property>
</Properties>
</file>