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180D" w:rsidTr="0010095E">
        <w:trPr>
          <w:trHeight w:hRule="exact" w:val="1418"/>
        </w:trPr>
        <w:tc>
          <w:tcPr>
            <w:tcW w:w="6804" w:type="dxa"/>
            <w:shd w:val="clear" w:color="auto" w:fill="auto"/>
            <w:vAlign w:val="center"/>
          </w:tcPr>
          <w:p w:rsidR="00751A4A" w:rsidRPr="009D180D" w:rsidRDefault="00415FC2" w:rsidP="0010095E">
            <w:pPr>
              <w:pStyle w:val="EPName"/>
            </w:pPr>
            <w:r w:rsidRPr="009D180D">
              <w:t>Europos Parlamentas</w:t>
            </w:r>
          </w:p>
          <w:p w:rsidR="00751A4A" w:rsidRPr="009D180D" w:rsidRDefault="00817416" w:rsidP="00756632">
            <w:pPr>
              <w:pStyle w:val="EPTerm"/>
              <w:rPr>
                <w:rStyle w:val="HideTWBExt"/>
                <w:noProof w:val="0"/>
                <w:vanish w:val="0"/>
                <w:color w:val="auto"/>
              </w:rPr>
            </w:pPr>
            <w:r w:rsidRPr="009D180D">
              <w:t>2019-2024</w:t>
            </w:r>
          </w:p>
        </w:tc>
        <w:tc>
          <w:tcPr>
            <w:tcW w:w="2268" w:type="dxa"/>
            <w:shd w:val="clear" w:color="auto" w:fill="auto"/>
          </w:tcPr>
          <w:p w:rsidR="00751A4A" w:rsidRPr="009D180D" w:rsidRDefault="00187494" w:rsidP="0010095E">
            <w:pPr>
              <w:pStyle w:val="EPLogo"/>
            </w:pPr>
            <w:r w:rsidRPr="009D180D">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D180D" w:rsidRDefault="00D058B8" w:rsidP="004C5D52">
      <w:pPr>
        <w:pStyle w:val="LineTop"/>
      </w:pPr>
    </w:p>
    <w:p w:rsidR="00680577" w:rsidRPr="009D180D" w:rsidRDefault="00415FC2" w:rsidP="00680577">
      <w:pPr>
        <w:pStyle w:val="EPBodyTA1"/>
      </w:pPr>
      <w:r w:rsidRPr="009D180D">
        <w:t>PRIIMTI TEKSTAI</w:t>
      </w:r>
    </w:p>
    <w:p w:rsidR="00D058B8" w:rsidRPr="009D180D" w:rsidRDefault="00D058B8" w:rsidP="00D058B8">
      <w:pPr>
        <w:pStyle w:val="LineBottom"/>
      </w:pPr>
    </w:p>
    <w:p w:rsidR="00415FC2" w:rsidRPr="009D180D" w:rsidRDefault="00415FC2" w:rsidP="00415FC2">
      <w:pPr>
        <w:pStyle w:val="ATHeading1"/>
      </w:pPr>
      <w:bookmarkStart w:id="0" w:name="TANumber"/>
      <w:r w:rsidRPr="009D180D">
        <w:t>P9_TA(2024)0</w:t>
      </w:r>
      <w:r w:rsidR="005D7F78">
        <w:t>232</w:t>
      </w:r>
      <w:bookmarkEnd w:id="0"/>
    </w:p>
    <w:p w:rsidR="00415FC2" w:rsidRPr="009D180D" w:rsidRDefault="00415FC2" w:rsidP="00415FC2">
      <w:pPr>
        <w:pStyle w:val="ATHeading2"/>
      </w:pPr>
      <w:bookmarkStart w:id="1" w:name="title"/>
      <w:r w:rsidRPr="009D180D">
        <w:t>2022 m. biudžeto įvykdymo patvirtinimas: ES bendrasis biudžetas – Europos ekonomikos ir socialinių reikalų komitetas</w:t>
      </w:r>
      <w:bookmarkEnd w:id="1"/>
    </w:p>
    <w:p w:rsidR="00415FC2" w:rsidRPr="009D180D" w:rsidRDefault="00415FC2" w:rsidP="00415FC2">
      <w:pPr>
        <w:rPr>
          <w:i/>
          <w:vanish/>
        </w:rPr>
      </w:pPr>
      <w:r w:rsidRPr="009D180D">
        <w:rPr>
          <w:i/>
        </w:rPr>
        <w:fldChar w:fldCharType="begin"/>
      </w:r>
      <w:r w:rsidRPr="009D180D">
        <w:rPr>
          <w:i/>
        </w:rPr>
        <w:instrText xml:space="preserve"> TC"(</w:instrText>
      </w:r>
      <w:bookmarkStart w:id="2" w:name="DocNumber"/>
      <w:r w:rsidRPr="009D180D">
        <w:rPr>
          <w:i/>
        </w:rPr>
        <w:instrText>A9-0072/2024</w:instrText>
      </w:r>
      <w:bookmarkEnd w:id="2"/>
      <w:r w:rsidRPr="009D180D">
        <w:rPr>
          <w:i/>
        </w:rPr>
        <w:instrText xml:space="preserve"> - Pranešėjas: Luke </w:instrText>
      </w:r>
      <w:proofErr w:type="spellStart"/>
      <w:r w:rsidRPr="009D180D">
        <w:rPr>
          <w:i/>
        </w:rPr>
        <w:instrText>Ming</w:instrText>
      </w:r>
      <w:proofErr w:type="spellEnd"/>
      <w:r w:rsidRPr="009D180D">
        <w:rPr>
          <w:i/>
        </w:rPr>
        <w:instrText xml:space="preserve"> </w:instrText>
      </w:r>
      <w:proofErr w:type="spellStart"/>
      <w:r w:rsidRPr="009D180D">
        <w:rPr>
          <w:i/>
        </w:rPr>
        <w:instrText>Flanagan</w:instrText>
      </w:r>
      <w:proofErr w:type="spellEnd"/>
      <w:r w:rsidRPr="009D180D">
        <w:rPr>
          <w:i/>
        </w:rPr>
        <w:instrText xml:space="preserve">)"\l3 \n&gt; \* MERGEFORMAT </w:instrText>
      </w:r>
      <w:r w:rsidRPr="009D180D">
        <w:rPr>
          <w:i/>
        </w:rPr>
        <w:fldChar w:fldCharType="end"/>
      </w:r>
    </w:p>
    <w:p w:rsidR="00415FC2" w:rsidRPr="009D180D" w:rsidRDefault="00415FC2" w:rsidP="00415FC2">
      <w:pPr>
        <w:rPr>
          <w:vanish/>
        </w:rPr>
      </w:pPr>
      <w:bookmarkStart w:id="3" w:name="Commission"/>
      <w:r w:rsidRPr="009D180D">
        <w:rPr>
          <w:vanish/>
        </w:rPr>
        <w:t>Biudžeto kontrolės komitetas</w:t>
      </w:r>
      <w:bookmarkEnd w:id="3"/>
    </w:p>
    <w:p w:rsidR="00415FC2" w:rsidRPr="009D180D" w:rsidRDefault="00415FC2" w:rsidP="00415FC2">
      <w:pPr>
        <w:rPr>
          <w:vanish/>
        </w:rPr>
      </w:pPr>
      <w:bookmarkStart w:id="4" w:name="PE"/>
      <w:r w:rsidRPr="009D180D">
        <w:rPr>
          <w:vanish/>
        </w:rPr>
        <w:t>PE753.483</w:t>
      </w:r>
      <w:bookmarkEnd w:id="4"/>
    </w:p>
    <w:p w:rsidR="00415FC2" w:rsidRPr="009D180D" w:rsidRDefault="006960E5" w:rsidP="006960E5">
      <w:pPr>
        <w:pStyle w:val="ATHeading3"/>
      </w:pPr>
      <w:bookmarkStart w:id="5" w:name="Sujet"/>
      <w:r>
        <w:t xml:space="preserve">1. 2024 m. balandžio 11 d. </w:t>
      </w:r>
      <w:r w:rsidR="00415FC2" w:rsidRPr="009D180D">
        <w:t>Europos Parlamento sprendimas dėl 2022 finansinių metų Europos Sąjungos bendrojo biudžeto įvykdymo patvirtinimo, VI skirsnis – Europos ekonomikos ir socialinių reikalų komitetas</w:t>
      </w:r>
      <w:bookmarkEnd w:id="5"/>
      <w:r w:rsidR="00415FC2" w:rsidRPr="009D180D">
        <w:t xml:space="preserve"> </w:t>
      </w:r>
      <w:bookmarkStart w:id="6" w:name="References"/>
      <w:r w:rsidR="00415FC2" w:rsidRPr="009D180D">
        <w:t>(2023/2135(DEC))</w:t>
      </w:r>
      <w:bookmarkEnd w:id="6"/>
    </w:p>
    <w:p w:rsidR="002501CA" w:rsidRPr="009D180D" w:rsidRDefault="002501CA" w:rsidP="002501CA">
      <w:pPr>
        <w:pStyle w:val="EPComma"/>
      </w:pPr>
      <w:bookmarkStart w:id="7" w:name="TextBodyBegin"/>
      <w:bookmarkEnd w:id="7"/>
      <w:r w:rsidRPr="009D180D">
        <w:rPr>
          <w:i/>
        </w:rPr>
        <w:t>Europos Parlamentas</w:t>
      </w:r>
      <w:r w:rsidRPr="009D180D">
        <w:t>,</w:t>
      </w:r>
    </w:p>
    <w:p w:rsidR="002501CA" w:rsidRPr="009D180D" w:rsidRDefault="002501CA" w:rsidP="002501CA">
      <w:pPr>
        <w:pStyle w:val="NormalHanging12a"/>
      </w:pPr>
      <w:r w:rsidRPr="009D180D">
        <w:t>–</w:t>
      </w:r>
      <w:r w:rsidRPr="009D180D">
        <w:tab/>
        <w:t>atsižvelgdamas į 2022 finansinių metų Europos Sąjungos bendrąjį biudžetą</w:t>
      </w:r>
      <w:r w:rsidRPr="009D180D">
        <w:rPr>
          <w:rStyle w:val="FootnoteReference"/>
        </w:rPr>
        <w:footnoteReference w:id="1"/>
      </w:r>
      <w:r w:rsidRPr="009D180D">
        <w:t>,</w:t>
      </w:r>
    </w:p>
    <w:p w:rsidR="002501CA" w:rsidRPr="009D180D" w:rsidRDefault="002501CA" w:rsidP="002501CA">
      <w:pPr>
        <w:pStyle w:val="NormalHanging12a"/>
      </w:pPr>
      <w:r w:rsidRPr="009D180D">
        <w:t>–</w:t>
      </w:r>
      <w:r w:rsidRPr="009D180D">
        <w:tab/>
        <w:t>atsižvelgdamas į 2022 finansinių metų Europos Sąjungos konsoliduotąsias metines ataskaitas (COM(2023)0391 – C9-0254/2023)</w:t>
      </w:r>
      <w:r w:rsidRPr="009D180D">
        <w:rPr>
          <w:rStyle w:val="FootnoteReference"/>
        </w:rPr>
        <w:footnoteReference w:id="2"/>
      </w:r>
      <w:r w:rsidRPr="009D180D">
        <w:t>,</w:t>
      </w:r>
    </w:p>
    <w:p w:rsidR="002501CA" w:rsidRPr="009D180D" w:rsidRDefault="002501CA" w:rsidP="002501CA">
      <w:pPr>
        <w:pStyle w:val="NormalHanging12a"/>
      </w:pPr>
      <w:r w:rsidRPr="009D180D">
        <w:t>–</w:t>
      </w:r>
      <w:r w:rsidRPr="009D180D">
        <w:tab/>
        <w:t>atsižvelgdamas į Europos ekonomikos ir socialinių reikalų komiteto 2022 m. metinę veiklos ataskaitą ir metinę 2022 m. atlikto vidaus audito ataskaitą biudžeto įvykdymą tvirtinančiai institucijai,</w:t>
      </w:r>
    </w:p>
    <w:p w:rsidR="002501CA" w:rsidRPr="009D180D" w:rsidRDefault="002501CA" w:rsidP="002501CA">
      <w:pPr>
        <w:pStyle w:val="NormalHanging12a"/>
      </w:pPr>
      <w:r w:rsidRPr="009D180D">
        <w:t>–</w:t>
      </w:r>
      <w:r w:rsidRPr="009D180D">
        <w:tab/>
        <w:t>atsižvelgdamas į Audito Rūmų 2022 finansinių metų metinę biudžeto vykdymo ataskaitą kartu su institucijų atsakymais</w:t>
      </w:r>
      <w:r w:rsidRPr="009D180D">
        <w:rPr>
          <w:rStyle w:val="FootnoteReference"/>
        </w:rPr>
        <w:footnoteReference w:id="3"/>
      </w:r>
      <w:r w:rsidRPr="009D180D">
        <w:t>,</w:t>
      </w:r>
    </w:p>
    <w:p w:rsidR="002501CA" w:rsidRPr="009D180D" w:rsidRDefault="002501CA" w:rsidP="002501CA">
      <w:pPr>
        <w:pStyle w:val="NormalHanging12a"/>
      </w:pPr>
      <w:r w:rsidRPr="009D180D">
        <w:t>–</w:t>
      </w:r>
      <w:r w:rsidRPr="009D180D">
        <w:tab/>
        <w:t>atsižvelgdamas į Audito Rūmų pagal Sutarties dėl Europos Sąjungos veikimo 287 straipsnį pateiktą 2022 finansinių metų sąskaitų patikimumo ir pagal jas atliktų operacijų teisėtumo ir tvarkingumo patikinimo pareiškimą</w:t>
      </w:r>
      <w:r w:rsidRPr="009D180D">
        <w:rPr>
          <w:rStyle w:val="FootnoteReference"/>
        </w:rPr>
        <w:footnoteReference w:id="4"/>
      </w:r>
      <w:r w:rsidRPr="009D180D">
        <w:t>,</w:t>
      </w:r>
    </w:p>
    <w:p w:rsidR="002501CA" w:rsidRPr="009D180D" w:rsidRDefault="002501CA" w:rsidP="002501CA">
      <w:pPr>
        <w:pStyle w:val="NormalHanging12a"/>
      </w:pPr>
      <w:r w:rsidRPr="009D180D">
        <w:t>–</w:t>
      </w:r>
      <w:r w:rsidRPr="009D180D">
        <w:tab/>
        <w:t>atsižvelgdamas į Sutarties dėl Europos Sąjungos veikimo 314 straipsnio 10 dalį ir 317, 318 ir 319 straipsnius,</w:t>
      </w:r>
    </w:p>
    <w:p w:rsidR="002501CA" w:rsidRPr="009D180D" w:rsidRDefault="002501CA" w:rsidP="002501CA">
      <w:pPr>
        <w:pStyle w:val="NormalHanging12a"/>
      </w:pPr>
      <w:r w:rsidRPr="009D180D">
        <w:t>–</w:t>
      </w:r>
      <w:r w:rsidRPr="009D180D">
        <w:tab/>
        <w:t xml:space="preserve">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w:t>
      </w:r>
      <w:r w:rsidRPr="009D180D">
        <w:lastRenderedPageBreak/>
        <w:t>panaikinamas Reglamentas (ES, Euratomas) Nr. 966/2012</w:t>
      </w:r>
      <w:r w:rsidRPr="009D180D">
        <w:rPr>
          <w:rStyle w:val="FootnoteReference"/>
        </w:rPr>
        <w:footnoteReference w:id="5"/>
      </w:r>
      <w:r w:rsidRPr="009D180D">
        <w:t>, ypač į jo 59, 118, 260, 261 ir 262 straipsnius,</w:t>
      </w:r>
    </w:p>
    <w:p w:rsidR="002501CA" w:rsidRPr="009D180D" w:rsidRDefault="002501CA" w:rsidP="002501CA">
      <w:pPr>
        <w:pStyle w:val="NormalHanging12a"/>
      </w:pPr>
      <w:r w:rsidRPr="009D180D">
        <w:t>–</w:t>
      </w:r>
      <w:r w:rsidRPr="009D180D">
        <w:tab/>
        <w:t>atsižvelgdamas į Darbo tvarkos taisyklių 100 straipsnį ir V priedą,</w:t>
      </w:r>
    </w:p>
    <w:p w:rsidR="002501CA" w:rsidRPr="009D180D" w:rsidRDefault="002501CA" w:rsidP="002501CA">
      <w:pPr>
        <w:pStyle w:val="NormalHanging12a"/>
      </w:pPr>
      <w:r w:rsidRPr="009D180D">
        <w:t>–</w:t>
      </w:r>
      <w:r w:rsidRPr="009D180D">
        <w:tab/>
        <w:t>atsižvelgdamas į Biudžeto kontrolės komiteto pranešimą (A9-0072/2024),</w:t>
      </w:r>
    </w:p>
    <w:p w:rsidR="002501CA" w:rsidRPr="009D180D" w:rsidRDefault="002501CA" w:rsidP="002501CA">
      <w:pPr>
        <w:pStyle w:val="NormalHanging12a"/>
      </w:pPr>
      <w:r w:rsidRPr="009D180D">
        <w:t>1.</w:t>
      </w:r>
      <w:r w:rsidRPr="009D180D">
        <w:tab/>
        <w:t>patvirtina Europos ekonomikos ir socialinių reikalų komiteto generalin</w:t>
      </w:r>
      <w:r w:rsidR="00911F4F">
        <w:t>ei</w:t>
      </w:r>
      <w:r w:rsidRPr="009D180D">
        <w:t xml:space="preserve"> sekretor</w:t>
      </w:r>
      <w:r w:rsidR="00911F4F">
        <w:t>e</w:t>
      </w:r>
      <w:r w:rsidRPr="009D180D">
        <w:t>i, kad Europos ekonomikos ir socialinių reikalų komiteto 2022 finansinių metų biudžetas įvykdytas;</w:t>
      </w:r>
    </w:p>
    <w:p w:rsidR="002501CA" w:rsidRPr="009D180D" w:rsidRDefault="002501CA" w:rsidP="002501CA">
      <w:pPr>
        <w:pStyle w:val="NormalHanging12a"/>
      </w:pPr>
      <w:r w:rsidRPr="009D180D">
        <w:t>2.</w:t>
      </w:r>
      <w:r w:rsidRPr="009D180D">
        <w:tab/>
        <w:t>išdėsto savo pastabas toliau pateikiamoje rezoliucijoje;</w:t>
      </w:r>
    </w:p>
    <w:p w:rsidR="002501CA" w:rsidRPr="009D180D" w:rsidRDefault="002501CA" w:rsidP="002501CA">
      <w:pPr>
        <w:pStyle w:val="NormalHanging12a"/>
      </w:pPr>
      <w:r w:rsidRPr="009D180D">
        <w:t>3.</w:t>
      </w:r>
      <w:r w:rsidRPr="009D180D">
        <w:tab/>
        <w:t>paveda Pirmininkei perduoti šį sprendimą ir rezoliuciją, kuri yra neatskiriama jo dalis, Ekonomikos ir socialinių reikalų komiteto generalin</w:t>
      </w:r>
      <w:r w:rsidR="00911F4F">
        <w:t>ei</w:t>
      </w:r>
      <w:r w:rsidRPr="009D180D">
        <w:t xml:space="preserve"> sekretor</w:t>
      </w:r>
      <w:r w:rsidR="00911F4F">
        <w:t>e</w:t>
      </w:r>
      <w:r w:rsidRPr="009D180D">
        <w:t xml:space="preserve">i, Tarybai, Komisijai ir Audito Rūmams ir pasirūpinti, kad jie būtų paskelbti </w:t>
      </w:r>
      <w:r w:rsidRPr="009D180D">
        <w:rPr>
          <w:i/>
        </w:rPr>
        <w:t>Europos Sąjungos oficialiajame leidinyje</w:t>
      </w:r>
      <w:r w:rsidRPr="009D180D">
        <w:t xml:space="preserve"> (L serijoje). </w:t>
      </w:r>
    </w:p>
    <w:p w:rsidR="002501CA" w:rsidRPr="009D180D" w:rsidRDefault="002501CA" w:rsidP="002501CA">
      <w:pPr>
        <w:pStyle w:val="NormalHanging12a"/>
      </w:pPr>
    </w:p>
    <w:p w:rsidR="002501CA" w:rsidRPr="009D180D" w:rsidRDefault="002501CA" w:rsidP="002501CA">
      <w:pPr>
        <w:pStyle w:val="PageHeading"/>
        <w:sectPr w:rsidR="002501CA" w:rsidRPr="009D180D" w:rsidSect="009D180D">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2501CA" w:rsidRPr="009D180D" w:rsidRDefault="006960E5" w:rsidP="006960E5">
      <w:pPr>
        <w:pStyle w:val="ATHeading3"/>
      </w:pPr>
      <w:r>
        <w:lastRenderedPageBreak/>
        <w:t xml:space="preserve">2. 2024 m. balandžio 11 d. </w:t>
      </w:r>
      <w:r w:rsidRPr="009D180D">
        <w:t xml:space="preserve">Europos Parlamento </w:t>
      </w:r>
      <w:r>
        <w:t xml:space="preserve">rezoliucija </w:t>
      </w:r>
      <w:r w:rsidR="002501CA" w:rsidRPr="009D180D">
        <w:t>su pastabomis, sudarančiomis neatskiriamą sprendimo dėl 2022 finansinių metų Europos Sąjungos bendrojo biudžeto įvykdymo patvirtinimo, VI skirsnis – Europos ekonomikos ir socialinių reikalų komitetas, dalį</w:t>
      </w:r>
      <w:r>
        <w:t xml:space="preserve"> </w:t>
      </w:r>
      <w:r w:rsidR="002501CA" w:rsidRPr="009D180D">
        <w:t>(2023/2135(DEC))</w:t>
      </w:r>
    </w:p>
    <w:p w:rsidR="002501CA" w:rsidRPr="009D180D" w:rsidRDefault="002501CA" w:rsidP="002501CA">
      <w:pPr>
        <w:pStyle w:val="EPComma"/>
      </w:pPr>
      <w:r w:rsidRPr="009D180D">
        <w:rPr>
          <w:i/>
        </w:rPr>
        <w:t>Europos Parlamentas</w:t>
      </w:r>
      <w:r w:rsidRPr="009D180D">
        <w:t>,</w:t>
      </w:r>
    </w:p>
    <w:p w:rsidR="002501CA" w:rsidRPr="009D180D" w:rsidRDefault="002501CA" w:rsidP="002501CA">
      <w:pPr>
        <w:pStyle w:val="NormalHanging12a"/>
      </w:pPr>
      <w:r w:rsidRPr="009D180D">
        <w:t>–</w:t>
      </w:r>
      <w:r w:rsidRPr="009D180D">
        <w:tab/>
        <w:t>atsižvelgdamas į savo sprendimą dėl 2022 finansinių metų Europos Sąjungos bendrojo biudžeto įvykdymo patvirtinimo, VI skirsnis – Europos ekonomikos ir socialinių reikalų komitetas,</w:t>
      </w:r>
    </w:p>
    <w:p w:rsidR="002501CA" w:rsidRPr="009D180D" w:rsidRDefault="002501CA" w:rsidP="002501CA">
      <w:pPr>
        <w:pStyle w:val="NormalHanging12a"/>
      </w:pPr>
      <w:r w:rsidRPr="009D180D">
        <w:t>–</w:t>
      </w:r>
      <w:r w:rsidRPr="009D180D">
        <w:tab/>
        <w:t>atsižvelgdamas į Darbo tvarkos taisyklių 100 straipsnį ir V priedą,</w:t>
      </w:r>
    </w:p>
    <w:p w:rsidR="002501CA" w:rsidRPr="009D180D" w:rsidRDefault="002501CA" w:rsidP="002501CA">
      <w:pPr>
        <w:pStyle w:val="NormalHanging12a"/>
      </w:pPr>
      <w:r w:rsidRPr="009D180D">
        <w:t>–</w:t>
      </w:r>
      <w:r w:rsidRPr="009D180D">
        <w:tab/>
        <w:t>atsižvelgdamas į Biudžeto kontrolės komiteto pranešimą (A9-0072/2024),</w:t>
      </w:r>
    </w:p>
    <w:p w:rsidR="002501CA" w:rsidRPr="009D180D" w:rsidRDefault="002501CA" w:rsidP="002501CA">
      <w:pPr>
        <w:pStyle w:val="NormalHanging12a"/>
      </w:pPr>
      <w:r w:rsidRPr="009D180D">
        <w:t>A.</w:t>
      </w:r>
      <w:r w:rsidRPr="009D180D">
        <w:tab/>
        <w:t>kadangi vykdant biudžeto įvykdymo patvirtinimo procedūrą biudžeto įvykdymą tvirtinanti institucija nori pabrėžti, jog ypač svarbu toliau stiprinti Sąjungos institucijų demokratinį teisėtumą didinant skaidrumą ir atskaitomybę, įgyvendinant rezultatais grindžiamo biudžeto sudarymo koncepciją bei užtikrinant gerą žmogiškųjų išteklių valdymą;</w:t>
      </w:r>
    </w:p>
    <w:p w:rsidR="002501CA" w:rsidRPr="009D180D" w:rsidRDefault="002501CA" w:rsidP="002501CA">
      <w:pPr>
        <w:pStyle w:val="NormalHanging12a"/>
      </w:pPr>
      <w:r w:rsidRPr="009D180D">
        <w:t>B.</w:t>
      </w:r>
      <w:r w:rsidRPr="009D180D">
        <w:tab/>
        <w:t>kadangi Europos ekonomikos ir socialinių reikalų komitetas (toliau – Komitetas) yra Sąjungos patariamasis organas, užtikrinantis valstybių narių organizuotos pilietinės visuomenės įvairių ekonominės, socialinės ir pilietinės veiklos sričių atstovų konsultacijų, dialogo ir bendro sutarimo forumą;</w:t>
      </w:r>
    </w:p>
    <w:p w:rsidR="002501CA" w:rsidRPr="009D180D" w:rsidRDefault="002501CA" w:rsidP="002501CA">
      <w:pPr>
        <w:pStyle w:val="NormalHanging12a"/>
      </w:pPr>
      <w:r w:rsidRPr="009D180D">
        <w:t>C.</w:t>
      </w:r>
      <w:r w:rsidRPr="009D180D">
        <w:tab/>
        <w:t>kadangi Komitetas prisideda prie Sąjungos sprendimų priėmimo proceso ir, užtikrindamas Sąjungos politikos sąsają su ekonominėmis, socialinėmis ir pilietinėmis aplinkybėmis, vykdo savo misiją – užtikrinti geresnį reglamentavimą, dalyvaujamąją demokratiją pagal principą „iš apačios į viršų“ ir puoselėti Sąjungos vertybes;</w:t>
      </w:r>
    </w:p>
    <w:p w:rsidR="002501CA" w:rsidRPr="009D180D" w:rsidRDefault="002501CA" w:rsidP="002501CA">
      <w:pPr>
        <w:pStyle w:val="NormalHanging12a"/>
      </w:pPr>
      <w:r w:rsidRPr="009D180D">
        <w:t>D.</w:t>
      </w:r>
      <w:r w:rsidRPr="009D180D">
        <w:tab/>
        <w:t>kadangi tam tikrais atvejais Komisija arba Taryba privalo konsultuotis su Komitetu, Komitetas taip pat gali priimti nuomones savo iniciatyva, be to, Sutartyse nustatyta plati klausimų, kuriais gali būti prašoma Komiteto pateikti savo nuomonę, sritis, tokiu būdu sudarant sąlygas Parlamentui su juo konsultuotis;</w:t>
      </w:r>
    </w:p>
    <w:p w:rsidR="002501CA" w:rsidRPr="009D180D" w:rsidRDefault="002501CA" w:rsidP="002501CA">
      <w:pPr>
        <w:pStyle w:val="NormalHanging12a"/>
      </w:pPr>
      <w:r w:rsidRPr="009D180D">
        <w:t>E.</w:t>
      </w:r>
      <w:r w:rsidRPr="009D180D">
        <w:tab/>
        <w:t>kadangi Komiteto Finansų ir biudžeto reikalų komisija yra Komiteto priežiūros organas, atsakingas už visas biudžeto procedūras, ypač už biudžeto sąmatos sudarymą, biudžeto vykdymą, metinę veiklos ataskaitą, biudžeto įvykdymo patvirtinimą ir tolesnius veiksmus, kurių imamasi atsižvelgiant į Europos Audito Rūmų (toliau – Audito Rūmai) metinę ataskaitą;</w:t>
      </w:r>
    </w:p>
    <w:p w:rsidR="002501CA" w:rsidRPr="009D180D" w:rsidRDefault="002501CA" w:rsidP="002501CA">
      <w:pPr>
        <w:pStyle w:val="NormalHanging12a"/>
      </w:pPr>
      <w:r w:rsidRPr="009D180D">
        <w:t>1.</w:t>
      </w:r>
      <w:r w:rsidRPr="009D180D">
        <w:tab/>
        <w:t>pažymi, kad Komiteto biudžetas patenka į DFP 7 išlaidų kategoriją „Europos viešasis administravimas“, kurią 2022 m. iš viso sudarė 11,6 mlrd. EUR (t. y. 5,9 proc. Sąjungos biudžeto išlaidų); pažymi, kad 2022 m. Komiteto biudžetas sudarė 1,31 proc. DFP 7 išlaidų kategorijos lėšų;</w:t>
      </w:r>
    </w:p>
    <w:p w:rsidR="002501CA" w:rsidRPr="009D180D" w:rsidRDefault="002501CA" w:rsidP="002501CA">
      <w:pPr>
        <w:pStyle w:val="NormalHanging12a"/>
      </w:pPr>
      <w:r w:rsidRPr="009D180D">
        <w:t>2.</w:t>
      </w:r>
      <w:r w:rsidRPr="009D180D">
        <w:tab/>
        <w:t xml:space="preserve">pažymi, kad Audito Rūmai savo 2022 finansinių metų metinėje ataskaitoje išanalizavo 60 administravimo srities operacijų imtį – tiek pat kiek 2021 m.; taip pat pažymi, kad Audito Rūmai rašo, jog administracines išlaidas sudaro išlaidos žmogiškiesiems ištekliams, įskaitant išlaidas pensijoms, kurios 2022 m. sudarė apie 70 proc. visų </w:t>
      </w:r>
      <w:r w:rsidRPr="009D180D">
        <w:lastRenderedPageBreak/>
        <w:t>administracinių išlaidų, taip pat išlaidos pastatams, įrangai, energijai, ryšių ir informacinėms technologijoms, ir kad jų daugelio metų darbo patirtis rodo, jog apskritai šios išlaidos yra nedidelės rizikos išlaidos;</w:t>
      </w:r>
    </w:p>
    <w:p w:rsidR="002501CA" w:rsidRPr="009D180D" w:rsidRDefault="002501CA" w:rsidP="002501CA">
      <w:pPr>
        <w:pStyle w:val="NormalHanging12a"/>
      </w:pPr>
      <w:r w:rsidRPr="009D180D">
        <w:t>3.</w:t>
      </w:r>
      <w:r w:rsidRPr="009D180D">
        <w:tab/>
        <w:t xml:space="preserve">pažymi, kad Audito Rūmai, atlikdami 2022 m. auditą, išnagrinėjo Komiteto priežiūros ir kontrolės sistemas, visų pirma vidaus kontrolės standartų įgyvendinimą, rizikos valdymą ir Finansiniame reglamente apibrėžtų pagrindinių kontrolės priemonių veikimą, įskaitant mokėjimų </w:t>
      </w:r>
      <w:proofErr w:type="spellStart"/>
      <w:r w:rsidRPr="009D180D">
        <w:rPr>
          <w:i/>
          <w:iCs/>
        </w:rPr>
        <w:t>ex</w:t>
      </w:r>
      <w:proofErr w:type="spellEnd"/>
      <w:r w:rsidRPr="009D180D">
        <w:rPr>
          <w:i/>
          <w:iCs/>
        </w:rPr>
        <w:t> ante</w:t>
      </w:r>
      <w:r w:rsidRPr="009D180D">
        <w:t xml:space="preserve"> ir </w:t>
      </w:r>
      <w:proofErr w:type="spellStart"/>
      <w:r w:rsidRPr="009D180D">
        <w:rPr>
          <w:i/>
          <w:iCs/>
        </w:rPr>
        <w:t>ex</w:t>
      </w:r>
      <w:proofErr w:type="spellEnd"/>
      <w:r w:rsidRPr="009D180D">
        <w:rPr>
          <w:i/>
          <w:iCs/>
        </w:rPr>
        <w:t> </w:t>
      </w:r>
      <w:proofErr w:type="spellStart"/>
      <w:r w:rsidRPr="009D180D">
        <w:rPr>
          <w:i/>
          <w:iCs/>
        </w:rPr>
        <w:t>post</w:t>
      </w:r>
      <w:proofErr w:type="spellEnd"/>
      <w:r w:rsidRPr="009D180D">
        <w:t xml:space="preserve"> kontrolę;</w:t>
      </w:r>
    </w:p>
    <w:p w:rsidR="002501CA" w:rsidRPr="009D180D" w:rsidRDefault="002501CA" w:rsidP="002501CA">
      <w:pPr>
        <w:pStyle w:val="NormalHanging12a"/>
      </w:pPr>
      <w:r w:rsidRPr="009D180D">
        <w:t>4.</w:t>
      </w:r>
      <w:r w:rsidRPr="009D180D">
        <w:tab/>
        <w:t>pažymi, kad 14 (23 proc.) iš 60 operacijų buvo klaidų, tačiau Audito Rūmai, remdamiesi penkiomis kiekybiškai įvertintomis klaidomis, apskaičiavo, kad klaidų lygis nesiekia reikšmingumo ribos;</w:t>
      </w:r>
    </w:p>
    <w:p w:rsidR="002501CA" w:rsidRPr="009D180D" w:rsidRDefault="002501CA" w:rsidP="002501CA">
      <w:pPr>
        <w:pStyle w:val="NormalHanging12a"/>
      </w:pPr>
      <w:r w:rsidRPr="009D180D">
        <w:t>5.</w:t>
      </w:r>
      <w:r w:rsidRPr="009D180D">
        <w:tab/>
        <w:t>su pasitenkinimu atkreipia dėmesį į tai, jog 2022 finansinių metų metinėje ataskaitoje Audito Rūmai teigia nenustatę jokių konkrečių su Komitetu susijusių problemų; taip pat pažymi, kad Audito Rūmai, atlikdami tolesnę peržiūrą, laikėsi nuomonės, kad 2019 finansinių metų metinėje ataskaitoje Komitetui pateikta rekomendacija dėl būtinybės Komitetui parengti jautrių funkcijų politiką, atitinkančią jo vidaus kontrolės standartus, buvo įgyvendinta kai kuriais atžvilgiais;</w:t>
      </w:r>
    </w:p>
    <w:p w:rsidR="002501CA" w:rsidRPr="009D180D" w:rsidRDefault="002501CA" w:rsidP="002501CA">
      <w:pPr>
        <w:pStyle w:val="NormalHanging12a"/>
        <w:rPr>
          <w:b/>
          <w:i/>
        </w:rPr>
      </w:pPr>
      <w:r w:rsidRPr="009D180D">
        <w:rPr>
          <w:b/>
          <w:i/>
        </w:rPr>
        <w:t>Biudžeto ir finansų valdymas</w:t>
      </w:r>
    </w:p>
    <w:p w:rsidR="002501CA" w:rsidRPr="009D180D" w:rsidRDefault="002501CA" w:rsidP="002501CA">
      <w:pPr>
        <w:pStyle w:val="NormalHanging12a"/>
      </w:pPr>
      <w:r w:rsidRPr="009D180D">
        <w:t>6.</w:t>
      </w:r>
      <w:r w:rsidRPr="009D180D">
        <w:tab/>
        <w:t>pažymi, kad 2022 m. galutinis patvirtintas Komiteto biudžetas sudarė 152 451 643 EUR, t. y. jis buvo iš viso 5,1 proc. didesnis, palyginti su 2021 m.; pažymi, kad dėl metinio atlyginimų indeksavimo 2021–2022 m. į darbo užmokesčio ir išmokų biudžeto eilutę įrašyta suma padidėjo 5 proc.; pažymi, kad 2021–2022 m. į patalpų įrengimui skirtą biudžeto eilutę įrašyta suma sumažėjo 77 proc. ir vėl pasiekė įprastą lygį 2021 m. įgyvendinus svarbius atnaujinimo darbus; pažymi, kad kitais požiūriais 2022 m. biudžeto asignavimų paskirstymas pagal biudžeto eilutes išliko panašus į ankstesnių metų paskirstymą;</w:t>
      </w:r>
    </w:p>
    <w:p w:rsidR="002501CA" w:rsidRPr="009D180D" w:rsidRDefault="002501CA" w:rsidP="002501CA">
      <w:pPr>
        <w:pStyle w:val="NormalHanging12a"/>
      </w:pPr>
      <w:r w:rsidRPr="009D180D">
        <w:t>7.</w:t>
      </w:r>
      <w:r w:rsidRPr="009D180D">
        <w:tab/>
        <w:t>pažymi, kad po dvejų metų prastesnio biudžeto vykdymo dėl COVID-19 pandemijos ir su ja susijusių kelionių apribojimų 2022 m. biudžeto įvykdymo lygis buvo 96,12 proc.; pažymi, kad 2022 m. mokėjimų panaudojimo lygis buvo panašus ir siekė 88,12 proc.;</w:t>
      </w:r>
    </w:p>
    <w:p w:rsidR="002501CA" w:rsidRPr="009D180D" w:rsidRDefault="002501CA" w:rsidP="002501CA">
      <w:pPr>
        <w:pStyle w:val="NormalHanging12a"/>
      </w:pPr>
      <w:r w:rsidRPr="009D180D">
        <w:t>8.</w:t>
      </w:r>
      <w:r w:rsidRPr="009D180D">
        <w:tab/>
        <w:t>pažymi, kad į 2022 m. perkelti asignavimai sudarė 20 162 518 EUR, t. y. apie 13 proc. 2022 m. metinio biudžeto, t. y. gerokai daugiau nei ankstesnių metų vidurkis; supranta, kad šis perkėlimas buvo susijęs su 2020 ir 2021 m. atidėtais pastatų darbais;</w:t>
      </w:r>
    </w:p>
    <w:p w:rsidR="002501CA" w:rsidRPr="009D180D" w:rsidRDefault="002501CA" w:rsidP="002501CA">
      <w:pPr>
        <w:pStyle w:val="NormalHanging12a"/>
      </w:pPr>
      <w:r w:rsidRPr="009D180D">
        <w:t>9.</w:t>
      </w:r>
      <w:r w:rsidRPr="009D180D">
        <w:tab/>
        <w:t>pažymi, kad 2022 m. vidutinis sąskaitų faktūrų apmokėjimo laikas buvo 18 dienų, t. y. labai sutrumpėjo nuo 2019 m., kai jis buvo 30,19 dienų; palankiai vertina tai, kad tuo pačiu metu elektroninių sąskaitų faktūrų naudojimas padidėjo nuo 58,54 proc. 2018 m. iki 88,84 proc. 2022 m., o tai tikriausiai prisidėjo prie to, kad per tą laikotarpį sutrumpėjo apmokėjimo laikas; palankiai vertina tai, kad Komitetas pakeitė savo praktiką atsižvelgdamas į vidaus audito rekomendacijas dėl apmokėjimo terminų, kurios buvo pradėtos ir užbaigtos įgyvendinti 2022 m. ir prisidėjo prie pavėluotų mokėjimų dalies sumažėjimo iki maždaug 10 proc. 2022 m.;</w:t>
      </w:r>
    </w:p>
    <w:p w:rsidR="002501CA" w:rsidRPr="009D180D" w:rsidRDefault="002501CA" w:rsidP="002501CA">
      <w:pPr>
        <w:pStyle w:val="NormalHanging12a"/>
      </w:pPr>
      <w:r w:rsidRPr="009D180D">
        <w:t>10.</w:t>
      </w:r>
      <w:r w:rsidRPr="009D180D">
        <w:tab/>
        <w:t xml:space="preserve">pažymi, kad paties Komiteto tarnybos 2022 m. pradėjo 15 derybų procedūrų dėl viešųjų pirkimų, kurių vertė nesiekia 60 000 EUR, daugiausia dėl ekspertinių žinių, tyrimų ir logistinės paramos; pažymi, kad viešųjų pirkimų procedūras logistikos srityje pradėjo </w:t>
      </w:r>
      <w:r w:rsidRPr="009D180D">
        <w:lastRenderedPageBreak/>
        <w:t>jungtinės tarnybos, kuriomis Komitetas dalijasi su Regionų komitetu (RK);</w:t>
      </w:r>
    </w:p>
    <w:p w:rsidR="002501CA" w:rsidRPr="009D180D" w:rsidRDefault="002501CA" w:rsidP="002501CA">
      <w:pPr>
        <w:pStyle w:val="NormalHanging12a"/>
      </w:pPr>
      <w:r w:rsidRPr="009D180D">
        <w:t>11.</w:t>
      </w:r>
      <w:r w:rsidRPr="009D180D">
        <w:tab/>
        <w:t xml:space="preserve">pažymi, kad 2022 m. Komitetas toliau didino savo darbo metodų ekonominį efektyvumą, visų pirma dėl mišraus darbo, visiško finansinių grandinių </w:t>
      </w:r>
      <w:proofErr w:type="spellStart"/>
      <w:r w:rsidRPr="009D180D">
        <w:t>dematerializavimo</w:t>
      </w:r>
      <w:proofErr w:type="spellEnd"/>
      <w:r w:rsidRPr="009D180D">
        <w:t xml:space="preserve"> ir mažesnio energijos suvartojimo; taip pat pažymi, kad biudžeto ir administracinės lėšos sutaupytos vykdant </w:t>
      </w:r>
      <w:proofErr w:type="spellStart"/>
      <w:r w:rsidRPr="009D180D">
        <w:t>tarpinstitucinį</w:t>
      </w:r>
      <w:proofErr w:type="spellEnd"/>
      <w:r w:rsidRPr="009D180D">
        <w:t xml:space="preserve"> bendradarbiavimą, visų pirma pasitelkiant jungtines tarnybas su RK ir Komisijos tarnyboms perduodant konkrečias žmogiškųjų išteklių klausimų tvarkymo užduotis (už metinį mokestį) ir naudojantis įvairiomis IT platformomis finansų valdymo ir žmogiškųjų išteklių srityse, taip pat dalyvaujant kitų institucijų vadovaujamose </w:t>
      </w:r>
      <w:proofErr w:type="spellStart"/>
      <w:r w:rsidRPr="009D180D">
        <w:t>tarpinstitucinėse</w:t>
      </w:r>
      <w:proofErr w:type="spellEnd"/>
      <w:r w:rsidRPr="009D180D">
        <w:t xml:space="preserve"> viešųjų pirkimų procedūrose;</w:t>
      </w:r>
    </w:p>
    <w:p w:rsidR="002501CA" w:rsidRPr="009D180D" w:rsidRDefault="002501CA" w:rsidP="002501CA">
      <w:pPr>
        <w:pStyle w:val="NormalHanging12a"/>
      </w:pPr>
      <w:r w:rsidRPr="009D180D">
        <w:t>12.</w:t>
      </w:r>
      <w:r w:rsidRPr="009D180D">
        <w:tab/>
        <w:t>žino, kad sprendimus, susijusius su Komiteto narių dalyvavimo posėdžiuose išmokomis ir tokių išmokų dydžiu, priima Taryba; apgailestauja, kad, laipsniškai panaikinus kelionių apribojimus, susijusius su COVID-19 pandemija, Taryba nusprendė nepanaikinti 2021 m. priimto laikino sprendimo, kuriuo skiriama 145 EUR išmoka už narių dalyvavimą posėdžiuose nuotoliniu būdu ir kuris galiojo iki 2023 m. gegužės 25 d., kai buvo priimtas naujas Tarybos sprendimas, pagal kurį buvo nustatyta 145 EUR fiksuotoji dienos norma už dalyvavimą posėdžiuose nuotoliniu būdu; mano, kad nuotolinis dalyvavimas yra svarbi priemonė šiuolaikinėms institucijoms, nes, be kita ko, dėl jos sumažėja posėdžių išlaidos ir yra sudaromos sąlygos platesniam dalyvavimui, ypač krizinėse situacijose, kaip buvo per COVID-19 pandemiją; vis dėlto mano, kad išmoka už dalyvavimą nuotoliniu būdu, nors ir sumažinta, yra sunkiai suprantama visuomenei, ypač turint omenyje už dalyvavimą nuotoliniu būdu Komiteto nariams ir RK nariams mokamų išmokų skirtumą; atkreipia dėmesį į kelis kontrolės lygmenis, užtikrinamus siekiant įrodyti, kad narys dalyvauja posėdyje nuotoliniu būdu, prieš išmokant jam išmoką;</w:t>
      </w:r>
    </w:p>
    <w:p w:rsidR="002501CA" w:rsidRPr="009D180D" w:rsidRDefault="002501CA" w:rsidP="002501CA">
      <w:pPr>
        <w:pStyle w:val="NormalHanging12a"/>
      </w:pPr>
      <w:r w:rsidRPr="009D180D">
        <w:t>13.</w:t>
      </w:r>
      <w:r w:rsidRPr="009D180D">
        <w:tab/>
        <w:t xml:space="preserve">pažymi, kad dėl Rusijos agresijos karo prieš Ukrainą Komiteto biudžetas patyrė spaudimą, be kita ko, dėl didėjančios infliacijos ir atlyginimų koregavimo, labai išaugusių energijos sąnaudų ir statybos sąnaudų bei žaliavų kainos; visų pirma pažymi, kad 2021–2022 m. laikotarpiu energijos kainos išaugo nuo 726 000 EUR iki 3 125 000 EUR, t. y. padidėjo 330 proc.; pažymi, kad vykdant </w:t>
      </w:r>
      <w:proofErr w:type="spellStart"/>
      <w:r w:rsidRPr="009D180D">
        <w:rPr>
          <w:i/>
          <w:iCs/>
        </w:rPr>
        <w:t>ad</w:t>
      </w:r>
      <w:proofErr w:type="spellEnd"/>
      <w:r w:rsidRPr="009D180D">
        <w:rPr>
          <w:i/>
          <w:iCs/>
        </w:rPr>
        <w:t> </w:t>
      </w:r>
      <w:proofErr w:type="spellStart"/>
      <w:r w:rsidRPr="009D180D">
        <w:rPr>
          <w:i/>
          <w:iCs/>
        </w:rPr>
        <w:t>hoc</w:t>
      </w:r>
      <w:proofErr w:type="spellEnd"/>
      <w:r w:rsidRPr="009D180D">
        <w:t xml:space="preserve"> veiklą, kuria remiama Ukrainos pilietinė visuomenė, patirta tiesioginių ir netiesioginių sąnaudų, pvz., išlaidų, susijusių su vertimu raštu ir žodžiu į ukrainiečių kalbą ir iš jos, Ukrainos NVO priėmimu, saugumo paslaugomis ir mokymais rengiantis misijoms į Ukrainą;</w:t>
      </w:r>
    </w:p>
    <w:p w:rsidR="002501CA" w:rsidRPr="009D180D" w:rsidRDefault="002501CA" w:rsidP="002501CA">
      <w:pPr>
        <w:pStyle w:val="NormalHanging12a"/>
        <w:rPr>
          <w:b/>
          <w:i/>
        </w:rPr>
      </w:pPr>
      <w:r w:rsidRPr="009D180D">
        <w:t>14.</w:t>
      </w:r>
      <w:r w:rsidRPr="009D180D">
        <w:tab/>
        <w:t>pažymi, kad 2022 m. darbuotojų komandiruotėms skirtas 25 000 EUR didesnis biudžetas nei 2021 m., jis buvo finansuojamas atlikus biudžeto lėšų perkėlimą, siekiant padengti išlaidas, padidėjusias dėl 2022 m. išaugusių skrydžių ir viešbučių kainų, šis biudžetas iš viso sudarė 398 974 EUR; pažymi, kad 2022 m. Komiteto pirmininkas dalyvavo 26 komandiruotėse, kurių bendros išlaidos sudarė 38 042 EUR, palyginti su 2021 m., kai pasibaigus COVID-19 pandemijai buvo panaikinti kelionių ribojimai, buvusių 12 komandiruočių, kurių bendros išlaidos siekė 15 327 EUR;</w:t>
      </w:r>
    </w:p>
    <w:p w:rsidR="002501CA" w:rsidRPr="009D180D" w:rsidRDefault="002501CA" w:rsidP="002501CA">
      <w:pPr>
        <w:pStyle w:val="NormalHanging12a"/>
        <w:rPr>
          <w:b/>
          <w:i/>
        </w:rPr>
      </w:pPr>
      <w:r w:rsidRPr="009D180D">
        <w:rPr>
          <w:b/>
          <w:i/>
        </w:rPr>
        <w:t>Vidaus valdymas, veikla ir vidaus kontrolė</w:t>
      </w:r>
    </w:p>
    <w:p w:rsidR="002501CA" w:rsidRPr="009D180D" w:rsidRDefault="002501CA" w:rsidP="002501CA">
      <w:pPr>
        <w:pStyle w:val="NormalHanging12a"/>
      </w:pPr>
      <w:r w:rsidRPr="009D180D">
        <w:t>15.</w:t>
      </w:r>
      <w:r w:rsidRPr="009D180D">
        <w:tab/>
        <w:t xml:space="preserve">pažymi, kad Komitetas savo misiją vykdo rengdamas nuomones dėl Komisijos pateiktų pasiūlymų dėl teisėkūros procedūra priimamų aktų (prašymai pateikti nuomonę), nuomones savo iniciatyva, kuriose Sąjungos institucijos raginamos imtis veiksmų, ir tiriamąsias nuomones, kuriomis prisidedama prie Komisijos veiklos, susijusios su jos </w:t>
      </w:r>
      <w:r w:rsidRPr="009D180D">
        <w:lastRenderedPageBreak/>
        <w:t>planuojamomis iniciatyvomis, ir kad Komiteto pozicijos gali būti pabrėžiamos rezoliucijose arba įtraukiamos į vertinimo bei informacines ataskaitas; pažymi, kad 2022 m. Komitetas priėmė 202 nuomones ir ataskaitas, o tai atitinka jo vidutinius metinius veiklos rezultatus, išskyrus 2019 ir 2020 m., kai Komitetas vykdė ne tokią aktyvią veiklą; pažymi, kad Komitetas taip pat sustiprino savo dalyvavimą politiniame ir teisėkūros cikle dalyvaudamas 345 aukšto lygio nacionaliniuose, Sąjungos ir tarptautiniuose susitikimuose, aukščiausiojo lygio susitikimuose ir konferencijose, taip pat surengdamas 116 klausymų ir 29 konferencijas;</w:t>
      </w:r>
    </w:p>
    <w:p w:rsidR="002501CA" w:rsidRPr="009D180D" w:rsidRDefault="002501CA" w:rsidP="002501CA">
      <w:pPr>
        <w:pStyle w:val="NormalHanging12a"/>
      </w:pPr>
      <w:r w:rsidRPr="009D180D">
        <w:t>16.</w:t>
      </w:r>
      <w:r w:rsidRPr="009D180D">
        <w:tab/>
        <w:t>teigiamai vertina 2022 m. pradėtus projektus, susijusius su griežtesnėmis su tolesne veikla susijusiomis nuomonėmis, siekiant didinti atrinktų nuomonių aprėptį bei poveikį ir gerinti Komiteto gebėjimą organizuoti savo darbą, teikiant pirmenybę tam tikroms užduotims, taip pat siekiant, kad Komitetas laiku pateiktų savo nuomones; pažymi, kad 2022 m. pabaigoje šios iniciatyvos buvo papildytos apmąsčius nuomonių formatą – taip siekiama skatinti veiksmingesnį ir efektyvesnį Komiteto nuomonių naudojimą teisėkūros sprendimų priėmimo procese;</w:t>
      </w:r>
    </w:p>
    <w:p w:rsidR="002501CA" w:rsidRPr="009D180D" w:rsidRDefault="002501CA" w:rsidP="002501CA">
      <w:pPr>
        <w:pStyle w:val="NormalHanging12a"/>
      </w:pPr>
      <w:r w:rsidRPr="009D180D">
        <w:t>17.</w:t>
      </w:r>
      <w:r w:rsidRPr="009D180D">
        <w:tab/>
        <w:t>pažymi, kad 2022 m. Parlamento nariai dalyvavo 68-iuose Komiteto organizuotuose posėdžiuose ar renginiuose (šis skaičius nepakito, palyginti su 2021 m.), o štai Komiteto nariai beveik dvigubai aktyviau dalyvavo per tą patį laikotarpį Parlamento organizuotuose renginiuose; palankiai vertina tai, kad 2022 m. Komitetas daugiausia dėmesio skyrė savo santykių su Parlamentu stiprinimui ir Komiteto pridėtinės vertės skatinimui, taip savo ruožtu padėdamas palaikyti dar glaudesnius Komiteto skyrių ir Parlamento komitetų ryšius;</w:t>
      </w:r>
    </w:p>
    <w:p w:rsidR="002501CA" w:rsidRPr="009D180D" w:rsidRDefault="002501CA" w:rsidP="002501CA">
      <w:pPr>
        <w:pStyle w:val="NormalHanging12a"/>
      </w:pPr>
      <w:r w:rsidRPr="009D180D">
        <w:t>18.</w:t>
      </w:r>
      <w:r w:rsidRPr="009D180D">
        <w:tab/>
        <w:t>atkreipia dėmesį į tai, kad Komitetas aktyviai dalyvauja įvairiose iniciatyvose, įskaitant pagrindinius renginius ir metines konferencijas, siekdamas užmegzti ryšius su Europos suinteresuotaisiais subjektais; palankiai vertina Komiteto pastangas didinti jaunimo dalyvavimą formuojant politiką;</w:t>
      </w:r>
    </w:p>
    <w:p w:rsidR="002501CA" w:rsidRPr="009D180D" w:rsidRDefault="002501CA" w:rsidP="002501CA">
      <w:pPr>
        <w:pStyle w:val="NormalHanging12a"/>
      </w:pPr>
      <w:r w:rsidRPr="009D180D">
        <w:t>19.</w:t>
      </w:r>
      <w:r w:rsidRPr="009D180D">
        <w:tab/>
        <w:t>pažymi, kad 2022 m. Komitetas toliau stiprino savo vidaus kontrolės sistemą, supaprastindamas kai kurių mažos vertės operacijų finansines grandines pagal vadinamąją nenuodugnaus tikrinimo (angl. ‘</w:t>
      </w:r>
      <w:proofErr w:type="spellStart"/>
      <w:r w:rsidRPr="009D180D">
        <w:t>light</w:t>
      </w:r>
      <w:proofErr w:type="spellEnd"/>
      <w:r w:rsidRPr="009D180D">
        <w:t xml:space="preserve"> </w:t>
      </w:r>
      <w:proofErr w:type="spellStart"/>
      <w:r w:rsidRPr="009D180D">
        <w:t>verification</w:t>
      </w:r>
      <w:proofErr w:type="spellEnd"/>
      <w:r w:rsidRPr="009D180D">
        <w:t>’) procedūrą, ir plėtojo savo politiką jautrių pareigybių klausimu, kaip rekomendavo Audito Rūmai savo 2019 finansinių metų metinėje ataskaitoje; pažymi, kad, remdamasis 2022 m. atnaujintu jautrių pareigybių sąrašu ir 2023 m. pradžioje paskelbus atnaujintą 36 pareigybių sąrašą, Komitetas vis dar vykdė metodikos ir rizikos valdymo sistemos peržiūrą, atsižvelgdamas tiek į institucijos dydį, tiek į jos operacijų pobūdį; prašo Komiteto informuoti biudžeto įvykdymą tvirtinančią instituciją apie pažangą, padarytą 2023 m. įgyvendinant jautrių pareigybių metodiką;</w:t>
      </w:r>
    </w:p>
    <w:p w:rsidR="002501CA" w:rsidRPr="009D180D" w:rsidRDefault="002501CA" w:rsidP="002501CA">
      <w:pPr>
        <w:pStyle w:val="NormalHanging12a"/>
      </w:pPr>
      <w:r w:rsidRPr="009D180D">
        <w:t>20.</w:t>
      </w:r>
      <w:r w:rsidRPr="009D180D">
        <w:tab/>
        <w:t>palankiai vertina Komiteto pastangas sukurti geriau apibrėžtą ir nuoseklesnę audito sistemą užbaigiant rengti vidaus audito chartiją ir audito komiteto chartiją, kuriose būtų nustatytos procedūrinės taisyklės, kurias audito komitetas patvirtino 2022 m. gruodžio mėn., o Komiteto biuras priėmė 2023 m. pradžioje; teigiamai vertina tai, kad 2022 m. Komiteto vidaus audito funkcija buvo sustiprinta, visų pirma jo Vidaus audito tarnyboje įdarbinant administratorių ir su RK vidaus auditoriumi glaudžiai koordinuojant veiklą visais aspektais, susijusiais su jungtinių tarnybų auditu; pažymi, kad 2022 m. pradėti keturi auditai šiais klausimais: pavėluoti mokėjimai, su posėdžiais susiję leidimai, strateginis ciklas ir Komiteto Pramonės permainų konsultacinės komisijos atstovų atranka;</w:t>
      </w:r>
    </w:p>
    <w:p w:rsidR="002501CA" w:rsidRPr="009D180D" w:rsidRDefault="002501CA" w:rsidP="002501CA">
      <w:pPr>
        <w:pStyle w:val="NormalHanging12a"/>
        <w:rPr>
          <w:b/>
          <w:i/>
        </w:rPr>
      </w:pPr>
      <w:r w:rsidRPr="009D180D">
        <w:rPr>
          <w:b/>
          <w:i/>
        </w:rPr>
        <w:lastRenderedPageBreak/>
        <w:t>Žmogiškieji ištekliai, lygybė ir darbuotojų gerovė</w:t>
      </w:r>
    </w:p>
    <w:p w:rsidR="002501CA" w:rsidRPr="009D180D" w:rsidRDefault="002501CA" w:rsidP="002501CA">
      <w:pPr>
        <w:pStyle w:val="NormalHanging12a"/>
      </w:pPr>
      <w:r w:rsidRPr="009D180D">
        <w:t>21.</w:t>
      </w:r>
      <w:r w:rsidRPr="009D180D">
        <w:tab/>
        <w:t>pažymi, kad 2022 m. pabaigoje Komitete iš viso dirbo 706 darbuotojai, o 2021 m. – 699 darbuotojai; pažymi, kad 2022 m. pabaigoje Komitete dirbo 50 sutartininkų ir 128 laikinieji darbuotojai (daugiau, palyginti su 2021 m. dirbusiais 46 sutartininkais ir 107 laikinaisiais darbuotojais), įskaitant 19 sutartininkų ir 3 pagal neterminuotą darbo sutartį dirbančius laikinuosius darbuotojus; be to, pažymi, kad Komitete dirbo 12 iš laikinojo įdarbinimo agentūrų pasamdytų darbuotojų ir 7 išorės darbuotojai, dirbantys vietoje, neįskaitant išorės logistikos ir IT sričių paslaugų teikėjų; pažymi, kad 2022 m. etatų plane numatytų pareigybių užimtumo rodiklis buvo 95,1 proc.;</w:t>
      </w:r>
    </w:p>
    <w:p w:rsidR="002501CA" w:rsidRPr="009D180D" w:rsidRDefault="002501CA" w:rsidP="002501CA">
      <w:pPr>
        <w:pStyle w:val="NormalHanging12a"/>
      </w:pPr>
      <w:r w:rsidRPr="009D180D">
        <w:t>22.</w:t>
      </w:r>
      <w:r w:rsidRPr="009D180D">
        <w:tab/>
        <w:t xml:space="preserve">palankiai vertina nuolatines Komiteto pastangas tobulinti savo žmogiškųjų išteklių sistemą siekiant tapti patraukliu darbdaviu ir visiškai įtraukia darbo vieta, kurioje kiekvienas asmuo būtų vertinamas ir galėtų visapusiškai išnaudoti savo potencialą; pažymi, kad 2022 m. birželio mėn. priimta integruota žmogiškųjų išteklių strategija grindžiama </w:t>
      </w:r>
      <w:proofErr w:type="spellStart"/>
      <w:r w:rsidRPr="009D180D">
        <w:t>įtraukties</w:t>
      </w:r>
      <w:proofErr w:type="spellEnd"/>
      <w:r w:rsidRPr="009D180D">
        <w:t>, išsaugojimo, kompetencijos ir veiklos rezultatų principais; teigiamai vertina tai, kad vienas iš pirmųjų tolesnių veiksmų buvo 2023 m. sausio mėn. pradėta darbuotojų pasitenkinimo apklausa, kurioje daugiausia dėmesio skiriama darbuotojų dalyvavimui;</w:t>
      </w:r>
    </w:p>
    <w:p w:rsidR="002501CA" w:rsidRPr="009D180D" w:rsidRDefault="002501CA" w:rsidP="002501CA">
      <w:pPr>
        <w:pStyle w:val="NormalHanging12a"/>
      </w:pPr>
      <w:r w:rsidRPr="009D180D">
        <w:t>23.</w:t>
      </w:r>
      <w:r w:rsidRPr="009D180D">
        <w:tab/>
        <w:t xml:space="preserve">pabrėžia, kad naujų darbuotojų įtraukimas yra strateginio suderinimo veiksnys, svarbus užtikrinant, kad darbuotojai būtų informuojami apie institucijoje taikomas taisykles ir strategijas; pažymi, kad 2022 m. balandžio mėn. vėl pradėti rengti naujiems Komiteto darbuotojams skirti įvadiniai mokymai; teigiamai vertina tai, kad siekdamas pritaikyti savo metodus prie mišrios darbo aplinkos Komitetas sukūrė </w:t>
      </w:r>
      <w:proofErr w:type="spellStart"/>
      <w:r w:rsidRPr="009D180D">
        <w:t>mentorystės</w:t>
      </w:r>
      <w:proofErr w:type="spellEnd"/>
      <w:r w:rsidRPr="009D180D">
        <w:t xml:space="preserve"> programą, pagal kurią </w:t>
      </w:r>
      <w:proofErr w:type="spellStart"/>
      <w:r w:rsidRPr="009D180D">
        <w:t>mentoriams</w:t>
      </w:r>
      <w:proofErr w:type="spellEnd"/>
      <w:r w:rsidRPr="009D180D">
        <w:t xml:space="preserve"> teikiama parama ir konsultacijos keičiantis geriausios praktikos pavyzdžiais;</w:t>
      </w:r>
    </w:p>
    <w:p w:rsidR="002501CA" w:rsidRPr="009D180D" w:rsidRDefault="002501CA" w:rsidP="002501CA">
      <w:pPr>
        <w:pStyle w:val="NormalHanging12a"/>
      </w:pPr>
      <w:r w:rsidRPr="009D180D">
        <w:t>24.</w:t>
      </w:r>
      <w:r w:rsidRPr="009D180D">
        <w:tab/>
        <w:t>pažymi, kad, siekdamas geriau paskirstyti savo ribotus išteklius, 2022 m. Komitetas užsakė išorės žmogiškųjų išteklių gebėjimų nustatymą, per kurį daugelyje skirtingų Komiteto tarnybų buvo patvirtintas didelis darbo krūvis, atsižvelgiant į išteklių trūkumą 2013 m. sumažinus į etatų planą įrašytų pareigybių skaičių; pažymi, kad po išorės audito, susijusio su žmogiškųjų išteklių gebėjimų nustatymu, Komitetas pradėjo rengti veiksmų planą, apimantį veiksmus, patenkančius į integruotos žmogiškųjų išteklių strategijos taikymo sritį, pvz., vertinimo ir veiklos rezultatų sistemos peržiūrą, vidaus komunikacijos strategijos rengimą, naujo sprendimo dėl darbo sąlygų priėmimą ir reguliarios darbuotojų dalyvavimo stebėsenos organizavimą; ragina Komitetą pateikti naujausią informaciją apie tolesnius veiksmus, susijusius su žmogiškųjų išteklių gebėjimų nustatymu 2023 m.;</w:t>
      </w:r>
    </w:p>
    <w:p w:rsidR="002501CA" w:rsidRPr="009D180D" w:rsidRDefault="002501CA" w:rsidP="002501CA">
      <w:pPr>
        <w:pStyle w:val="NormalHanging12a"/>
      </w:pPr>
      <w:r w:rsidRPr="009D180D">
        <w:t>25.</w:t>
      </w:r>
      <w:r w:rsidRPr="009D180D">
        <w:tab/>
        <w:t xml:space="preserve">džiaugdamasis pažymi, kad 2022 m. balandžio 1 d. įsigaliojo naujas sprendimas dėl lanksčių darbo sąlygų, kuriuo įtvirtinama lanksti ir pasitikėjimu grindžiama mišraus darbo politika, – tai bandomasis projektas, pagal kurį darbuotojams nustatomi įvairūs darbo ne visą darbo laiką modeliai ir lanksti kasdieninė ir savaitinė tvarka; pažymi, kad 2022 m. apie 25 proc. Komitete dirbančių moterų ir 14,4 proc. vyrų kreipėsi dėl nestandartinių darbo modelių; pažymi, kad sprendimu dėl darbo sąlygų darbuotojams suteikiama galimybė dirbti nuotoliniu būdu iki 60 proc. darbo laiko, jei tai atitinka tarnybos interesus, ir 15 dienų per kalendorinius metus dirbti nuotoliniu būdu ne darbo vietoje, o kitur; pažymi, jog Komiteto darbuotojams suteikiama reikiama įranga, kad dirbdami nuotoliniu būdu jie turėtų geras darbo sąlygas; palankiai vertina tai, kad vertinimo komitetas atliko darbuotojų pasitenkinimo apklausą, kuri buvo pradėta </w:t>
      </w:r>
      <w:r w:rsidRPr="009D180D">
        <w:lastRenderedPageBreak/>
        <w:t>vykdyti 2022 m. pabaigoje; pažymi, kad galutinis sprendimas dėl darbo sąlygų po socialinio dialogo su darbuotojų sąjungomis, Komiteto personalo komitetu ir Teisės tarnyba turėjo būti priimtas iki 2023 m. pabaigos; prašo Komiteto laiku informuoti biudžeto įvykdymą tvirtinančią instituciją apie pokyčius šiuo klausimu;</w:t>
      </w:r>
    </w:p>
    <w:p w:rsidR="002501CA" w:rsidRPr="009D180D" w:rsidRDefault="002501CA" w:rsidP="002501CA">
      <w:pPr>
        <w:pStyle w:val="NormalHanging12a"/>
      </w:pPr>
      <w:r w:rsidRPr="009D180D">
        <w:t>26.</w:t>
      </w:r>
      <w:r w:rsidRPr="009D180D">
        <w:tab/>
        <w:t>apgailestauja dėl to, kad ir 2022 m. Komitetas negalėjo pateikti duomenų apie darbuotojų profesinio perdegimo atvejus Komitete; atsižvelgia į duomenų apsaugos apribojimus, tačiau primena Komitetui anoniminių statistinių duomenų svarbą, organizaciniu lygmeniu priimant valdymo sprendimus; pakartoja, kad reikėtų atsižvelgti į informuotumo didinimo veiksmus, gerąją patirtį, susijusią su darbo krūvio valdymu, komunikacija ir konfliktų sprendimu, taip pat grįžimo į darbą politiką; supranta, kad naujos darbo tvarkos priėmimas yra teigiamas žingsnis siekiant veiksmingesnės profesinio perdegimo prevencijos organizaciniu lygmeniu, taip pat atsižvelgiant į išvadas dėl žmogiškųjų išteklių gebėjimų nustatymo rezultatų;</w:t>
      </w:r>
    </w:p>
    <w:p w:rsidR="002501CA" w:rsidRPr="009D180D" w:rsidRDefault="002501CA" w:rsidP="002501CA">
      <w:pPr>
        <w:pStyle w:val="NormalHanging12a"/>
      </w:pPr>
      <w:r w:rsidRPr="009D180D">
        <w:t>27.</w:t>
      </w:r>
      <w:r w:rsidRPr="009D180D">
        <w:tab/>
        <w:t xml:space="preserve">pažymi, kad 2022 m. Komitetas, kaip ir anksčiau, įdarbino daug moterų (64,6 proc. visų darbuotojų), be kita ko, </w:t>
      </w:r>
      <w:proofErr w:type="spellStart"/>
      <w:r w:rsidRPr="009D180D">
        <w:t>viduriniosios</w:t>
      </w:r>
      <w:proofErr w:type="spellEnd"/>
      <w:r w:rsidRPr="009D180D">
        <w:t xml:space="preserve"> grandies vadovų lygmeniu (59 proc. visų vadovų); pažymi, kad moterų, einančių vyresniosios vadovybės narių pareigas, dalis vis dar turi būti didinama, atsižvelgiant į tai, kad 2022 m. pabaigoje tik trys iš septynių vyresniosios vadovybės narių buvo moterys; ragina Komitetą toliau dėti pastangas siekiant lyčių pusiausvyros, visų pirma didinant paskyrimų tarnybos informuotumą ir užtikrinant, kad įvairiuose organuose, įskaitant žmogiškųjų išteklių įdarbinimą ir atrankos komisijas, būtų lyčių pusiausvyra;</w:t>
      </w:r>
    </w:p>
    <w:p w:rsidR="002501CA" w:rsidRPr="009D180D" w:rsidRDefault="002501CA" w:rsidP="002501CA">
      <w:pPr>
        <w:pStyle w:val="NormalHanging12a"/>
      </w:pPr>
      <w:r w:rsidRPr="009D180D">
        <w:t>28.</w:t>
      </w:r>
      <w:r w:rsidRPr="009D180D">
        <w:tab/>
        <w:t xml:space="preserve">palankiai vertina veiksmus, vykdomus siekiant 2022–2023 m. priimti naują įvairovės ir </w:t>
      </w:r>
      <w:proofErr w:type="spellStart"/>
      <w:r w:rsidRPr="009D180D">
        <w:t>įtraukties</w:t>
      </w:r>
      <w:proofErr w:type="spellEnd"/>
      <w:r w:rsidRPr="009D180D">
        <w:t xml:space="preserve"> politiką, konsultuojantis su Komiteto vadovybe, Komiteto jungtiniu lygių galimybių komitetu ir Komiteto personalo komitetu; pažymi, kad, be vidaus komunikacijos veiksmų, 2022 m. gruodžio mėn. buvo surengta speciali informuotumo apie </w:t>
      </w:r>
      <w:proofErr w:type="spellStart"/>
      <w:r w:rsidRPr="009D180D">
        <w:t>homofobiją</w:t>
      </w:r>
      <w:proofErr w:type="spellEnd"/>
      <w:r w:rsidRPr="009D180D">
        <w:t xml:space="preserve"> didinimo kampanija; palankiai vertina tai, kad specialūs mokymai įvairovės bei </w:t>
      </w:r>
      <w:proofErr w:type="spellStart"/>
      <w:r w:rsidRPr="009D180D">
        <w:t>įtraukties</w:t>
      </w:r>
      <w:proofErr w:type="spellEnd"/>
      <w:r w:rsidRPr="009D180D">
        <w:t xml:space="preserve"> klausimais tapo privalomi vadovams ir rekomenduojami darbuotojams, taip pat kad specialūs kursai įvairovės ir </w:t>
      </w:r>
      <w:proofErr w:type="spellStart"/>
      <w:r w:rsidRPr="009D180D">
        <w:t>įtraukties</w:t>
      </w:r>
      <w:proofErr w:type="spellEnd"/>
      <w:r w:rsidRPr="009D180D">
        <w:t xml:space="preserve"> klausimais buvo pasiūlyti Komiteto nariams pagal jų metinę mokymo programą; ragina Komitetą tęsti diskusijas su Parlamentu, kad siekdamas įdarbinti neįgalių sutartininkų jis galėtų dalyvauti Parlamento pozityvių veiksmų programoje, skirtoje asmenims su negalia; pakartoja 2021 m. biudžeto įvykdymo patvirtinimo procedūros metu išsakytą raginimą Komitetui baigti rengti atnaujintą įvairovės ir </w:t>
      </w:r>
      <w:proofErr w:type="spellStart"/>
      <w:r w:rsidRPr="009D180D">
        <w:t>įtraukties</w:t>
      </w:r>
      <w:proofErr w:type="spellEnd"/>
      <w:r w:rsidRPr="009D180D">
        <w:t xml:space="preserve"> strategiją bei veiksmų planą;</w:t>
      </w:r>
    </w:p>
    <w:p w:rsidR="002501CA" w:rsidRPr="009D180D" w:rsidRDefault="002501CA" w:rsidP="002501CA">
      <w:pPr>
        <w:pStyle w:val="NormalHanging12a"/>
      </w:pPr>
      <w:r w:rsidRPr="009D180D">
        <w:t>29.</w:t>
      </w:r>
      <w:r w:rsidRPr="009D180D">
        <w:tab/>
        <w:t>pažymi, kad, nors tarp Komiteto darbuotojų yra visų valstybių narių atstovų, vis dar nepasiekta geografinė pusiausvyra, nes kai kurių tautybių atstovų ir toliau yra gerokai daugiau nei tam tikrų kitų tautybių atstovų; pažymi, kad 2022 m. Komitete dirbo 21 proc. vadovų iš 13 valstybių narių, įstojusių į Sąjungą po 2004 m., t. y. šiek tiek daugiau, palyginti su 19 proc. 2021 m.; dar kartą ragina Komitetą toliau imtis veiksmų siekiant tinkamo geografinio savo darbuotojų pasiskirstymo, ypač daug dėmesio skiriant vadovybei;</w:t>
      </w:r>
    </w:p>
    <w:p w:rsidR="002501CA" w:rsidRPr="009D180D" w:rsidRDefault="002501CA" w:rsidP="002501CA">
      <w:pPr>
        <w:pStyle w:val="NormalHanging12a"/>
      </w:pPr>
      <w:r w:rsidRPr="009D180D">
        <w:t>30.</w:t>
      </w:r>
      <w:r w:rsidRPr="009D180D">
        <w:tab/>
        <w:t xml:space="preserve">pažymi, kad 2022 m. Komitetas iš viso priėmė 52 stažuotojus penkių mėnesių laikotarpiui, keturis stažuotojus – trijų mėnesių laikotarpiui ir du išorės viešųjų įstaigų stipendijas gavusius stažuotojus; pažymi, kad visi penkių mėnesių laikotarpiui atvykę stažuotojai gavo mėnesinę stipendiją ir išmoką, o trumpesniam laikotarpiui atvykę stažuotojai neturėjo teisės gauti jokios finansinės išmokos; palankiai vertina tai, kad, atsižvelgiant ir į Parlamento raginimą 2020 m. biudžeto įvykdymo patvirtinimo </w:t>
      </w:r>
      <w:r w:rsidRPr="009D180D">
        <w:lastRenderedPageBreak/>
        <w:t xml:space="preserve">procedūros metu, 2022 m. buvo pradėta sprendimo dėl stažuočių Komitete peržiūra, siekiant nutraukti neapmokamas trumpalaikes stažuotes ir užtikrinti, kad visi stažuotojai gautų deramą atlygį; pabrėžia, kad naujas sprendimas dėl stažuočių įsigaliojo 2023 m. liepos mėn.: užtikrintos mėnesinės pajamos ir kelionpinigiai bei </w:t>
      </w:r>
      <w:proofErr w:type="spellStart"/>
      <w:r w:rsidRPr="009D180D">
        <w:t>judumo</w:t>
      </w:r>
      <w:proofErr w:type="spellEnd"/>
      <w:r w:rsidRPr="009D180D">
        <w:t xml:space="preserve"> išmokos ir, kai taikytina, neįgalumo išmoka tiek ilgalaikei, tiek trumpalaikei stažuotei atvykusiems stažuotojams;</w:t>
      </w:r>
    </w:p>
    <w:p w:rsidR="002501CA" w:rsidRPr="009D180D" w:rsidRDefault="002501CA" w:rsidP="002501CA">
      <w:pPr>
        <w:pStyle w:val="NormalHanging12a"/>
        <w:rPr>
          <w:b/>
          <w:i/>
        </w:rPr>
      </w:pPr>
      <w:r w:rsidRPr="009D180D">
        <w:rPr>
          <w:b/>
          <w:i/>
        </w:rPr>
        <w:t>Etikos sistema ir skaidrumas</w:t>
      </w:r>
    </w:p>
    <w:p w:rsidR="002501CA" w:rsidRPr="009D180D" w:rsidRDefault="002501CA" w:rsidP="002501CA">
      <w:pPr>
        <w:pStyle w:val="NormalHanging12a"/>
      </w:pPr>
      <w:r w:rsidRPr="009D180D">
        <w:t>31.</w:t>
      </w:r>
      <w:r w:rsidRPr="009D180D">
        <w:tab/>
        <w:t xml:space="preserve">pažymi, kad Komitetas tęsė savo vidaus reformų procesą 2022 m. kovo mėn. priimdamas naujas darbo tvarkos taisykles, o 2022 m. lapkričio mėn. – jų įgyvendinimo nuostatas; vis dėlto apgailestauja, kad, kalbant apie priekabiavimą, konkretūs su Komiteto narių ir pareigūnų santykiais susiję klausimai nėra sprendžiami atskirai; pažymi, kad darbo tvarkos taisyklės dabar atitinka elgesio kodeksą, priimtą 2021m., po to, kai Komitetas atliko vidaus auditą, susijusį su etika ir sąžiningumu, ir yra su juo suderintos; prašo Komiteto informuoti Parlamentą, ar etikos ir sąžiningumo audito veiksmų plano įgyvendinimo vertinimas buvo vykdomas taip, kaip planuota, ir kokie buvo šio vertinimo rezultatai; palankiai vertina 2022 m. pradėtus svarstymus siekiant parengti Komiteto darbuotojams skirtą vertybių chartiją, pasibaigus įtraukiam dalyvaujamajam procesui, kuris buvo užbaigtas ir apie kurį darbuotojams pranešta 2023 m.; mano, kad tik taikant visiško priekabiavimo </w:t>
      </w:r>
      <w:proofErr w:type="spellStart"/>
      <w:r w:rsidRPr="009D180D">
        <w:t>netoleravimo</w:t>
      </w:r>
      <w:proofErr w:type="spellEnd"/>
      <w:r w:rsidRPr="009D180D">
        <w:t xml:space="preserve"> politiką bus ateityje užkirstas kelias įtarimams dėl priekabiavimo ir sunkių nusižengimų Komitete;</w:t>
      </w:r>
    </w:p>
    <w:p w:rsidR="002501CA" w:rsidRPr="009D180D" w:rsidRDefault="002501CA" w:rsidP="002501CA">
      <w:pPr>
        <w:pStyle w:val="NormalHanging12a"/>
      </w:pPr>
      <w:r w:rsidRPr="009D180D">
        <w:t>32.</w:t>
      </w:r>
      <w:r w:rsidRPr="009D180D">
        <w:tab/>
        <w:t>pažymi, kad 2021 m. gruodžio 15 d. įsigaliojus peržiūrėtam Komiteto sprendimui dėl informavimo apie pažeidimus (Sprendimas Nr. 297/21A) ir 2022 m. kovo 31 d. priimtam peržiūrėtam sprendimui dėl psichologinio ir seksualinio priekabiavimo darbe prevencijos ir tokiais atvejais taikomų procedūrų (Sprendimas Nr. 090/22A), atnaujintą etikos teisinę sistemą buvo numatoma papildyti peržiūrėtu sprendimu, kuriuo nustatomos bendrosios įgyvendinimo nuostatos dėl drausminių procedūrų ir administracinių tyrimų 2023 m., koordinuojant veiksmus su RK; pažymi, kad 2022 m. buvo priimtas naujas sprendimas dėl paskyrimų ir papildomo darbo (Sprendimas Nr. 141/22A), kuris taikomas dirbantiems darbuotojams, komandiruotiems darbuotojams ir buvusiems darbuotojams, laikantis Tarnybos nuostatų sąlygų, taikomų nutraukiant tarnybą;</w:t>
      </w:r>
    </w:p>
    <w:p w:rsidR="002501CA" w:rsidRPr="009D180D" w:rsidRDefault="002501CA" w:rsidP="002501CA">
      <w:pPr>
        <w:pStyle w:val="NormalHanging12a"/>
      </w:pPr>
      <w:r w:rsidRPr="009D180D">
        <w:t>33.</w:t>
      </w:r>
      <w:r w:rsidRPr="009D180D">
        <w:tab/>
        <w:t>su pasitenkinimu pažymi, kad 2022 m. Komitetas toliau rengė mokymus darbuotojams ir didino informuotumą apie galiojančią etikos sistemą, visų pirma apie naująjį elgesio kodeksą, priekabiavimą ir informavimą apie pažeidimus, taip pat apie patarėjų etikos klausimais, kurie įgaliojimus pradėjo vykdyti 2022 m. sausio mėn., vaidmenį ir pareigas; pažymi, kad 2022 m. 116 darbuotojų, įskaitant vadovus ir naujus darbuotojus, dalyvavo vidaus etikos mokymo kursuose, o 26 darbuotojai dalyvavo Komisijos ir Europos viešojo administravimo mokyklos rengiamuose etikos mokymuose; pažymi, kad buvo parengti ir teikiami specialiai patarėjų etikos klausimais komandai pritaikyti mokymai; palankiai vertina tai, kad 83 proc. 2022 m. pradėtos darbuotojų pasitenkinimo apklausos respondentų buvo išsamiai informuoti apie etišką elgesį ir sustiprintą Komiteto etikos sistemą;</w:t>
      </w:r>
    </w:p>
    <w:p w:rsidR="002501CA" w:rsidRPr="009D180D" w:rsidRDefault="002501CA" w:rsidP="002501CA">
      <w:pPr>
        <w:pStyle w:val="NormalHanging12a"/>
        <w:rPr>
          <w:color w:val="000000" w:themeColor="text1"/>
        </w:rPr>
      </w:pPr>
      <w:r w:rsidRPr="009D180D">
        <w:t>34.</w:t>
      </w:r>
      <w:r w:rsidRPr="009D180D">
        <w:tab/>
        <w:t xml:space="preserve">kalbant apie priekabiavimo atvejus, apie kuriuos pranešta per pastarųjų metų biudžeto įvykdymo patvirtinimo procedūras, pažymi, kad paskutinis susitarimas dėl ginčų sprendimo, susijęs su Europos kovos su sukčiavimu tarnybos (OLAF) byla OC/2018/0666/A1, buvo sudarytas 2022 m. spalio 1 d., taigi Komitetas galėjo visiškai </w:t>
      </w:r>
      <w:r w:rsidRPr="009D180D">
        <w:lastRenderedPageBreak/>
        <w:t>užbaigti nagrinėti visus su ta byla susijusius pagalbos prašymus; palankiai vertina 2022 m. balandžio 13 d. tuometinės Komiteto pirmininkės viešą pareiškimą, paskelbtą Komiteto interneto svetainėje, kuriame ji Komiteto vardu oficialiai atsiprašė visų nukentėjusiųjų susijusioje byloje (darbuotojų ir buvusio nario);</w:t>
      </w:r>
      <w:r w:rsidRPr="009D180D">
        <w:rPr>
          <w:color w:val="000000" w:themeColor="text1"/>
        </w:rPr>
        <w:t xml:space="preserve"> palankiai vertina tai, kad 2022 m. spalio 6 d. sprendimu byloje C-673/21</w:t>
      </w:r>
      <w:r w:rsidRPr="009D180D">
        <w:rPr>
          <w:rStyle w:val="FootnoteReference"/>
          <w:color w:val="000000" w:themeColor="text1"/>
        </w:rPr>
        <w:footnoteReference w:id="6"/>
      </w:r>
      <w:r w:rsidRPr="009D180D">
        <w:rPr>
          <w:color w:val="000000" w:themeColor="text1"/>
        </w:rPr>
        <w:t xml:space="preserve"> Teisingumo Teismas patvirtino priemonių, kurių ėmėsi Komiteto biuras savo 2020 m. birželio 9 d. sprendime, teisėtumą;</w:t>
      </w:r>
    </w:p>
    <w:p w:rsidR="002501CA" w:rsidRPr="009D180D" w:rsidRDefault="002501CA" w:rsidP="002501CA">
      <w:pPr>
        <w:pStyle w:val="NormalHanging12a"/>
      </w:pPr>
      <w:r w:rsidRPr="009D180D">
        <w:t>35.</w:t>
      </w:r>
      <w:r w:rsidRPr="009D180D">
        <w:tab/>
        <w:t>dar kartą ragina Komitetą atlikti nepriklausomą išorės tyrimą, kad būtų konkrečiai peržiūrėtos Komiteto žmogiškųjų išteklių procedūros ir jų veiksmingumas, daugiausia dėmesio skiriant administracinės vadovybės atsakomybės nagrinėjant skundus dėl priekabiavimo ir užtikrinant darbuotojų gerovę nustatymui; nepaisydamas priemonių, kurių pastaraisiais metais imtasi siekiant sustiprinti Komiteto etikos sistemą, nepritaria Komiteto pozicijai, kad toks tyrimas nėra būtinas, nes taikomos priemonės sudarė sąlygas nagrinėti priekabiavimo atvejį, ir primena, kad Parlamentas jau išreiškė susirūpinimą dėl pasikartojančio lėto Komiteto reagavimo į atitinkamus atvejus;</w:t>
      </w:r>
    </w:p>
    <w:p w:rsidR="002501CA" w:rsidRPr="009D180D" w:rsidRDefault="002501CA" w:rsidP="002501CA">
      <w:pPr>
        <w:pStyle w:val="NormalHanging12a"/>
      </w:pPr>
      <w:r w:rsidRPr="009D180D">
        <w:t>36.</w:t>
      </w:r>
      <w:r w:rsidRPr="009D180D">
        <w:tab/>
        <w:t>pažymi, kad 2022 m. Europos ombudsmenas, gavęs skundų, atliko tris tyrimus; atkreipia dėmesį į tai, kad dėl vieno atvejo pradėtas tyrimas, kurio metu padaryta išvada, kad netinkamo administravimo atvejų nebuvo; pažymi, kad kiti du atvejai buvo baigti nagrinėti neatlikus tyrimo, nes, Ombudsmeno nuomone, per tą laiką abiem atvejais ginčai buvo išspręsti;</w:t>
      </w:r>
    </w:p>
    <w:p w:rsidR="002501CA" w:rsidRPr="009D180D" w:rsidRDefault="002501CA" w:rsidP="002501CA">
      <w:pPr>
        <w:pStyle w:val="NormalHanging12a"/>
      </w:pPr>
      <w:r w:rsidRPr="009D180D">
        <w:t>37.</w:t>
      </w:r>
      <w:r w:rsidRPr="009D180D">
        <w:tab/>
        <w:t>su susirūpinimu pažymi, kad 2022 m. Komitetas vis dar nagrinėjo keturis įtariamo priekabiavimo atvejus; prašo Komiteto laiku informuoti Parlamentą apie su tais atvejais susijusius tolesnius veiksmus; atkreipia dėmesį į tai, kad 2022 m. Komitete nebuvo pranešta apie naujus įtariamo priekabiavimo atvejus, susijusius su jo darbuotojais ar nariais, tačiau žino, kad 2022 m. kitoje institucijoje buvo pranešta apie įtarimus dėl priekabiavimo, susijusio su Komiteto darbuotoju; prašo Komiteto, bendradarbiaujant su ta kita atitinkama institucija, informuoti Parlamentą apie su tuo atveju susijusius tolesnius veiksmus;</w:t>
      </w:r>
    </w:p>
    <w:p w:rsidR="002501CA" w:rsidRPr="009D180D" w:rsidRDefault="002501CA" w:rsidP="002501CA">
      <w:pPr>
        <w:spacing w:after="240"/>
        <w:ind w:left="567" w:hanging="567"/>
        <w:rPr>
          <w:szCs w:val="24"/>
        </w:rPr>
      </w:pPr>
      <w:r w:rsidRPr="009D180D">
        <w:t>38.</w:t>
      </w:r>
      <w:r w:rsidRPr="009D180D">
        <w:tab/>
        <w:t>pažymi, kad Komitetas yra civilinis ieškovas vykstančiame teismo procese, kurį Belgijos nacionalinės valdžios institucijos inicijavo prieš buvusį narį, kaltinamą nusižengimu, kuris šiuo metu nagrinėjamas Belgijos teisme, kad būtų priimtas sprendimas; prašo Komiteto laiku informuoti Parlamentą apie bylos eigą;</w:t>
      </w:r>
    </w:p>
    <w:p w:rsidR="002501CA" w:rsidRPr="009D180D" w:rsidRDefault="002501CA" w:rsidP="002501CA">
      <w:pPr>
        <w:spacing w:after="240"/>
        <w:ind w:left="567" w:hanging="567"/>
        <w:rPr>
          <w:szCs w:val="24"/>
        </w:rPr>
      </w:pPr>
      <w:r w:rsidRPr="009D180D">
        <w:t>39.</w:t>
      </w:r>
      <w:r w:rsidRPr="009D180D">
        <w:tab/>
        <w:t>pažymi, kad 2022 m. nariai arba darbuotojai oficialiai inicijavo tris informavimo apie pažeidimą atvejus; pažymi, kad visi trys atvejai buvo greitai išnagrinėti ir baigti nagrinėti deramai paisant pranešėjų apsaugos laikantis sprendimo dėl informavimo apie pažeidimus (Sprendimas Nr. 297/21A); taip pat pažymi, kad 2022 m. etikos konsultantams buvo pateikti du galimo informavimo apie pažeidimus atvejai, tačiau nė vienas iš jų nebuvo patvirtintas;</w:t>
      </w:r>
    </w:p>
    <w:p w:rsidR="002501CA" w:rsidRPr="009D180D" w:rsidRDefault="002501CA" w:rsidP="002501CA">
      <w:pPr>
        <w:pStyle w:val="NormalHanging12a"/>
      </w:pPr>
      <w:r w:rsidRPr="009D180D">
        <w:t>40.</w:t>
      </w:r>
      <w:r w:rsidRPr="009D180D">
        <w:tab/>
        <w:t xml:space="preserve">teigiamai vertina Komiteto norą bendradarbiauti su Sąjungos tyrimų organais (OLAF ir Europos prokuratūra); pažymi, kad 2022 m., nesant sukčiavimo įrodymų ir išvadų, OLAF baigė nagrinėti dvi bylas dėl įtariamo Sąjungos lėšų pasisavinimo ir galimų pažeidimų bei sunkių nusižengimų, susijusių su dviem nariais; su susirūpinimu pažymi, </w:t>
      </w:r>
      <w:r w:rsidRPr="009D180D">
        <w:lastRenderedPageBreak/>
        <w:t>kad 2023 m. OLAF pradėjo tris naujas bylas prieš narius dėl galimo sukčiavimo, iš kurių dvi buvo baigtos nagrinėti tais pačiais metais ir perduotos Europos prokuratūrai, kad ji atliktų tyrimą; pažymi, kad OLAF perdavė vieną atvejį, susijusį su nario tariamu elgesio kodekso pažeidimu, Komiteto etikos komitetui; prašo Komiteto laiku informuoti Parlamentą apie su tuo atveju susijusius tolesnius veiksmus;</w:t>
      </w:r>
    </w:p>
    <w:p w:rsidR="002501CA" w:rsidRPr="009D180D" w:rsidRDefault="002501CA" w:rsidP="002501CA">
      <w:pPr>
        <w:spacing w:after="240"/>
        <w:ind w:left="567" w:hanging="567"/>
        <w:rPr>
          <w:szCs w:val="24"/>
        </w:rPr>
      </w:pPr>
      <w:r w:rsidRPr="009D180D">
        <w:t>41.</w:t>
      </w:r>
      <w:r w:rsidRPr="009D180D">
        <w:tab/>
        <w:t xml:space="preserve">sveikina Komitetą priėmus sprendimą nuo 2023 m. birželio 1 d. oficialiai prisijungti prie ES skaidrumo registro, sukurto 2021 m. gegužės 20 d. Europos Parlamento, Europos Sąjungos Tarybos ir Europos Komisijos </w:t>
      </w:r>
      <w:proofErr w:type="spellStart"/>
      <w:r w:rsidRPr="009D180D">
        <w:t>tarpinstituciniu</w:t>
      </w:r>
      <w:proofErr w:type="spellEnd"/>
      <w:r w:rsidRPr="009D180D">
        <w:t xml:space="preserve"> susitarimu dėl privalomo skaidrumo registro</w:t>
      </w:r>
      <w:r w:rsidRPr="009D180D">
        <w:rPr>
          <w:szCs w:val="24"/>
          <w:vertAlign w:val="superscript"/>
        </w:rPr>
        <w:footnoteReference w:id="7"/>
      </w:r>
      <w:r w:rsidRPr="009D180D">
        <w:t>; pažymi, kad 2023 m. kovo 21 d. Komitetas, laikydamasis nustatytų principų dėl ES skaidrumo registro, patvirtino keletą skaidrumo priemonių, pvz., rekomendaciją pareigas einantiems nariams susitikti tik su registruotais suinteresuotaisiais subjektais, pareigas einančių narių pareigą skelbti savo posėdžių sąrašus ir savanorišką informacijos apie poveikį teisės aktui skelbimą pranešėjams;</w:t>
      </w:r>
    </w:p>
    <w:p w:rsidR="002501CA" w:rsidRPr="009D180D" w:rsidRDefault="002501CA" w:rsidP="002501CA">
      <w:pPr>
        <w:pStyle w:val="NormalHanging12a"/>
      </w:pPr>
      <w:r w:rsidRPr="009D180D">
        <w:t>42.</w:t>
      </w:r>
      <w:r w:rsidRPr="009D180D">
        <w:tab/>
        <w:t>apgailestauja, kad Komitetas taiko įvairias sukčiavimo prevencijos priemones, tačiau dar nėra įdiegęs integruotos kovos su sukčiavimu strategijos, nepaisant ankstesnių Parlamento prašymų; teigiamai vertina tai, kad Komitetas, siekdamas pagerinti kovos su sukčiavimu sistemą, baigė rengti sąrašą sričių, kurios yra svarbios vidaus sukčiavimo rizikos analizei pradėti, pvz., politikos ir procedūrų, darbuotojų mokymo ir bendradarbiavimo su kitomis įstaigomis;</w:t>
      </w:r>
    </w:p>
    <w:p w:rsidR="002501CA" w:rsidRPr="009D180D" w:rsidRDefault="002501CA" w:rsidP="002501CA">
      <w:pPr>
        <w:pStyle w:val="NormalHanging12a"/>
        <w:rPr>
          <w:b/>
          <w:i/>
        </w:rPr>
      </w:pPr>
      <w:r w:rsidRPr="009D180D">
        <w:rPr>
          <w:b/>
          <w:i/>
        </w:rPr>
        <w:t>Skaitmeninimas, kibernetinis saugumas ir duomenų apsauga</w:t>
      </w:r>
    </w:p>
    <w:p w:rsidR="002501CA" w:rsidRPr="009D180D" w:rsidRDefault="002501CA" w:rsidP="002501CA">
      <w:pPr>
        <w:pStyle w:val="NormalHanging12a"/>
      </w:pPr>
      <w:r w:rsidRPr="009D180D">
        <w:t>43.</w:t>
      </w:r>
      <w:r w:rsidRPr="009D180D">
        <w:tab/>
        <w:t>pažymi, kad bendras Komiteto ir RK IT biudžetas 2022 m. siekė 11 712 000 EUR, įskaitant 750 000 EUR finansavimo padidinimą Komitetui tais metais atlikus biudžeto lėšų perkėlimą, palyginti su 12 860 000 EUR 2021 m., t. y. buvo 9 proc. mažesnis;</w:t>
      </w:r>
    </w:p>
    <w:p w:rsidR="002501CA" w:rsidRPr="009D180D" w:rsidRDefault="002501CA" w:rsidP="002501CA">
      <w:pPr>
        <w:pStyle w:val="NormalHanging12a"/>
      </w:pPr>
      <w:r w:rsidRPr="009D180D">
        <w:t>44</w:t>
      </w:r>
      <w:r w:rsidR="00F5034E">
        <w:t>.</w:t>
      </w:r>
      <w:r w:rsidRPr="009D180D">
        <w:tab/>
        <w:t>pažymi, kad Komitetas turi skaitmeninę strategiją, kuria siekiama teikti IT paslaugas remiantis geriausia IT valdymo praktika, kartu optimizuojant žmogiškųjų ir finansinių išteklių naudojimą; pažymi, kad 2022 m. Komitetas dirbo pritaikydamas ir plėtodamas kelias strategines IT priemones, kuriomis siekiama padidinti Komiteto politinio darbo ir jo administracinių procesų bei darbo srautų veiksmingumą ir efektyvumą; pažymi, kad pagrindinis 2022 m. IT infrastruktūros projektas buvo susijęs su tinklo tipologijos, reikalingo</w:t>
      </w:r>
      <w:bookmarkStart w:id="8" w:name="_GoBack"/>
      <w:bookmarkEnd w:id="8"/>
      <w:r w:rsidRPr="009D180D">
        <w:t xml:space="preserve">s naujai kompiuterių patalpai Jacques </w:t>
      </w:r>
      <w:proofErr w:type="spellStart"/>
      <w:r w:rsidRPr="009D180D">
        <w:t>Delors</w:t>
      </w:r>
      <w:proofErr w:type="spellEnd"/>
      <w:r w:rsidRPr="009D180D">
        <w:t xml:space="preserve"> pastate (JDE), pritaikymu pagal hibridinės </w:t>
      </w:r>
      <w:proofErr w:type="spellStart"/>
      <w:r w:rsidRPr="009D180D">
        <w:t>debesijos</w:t>
      </w:r>
      <w:proofErr w:type="spellEnd"/>
      <w:r w:rsidRPr="009D180D">
        <w:t xml:space="preserve"> veiksmų gaires;</w:t>
      </w:r>
    </w:p>
    <w:p w:rsidR="002501CA" w:rsidRPr="009D180D" w:rsidRDefault="002501CA" w:rsidP="002501CA">
      <w:pPr>
        <w:pStyle w:val="NormalHanging12a"/>
      </w:pPr>
      <w:r w:rsidRPr="009D180D">
        <w:t>45.</w:t>
      </w:r>
      <w:r w:rsidRPr="009D180D">
        <w:tab/>
        <w:t>pažymi, kad 2022 m. Komitetas padidino mišrių posėdžių skaičių, siekdamas prisitaikyti prie mišraus darbo ir optimizuoti savo darbo metodus, visų pirma sumažindamas komandiruočių skaičių; supranta, kad dėl šio naujo darbo metodo reikėjo techniškai atnaujinti mišrių posėdžių salių įrangą;</w:t>
      </w:r>
    </w:p>
    <w:p w:rsidR="002501CA" w:rsidRPr="009D180D" w:rsidRDefault="002501CA" w:rsidP="002501CA">
      <w:pPr>
        <w:pStyle w:val="NormalHanging12a"/>
      </w:pPr>
      <w:r w:rsidRPr="009D180D">
        <w:t>46.</w:t>
      </w:r>
      <w:r w:rsidRPr="009D180D">
        <w:tab/>
        <w:t xml:space="preserve">pažymi, kad 2022 m. Komitetas nesusidūrė su jokiais kibernetiniais išpuoliais; pažymi, kad naują jungtinį Komiteto ir RK inovacijų ir informacinių technologijų direktoratą sudaro trys skyriai, t. y. skaitmeninės transformacijos, skaitmeninių sprendimų ir skaitmeninių platformų skyriai; pažymi, kad skaitmeninių platformų skyrius yra atsakingas, be kita ko, už kibernetinį saugumą; prašo Komiteto informuoti biudžeto įvykdymą tvirtinančią instituciją apie tai, kaip šios naujos struktūros sukūrimas padėjo pagerinti jo darbuotojų pasirengimą kibernetiniam saugumui, laikantis Nacionalinio </w:t>
      </w:r>
      <w:r w:rsidRPr="009D180D">
        <w:lastRenderedPageBreak/>
        <w:t>standartų ir technologijų instituto (NIST) kibernetinio saugumo sistemos ir bendradarbiaujant su Sąjungos institucijų, įstaigų, organų ir agentūrų kibernetinio saugumo tarnyba (CERT-EU); ragina Komitetą didinti savo narių ir darbuotojų informuotumą apie kibernetinį saugumą, reguliariai atlikti savo IT infrastruktūros rizikos vertinimus ir užtikrinti reguliarų savo kibernetinės gynybos auditą ir testus;</w:t>
      </w:r>
    </w:p>
    <w:p w:rsidR="002501CA" w:rsidRPr="009D180D" w:rsidRDefault="002501CA" w:rsidP="002501CA">
      <w:pPr>
        <w:pStyle w:val="NormalHanging12a"/>
      </w:pPr>
      <w:r w:rsidRPr="009D180D">
        <w:t>47.</w:t>
      </w:r>
      <w:r w:rsidRPr="009D180D">
        <w:tab/>
        <w:t>pažymi, kad Komitetas naudoja atvirojo kodo technologijas savo sistemose, visų pirma pagrindinėse operacinėse taikomosiose programose, naudojamose Komiteto politinei veiklai valdyti („Agora“ ir „</w:t>
      </w:r>
      <w:proofErr w:type="spellStart"/>
      <w:r w:rsidRPr="009D180D">
        <w:t>Phoenix</w:t>
      </w:r>
      <w:proofErr w:type="spellEnd"/>
      <w:r w:rsidRPr="009D180D">
        <w:t>“); taip pat pažymi, kad Komitetas stebi atvirojo kodo technologijų naudojimą savo metiniame IT portfelyje, kad jos būtų taikomos naujoms taikomosioms programoms;</w:t>
      </w:r>
    </w:p>
    <w:p w:rsidR="002501CA" w:rsidRPr="009D180D" w:rsidRDefault="002501CA" w:rsidP="002501CA">
      <w:pPr>
        <w:spacing w:after="240"/>
        <w:ind w:left="567" w:hanging="567"/>
        <w:rPr>
          <w:szCs w:val="24"/>
        </w:rPr>
      </w:pPr>
      <w:r w:rsidRPr="009D180D">
        <w:t>48.</w:t>
      </w:r>
      <w:r w:rsidRPr="009D180D">
        <w:tab/>
        <w:t>pažymi, kad 2022 m. Komitetas darė pažangą siekdamas įdiegti naują dokumentų valdymo sistemą, kad būtų padidintas skaidrumas ir prieinamumas; susidomėjęs pažymi, kad Komitetas laiku pradėjo vertinti Komisijos elektroninės įrašų valdymo sistemos („</w:t>
      </w:r>
      <w:proofErr w:type="spellStart"/>
      <w:r w:rsidRPr="009D180D">
        <w:t>Ares</w:t>
      </w:r>
      <w:proofErr w:type="spellEnd"/>
      <w:r w:rsidRPr="009D180D">
        <w:t>“) naudojimo technines galimybes ir finansinius padarinius;</w:t>
      </w:r>
    </w:p>
    <w:p w:rsidR="002501CA" w:rsidRPr="009D180D" w:rsidRDefault="002501CA" w:rsidP="002501CA">
      <w:pPr>
        <w:pStyle w:val="NormalHanging12a"/>
        <w:ind w:left="0" w:firstLine="0"/>
        <w:rPr>
          <w:b/>
          <w:i/>
        </w:rPr>
      </w:pPr>
      <w:r w:rsidRPr="009D180D">
        <w:rPr>
          <w:b/>
          <w:i/>
        </w:rPr>
        <w:t xml:space="preserve">Pastatai </w:t>
      </w:r>
    </w:p>
    <w:p w:rsidR="002501CA" w:rsidRPr="009D180D" w:rsidRDefault="002501CA" w:rsidP="002501CA">
      <w:pPr>
        <w:spacing w:after="240"/>
        <w:ind w:left="567" w:hanging="567"/>
        <w:rPr>
          <w:szCs w:val="24"/>
        </w:rPr>
      </w:pPr>
      <w:r w:rsidRPr="009D180D">
        <w:t>49.</w:t>
      </w:r>
      <w:r w:rsidRPr="009D180D">
        <w:tab/>
        <w:t>pažymi, kad Komitetas ir RK prarado 5 000 m² biuro patalpų po to, kai 2021 m. rugsėjo mėn. buvo perimta buvusio EIVT pastato (</w:t>
      </w:r>
      <w:proofErr w:type="spellStart"/>
      <w:r w:rsidRPr="009D180D">
        <w:t>Belliard</w:t>
      </w:r>
      <w:proofErr w:type="spellEnd"/>
      <w:r w:rsidRPr="009D180D">
        <w:t xml:space="preserve"> 100) nuomos sutartis ir 2022 m. rugsėjo mėn. buvo pasikeista pastatais tarp Komiteto ir RK (</w:t>
      </w:r>
      <w:proofErr w:type="spellStart"/>
      <w:r w:rsidRPr="009D180D">
        <w:t>Belliard</w:t>
      </w:r>
      <w:proofErr w:type="spellEnd"/>
      <w:r w:rsidRPr="009D180D">
        <w:t xml:space="preserve"> 68 ir </w:t>
      </w:r>
      <w:proofErr w:type="spellStart"/>
      <w:r w:rsidRPr="009D180D">
        <w:t>Trèves</w:t>
      </w:r>
      <w:proofErr w:type="spellEnd"/>
      <w:r w:rsidRPr="009D180D">
        <w:t xml:space="preserve"> 74) ir Komisijos (Van </w:t>
      </w:r>
      <w:proofErr w:type="spellStart"/>
      <w:r w:rsidRPr="009D180D">
        <w:t>Maerlant</w:t>
      </w:r>
      <w:proofErr w:type="spellEnd"/>
      <w:r w:rsidRPr="009D180D">
        <w:t xml:space="preserve"> 2); pažymi, kad buvo būtina atlikti dviejų naujai įsigytų pastatų įrengimo darbus, kad biuro patalpos būtų naudojamos tankiau; palankiai vertina tai, kad 2022 m. įsteigta bendra naujų darbo metodų darbo grupė, siekiant apsvarstyti, kaip būtų galima optimizuoti darbo organizavimą ir biuro patalpų naudojimą, kartu sumažinant aplinkosauginį pėdsaką;</w:t>
      </w:r>
    </w:p>
    <w:p w:rsidR="002501CA" w:rsidRPr="009D180D" w:rsidRDefault="002501CA" w:rsidP="002501CA">
      <w:pPr>
        <w:pStyle w:val="NormalHanging12a"/>
      </w:pPr>
      <w:r w:rsidRPr="009D180D">
        <w:t>50.</w:t>
      </w:r>
      <w:r w:rsidRPr="009D180D">
        <w:tab/>
        <w:t>pažymi, kad bendras 2021 ir 2022 m. biudžetas, kurį Komitetas ir RK įsipareigojo skirti VMA pastato renovacijai nuo trečio iki devinto aukšto, sudarė 9,54 mln. EUR; pažymi, kad Komiteto ir RK vykdomiems renovacijos darbams buvo taikomas pažangiųjų energijos taupymo technologijų naudojimo principas su stipriu aplinkosaugos aspektu; prašo Komiteto pateikti naujausią informaciją apie investicijų į šiuos technologinius sprendimus grąžą;</w:t>
      </w:r>
    </w:p>
    <w:p w:rsidR="002501CA" w:rsidRPr="009D180D" w:rsidRDefault="002501CA" w:rsidP="002501CA">
      <w:pPr>
        <w:spacing w:after="240"/>
        <w:ind w:left="567" w:hanging="567"/>
        <w:rPr>
          <w:szCs w:val="24"/>
        </w:rPr>
      </w:pPr>
      <w:r w:rsidRPr="009D180D">
        <w:t>51.</w:t>
      </w:r>
      <w:r w:rsidRPr="009D180D">
        <w:tab/>
        <w:t>pažymi, kad 2022 m. Komiteto ir RK pastatų strategijoje daugiausia dėmesio skirta geografinei pastatų koncentracijai, kuri buvo pasiekta fiziškai sujungus visus komitetų naudojamus pastatus su pagrindiniu pastatu (JDE); palankiai vertina naują fizinę jungtį su Parlamento pastatais, kuri pradėta naudoti 2022 m. lapkričio mėn. ir kuria užtikrinamas tiesesnis, paprastesnis ir 125 metrais trumpesnis kelias tarp Komiteto ir RK pastatų ir Parlamento pastatų;</w:t>
      </w:r>
    </w:p>
    <w:p w:rsidR="002501CA" w:rsidRPr="009D180D" w:rsidRDefault="002501CA" w:rsidP="002501CA">
      <w:pPr>
        <w:pStyle w:val="NormalHanging12a"/>
      </w:pPr>
      <w:r w:rsidRPr="009D180D">
        <w:t>52.</w:t>
      </w:r>
      <w:r w:rsidRPr="009D180D">
        <w:tab/>
        <w:t>palankiai vertina Komiteto ir RK įsipareigojimą savo infrastruktūrai sistemingai taikyti universalumo principą, projektavimo metu užtikrinant pastatų prieinamumą; pažymi, kad Komitetas ir RK ėmėsi įvairių priemonių, kad užtikrintų savo pastatų prieinamumą asmenims su skirtingų rūšių negalia;</w:t>
      </w:r>
    </w:p>
    <w:p w:rsidR="002501CA" w:rsidRPr="009D180D" w:rsidRDefault="002501CA" w:rsidP="002501CA">
      <w:pPr>
        <w:pStyle w:val="NormalHanging12a"/>
        <w:ind w:left="0" w:firstLine="0"/>
        <w:rPr>
          <w:b/>
          <w:i/>
        </w:rPr>
      </w:pPr>
      <w:r w:rsidRPr="009D180D">
        <w:rPr>
          <w:b/>
          <w:i/>
        </w:rPr>
        <w:t>Aplinka ir tvarumas</w:t>
      </w:r>
    </w:p>
    <w:p w:rsidR="002501CA" w:rsidRPr="009D180D" w:rsidRDefault="002501CA" w:rsidP="002501CA">
      <w:pPr>
        <w:pStyle w:val="NormalHanging12a"/>
      </w:pPr>
      <w:r w:rsidRPr="009D180D">
        <w:t>53.</w:t>
      </w:r>
      <w:r w:rsidRPr="009D180D">
        <w:tab/>
        <w:t xml:space="preserve">palankiai vertina tvarias praktikas ir visų pirma Komiteto ir RK taikomą </w:t>
      </w:r>
      <w:proofErr w:type="spellStart"/>
      <w:r w:rsidRPr="009D180D">
        <w:t>bepopierį</w:t>
      </w:r>
      <w:proofErr w:type="spellEnd"/>
      <w:r w:rsidRPr="009D180D">
        <w:t xml:space="preserve"> požiūrį, kuris padėjo pagal skaitmeninę strategiją sumažinti aplinkosauginį pėdsaką; </w:t>
      </w:r>
      <w:r w:rsidRPr="009D180D">
        <w:lastRenderedPageBreak/>
        <w:t>sveikina komitetus viršijus 2021–2025 m. EMAS tikslus, išskyrus su dujų suvartojimu susijusius tikslus; pažymi, kad Komiteto išmetamo anglies dioksido kiekio kompensavimo sistemai perkant aukštos kokybės anglies dioksido kreditus 2023 m. buvo skirtas 60 000 EUR biudžetas;</w:t>
      </w:r>
    </w:p>
    <w:p w:rsidR="002501CA" w:rsidRPr="009D180D" w:rsidRDefault="002501CA" w:rsidP="002501CA">
      <w:pPr>
        <w:pStyle w:val="NormalHanging12a"/>
      </w:pPr>
      <w:r w:rsidRPr="009D180D">
        <w:t>54.</w:t>
      </w:r>
      <w:r w:rsidRPr="009D180D">
        <w:tab/>
        <w:t>pažymi, kad 2022 m. bendra ant Komiteto ir RK pastatų įrengtų saulės baterijų plokščių pagaminta elektros energija sudarė apie 15,5 </w:t>
      </w:r>
      <w:proofErr w:type="spellStart"/>
      <w:r w:rsidRPr="009D180D">
        <w:t>MWh</w:t>
      </w:r>
      <w:proofErr w:type="spellEnd"/>
      <w:r w:rsidRPr="009D180D">
        <w:t>, t. y. 0,25 proc. viso metinio Komiteto ir RK suvartojamo kiekio; pažymi, kad, 2022 m. rugsėjo 16 d. duomenimis, saulės baterijų plokštės buvo įrengtos tik ant JDE pastato; supranta, kad dėl administracinių procedūrų Komitetui ir RK reikės daugiau laiko, kad galėtų įrengti daugiau saulės baterijų plokščių;</w:t>
      </w:r>
    </w:p>
    <w:p w:rsidR="002501CA" w:rsidRPr="009D180D" w:rsidRDefault="002501CA" w:rsidP="002501CA">
      <w:pPr>
        <w:pStyle w:val="NormalHanging12a"/>
      </w:pPr>
      <w:r w:rsidRPr="009D180D">
        <w:t>55.</w:t>
      </w:r>
      <w:r w:rsidRPr="009D180D">
        <w:tab/>
        <w:t xml:space="preserve">sveikina Komitetą, kuris, susitaręs su Briuselio sostinės regiono </w:t>
      </w:r>
      <w:proofErr w:type="spellStart"/>
      <w:r w:rsidRPr="009D180D">
        <w:t>judumo</w:t>
      </w:r>
      <w:proofErr w:type="spellEnd"/>
      <w:r w:rsidRPr="009D180D">
        <w:t xml:space="preserve"> skyriumi, parengė organizacijos transporto planą, pagal kurį Komitetas įsipareigoja kas trejus metus atlikti privalomą savo darbuotojų </w:t>
      </w:r>
      <w:proofErr w:type="spellStart"/>
      <w:r w:rsidRPr="009D180D">
        <w:t>judumo</w:t>
      </w:r>
      <w:proofErr w:type="spellEnd"/>
      <w:r w:rsidRPr="009D180D">
        <w:t xml:space="preserve"> tyrimą; pažymi, kad Komitetas parengė tvaraus </w:t>
      </w:r>
      <w:proofErr w:type="spellStart"/>
      <w:r w:rsidRPr="009D180D">
        <w:t>judumo</w:t>
      </w:r>
      <w:proofErr w:type="spellEnd"/>
      <w:r w:rsidRPr="009D180D">
        <w:t xml:space="preserve"> planą, kuriuo siekiama skatinti darbuotojus naudoti tvaresnes transporto priemones, be kita ko, skiriant finansinį įnašą darbuotojų viešojo transporto abonementams arba mėnesines finansines išmokas darbuotojams, į darbą vykstantiems dviračiu; pažymi, kad Komitetas ieško papildomų sprendimų, pvz., siūlyti elektrinius dviračius ir įrengti papildomus elektromobilių kroviklius;</w:t>
      </w:r>
    </w:p>
    <w:p w:rsidR="002501CA" w:rsidRPr="009D180D" w:rsidRDefault="002501CA" w:rsidP="002501CA">
      <w:pPr>
        <w:pStyle w:val="NormalHanging12a"/>
        <w:rPr>
          <w:b/>
          <w:i/>
        </w:rPr>
      </w:pPr>
      <w:proofErr w:type="spellStart"/>
      <w:r w:rsidRPr="009D180D">
        <w:rPr>
          <w:b/>
          <w:i/>
        </w:rPr>
        <w:t>Tarpinstitucinis</w:t>
      </w:r>
      <w:proofErr w:type="spellEnd"/>
      <w:r w:rsidRPr="009D180D">
        <w:rPr>
          <w:b/>
          <w:i/>
        </w:rPr>
        <w:t xml:space="preserve"> bendradarbiavimas</w:t>
      </w:r>
    </w:p>
    <w:p w:rsidR="002501CA" w:rsidRPr="009D180D" w:rsidRDefault="002501CA" w:rsidP="002501CA">
      <w:pPr>
        <w:pStyle w:val="NormalHanging12a"/>
      </w:pPr>
      <w:r w:rsidRPr="009D180D">
        <w:t>56.</w:t>
      </w:r>
      <w:r w:rsidRPr="009D180D">
        <w:tab/>
        <w:t xml:space="preserve">palankiai vertina </w:t>
      </w:r>
      <w:proofErr w:type="spellStart"/>
      <w:r w:rsidRPr="009D180D">
        <w:t>tarpinstitucinio</w:t>
      </w:r>
      <w:proofErr w:type="spellEnd"/>
      <w:r w:rsidRPr="009D180D">
        <w:t xml:space="preserve"> bendradarbiavimo pagrindu sutaupytas biudžeto ir administracines lėšas, visų pirma glaudžiai bendradarbiaujant administraciniu lygmeniu su RK, su kuriuo Komitetas dalijasi patalpomis ir jungtinėmis tarnybomis vertimo raštu, infrastruktūros, logistikos ir IT srityse, kartu išlaikydamas visišką savo institucinį savarankiškumą; pažymi, kad 2022 m. spalio 1 d. pagal naują bendradarbiavimo susitarimą, pasirašytą su RK 2022 m., buvo sukurtos naujos jungtinės tarnybos, įskaitant naują Inovacijų ir informacinių technologijų direktoratą, Saugumo ir saugos skyrių ir Viešųjų pirkimų ir finansų valdymo skyrių; taip pat pažymi, kad 2022 m. Komitete ir RK bendrai dirbo 470 darbuotojų ir jie kartu valdė 55 mln. EUR, iš kurių daugiau kaip 30 mln. EUR buvo Komiteto ištekliai, neįskaitant su atlyginimais susijusių išlaidų; ragina Komitetą tęsti ir išplėsti šį bendradarbiavimą kitose srityse, siekiant išvengti dubliavimosi ir toliau racionalizuoti paslaugų, teikiamų patalpose, kuriomis dalijasi Komitetas ir RK, veiklos sąnaudas; ragina Komitetą ir RK išnagrinėti galimybę sukurti vieną bendrą savo jungtinių tarnybų administraciją, išlaikant atskirus direktoratus ar skyrius tarnyboms, sprendžiančioms klausimus, susijusius su jų konkrečiais ir nepriklausomais įgaliojimais;</w:t>
      </w:r>
    </w:p>
    <w:p w:rsidR="002501CA" w:rsidRPr="009D180D" w:rsidRDefault="002501CA" w:rsidP="002501CA">
      <w:pPr>
        <w:pStyle w:val="NormalHanging12a"/>
      </w:pPr>
      <w:r w:rsidRPr="009D180D">
        <w:t>57.</w:t>
      </w:r>
      <w:r w:rsidRPr="009D180D">
        <w:tab/>
        <w:t xml:space="preserve">palankiai vertina tai, kad Komitetas siekia sinergijos pirkdamas paslaugas iš kitų institucijų pagal susitarimus dėl paslaugų lygio ir dalyvaudamas </w:t>
      </w:r>
      <w:proofErr w:type="spellStart"/>
      <w:r w:rsidRPr="009D180D">
        <w:t>tarpinstituciniuose</w:t>
      </w:r>
      <w:proofErr w:type="spellEnd"/>
      <w:r w:rsidRPr="009D180D">
        <w:t xml:space="preserve"> koordinavimo organuose bei </w:t>
      </w:r>
      <w:proofErr w:type="spellStart"/>
      <w:r w:rsidRPr="009D180D">
        <w:t>tarpinstitucinėse</w:t>
      </w:r>
      <w:proofErr w:type="spellEnd"/>
      <w:r w:rsidRPr="009D180D">
        <w:t xml:space="preserve"> viešųjų pirkimų procedūrose; pažymi, kad Parlamentas visų pirma teikia vertimo žodžiu paslaugas Parlamento patalpose vykstančių Komiteto plenarinių posėdžių ir kai kurių Komiteto patalpose vykstančių posėdžių metu;</w:t>
      </w:r>
    </w:p>
    <w:p w:rsidR="002501CA" w:rsidRPr="009D180D" w:rsidRDefault="002501CA" w:rsidP="002501CA">
      <w:pPr>
        <w:pStyle w:val="NormalHanging12a"/>
      </w:pPr>
      <w:r w:rsidRPr="009D180D">
        <w:t>58.</w:t>
      </w:r>
      <w:r w:rsidRPr="009D180D">
        <w:tab/>
        <w:t>palankiai vertina aktyvesnį Komiteto dalyvavimą teisėkūros cikle ir ragina Komitetą užtikrinti, kad jo nuomonės būtų teikiamos atitinkamų Parlamento komitetų nariams pagal Parlamento ir Komiteto bendradarbiavimo susitarimą;</w:t>
      </w:r>
    </w:p>
    <w:p w:rsidR="002501CA" w:rsidRPr="009D180D" w:rsidRDefault="002501CA" w:rsidP="002501CA">
      <w:pPr>
        <w:pStyle w:val="NormalHanging12a"/>
      </w:pPr>
      <w:r w:rsidRPr="009D180D">
        <w:lastRenderedPageBreak/>
        <w:t>59.</w:t>
      </w:r>
      <w:r w:rsidRPr="009D180D">
        <w:tab/>
        <w:t>pažymi, kad 2022 m. Komitetas tęsė ir sustiprino savo bendradarbiavimą su Komisija pagal susitarimą dėl paslaugų lygio su Komisijos Tyrimų ir drausmės tarnyba dėl paramos atliekant administracinius tyrimus ir pagal 2022 m. atnaujintą bendradarbiavimo protokolą, kuriuo stiprinama šių dviejų institucijų politinė, teisėkūros ir komunikacijos sinergija, visų pirma įgyvendinant Europos piliečių iniciatyvą ir Europos semestrą; pažymi, kad, remiantis atnaujintu bendradarbiavimo protokolu, buvo padidintas Komisijos naudojimasis Komiteto tiriamosiomis nuomonėmis, taip sustiprinant Komiteto dalyvavimą Sąjungos teisėkūros cikle;</w:t>
      </w:r>
    </w:p>
    <w:p w:rsidR="002501CA" w:rsidRPr="009D180D" w:rsidRDefault="002501CA" w:rsidP="002501CA">
      <w:pPr>
        <w:pStyle w:val="NormalHanging12a"/>
      </w:pPr>
      <w:r w:rsidRPr="009D180D">
        <w:t>60.</w:t>
      </w:r>
      <w:r w:rsidRPr="009D180D">
        <w:tab/>
        <w:t>pažymi, kad Komitetas atlieka esminį vaidmenį stiprinant ryšius su valstybių narių nacionalinėmis ekonomikos ir socialinių reikalų tarybomis ir tarp jų; ragina Komitetą toliau skatinti bendradarbiavimą bendro intereso temomis ir gerosios patirties klausimais ir pabrėžti, kaip pilietinė visuomenė prisideda prie dabartinių Sąjungos uždavinių sprendimo, visų pirma keičiantis darbuotojais ir organizuojant bendrus renginius;</w:t>
      </w:r>
    </w:p>
    <w:p w:rsidR="002501CA" w:rsidRPr="009D180D" w:rsidRDefault="002501CA" w:rsidP="002501CA">
      <w:pPr>
        <w:pStyle w:val="NormalHanging12a"/>
        <w:rPr>
          <w:b/>
          <w:i/>
        </w:rPr>
      </w:pPr>
      <w:r w:rsidRPr="009D180D">
        <w:rPr>
          <w:b/>
          <w:i/>
        </w:rPr>
        <w:t>Komunikacija</w:t>
      </w:r>
    </w:p>
    <w:p w:rsidR="002501CA" w:rsidRPr="009D180D" w:rsidRDefault="002501CA" w:rsidP="002501CA">
      <w:pPr>
        <w:pStyle w:val="NormalHanging12a"/>
      </w:pPr>
      <w:r w:rsidRPr="009D180D">
        <w:t>61.</w:t>
      </w:r>
      <w:r w:rsidRPr="009D180D">
        <w:tab/>
        <w:t>pažymi, kad 2022 m. bendras Komiteto komunikacijai skirtas biudžetas buvo 1,5 mln. EUR, t. y. tokia pati suma kaip ir 2021 m.; pažymi, kad šis biudžetas visų pirma buvo skirtas Komiteto interneto svetainės kūrimui ir priežiūrai, komunikacijai socialiniuose tinkluose, žiniasklaidos stebėsenai, ryšiams su žiniasklaida ir tokių pagrindinių Komiteto veiklų ir renginių kaip Pilietinės visuomenės premija ir veikla, susijusi su Komiteto dalyvavimu Konferencijos dėl Europos ateities darbe bei Komiteto parama Ukrainai, propagavimui;</w:t>
      </w:r>
    </w:p>
    <w:p w:rsidR="002501CA" w:rsidRPr="009D180D" w:rsidRDefault="002501CA" w:rsidP="002501CA">
      <w:pPr>
        <w:pStyle w:val="NormalHanging12a"/>
      </w:pPr>
      <w:r w:rsidRPr="009D180D">
        <w:t>62.</w:t>
      </w:r>
      <w:r w:rsidRPr="009D180D">
        <w:tab/>
        <w:t>palankiai vertina tai, kad Komitetas 2022 m. spalio mėn. priėmė naują duomenimis grindžiamą komunikacijos strategiją, kuria siekiama padidinti Komiteto komunikacijos sklaidą ir jo nuomonių poveikį ir pagal kurią apibrėžiama, kad jo pagrindinė tikslinė komunikacijos auditorija yra Europos pilietinės visuomenės organizacijos (PVO) ir kitos Sąjungos institucijos; taip pat pažymi, kad 2022 m. Komitetas atnaujino partnerystės taisykles, siekdamas sustiprinti savo strateginį bendradarbiavimą su PVO rengiant teminius renginius;</w:t>
      </w:r>
    </w:p>
    <w:p w:rsidR="002501CA" w:rsidRPr="009D180D" w:rsidRDefault="002501CA" w:rsidP="002501CA">
      <w:pPr>
        <w:pStyle w:val="NormalHanging12a"/>
      </w:pPr>
      <w:r w:rsidRPr="009D180D">
        <w:t>63.</w:t>
      </w:r>
      <w:r w:rsidRPr="009D180D">
        <w:tab/>
        <w:t>pažymi, kad Komitetas organizavo didelius mišrius renginius pilietinei visuomenei svarbiais klausimais, pvz., aukšto lygio renginį „Kurkime Europą kartu. Ateitis jūsų rankose“ Konferencijos dėl Europos ateities metu, kasmetinį jaunimo renginį „Tavo Europa, tavo balsas“ Sąjungos ir šalių kandidačių mokiniams bei mokytojams ir kasmetinę jaunimo plenarinę sesiją „Tiesa apie melą. Jaunimas prieš dezinformaciją“ studentams; pažymi, kad Komitetas taip pat organizavo labiau specializuotas su Jaunimo metais ir Rusijos agresijos karu prieš Ukrainą susijusias veiklas, skirtas žurnalistams ir PVO komunikacijos specialistams;</w:t>
      </w:r>
    </w:p>
    <w:p w:rsidR="002501CA" w:rsidRPr="009D180D" w:rsidRDefault="002501CA" w:rsidP="002501CA">
      <w:pPr>
        <w:pStyle w:val="NormalHanging12a"/>
      </w:pPr>
      <w:r w:rsidRPr="009D180D">
        <w:t>64.</w:t>
      </w:r>
      <w:r w:rsidRPr="009D180D">
        <w:tab/>
        <w:t>palankiai vertina tai, kad, palyginti su 2021 m., bendra Komiteto komunikacijos sklaida 2022 m. padidėjo, visų pirma dėl žiniasklaidos nušvietimo ir aktyvumo internete bei socialiniuose tinkluose; pažymi, kad apsilankymų pagrindiniame „Facebook“ puslapyje skaičius padidėjo 96,9 proc. (57 000 apsilankymų), o apsilankymų „</w:t>
      </w:r>
      <w:proofErr w:type="spellStart"/>
      <w:r w:rsidRPr="009D180D">
        <w:t>Instagram</w:t>
      </w:r>
      <w:proofErr w:type="spellEnd"/>
      <w:r w:rsidRPr="009D180D">
        <w:t>“ paskyroje skaičius – 97,9 proc. (20 000 apsilankymų), „Facebook“ naudotojų skaičius išaugo 1,1 proc. (6 mln. naudotojų), sklaida „</w:t>
      </w:r>
      <w:proofErr w:type="spellStart"/>
      <w:r w:rsidRPr="009D180D">
        <w:t>Instagram</w:t>
      </w:r>
      <w:proofErr w:type="spellEnd"/>
      <w:r w:rsidRPr="009D180D">
        <w:t>“ padidėjo 33 proc. (daugiau kaip 3 mln. naudotojų), „</w:t>
      </w:r>
      <w:proofErr w:type="spellStart"/>
      <w:r w:rsidRPr="009D180D">
        <w:t>LinkedIn</w:t>
      </w:r>
      <w:proofErr w:type="spellEnd"/>
      <w:r w:rsidRPr="009D180D">
        <w:t>“ paskelbti įrašai buvo pateikti beveik 1,2 mln. kartų, o X (anksčiau – „</w:t>
      </w:r>
      <w:proofErr w:type="spellStart"/>
      <w:r w:rsidRPr="009D180D">
        <w:t>Twitter</w:t>
      </w:r>
      <w:proofErr w:type="spellEnd"/>
      <w:r w:rsidRPr="009D180D">
        <w:t xml:space="preserve">“) paskelbtos žinutės – daugiau kaip 6 mln. kartų; palankiai </w:t>
      </w:r>
      <w:r w:rsidRPr="009D180D">
        <w:lastRenderedPageBreak/>
        <w:t>vertina tai, kad nuo 2023 m. Komitetas dalyvauja Europos duomenų apsaugos priežiūros pareigūno vadovaujamame bandomajame projekte, kuriuo siekiama įtraukti Sąjungos institucijas į „EU-</w:t>
      </w:r>
      <w:proofErr w:type="spellStart"/>
      <w:r w:rsidRPr="009D180D">
        <w:t>Voice</w:t>
      </w:r>
      <w:proofErr w:type="spellEnd"/>
      <w:r w:rsidRPr="009D180D">
        <w:t>“ ir „EU-</w:t>
      </w:r>
      <w:proofErr w:type="spellStart"/>
      <w:r w:rsidRPr="009D180D">
        <w:t>Video</w:t>
      </w:r>
      <w:proofErr w:type="spellEnd"/>
      <w:r w:rsidRPr="009D180D">
        <w:t>“ – du nemokamus atvirojo kodo socialinės žiniasklaidos tinklus, paremtus „</w:t>
      </w:r>
      <w:proofErr w:type="spellStart"/>
      <w:r w:rsidRPr="009D180D">
        <w:t>Mastodon</w:t>
      </w:r>
      <w:proofErr w:type="spellEnd"/>
      <w:r w:rsidRPr="009D180D">
        <w:t xml:space="preserve">“ programine įranga ir leidžiančius Sąjungos institucijoms bendrauti su visuomene dalijantis tekstais, vaizdais, vaizdo įrašais ir </w:t>
      </w:r>
      <w:proofErr w:type="spellStart"/>
      <w:r w:rsidRPr="009D180D">
        <w:t>tinklalaidėmis</w:t>
      </w:r>
      <w:proofErr w:type="spellEnd"/>
      <w:r w:rsidRPr="009D180D">
        <w:t>;</w:t>
      </w:r>
    </w:p>
    <w:p w:rsidR="00E365E1" w:rsidRPr="009D180D" w:rsidRDefault="002501CA" w:rsidP="005D7F78">
      <w:pPr>
        <w:pStyle w:val="NormalHanging12a"/>
      </w:pPr>
      <w:r w:rsidRPr="009D180D">
        <w:t>65.</w:t>
      </w:r>
      <w:r w:rsidRPr="009D180D">
        <w:tab/>
        <w:t>teigiamai vertina tai, kad Komitetas užtikrina piliečiams atvirą prieigą prie savo dokumentų per specialų elektroninį registrą; pažymi, kad Komitetas savo duomenų rinkiniais prisideda prie Komisijos atvirųjų duomenų portalo, taip remdamas siekį didinti veiklos skaidrumą teikiant laisvai prieinamus duomenis žmogaus ir kompiuterio skaitomais formatais ir stiprinant ryšį su piliečiais.</w:t>
      </w:r>
      <w:bookmarkStart w:id="9" w:name="TextBodyEnd"/>
      <w:bookmarkEnd w:id="9"/>
    </w:p>
    <w:sectPr w:rsidR="00E365E1" w:rsidRPr="009D180D" w:rsidSect="009D180D">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5FC2" w:rsidRPr="009D180D" w:rsidRDefault="00415FC2">
      <w:r w:rsidRPr="009D180D">
        <w:separator/>
      </w:r>
    </w:p>
  </w:endnote>
  <w:endnote w:type="continuationSeparator" w:id="0">
    <w:p w:rsidR="00415FC2" w:rsidRPr="009D180D" w:rsidRDefault="00415FC2">
      <w:r w:rsidRPr="009D18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01CA" w:rsidRPr="009D180D" w:rsidRDefault="002501CA" w:rsidP="00EC135E">
    <w:pPr>
      <w:pStyle w:val="EPFooter"/>
    </w:pPr>
    <w:r w:rsidRPr="009D180D">
      <w:t>PE</w:t>
    </w:r>
    <w:r w:rsidRPr="009D180D">
      <w:rPr>
        <w:rStyle w:val="HideTWBExt"/>
      </w:rPr>
      <w:t>&lt;</w:t>
    </w:r>
    <w:proofErr w:type="spellStart"/>
    <w:r w:rsidRPr="009D180D">
      <w:rPr>
        <w:rStyle w:val="HideTWBExt"/>
      </w:rPr>
      <w:t>NoPE</w:t>
    </w:r>
    <w:proofErr w:type="spellEnd"/>
    <w:r w:rsidRPr="009D180D">
      <w:rPr>
        <w:rStyle w:val="HideTWBExt"/>
      </w:rPr>
      <w:t>&gt;</w:t>
    </w:r>
    <w:r w:rsidRPr="009D180D">
      <w:t>753.483</w:t>
    </w:r>
    <w:r w:rsidRPr="009D180D">
      <w:rPr>
        <w:rStyle w:val="HideTWBExt"/>
      </w:rPr>
      <w:t>&lt;/</w:t>
    </w:r>
    <w:proofErr w:type="spellStart"/>
    <w:r w:rsidRPr="009D180D">
      <w:rPr>
        <w:rStyle w:val="HideTWBExt"/>
      </w:rPr>
      <w:t>NoPE</w:t>
    </w:r>
    <w:proofErr w:type="spellEnd"/>
    <w:r w:rsidRPr="009D180D">
      <w:rPr>
        <w:rStyle w:val="HideTWBExt"/>
      </w:rPr>
      <w:t>&gt;&lt;Version&gt;</w:t>
    </w:r>
    <w:r w:rsidRPr="009D180D">
      <w:t>v02-00</w:t>
    </w:r>
    <w:r w:rsidRPr="009D180D">
      <w:rPr>
        <w:rStyle w:val="HideTWBExt"/>
      </w:rPr>
      <w:t>&lt;/</w:t>
    </w:r>
    <w:proofErr w:type="spellStart"/>
    <w:r w:rsidRPr="009D180D">
      <w:rPr>
        <w:rStyle w:val="HideTWBExt"/>
      </w:rPr>
      <w:t>Version</w:t>
    </w:r>
    <w:proofErr w:type="spellEnd"/>
    <w:r w:rsidRPr="009D180D">
      <w:rPr>
        <w:rStyle w:val="HideTWBExt"/>
      </w:rPr>
      <w:t>&gt;</w:t>
    </w:r>
    <w:r w:rsidRPr="009D180D">
      <w:tab/>
    </w:r>
    <w:r w:rsidRPr="009D180D">
      <w:fldChar w:fldCharType="begin"/>
    </w:r>
    <w:r w:rsidRPr="009D180D">
      <w:instrText xml:space="preserve"> PAGE  \* MERGEFORMAT </w:instrText>
    </w:r>
    <w:r w:rsidRPr="009D180D">
      <w:fldChar w:fldCharType="separate"/>
    </w:r>
    <w:r w:rsidRPr="009D180D">
      <w:rPr>
        <w:noProof/>
      </w:rPr>
      <w:t>2</w:t>
    </w:r>
    <w:r w:rsidRPr="009D180D">
      <w:fldChar w:fldCharType="end"/>
    </w:r>
    <w:r w:rsidRPr="009D180D">
      <w:t>/</w:t>
    </w:r>
    <w:r w:rsidR="00F5034E">
      <w:fldChar w:fldCharType="begin"/>
    </w:r>
    <w:r w:rsidR="00F5034E">
      <w:instrText xml:space="preserve"> NUMPAGES  \* MERGEFORMAT </w:instrText>
    </w:r>
    <w:r w:rsidR="00F5034E">
      <w:fldChar w:fldCharType="separate"/>
    </w:r>
    <w:r w:rsidRPr="009D180D">
      <w:rPr>
        <w:noProof/>
      </w:rPr>
      <w:t>2</w:t>
    </w:r>
    <w:r w:rsidR="00F5034E">
      <w:rPr>
        <w:noProof/>
      </w:rPr>
      <w:fldChar w:fldCharType="end"/>
    </w:r>
    <w:r w:rsidRPr="009D180D">
      <w:tab/>
    </w:r>
    <w:r w:rsidRPr="009D180D">
      <w:rPr>
        <w:rStyle w:val="HideTWBExt"/>
      </w:rPr>
      <w:t>&lt;PathFdR&gt;</w:t>
    </w:r>
    <w:r w:rsidRPr="009D180D">
      <w:t>RR\1298480LT.docx</w:t>
    </w:r>
    <w:r w:rsidRPr="009D180D">
      <w:rPr>
        <w:rStyle w:val="HideTWBExt"/>
      </w:rPr>
      <w:t>&lt;/</w:t>
    </w:r>
    <w:proofErr w:type="spellStart"/>
    <w:r w:rsidRPr="009D180D">
      <w:rPr>
        <w:rStyle w:val="HideTWBExt"/>
      </w:rPr>
      <w:t>PathFdR</w:t>
    </w:r>
    <w:proofErr w:type="spellEnd"/>
    <w:r w:rsidRPr="009D180D">
      <w:rPr>
        <w:rStyle w:val="HideTWBExt"/>
      </w:rPr>
      <w:t>&gt;</w:t>
    </w:r>
  </w:p>
  <w:p w:rsidR="002501CA" w:rsidRPr="009D180D" w:rsidRDefault="002501CA" w:rsidP="00EC135E">
    <w:pPr>
      <w:pStyle w:val="EPFooter2"/>
    </w:pPr>
    <w:r w:rsidRPr="009D180D">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01CA" w:rsidRPr="009D180D" w:rsidRDefault="002501CA" w:rsidP="00EC135E">
    <w:pPr>
      <w:pStyle w:val="EPFooter"/>
    </w:pPr>
    <w:r w:rsidRPr="009D180D">
      <w:rPr>
        <w:rStyle w:val="HideTWBExt"/>
      </w:rPr>
      <w:t>&lt;PathFdR&gt;</w:t>
    </w:r>
    <w:r w:rsidRPr="009D180D">
      <w:t>RR\1298480LT.docx</w:t>
    </w:r>
    <w:r w:rsidRPr="009D180D">
      <w:rPr>
        <w:rStyle w:val="HideTWBExt"/>
      </w:rPr>
      <w:t>&lt;/</w:t>
    </w:r>
    <w:proofErr w:type="spellStart"/>
    <w:r w:rsidRPr="009D180D">
      <w:rPr>
        <w:rStyle w:val="HideTWBExt"/>
      </w:rPr>
      <w:t>PathFdR</w:t>
    </w:r>
    <w:proofErr w:type="spellEnd"/>
    <w:r w:rsidRPr="009D180D">
      <w:rPr>
        <w:rStyle w:val="HideTWBExt"/>
      </w:rPr>
      <w:t>&gt;</w:t>
    </w:r>
    <w:r w:rsidRPr="009D180D">
      <w:tab/>
    </w:r>
    <w:r w:rsidRPr="009D180D">
      <w:tab/>
      <w:t>PE</w:t>
    </w:r>
    <w:r w:rsidRPr="009D180D">
      <w:rPr>
        <w:rStyle w:val="HideTWBExt"/>
      </w:rPr>
      <w:t>&lt;</w:t>
    </w:r>
    <w:proofErr w:type="spellStart"/>
    <w:r w:rsidRPr="009D180D">
      <w:rPr>
        <w:rStyle w:val="HideTWBExt"/>
      </w:rPr>
      <w:t>NoPE</w:t>
    </w:r>
    <w:proofErr w:type="spellEnd"/>
    <w:r w:rsidRPr="009D180D">
      <w:rPr>
        <w:rStyle w:val="HideTWBExt"/>
      </w:rPr>
      <w:t>&gt;</w:t>
    </w:r>
    <w:r w:rsidRPr="009D180D">
      <w:t>753.483</w:t>
    </w:r>
    <w:r w:rsidRPr="009D180D">
      <w:rPr>
        <w:rStyle w:val="HideTWBExt"/>
      </w:rPr>
      <w:t>&lt;/</w:t>
    </w:r>
    <w:proofErr w:type="spellStart"/>
    <w:r w:rsidRPr="009D180D">
      <w:rPr>
        <w:rStyle w:val="HideTWBExt"/>
      </w:rPr>
      <w:t>NoPE</w:t>
    </w:r>
    <w:proofErr w:type="spellEnd"/>
    <w:r w:rsidRPr="009D180D">
      <w:rPr>
        <w:rStyle w:val="HideTWBExt"/>
      </w:rPr>
      <w:t>&gt;&lt;Version&gt;</w:t>
    </w:r>
    <w:r w:rsidRPr="009D180D">
      <w:t>v02-00</w:t>
    </w:r>
    <w:r w:rsidRPr="009D180D">
      <w:rPr>
        <w:rStyle w:val="HideTWBExt"/>
      </w:rPr>
      <w:t>&lt;/</w:t>
    </w:r>
    <w:proofErr w:type="spellStart"/>
    <w:r w:rsidRPr="009D180D">
      <w:rPr>
        <w:rStyle w:val="HideTWBExt"/>
      </w:rPr>
      <w:t>Version</w:t>
    </w:r>
    <w:proofErr w:type="spellEnd"/>
    <w:r w:rsidRPr="009D180D">
      <w:rPr>
        <w:rStyle w:val="HideTWBExt"/>
      </w:rPr>
      <w:t>&gt;</w:t>
    </w:r>
  </w:p>
  <w:p w:rsidR="002501CA" w:rsidRPr="009D180D" w:rsidRDefault="002501CA" w:rsidP="00EC135E">
    <w:pPr>
      <w:pStyle w:val="EPFooter2"/>
    </w:pPr>
    <w:r w:rsidRPr="009D180D">
      <w:t>LT</w:t>
    </w:r>
    <w:r w:rsidRPr="009D180D">
      <w:tab/>
    </w:r>
    <w:r w:rsidRPr="009D180D">
      <w:rPr>
        <w:b w:val="0"/>
        <w:i/>
        <w:color w:val="C0C0C0"/>
        <w:sz w:val="22"/>
      </w:rPr>
      <w:t>Suvienijusi įvairovę</w:t>
    </w:r>
    <w:r w:rsidRPr="009D180D">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180D"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180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180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5FC2" w:rsidRPr="009D180D" w:rsidRDefault="00415FC2">
      <w:r w:rsidRPr="009D180D">
        <w:separator/>
      </w:r>
    </w:p>
  </w:footnote>
  <w:footnote w:type="continuationSeparator" w:id="0">
    <w:p w:rsidR="00415FC2" w:rsidRPr="009D180D" w:rsidRDefault="00415FC2">
      <w:r w:rsidRPr="009D180D">
        <w:continuationSeparator/>
      </w:r>
    </w:p>
  </w:footnote>
  <w:footnote w:id="1">
    <w:p w:rsidR="002501CA" w:rsidRPr="009D180D" w:rsidRDefault="002501CA" w:rsidP="009D180D">
      <w:pPr>
        <w:pStyle w:val="FootnoteText"/>
        <w:ind w:left="567" w:hanging="567"/>
        <w:rPr>
          <w:sz w:val="24"/>
          <w:lang w:val="lt-LT"/>
        </w:rPr>
      </w:pPr>
      <w:r w:rsidRPr="009D180D">
        <w:rPr>
          <w:rStyle w:val="FootnoteReference"/>
          <w:sz w:val="24"/>
          <w:lang w:val="lt-LT"/>
        </w:rPr>
        <w:footnoteRef/>
      </w:r>
      <w:r w:rsidR="009D180D" w:rsidRPr="009D180D">
        <w:rPr>
          <w:sz w:val="24"/>
          <w:lang w:val="lt-LT"/>
        </w:rPr>
        <w:t xml:space="preserve"> </w:t>
      </w:r>
      <w:r w:rsidR="009D180D" w:rsidRPr="009D180D">
        <w:rPr>
          <w:sz w:val="24"/>
          <w:lang w:val="lt-LT"/>
        </w:rPr>
        <w:tab/>
      </w:r>
      <w:r w:rsidRPr="009D180D">
        <w:rPr>
          <w:sz w:val="24"/>
          <w:lang w:val="lt-LT"/>
        </w:rPr>
        <w:t>OL L 45, 2022 2 24.</w:t>
      </w:r>
    </w:p>
  </w:footnote>
  <w:footnote w:id="2">
    <w:p w:rsidR="002501CA" w:rsidRPr="009D180D" w:rsidRDefault="002501CA" w:rsidP="009D180D">
      <w:pPr>
        <w:pStyle w:val="FootnoteText"/>
        <w:ind w:left="567" w:hanging="567"/>
        <w:rPr>
          <w:sz w:val="24"/>
          <w:lang w:val="lt-LT"/>
        </w:rPr>
      </w:pPr>
      <w:r w:rsidRPr="009D180D">
        <w:rPr>
          <w:rStyle w:val="FootnoteReference"/>
          <w:sz w:val="24"/>
          <w:lang w:val="lt-LT"/>
        </w:rPr>
        <w:footnoteRef/>
      </w:r>
      <w:r w:rsidR="009D180D" w:rsidRPr="009D180D">
        <w:rPr>
          <w:sz w:val="24"/>
          <w:lang w:val="lt-LT"/>
        </w:rPr>
        <w:t xml:space="preserve"> </w:t>
      </w:r>
      <w:r w:rsidR="009D180D" w:rsidRPr="009D180D">
        <w:rPr>
          <w:sz w:val="24"/>
          <w:lang w:val="lt-LT"/>
        </w:rPr>
        <w:tab/>
      </w:r>
      <w:r w:rsidRPr="009D180D">
        <w:rPr>
          <w:sz w:val="24"/>
          <w:lang w:val="lt-LT"/>
        </w:rPr>
        <w:t>OL C, C/2023/2, 2023 10 12.</w:t>
      </w:r>
    </w:p>
  </w:footnote>
  <w:footnote w:id="3">
    <w:p w:rsidR="002501CA" w:rsidRPr="009D180D" w:rsidRDefault="002501CA" w:rsidP="009D180D">
      <w:pPr>
        <w:pStyle w:val="FootnoteText"/>
        <w:ind w:left="567" w:hanging="567"/>
        <w:rPr>
          <w:sz w:val="24"/>
          <w:lang w:val="lt-LT"/>
        </w:rPr>
      </w:pPr>
      <w:r w:rsidRPr="009D180D">
        <w:rPr>
          <w:rStyle w:val="FootnoteReference"/>
          <w:sz w:val="24"/>
          <w:lang w:val="lt-LT"/>
        </w:rPr>
        <w:footnoteRef/>
      </w:r>
      <w:r w:rsidR="009D180D" w:rsidRPr="009D180D">
        <w:rPr>
          <w:sz w:val="24"/>
          <w:lang w:val="lt-LT"/>
        </w:rPr>
        <w:t xml:space="preserve"> </w:t>
      </w:r>
      <w:r w:rsidR="009D180D" w:rsidRPr="009D180D">
        <w:rPr>
          <w:sz w:val="24"/>
          <w:lang w:val="lt-LT"/>
        </w:rPr>
        <w:tab/>
      </w:r>
      <w:r w:rsidRPr="009D180D">
        <w:rPr>
          <w:sz w:val="24"/>
          <w:lang w:val="lt-LT"/>
        </w:rPr>
        <w:t>OL C, C/2023/103, 2023 10 4.</w:t>
      </w:r>
    </w:p>
  </w:footnote>
  <w:footnote w:id="4">
    <w:p w:rsidR="002501CA" w:rsidRPr="009D180D" w:rsidRDefault="002501CA" w:rsidP="009D180D">
      <w:pPr>
        <w:pStyle w:val="FootnoteText"/>
        <w:ind w:left="567" w:hanging="567"/>
        <w:rPr>
          <w:sz w:val="24"/>
          <w:lang w:val="lt-LT"/>
        </w:rPr>
      </w:pPr>
      <w:r w:rsidRPr="009D180D">
        <w:rPr>
          <w:rStyle w:val="FootnoteReference"/>
          <w:sz w:val="24"/>
          <w:lang w:val="lt-LT"/>
        </w:rPr>
        <w:footnoteRef/>
      </w:r>
      <w:r w:rsidR="009D180D" w:rsidRPr="009D180D">
        <w:rPr>
          <w:sz w:val="24"/>
          <w:lang w:val="lt-LT"/>
        </w:rPr>
        <w:t xml:space="preserve"> </w:t>
      </w:r>
      <w:r w:rsidR="009D180D" w:rsidRPr="009D180D">
        <w:rPr>
          <w:sz w:val="24"/>
          <w:lang w:val="lt-LT"/>
        </w:rPr>
        <w:tab/>
      </w:r>
      <w:r w:rsidRPr="009D180D">
        <w:rPr>
          <w:sz w:val="24"/>
          <w:lang w:val="lt-LT"/>
        </w:rPr>
        <w:t>OL C, C/2023/112, 2023 10 12.</w:t>
      </w:r>
    </w:p>
  </w:footnote>
  <w:footnote w:id="5">
    <w:p w:rsidR="002501CA" w:rsidRPr="009D180D" w:rsidRDefault="002501CA" w:rsidP="009D180D">
      <w:pPr>
        <w:pStyle w:val="FootnoteText"/>
        <w:ind w:left="567" w:hanging="567"/>
        <w:rPr>
          <w:sz w:val="24"/>
          <w:lang w:val="lt-LT"/>
        </w:rPr>
      </w:pPr>
      <w:r w:rsidRPr="009D180D">
        <w:rPr>
          <w:rStyle w:val="FootnoteReference"/>
          <w:sz w:val="24"/>
          <w:lang w:val="lt-LT"/>
        </w:rPr>
        <w:footnoteRef/>
      </w:r>
      <w:r w:rsidR="009D180D" w:rsidRPr="009D180D">
        <w:rPr>
          <w:sz w:val="24"/>
          <w:lang w:val="lt-LT"/>
        </w:rPr>
        <w:t xml:space="preserve"> </w:t>
      </w:r>
      <w:r w:rsidR="009D180D" w:rsidRPr="009D180D">
        <w:rPr>
          <w:sz w:val="24"/>
          <w:lang w:val="lt-LT"/>
        </w:rPr>
        <w:tab/>
      </w:r>
      <w:r w:rsidRPr="009D180D">
        <w:rPr>
          <w:sz w:val="24"/>
          <w:lang w:val="lt-LT"/>
        </w:rPr>
        <w:t>OL L 193, 2018 7 30, p. 1.</w:t>
      </w:r>
    </w:p>
  </w:footnote>
  <w:footnote w:id="6">
    <w:p w:rsidR="002501CA" w:rsidRPr="009D180D" w:rsidRDefault="002501CA" w:rsidP="009D180D">
      <w:pPr>
        <w:pStyle w:val="FootnoteText"/>
        <w:ind w:left="567" w:hanging="567"/>
        <w:rPr>
          <w:sz w:val="24"/>
          <w:lang w:val="lt-LT"/>
        </w:rPr>
      </w:pPr>
      <w:r w:rsidRPr="009D180D">
        <w:rPr>
          <w:rStyle w:val="FootnoteReference"/>
          <w:sz w:val="24"/>
          <w:lang w:val="lt-LT"/>
        </w:rPr>
        <w:footnoteRef/>
      </w:r>
      <w:r w:rsidR="009D180D" w:rsidRPr="009D180D">
        <w:rPr>
          <w:sz w:val="24"/>
          <w:lang w:val="lt-LT"/>
        </w:rPr>
        <w:t xml:space="preserve"> </w:t>
      </w:r>
      <w:r w:rsidR="009D180D" w:rsidRPr="009D180D">
        <w:rPr>
          <w:sz w:val="24"/>
          <w:lang w:val="lt-LT"/>
        </w:rPr>
        <w:tab/>
      </w:r>
      <w:r w:rsidRPr="009D180D">
        <w:rPr>
          <w:sz w:val="24"/>
          <w:lang w:val="lt-LT"/>
        </w:rPr>
        <w:t xml:space="preserve">2022 m. spalio 6 d. Teisingumo Teismo sprendimas </w:t>
      </w:r>
      <w:r w:rsidRPr="009D180D">
        <w:rPr>
          <w:i/>
          <w:iCs/>
          <w:sz w:val="24"/>
          <w:lang w:val="lt-LT"/>
        </w:rPr>
        <w:t>KN / Europos ekonomikos ir socialinių reikalų komitetas</w:t>
      </w:r>
      <w:r w:rsidRPr="009D180D">
        <w:rPr>
          <w:sz w:val="24"/>
          <w:lang w:val="lt-LT"/>
        </w:rPr>
        <w:t>, C-673/21, ECLI:EU:C:2022:759.</w:t>
      </w:r>
    </w:p>
  </w:footnote>
  <w:footnote w:id="7">
    <w:p w:rsidR="002501CA" w:rsidRPr="009D180D" w:rsidRDefault="002501CA" w:rsidP="009D180D">
      <w:pPr>
        <w:pStyle w:val="FootnoteText"/>
        <w:ind w:left="567" w:hanging="567"/>
        <w:rPr>
          <w:sz w:val="24"/>
          <w:lang w:val="lt-LT"/>
        </w:rPr>
      </w:pPr>
      <w:r w:rsidRPr="009D180D">
        <w:rPr>
          <w:rStyle w:val="FootnoteReference"/>
          <w:sz w:val="24"/>
          <w:lang w:val="lt-LT"/>
        </w:rPr>
        <w:footnoteRef/>
      </w:r>
      <w:r w:rsidR="009D180D" w:rsidRPr="009D180D">
        <w:rPr>
          <w:sz w:val="24"/>
          <w:lang w:val="lt-LT"/>
        </w:rPr>
        <w:t xml:space="preserve"> </w:t>
      </w:r>
      <w:r w:rsidR="009D180D" w:rsidRPr="009D180D">
        <w:rPr>
          <w:sz w:val="24"/>
          <w:lang w:val="lt-LT"/>
        </w:rPr>
        <w:tab/>
      </w:r>
      <w:r w:rsidRPr="009D180D">
        <w:rPr>
          <w:sz w:val="24"/>
          <w:lang w:val="lt-LT"/>
        </w:rPr>
        <w:t>OL L 207, 2021 6 11,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180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180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180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2/2024"/>
    <w:docVar w:name="dvlangue" w:val="LT"/>
    <w:docVar w:name="dvnumam" w:val="0"/>
    <w:docVar w:name="dvpe" w:val="753.483"/>
    <w:docVar w:name="dvrapporteur" w:val="Pranešėjas: "/>
    <w:docVar w:name="dvtitre" w:val="Europos Parlamento sprendimas dėl 2022 finansinių metų Europos Sąjungos bendrojo biudžeto įvykdymo patvirtinimo, VI skirsnis – Europos ekonomikos ir socialinių reikalų komitetas(2023/2135(DEC))"/>
  </w:docVars>
  <w:rsids>
    <w:rsidRoot w:val="00415FC2"/>
    <w:rsid w:val="00002272"/>
    <w:rsid w:val="00064002"/>
    <w:rsid w:val="000677B9"/>
    <w:rsid w:val="000831BA"/>
    <w:rsid w:val="000A42CC"/>
    <w:rsid w:val="000C61DE"/>
    <w:rsid w:val="000E7DD9"/>
    <w:rsid w:val="0010095E"/>
    <w:rsid w:val="00125B37"/>
    <w:rsid w:val="00187494"/>
    <w:rsid w:val="001F32AE"/>
    <w:rsid w:val="002501CA"/>
    <w:rsid w:val="002767FF"/>
    <w:rsid w:val="002B18FE"/>
    <w:rsid w:val="002B5493"/>
    <w:rsid w:val="00343214"/>
    <w:rsid w:val="00361C00"/>
    <w:rsid w:val="00395FA1"/>
    <w:rsid w:val="003E15D4"/>
    <w:rsid w:val="00411CCE"/>
    <w:rsid w:val="00415FC2"/>
    <w:rsid w:val="0041666E"/>
    <w:rsid w:val="00421060"/>
    <w:rsid w:val="00471C19"/>
    <w:rsid w:val="004867E3"/>
    <w:rsid w:val="00494A28"/>
    <w:rsid w:val="004C0004"/>
    <w:rsid w:val="004C5D52"/>
    <w:rsid w:val="0050519A"/>
    <w:rsid w:val="005072A1"/>
    <w:rsid w:val="00514517"/>
    <w:rsid w:val="00545827"/>
    <w:rsid w:val="00560270"/>
    <w:rsid w:val="005C2568"/>
    <w:rsid w:val="005D7F78"/>
    <w:rsid w:val="006037C0"/>
    <w:rsid w:val="006631B6"/>
    <w:rsid w:val="00680577"/>
    <w:rsid w:val="006960E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1F4F"/>
    <w:rsid w:val="00930C23"/>
    <w:rsid w:val="0093193B"/>
    <w:rsid w:val="009509D8"/>
    <w:rsid w:val="00950B64"/>
    <w:rsid w:val="00981893"/>
    <w:rsid w:val="009D180D"/>
    <w:rsid w:val="00A00BC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034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A634A9"/>
  <w15:chartTrackingRefBased/>
  <w15:docId w15:val="{BA1671E6-B83C-4DA9-B9AF-7AFC7F4DD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501C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501CA"/>
    <w:pPr>
      <w:spacing w:before="480" w:after="240"/>
    </w:pPr>
  </w:style>
  <w:style w:type="paragraph" w:customStyle="1" w:styleId="PageHeading">
    <w:name w:val="PageHeading"/>
    <w:basedOn w:val="Normal"/>
    <w:rsid w:val="002501CA"/>
    <w:pPr>
      <w:keepNext/>
      <w:spacing w:after="480"/>
      <w:jc w:val="center"/>
    </w:pPr>
    <w:rPr>
      <w:rFonts w:ascii="Arial" w:hAnsi="Arial" w:cs="Arial"/>
      <w:b/>
    </w:rPr>
  </w:style>
  <w:style w:type="paragraph" w:customStyle="1" w:styleId="NormalBold">
    <w:name w:val="NormalBold"/>
    <w:basedOn w:val="Normal"/>
    <w:rsid w:val="002501CA"/>
    <w:rPr>
      <w:b/>
    </w:rPr>
  </w:style>
  <w:style w:type="paragraph" w:customStyle="1" w:styleId="NormalHanging12a">
    <w:name w:val="NormalHanging12a"/>
    <w:basedOn w:val="Normal"/>
    <w:link w:val="NormalHanging12aChar"/>
    <w:qFormat/>
    <w:rsid w:val="002501CA"/>
    <w:pPr>
      <w:spacing w:after="240"/>
      <w:ind w:left="567" w:hanging="567"/>
    </w:pPr>
  </w:style>
  <w:style w:type="paragraph" w:styleId="Header">
    <w:name w:val="header"/>
    <w:basedOn w:val="Normal"/>
    <w:link w:val="HeaderChar"/>
    <w:rsid w:val="002501CA"/>
    <w:pPr>
      <w:tabs>
        <w:tab w:val="center" w:pos="4513"/>
        <w:tab w:val="right" w:pos="9026"/>
      </w:tabs>
    </w:pPr>
  </w:style>
  <w:style w:type="character" w:customStyle="1" w:styleId="HeaderChar">
    <w:name w:val="Header Char"/>
    <w:basedOn w:val="DefaultParagraphFont"/>
    <w:link w:val="Header"/>
    <w:rsid w:val="002501CA"/>
    <w:rPr>
      <w:sz w:val="24"/>
      <w:lang w:val="lt-LT"/>
    </w:rPr>
  </w:style>
  <w:style w:type="paragraph" w:customStyle="1" w:styleId="EPFooter">
    <w:name w:val="EPFooter"/>
    <w:basedOn w:val="Normal"/>
    <w:rsid w:val="002501CA"/>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2501CA"/>
    <w:rPr>
      <w:sz w:val="24"/>
      <w:lang w:val="lt-LT"/>
    </w:rPr>
  </w:style>
  <w:style w:type="paragraph" w:styleId="Footer">
    <w:name w:val="footer"/>
    <w:basedOn w:val="Normal"/>
    <w:link w:val="FooterChar"/>
    <w:rsid w:val="006960E5"/>
    <w:pPr>
      <w:tabs>
        <w:tab w:val="center" w:pos="4513"/>
        <w:tab w:val="right" w:pos="9026"/>
      </w:tabs>
    </w:pPr>
  </w:style>
  <w:style w:type="character" w:customStyle="1" w:styleId="FooterChar">
    <w:name w:val="Footer Char"/>
    <w:basedOn w:val="DefaultParagraphFont"/>
    <w:link w:val="Footer"/>
    <w:rsid w:val="006960E5"/>
    <w:rPr>
      <w:sz w:val="24"/>
      <w:lang w:val="lt-LT"/>
    </w:rPr>
  </w:style>
  <w:style w:type="paragraph" w:styleId="BalloonText">
    <w:name w:val="Balloon Text"/>
    <w:basedOn w:val="Normal"/>
    <w:link w:val="BalloonTextChar"/>
    <w:rsid w:val="00911F4F"/>
    <w:rPr>
      <w:rFonts w:ascii="Segoe UI" w:hAnsi="Segoe UI" w:cs="Segoe UI"/>
      <w:sz w:val="18"/>
      <w:szCs w:val="18"/>
    </w:rPr>
  </w:style>
  <w:style w:type="character" w:customStyle="1" w:styleId="BalloonTextChar">
    <w:name w:val="Balloon Text Char"/>
    <w:basedOn w:val="DefaultParagraphFont"/>
    <w:link w:val="BalloonText"/>
    <w:rsid w:val="00911F4F"/>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5EB882-A6C1-48D1-A4BB-892D4F957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5723</Words>
  <Characters>38368</Characters>
  <Application>Microsoft Office Word</Application>
  <DocSecurity>0</DocSecurity>
  <Lines>319</Lines>
  <Paragraphs>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2024-05-14T20:35:00Z</dcterms:created>
  <dcterms:modified xsi:type="dcterms:W3CDTF">2024-05-14T20:35:00Z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P9_TA(2024)0232_</vt:lpwstr>
  </property>
  <property fmtid="{D5CDD505-2E9C-101B-9397-08002B2CF9AE}" pid="4" name="&lt;Type&gt;">
    <vt:lpwstr>RR</vt:lpwstr>
  </property>
</Properties>
</file>