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09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092A" w:rsidRDefault="002B4E07" w:rsidP="0010095E">
            <w:pPr>
              <w:pStyle w:val="EPName"/>
            </w:pPr>
            <w:r w:rsidRPr="005D092A">
              <w:t>Parlament Europejski</w:t>
            </w:r>
          </w:p>
          <w:p w:rsidR="00751A4A" w:rsidRPr="005D09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092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D092A" w:rsidRDefault="00187494" w:rsidP="0010095E">
            <w:pPr>
              <w:pStyle w:val="EPLogo"/>
            </w:pPr>
            <w:r w:rsidRPr="005D09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092A" w:rsidRDefault="00D058B8" w:rsidP="004C5D52">
      <w:pPr>
        <w:pStyle w:val="LineTop"/>
      </w:pPr>
    </w:p>
    <w:p w:rsidR="00680577" w:rsidRPr="005D092A" w:rsidRDefault="002B4E07" w:rsidP="00680577">
      <w:pPr>
        <w:pStyle w:val="EPBodyTA1"/>
      </w:pPr>
      <w:r w:rsidRPr="005D092A">
        <w:t>TEKSTY PRZYJĘTE</w:t>
      </w:r>
    </w:p>
    <w:p w:rsidR="00D058B8" w:rsidRPr="005D092A" w:rsidRDefault="00D058B8" w:rsidP="00D058B8">
      <w:pPr>
        <w:pStyle w:val="LineBottom"/>
      </w:pPr>
    </w:p>
    <w:p w:rsidR="002B4E07" w:rsidRPr="005D092A" w:rsidRDefault="002B4E07" w:rsidP="002B4E07">
      <w:pPr>
        <w:pStyle w:val="ATHeading1"/>
      </w:pPr>
      <w:bookmarkStart w:id="0" w:name="TANumber"/>
      <w:r w:rsidRPr="005D092A">
        <w:t>P9_TA(2024)0</w:t>
      </w:r>
      <w:bookmarkEnd w:id="0"/>
      <w:r w:rsidR="003D3DA2">
        <w:t>232</w:t>
      </w:r>
    </w:p>
    <w:p w:rsidR="002B4E07" w:rsidRPr="008206D0" w:rsidRDefault="008206D0" w:rsidP="002B4E07">
      <w:pPr>
        <w:pStyle w:val="ATHeading2"/>
      </w:pPr>
      <w:r w:rsidRPr="008206D0">
        <w:t>Absolutorium za rok 2022: budżet ogólny UE – Europejski Komitet Ekonomiczno-Społeczny</w:t>
      </w:r>
    </w:p>
    <w:p w:rsidR="002B4E07" w:rsidRPr="005D092A" w:rsidRDefault="002B4E07" w:rsidP="002B4E07">
      <w:pPr>
        <w:rPr>
          <w:i/>
          <w:vanish/>
        </w:rPr>
      </w:pPr>
      <w:r w:rsidRPr="005D092A">
        <w:rPr>
          <w:i/>
        </w:rPr>
        <w:fldChar w:fldCharType="begin"/>
      </w:r>
      <w:r w:rsidRPr="005D092A">
        <w:rPr>
          <w:i/>
        </w:rPr>
        <w:instrText xml:space="preserve"> TC"(</w:instrText>
      </w:r>
      <w:bookmarkStart w:id="1" w:name="DocNumber"/>
      <w:r w:rsidRPr="005D092A">
        <w:rPr>
          <w:i/>
        </w:rPr>
        <w:instrText>A9-0072/2024</w:instrText>
      </w:r>
      <w:bookmarkEnd w:id="1"/>
      <w:r w:rsidRPr="005D092A">
        <w:rPr>
          <w:i/>
        </w:rPr>
        <w:instrText xml:space="preserve"> - Sprawozdawca: Luke </w:instrText>
      </w:r>
      <w:proofErr w:type="spellStart"/>
      <w:r w:rsidRPr="005D092A">
        <w:rPr>
          <w:i/>
        </w:rPr>
        <w:instrText>Ming</w:instrText>
      </w:r>
      <w:proofErr w:type="spellEnd"/>
      <w:r w:rsidRPr="005D092A">
        <w:rPr>
          <w:i/>
        </w:rPr>
        <w:instrText xml:space="preserve"> Flanagan</w:instrText>
      </w:r>
      <w:proofErr w:type="gramStart"/>
      <w:r w:rsidRPr="005D092A">
        <w:rPr>
          <w:i/>
        </w:rPr>
        <w:instrText>)"\l</w:instrText>
      </w:r>
      <w:proofErr w:type="gramEnd"/>
      <w:r w:rsidRPr="005D092A">
        <w:rPr>
          <w:i/>
        </w:rPr>
        <w:instrText xml:space="preserve">3 \n&gt; \* MERGEFORMAT </w:instrText>
      </w:r>
      <w:r w:rsidRPr="005D092A">
        <w:rPr>
          <w:i/>
        </w:rPr>
        <w:fldChar w:fldCharType="end"/>
      </w:r>
    </w:p>
    <w:p w:rsidR="002B4E07" w:rsidRPr="005D092A" w:rsidRDefault="002B4E07" w:rsidP="002B4E07">
      <w:pPr>
        <w:rPr>
          <w:vanish/>
        </w:rPr>
      </w:pPr>
      <w:bookmarkStart w:id="2" w:name="Commission"/>
      <w:r w:rsidRPr="005D092A">
        <w:rPr>
          <w:vanish/>
        </w:rPr>
        <w:t>Komisja Kontroli Budżetowej</w:t>
      </w:r>
      <w:bookmarkEnd w:id="2"/>
    </w:p>
    <w:p w:rsidR="002B4E07" w:rsidRPr="005D092A" w:rsidRDefault="002B4E07" w:rsidP="002B4E07">
      <w:pPr>
        <w:rPr>
          <w:vanish/>
        </w:rPr>
      </w:pPr>
      <w:bookmarkStart w:id="3" w:name="PE"/>
      <w:r w:rsidRPr="005D092A">
        <w:rPr>
          <w:vanish/>
        </w:rPr>
        <w:t>PE753.483</w:t>
      </w:r>
      <w:bookmarkEnd w:id="3"/>
    </w:p>
    <w:p w:rsidR="002B4E07" w:rsidRPr="005D092A" w:rsidRDefault="008206D0" w:rsidP="002B4E07">
      <w:pPr>
        <w:pStyle w:val="ATHeading3"/>
      </w:pPr>
      <w:bookmarkStart w:id="4" w:name="Sujet"/>
      <w:r>
        <w:t xml:space="preserve">1. </w:t>
      </w:r>
      <w:r w:rsidR="002B4E07" w:rsidRPr="005D092A">
        <w:t xml:space="preserve">Decyzja Parlamentu Europejskiego z dnia </w:t>
      </w:r>
      <w:r>
        <w:t>11 kwietnia</w:t>
      </w:r>
      <w:r w:rsidR="002B4E07" w:rsidRPr="005D092A">
        <w:t xml:space="preserve"> 2024 r. w sprawie absolutorium z wykonania budżetu ogólnego Unii Europejskiej za rok budżetowy 2022, sekcja VI – Europejski Komitet Ekonomiczno-Społeczny</w:t>
      </w:r>
      <w:bookmarkEnd w:id="4"/>
      <w:r w:rsidR="002B4E07" w:rsidRPr="005D092A">
        <w:t xml:space="preserve"> </w:t>
      </w:r>
      <w:bookmarkStart w:id="5" w:name="References"/>
      <w:r w:rsidR="002B4E07" w:rsidRPr="005D092A">
        <w:t>(2023/2135(DEC))</w:t>
      </w:r>
      <w:bookmarkEnd w:id="5"/>
    </w:p>
    <w:p w:rsidR="002B4E07" w:rsidRPr="005D092A" w:rsidRDefault="002B4E07" w:rsidP="002B4E07"/>
    <w:p w:rsidR="00FA16F3" w:rsidRPr="005D092A" w:rsidRDefault="00FA16F3" w:rsidP="00FA16F3">
      <w:pPr>
        <w:pStyle w:val="EPComma"/>
        <w:rPr>
          <w:szCs w:val="24"/>
        </w:rPr>
      </w:pPr>
      <w:bookmarkStart w:id="6" w:name="TextBodyBegin"/>
      <w:bookmarkEnd w:id="6"/>
      <w:r w:rsidRPr="005D092A">
        <w:rPr>
          <w:i/>
        </w:rPr>
        <w:t>Parlament Europejski</w:t>
      </w:r>
      <w:r w:rsidRPr="005D092A">
        <w:t>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budżet ogólny Unii Europejskiej na rok budżetowy 2022</w:t>
      </w:r>
      <w:r w:rsidRPr="005D092A">
        <w:rPr>
          <w:rStyle w:val="FootnoteReference"/>
        </w:rPr>
        <w:footnoteReference w:id="1"/>
      </w:r>
      <w:r w:rsidRPr="005D092A">
        <w:t>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skonsolidowane roczne sprawozdanie finansowe Unii Europejskiej za rok budżetowy 2022 (COM</w:t>
      </w:r>
      <w:proofErr w:type="gramStart"/>
      <w:r w:rsidRPr="005D092A">
        <w:t>(2023)0391 – C</w:t>
      </w:r>
      <w:proofErr w:type="gramEnd"/>
      <w:r w:rsidRPr="005D092A">
        <w:t>9</w:t>
      </w:r>
      <w:r w:rsidRPr="005D092A">
        <w:noBreakHyphen/>
        <w:t>0254/2023)</w:t>
      </w:r>
      <w:r w:rsidRPr="005D092A">
        <w:rPr>
          <w:rStyle w:val="FootnoteReference"/>
        </w:rPr>
        <w:footnoteReference w:id="2"/>
      </w:r>
      <w:r w:rsidRPr="005D092A">
        <w:t>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roczne sprawozdanie z działalności Europejskiego Komitetu Ekonomiczno-Społecznego za rok 2022 oraz jego sprawozdanie roczne dla organu udzielającego absolutorium w sprawie audytów wewnętrznych przeprowadzonych w 2022 r.,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sprawozdanie roczne Trybunału Obrachunkowego dotyczące wykonania budżetu za rok budżetowy 2022 wraz z odpowiedziami instytucji</w:t>
      </w:r>
      <w:r w:rsidRPr="005D092A">
        <w:rPr>
          <w:rStyle w:val="FootnoteReference"/>
        </w:rPr>
        <w:footnoteReference w:id="3"/>
      </w:r>
      <w:r w:rsidRPr="005D092A">
        <w:t>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poświadczenie wiarygodności</w:t>
      </w:r>
      <w:r w:rsidRPr="005D092A">
        <w:rPr>
          <w:rStyle w:val="FootnoteReference"/>
        </w:rPr>
        <w:footnoteReference w:id="4"/>
      </w:r>
      <w:r w:rsidRPr="005D092A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art. 314 ust. 10 oraz art. 317, 318 i 319 Traktatu o funkcjonowaniu Unii Europejskiej,</w:t>
      </w:r>
    </w:p>
    <w:p w:rsidR="00FA16F3" w:rsidRPr="005D092A" w:rsidRDefault="00FA16F3" w:rsidP="00FA16F3">
      <w:pPr>
        <w:pStyle w:val="NormalHanging12a"/>
      </w:pPr>
      <w:r w:rsidRPr="005D092A">
        <w:lastRenderedPageBreak/>
        <w:t>–</w:t>
      </w:r>
      <w:r w:rsidRPr="005D092A">
        <w:tab/>
        <w:t xml:space="preserve">uwzględniając rozporządzenie Parlamentu Europejskiego i Rady (UE, </w:t>
      </w:r>
      <w:proofErr w:type="spellStart"/>
      <w:r w:rsidRPr="005D092A">
        <w:t>Euratom</w:t>
      </w:r>
      <w:proofErr w:type="spellEnd"/>
      <w:r w:rsidRPr="005D092A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5D092A">
        <w:t>Euratom</w:t>
      </w:r>
      <w:proofErr w:type="spellEnd"/>
      <w:r w:rsidRPr="005D092A">
        <w:t>) nr 966/2012</w:t>
      </w:r>
      <w:r w:rsidRPr="005D092A">
        <w:rPr>
          <w:rStyle w:val="FootnoteReference"/>
        </w:rPr>
        <w:footnoteReference w:id="5"/>
      </w:r>
      <w:r w:rsidRPr="005D092A">
        <w:t>, w szczególności jego art. 59, 118, 260, 261 i 262,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art. 100 Regulaminu i załącznik V do Regulaminu,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sprawozdanie Komisji Kontroli Budżetowej (A9-0072/2024),</w:t>
      </w:r>
    </w:p>
    <w:p w:rsidR="00FA16F3" w:rsidRPr="005D092A" w:rsidRDefault="00FA16F3" w:rsidP="00FA16F3">
      <w:pPr>
        <w:pStyle w:val="NormalHanging12a"/>
      </w:pPr>
      <w:r w:rsidRPr="005D092A">
        <w:t>1.</w:t>
      </w:r>
      <w:r w:rsidRPr="005D092A">
        <w:tab/>
      </w:r>
      <w:proofErr w:type="gramStart"/>
      <w:r w:rsidR="00084D8F">
        <w:t>udziela</w:t>
      </w:r>
      <w:proofErr w:type="gramEnd"/>
      <w:r w:rsidR="00084D8F">
        <w:t xml:space="preserve"> sekretarz generalnej</w:t>
      </w:r>
      <w:r w:rsidRPr="005D092A">
        <w:t xml:space="preserve"> Europejskiego Komitetu Ekonomiczno-Społecznego absolutorium z wykonania budżetu Europejskiego Komitetu Ekonomiczno-Społecznego za rok budżetowy 2022;</w:t>
      </w:r>
    </w:p>
    <w:p w:rsidR="00FA16F3" w:rsidRPr="005D092A" w:rsidRDefault="00FA16F3" w:rsidP="00FA16F3">
      <w:pPr>
        <w:pStyle w:val="NormalHanging12a"/>
      </w:pPr>
      <w:r w:rsidRPr="005D092A">
        <w:t>2.</w:t>
      </w:r>
      <w:r w:rsidRPr="005D092A">
        <w:tab/>
      </w:r>
      <w:proofErr w:type="gramStart"/>
      <w:r w:rsidRPr="005D092A">
        <w:t>przedstawia</w:t>
      </w:r>
      <w:proofErr w:type="gramEnd"/>
      <w:r w:rsidRPr="005D092A">
        <w:t xml:space="preserve"> swoje uwagi w poniższej rezolucji;</w:t>
      </w:r>
    </w:p>
    <w:p w:rsidR="00FA16F3" w:rsidRPr="005D092A" w:rsidRDefault="00FA16F3" w:rsidP="00FA16F3">
      <w:pPr>
        <w:pStyle w:val="NormalHanging12a"/>
      </w:pPr>
      <w:r w:rsidRPr="005D092A">
        <w:t>3.</w:t>
      </w:r>
      <w:r w:rsidRPr="005D092A">
        <w:tab/>
      </w:r>
      <w:proofErr w:type="gramStart"/>
      <w:r w:rsidRPr="005D092A">
        <w:t>zobowiązuje</w:t>
      </w:r>
      <w:proofErr w:type="gramEnd"/>
      <w:r w:rsidRPr="005D092A">
        <w:t xml:space="preserve"> swoją przewodniczącą do przekazania niniejszej decyzji wraz z rezolucją, która stanowi jej integralną</w:t>
      </w:r>
      <w:r w:rsidR="00084D8F">
        <w:t xml:space="preserve"> część, sekretarz generalnej</w:t>
      </w:r>
      <w:r w:rsidRPr="005D092A">
        <w:t xml:space="preserve"> Europejskiego Komitetu Ekonomiczno-Społecznego, Radzie, Komisji i Trybunałowi Obrachunkowemu oraz do zarządzenia jej publikacji w </w:t>
      </w:r>
      <w:r w:rsidRPr="005D092A">
        <w:rPr>
          <w:i/>
        </w:rPr>
        <w:t>Dzienniku Urzędowym Unii Europejskiej</w:t>
      </w:r>
      <w:r w:rsidRPr="005D092A">
        <w:t xml:space="preserve"> (seria L). </w:t>
      </w:r>
    </w:p>
    <w:p w:rsidR="00FA16F3" w:rsidRPr="005D092A" w:rsidRDefault="00FA16F3" w:rsidP="00FA16F3"/>
    <w:p w:rsidR="00FA16F3" w:rsidRPr="005D092A" w:rsidRDefault="00FA16F3" w:rsidP="00FA16F3">
      <w:pPr>
        <w:pStyle w:val="PageHeading"/>
        <w:sectPr w:rsidR="00FA16F3" w:rsidRPr="005D092A" w:rsidSect="005D092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A16F3" w:rsidRPr="005D092A" w:rsidRDefault="00FA16F3" w:rsidP="008206D0">
      <w:pPr>
        <w:pStyle w:val="ATHeading3"/>
        <w:rPr>
          <w:szCs w:val="24"/>
        </w:rPr>
      </w:pPr>
      <w:bookmarkStart w:id="7" w:name="_Toc161827527"/>
      <w:r w:rsidRPr="005D092A">
        <w:lastRenderedPageBreak/>
        <w:t xml:space="preserve">2. </w:t>
      </w:r>
      <w:r w:rsidR="008206D0">
        <w:t>Rezolucja</w:t>
      </w:r>
      <w:r w:rsidR="008206D0" w:rsidRPr="005D092A">
        <w:t xml:space="preserve"> Parlamentu Europejskiego</w:t>
      </w:r>
      <w:bookmarkEnd w:id="7"/>
      <w:r w:rsidR="008206D0">
        <w:t xml:space="preserve"> </w:t>
      </w:r>
      <w:r w:rsidR="008206D0" w:rsidRPr="005D092A">
        <w:t xml:space="preserve">z dnia </w:t>
      </w:r>
      <w:r w:rsidR="008206D0">
        <w:t>11 kwietnia</w:t>
      </w:r>
      <w:r w:rsidR="008206D0" w:rsidRPr="005D092A">
        <w:t xml:space="preserve"> 2024 r. </w:t>
      </w:r>
      <w:r w:rsidR="008206D0">
        <w:t>zawierająca</w:t>
      </w:r>
      <w:r w:rsidRPr="005D092A">
        <w:t xml:space="preserve"> uwagi stanowiące integralną część decyzji w sprawie absolutorium z wykonania budżetu ogólnego Unii Europejskiej za rok budżetowy 2022, sekcja VI – Europejski Komitet Ekonomiczno-Społeczny</w:t>
      </w:r>
      <w:r w:rsidR="008206D0">
        <w:t xml:space="preserve"> </w:t>
      </w:r>
      <w:r w:rsidRPr="005D092A">
        <w:t>(2023/2135(DEC))</w:t>
      </w:r>
    </w:p>
    <w:p w:rsidR="00FA16F3" w:rsidRPr="005D092A" w:rsidRDefault="00FA16F3" w:rsidP="00FA16F3">
      <w:pPr>
        <w:pStyle w:val="EPComma"/>
        <w:rPr>
          <w:szCs w:val="24"/>
        </w:rPr>
      </w:pPr>
      <w:r w:rsidRPr="005D092A">
        <w:rPr>
          <w:i/>
        </w:rPr>
        <w:t>Parlament Europejski</w:t>
      </w:r>
      <w:r w:rsidRPr="005D092A">
        <w:t>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swoją decyzję w sprawie absolutorium z wykonania budżetu ogólnego Unii Europejskiej za rok budżetowy 2022, sekcja VI – Europejski Komitet Ekonomiczno-Społeczny,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art. 100 Regulaminu i załącznik V do Regulaminu,</w:t>
      </w:r>
    </w:p>
    <w:p w:rsidR="00FA16F3" w:rsidRPr="005D092A" w:rsidRDefault="00FA16F3" w:rsidP="00FA16F3">
      <w:pPr>
        <w:pStyle w:val="NormalHanging12a"/>
      </w:pPr>
      <w:r w:rsidRPr="005D092A">
        <w:t>–</w:t>
      </w:r>
      <w:r w:rsidRPr="005D092A">
        <w:tab/>
        <w:t>uwzględniając sprawozdanie Komisji Kontroli Budżetowej (A9-0072/2024),</w:t>
      </w:r>
    </w:p>
    <w:p w:rsidR="00FA16F3" w:rsidRPr="005D092A" w:rsidRDefault="00FA16F3" w:rsidP="00FA16F3">
      <w:pPr>
        <w:pStyle w:val="NormalHanging12a"/>
      </w:pPr>
      <w:r w:rsidRPr="005D092A">
        <w:t>A.</w:t>
      </w:r>
      <w:r w:rsidRPr="005D092A">
        <w:tab/>
      </w:r>
      <w:proofErr w:type="gramStart"/>
      <w:r w:rsidRPr="005D092A">
        <w:t>mając</w:t>
      </w:r>
      <w:proofErr w:type="gramEnd"/>
      <w:r w:rsidRPr="005D092A">
        <w:t xml:space="preserve"> na uwadze,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właściwego zarządzania zasobami ludzkimi;</w:t>
      </w:r>
    </w:p>
    <w:p w:rsidR="00FA16F3" w:rsidRPr="005D092A" w:rsidRDefault="00FA16F3" w:rsidP="00FA16F3">
      <w:pPr>
        <w:pStyle w:val="NormalHanging12a"/>
      </w:pPr>
      <w:r w:rsidRPr="005D092A">
        <w:t>B.</w:t>
      </w:r>
      <w:r w:rsidRPr="005D092A">
        <w:tab/>
        <w:t>mając na uwadze, że Europejski Komitet Ekonomiczno-Społeczny („Komitet”) jest organem doradczym Unii stanowiącym forum konsultacji, dialogu i konsensusu między przedstawicielami różnych gospodarczych, społecznych i obywatelskich komponentów zorganizowanego społeczeństwa obywatelskiego z państw członkowskich;</w:t>
      </w:r>
    </w:p>
    <w:p w:rsidR="00FA16F3" w:rsidRPr="005D092A" w:rsidRDefault="00FA16F3" w:rsidP="00FA16F3">
      <w:pPr>
        <w:pStyle w:val="NormalHanging12a"/>
      </w:pPr>
      <w:r w:rsidRPr="005D092A">
        <w:t>C.</w:t>
      </w:r>
      <w:r w:rsidRPr="005D092A">
        <w:tab/>
      </w:r>
      <w:proofErr w:type="gramStart"/>
      <w:r w:rsidRPr="005D092A">
        <w:t>mając</w:t>
      </w:r>
      <w:proofErr w:type="gramEnd"/>
      <w:r w:rsidRPr="005D092A">
        <w:t xml:space="preserve"> na uwadze, że Komitet uczestniczy w unijnym procesie decyzyjnym oraz – przekładając politykę Unii na sytuację gospodarczą, społeczną i obywatelską – realizuje swoją misję lepszego stanowienia prawa, oddolnej demokracji uczestniczącej i propagowania wartości Unii;</w:t>
      </w:r>
    </w:p>
    <w:p w:rsidR="00FA16F3" w:rsidRPr="005D092A" w:rsidRDefault="00FA16F3" w:rsidP="00FA16F3">
      <w:pPr>
        <w:pStyle w:val="NormalHanging12a"/>
      </w:pPr>
      <w:r w:rsidRPr="005D092A">
        <w:t>D.</w:t>
      </w:r>
      <w:r w:rsidRPr="005D092A">
        <w:tab/>
      </w:r>
      <w:proofErr w:type="gramStart"/>
      <w:r w:rsidRPr="005D092A">
        <w:t>mając</w:t>
      </w:r>
      <w:proofErr w:type="gramEnd"/>
      <w:r w:rsidRPr="005D092A">
        <w:t xml:space="preserve"> na uwadze, że zasięganie opinii Komitetu przez Komisję lub Radę jest obowiązkowe w niektórych przypadkach, a Komitet może również przyjmować opinie z własnej inicjatywy i korzysta z szerokiego zakresu uprawnień do konsultacji, określonego w traktatach, co pozwala Parlamentowi na zasięganie jego opinii;</w:t>
      </w:r>
    </w:p>
    <w:p w:rsidR="00FA16F3" w:rsidRPr="005D092A" w:rsidRDefault="00FA16F3" w:rsidP="00FA16F3">
      <w:pPr>
        <w:pStyle w:val="NormalHanging12a"/>
      </w:pPr>
      <w:r w:rsidRPr="005D092A">
        <w:t>E.</w:t>
      </w:r>
      <w:r w:rsidRPr="005D092A">
        <w:tab/>
      </w:r>
      <w:proofErr w:type="gramStart"/>
      <w:r w:rsidRPr="005D092A">
        <w:t>mając</w:t>
      </w:r>
      <w:proofErr w:type="gramEnd"/>
      <w:r w:rsidRPr="005D092A">
        <w:t xml:space="preserve"> na uwadze, że Komisja Spraw Finansowych i Budżetowych Komitetu jest jego organem kontrolnym w zakresie wszystkich procedur budżetowych, a w szczególności w kwestii sporządzania preliminarza budżetowego, wykonania budżetu, rocznego sprawozdania z działalności, uzyskiwania absolutorium i działań następczych podejmowanych w związku ze sprawozdaniem rocznym Trybunału Obrachunkowego („Trybunał”);</w:t>
      </w:r>
    </w:p>
    <w:p w:rsidR="00FA16F3" w:rsidRPr="005D092A" w:rsidRDefault="00FA16F3" w:rsidP="00FA16F3">
      <w:pPr>
        <w:pStyle w:val="NormalHanging12a"/>
      </w:pPr>
      <w:r w:rsidRPr="005D092A">
        <w:t>1.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budżet Komitetu jest objęty działem 7 WRF „Europejska administracja publiczna”, który w 2022 r. wyniósł łącznie 11,6 mld EUR (tj. 5,9 % wydatków z budżetu UE); zauważa, że w 2022 r. budżet Komitetu stanowił 1,31 % działu 7 WRF;</w:t>
      </w:r>
    </w:p>
    <w:p w:rsidR="00FA16F3" w:rsidRPr="005D092A" w:rsidRDefault="00FA16F3" w:rsidP="00FA16F3">
      <w:pPr>
        <w:pStyle w:val="NormalHanging12a"/>
      </w:pPr>
      <w:r w:rsidRPr="005D092A">
        <w:t>2.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Trybunał w swoim sprawozdaniu rocznym za rok budżetowy 2022 zbadał próbę 60 transakcji w dziale „Administracja”, czyli taką samą liczbę, jaką zbadano w 2021 r.; zauważa ponadto, że według Trybunału wydatki administracyjne obejmują wydatki na zasoby ludzkie, w tym wydatki na emerytury, które w 2022 r. stanowiły </w:t>
      </w:r>
      <w:r w:rsidRPr="005D092A">
        <w:lastRenderedPageBreak/>
        <w:t>około 70 % całkowitych wydatków administracyjnych, oraz wydatki na budynki, wyposażenie, energię, technologię komunikacyjną i informacyjną, a jego wieloletnia praca wskazuje, że ogólnie wydatki te są obarczone niskim ryzykiem;</w:t>
      </w:r>
    </w:p>
    <w:p w:rsidR="00FA16F3" w:rsidRPr="005D092A" w:rsidRDefault="00FA16F3" w:rsidP="00FA16F3">
      <w:pPr>
        <w:pStyle w:val="NormalHanging12a"/>
      </w:pPr>
      <w:r w:rsidRPr="005D092A">
        <w:t>3.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w ramach kontroli za 2022 r. Trybunał zbadał systemy nadzoru i kontroli Komitetu, w szczególności wdrażanie norm kontroli wewnętrznej, zarządzanie ryzykiem oraz funkcjonowanie kluczowych mechanizmów kontroli określonych w rozporządzeniu finansowym, w tym kontrole ex </w:t>
      </w:r>
      <w:proofErr w:type="spellStart"/>
      <w:r w:rsidRPr="005D092A">
        <w:t>ante</w:t>
      </w:r>
      <w:proofErr w:type="spellEnd"/>
      <w:r w:rsidRPr="005D092A">
        <w:t xml:space="preserve"> i ex post dotyczące płatności;</w:t>
      </w:r>
    </w:p>
    <w:p w:rsidR="00FA16F3" w:rsidRPr="005D092A" w:rsidRDefault="00FA16F3" w:rsidP="00FA16F3">
      <w:pPr>
        <w:pStyle w:val="NormalHanging12a"/>
      </w:pPr>
      <w:r w:rsidRPr="005D092A">
        <w:t>4.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14 (23 %) z 60 transakcji zawierało błędy, ale Trybunał na podstawie pięciu błędów, które zostały określone ilościowo, szacuje poziom błędu poniżej progu istotności;</w:t>
      </w:r>
    </w:p>
    <w:p w:rsidR="00FA16F3" w:rsidRPr="005D092A" w:rsidRDefault="00FA16F3" w:rsidP="00FA16F3">
      <w:pPr>
        <w:pStyle w:val="NormalHanging12a"/>
      </w:pPr>
      <w:r w:rsidRPr="005D092A">
        <w:t>5.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 z zadowoleniem, że Trybunał w swoim sprawozdaniu rocznym za rok budżetowy 2022 odnotowuje, że nie stwierdził żadnych konkretnych problemów dotyczących Komitetu; zauważa ponadto, że w swoim przeglądzie następczym Trybunał uznał, iż zalecenie skierowane do Komitetu w sprawozdaniu rocznym za rok budżetowy 2019 w odniesieniu do konieczności opracowania przez Komitet polityki w zakresie funkcji wrażliwych zgodnie z jego normami kontroli wewnętrznej zostało w niektórych aspektach wdrożone;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rPr>
          <w:b/>
          <w:i/>
        </w:rPr>
        <w:t>Zarządzanie budżetem i finansami</w:t>
      </w:r>
    </w:p>
    <w:p w:rsidR="00FA16F3" w:rsidRPr="005D092A" w:rsidRDefault="00FA16F3" w:rsidP="00FA16F3">
      <w:pPr>
        <w:pStyle w:val="NormalHanging12a"/>
      </w:pPr>
      <w:r w:rsidRPr="005D092A">
        <w:t>6.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ostatecznie przyjęty budżet Komitetu wyniósł 152 451 643 EUR, co stanowi ogólny wzrost o 5,1 % w porównaniu z rokiem 2021; zauważa, że linia budżetowa dotycząca wynagrodzeń i dodatków wzrosła o 5 % w latach 2021–2022 w związku z coroczną indeksacją wynagrodzeń; zauważa, że linia budżetowa przeznaczona na wyposażenie pomieszczeń zmniejszyła się o 77 % w latach 2021–2022 i wróciła do normalnego poziomu po przeprowadzeniu ważnych prac remontowych w 2021 r.; zauważa, że poza tym podział środków między linie budżetowe w budżecie na rok 2022 pozostał porównywalny z podziałem z poprzednich lat;</w:t>
      </w:r>
    </w:p>
    <w:p w:rsidR="00FA16F3" w:rsidRPr="005D092A" w:rsidRDefault="00FA16F3" w:rsidP="00FA16F3">
      <w:pPr>
        <w:pStyle w:val="NormalHanging12a"/>
      </w:pPr>
      <w:r w:rsidRPr="005D092A">
        <w:t>7.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wskaźnik wykonania budżetu wyniósł 96,12 %, po dwóch latach niższego wykonania budżetu z powodu pandemii COVID-19 i związanych z nią ograniczeń w podróżowaniu; zauważa, że wskaźnik wykonania płatności wykazywał tę samą tendencję i w 2022 r. osiągnął 88,12 %;</w:t>
      </w:r>
    </w:p>
    <w:p w:rsidR="00FA16F3" w:rsidRPr="005D092A" w:rsidRDefault="00FA16F3" w:rsidP="00FA16F3">
      <w:pPr>
        <w:pStyle w:val="NormalHanging12a"/>
      </w:pPr>
      <w:r w:rsidRPr="005D092A">
        <w:t>8.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środki przeniesione na 2022 r. wyniosły 20 162 518 EUR, tj. około 13 % rocznego budżetu na rok 2022, czyli znacznie więcej, niż średnia w poprzednich latach; ma świadomość, że przeniesienie to było związane z odroczeniem prac budowlanych w latach 2020 i 2021;</w:t>
      </w:r>
    </w:p>
    <w:p w:rsidR="00FA16F3" w:rsidRPr="005D092A" w:rsidRDefault="00FA16F3" w:rsidP="00FA16F3">
      <w:pPr>
        <w:pStyle w:val="NormalHanging12a"/>
      </w:pPr>
      <w:r w:rsidRPr="005D092A">
        <w:t>9.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średni termin płatności w 2022 r. wyniósł 18 dni, co oznacza gwałtowny spadek w porównaniu z 2019 r., kiedy wynosił 30,19 dni; docenia fakt, że w tym samym czasie wykorzystanie fakturowania elektronicznego wzrosło z 58,54 % w 2018 r. do 88,84 % w 2022 r., co prawdopodobnie przyczyniło się do skrócenia czasu płatności w tym okresie; z zadowoleniem przyjmuje fakt, że Komitet zmienił swoje praktyki w wyniku zaleceń audytu wewnętrznego dotyczących terminów płatności, który rozpoczął się i zakończył w 2022 r. i przyczynił się do zmniejszenia odsetka opóźnionych płatności do około 10 % w 2022 r.;</w:t>
      </w:r>
    </w:p>
    <w:p w:rsidR="00FA16F3" w:rsidRPr="005D092A" w:rsidRDefault="00FA16F3" w:rsidP="00FA16F3">
      <w:pPr>
        <w:pStyle w:val="NormalHanging12a"/>
      </w:pPr>
      <w:r w:rsidRPr="005D092A">
        <w:lastRenderedPageBreak/>
        <w:t>10.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służby własne Komitetu uruchomiły 15 negocjacyjnych procedur udzielania zamówień publicznych na kwotę poniżej 60 000 EUR, głównie na potrzeby ekspertyz, badań i wsparcia logistycznego; zauważa, że postępowania o udzielenie zamówienia w dziedzinie logistyki zostały uruchomione przez służby wspólne, które Komitet dzieli z Komitetem Regionów („KR”);</w:t>
      </w:r>
    </w:p>
    <w:p w:rsidR="00FA16F3" w:rsidRPr="005D092A" w:rsidRDefault="00FA16F3" w:rsidP="00FA16F3">
      <w:pPr>
        <w:pStyle w:val="NormalHanging12a"/>
      </w:pPr>
      <w:r w:rsidRPr="005D092A">
        <w:t>11.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Komitet w dalszym ciągu poprawiał opłacalność swoich metod pracy, zwłaszcza dzięki pracy hybrydowej, pełnej dematerializacji obiegów finansowych i zmniejszonemu zużyciu energii; zauważa ponadto, że oszczędności budżetowe i administracyjne osiągnięto dzięki współpracy międzyinstytucjonalnej, zwłaszcza dzięki służbom wspólnym z KR-em i zlecaniu Komisji (za opłatą roczną) określonych usług obsługi spraw kadrowych oraz wykorzystaniu różnych platform informatycznych do celów zarządzania finansami i zasobami ludzkimi, a także udziałowi w międzyinstytucjonalnych postępowaniach o udzielenie zamówienia prowadzonych przez inne instytucje;</w:t>
      </w:r>
    </w:p>
    <w:p w:rsidR="00FA16F3" w:rsidRPr="005D092A" w:rsidRDefault="00FA16F3" w:rsidP="00FA16F3">
      <w:pPr>
        <w:pStyle w:val="NormalHanging12a"/>
      </w:pPr>
      <w:r w:rsidRPr="005D092A">
        <w:t>12.</w:t>
      </w:r>
      <w:r w:rsidRPr="005D092A">
        <w:tab/>
      </w:r>
      <w:proofErr w:type="gramStart"/>
      <w:r w:rsidRPr="005D092A">
        <w:t>ma</w:t>
      </w:r>
      <w:proofErr w:type="gramEnd"/>
      <w:r w:rsidRPr="005D092A">
        <w:t xml:space="preserve"> świadomość, że decyzje dotyczące dodatków członków Komitetu za udział w posiedzeniach oraz wysokości takich dodatków podejmuje Rada; ubolewa, że w związku ze stopniowym znoszeniem ograniczeń w podróżowaniu związanych z pandemią COVID-19 Rada zdecydowała się nie uchylać tymczasowej decyzji na 2021 r. przyznającej dodatek w wysokości 145 EUR za zdalny udział członków w posiedzeniach, który obowiązywał do 25 maja 2023 r., kiedy to przyjęto nową decyzję Rady ustalającą ryczałtową stawkę w wysokości 145 euro dziennie za zdalny udział w posiedzeniach; uważa, że zdalny udział jest ważnym instrumentem dla nowoczesnych instytucji, biorąc pod uwagę, że, między innymi, obniża koszty posiedzeń i pozwala na szersze uczestnictwo, szczególnie </w:t>
      </w:r>
      <w:proofErr w:type="gramStart"/>
      <w:r w:rsidRPr="005D092A">
        <w:t>w</w:t>
      </w:r>
      <w:proofErr w:type="gramEnd"/>
      <w:r w:rsidRPr="005D092A">
        <w:t xml:space="preserve"> sytuacjach kryzysowych, czego przykładem była pandemia COVID-19; uważa jednak, że dodatek z tytułu zdalnego udziału, mimo jego obniżenia, jest trudny do zrozumienia dla opinii publicznej, tym bardziej biorąc pod uwagę różnicę wypłacaną członkom Komitetu i członkom KR-u za zdalny udział; zauważa, że przed wypłatą diety przeprowadza się kilkuetapową kontrolę mającą wykazać, czy dany członek faktycznie bierze zdalny udział w posiedzeniu;</w:t>
      </w:r>
    </w:p>
    <w:p w:rsidR="00FA16F3" w:rsidRPr="005D092A" w:rsidRDefault="00FA16F3" w:rsidP="00FA16F3">
      <w:pPr>
        <w:pStyle w:val="NormalHanging12a"/>
      </w:pPr>
      <w:r w:rsidRPr="005D092A">
        <w:t>13.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wojna napastnicza Rosji przeciwko Ukrainie wywarła presję budżetową na Komitet, również z powodu wzrostu inflacji i dostosowania wynagrodzeń, a także znacznie zwiększyła koszty energii oraz koszty budowy i surowców; zauważa w szczególności, że koszty energii w latach 2021–2022 wzrosły z 726 000 EUR do 3 125 000 EUR, co stanowi wzrost o 330 %; zauważa, że doraźne działania wspierające ukraińskie społeczeństwo obywatelskie pociągały za sobą koszty bezpośrednie i pośrednie, takie jak koszty tłumaczeń pisemnych i ustnych na język ukraiński i z języka ukraińskiego, koszty przyjmowania ukraińskich organizacji pozarządowych oraz koszty usług bezpieczeństwa i szkoleń dla misji w Ukrainie;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t>14.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budżet na misje pracowników na rok 2022 wzrósł o 25 000 EUR w porównaniu z rokiem 2021, co zostało sfinansowane z przesunięcia budżetowego w celu pokrycia wyższych wydatków wynikających ze wzrostu cen lotów i hoteli w 2022 r., i wyniósł łącznie 398 974 EUR; zauważa, że w 2022 r. przewodniczący Komitetu wziął udział w 26 podróżach służbowych, których łączny koszt wyniósł 38 042 EUR w porównaniu z 12 podróżami służbowymi w 2021 r., których łączny koszt wyniósł 15 327 EUR, w następstwie zniesienia ograniczeń w podróżowaniu po zakończeniu pandemii COVID-19;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rPr>
          <w:b/>
          <w:i/>
        </w:rPr>
        <w:lastRenderedPageBreak/>
        <w:t>Zarządzanie wewnętrzne, wyniki i kontrola wewnętrzna</w:t>
      </w:r>
    </w:p>
    <w:p w:rsidR="00FA16F3" w:rsidRPr="005D092A" w:rsidRDefault="00FA16F3" w:rsidP="00FA16F3">
      <w:pPr>
        <w:pStyle w:val="NormalHanging12a"/>
      </w:pPr>
      <w:r w:rsidRPr="005D092A">
        <w:t>15.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Komitet realizuje swoją misję za pomocą opinii, które odnoszą się do wniosków ustawodawczych Komisji (wniosków o wydanie opinii), opinii z inicjatywy własnej wzywających instytucje Unii do podjęcia działań oraz opinii rozpoznawczych, które stanowią wkład w prace Komisji nad jej planowanymi inicjatywami, oraz że stanowiska Komitetu mogą być podkreślane w rezolucjach lub włączane do raportów z oceny i raportów informacyjnych; zauważa, że w 2022 r. Komitet przyjął 202 opinie i sprawozdania, co jest zgodne z jego średnią roczną efektywnością, z wyłączeniem lat 2019 i 2020, kiedy to aktywność Komitetu była mniejsza; zauważa, że Komitet zwiększył także swoje zaangażowanie w cykl polityczny i legislacyjny, </w:t>
      </w:r>
      <w:proofErr w:type="gramStart"/>
      <w:r w:rsidRPr="005D092A">
        <w:t>w</w:t>
      </w:r>
      <w:proofErr w:type="gramEnd"/>
      <w:r w:rsidRPr="005D092A">
        <w:t xml:space="preserve"> ramach którego uczestniczył w 345 krajowych, unijnych i międzynarodowych posiedzeniach, szczytach i konferencjach wysokiego szczebla oraz zorganizował 116 </w:t>
      </w:r>
      <w:proofErr w:type="spellStart"/>
      <w:r w:rsidRPr="005D092A">
        <w:t>wysłuchań</w:t>
      </w:r>
      <w:proofErr w:type="spellEnd"/>
      <w:r w:rsidRPr="005D092A">
        <w:t xml:space="preserve"> i 29 konferencji;</w:t>
      </w:r>
    </w:p>
    <w:p w:rsidR="00FA16F3" w:rsidRPr="005D092A" w:rsidRDefault="00FA16F3" w:rsidP="00FA16F3">
      <w:pPr>
        <w:pStyle w:val="NormalHanging12a"/>
      </w:pPr>
      <w:r w:rsidRPr="005D092A">
        <w:t>16.</w:t>
      </w:r>
      <w:r w:rsidRPr="005D092A">
        <w:tab/>
      </w:r>
      <w:proofErr w:type="gramStart"/>
      <w:r w:rsidRPr="005D092A">
        <w:t>docenia</w:t>
      </w:r>
      <w:proofErr w:type="gramEnd"/>
      <w:r w:rsidRPr="005D092A">
        <w:t xml:space="preserve"> uruchomienie w 2022 r. projektów dotyczących wzmocnienia opinii uzupełniających w celu zwiększenia zasięgu i wpływu wybranych opinii oraz poprawy zdolności Komitetu do ustalania priorytetów jego prac, a także w odniesieniu do poprawy terminowości wydawania opinii Komitetu; zauważa, że pod koniec 2022 r. inicjatywy te uzupełniono refleksją nad formatem opinii, której celem jest promowanie wydajniejszego i skuteczniejszego wykorzystywania opinii Komitetu w legislacyjnym procesie podejmowania decyzji;</w:t>
      </w:r>
    </w:p>
    <w:p w:rsidR="00FA16F3" w:rsidRPr="005D092A" w:rsidRDefault="00FA16F3" w:rsidP="00FA16F3">
      <w:pPr>
        <w:pStyle w:val="NormalHanging12a"/>
      </w:pPr>
      <w:r w:rsidRPr="005D092A">
        <w:t>17.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posłowie do parlamentu uczestniczyli w posiedzeniach lub wydarzeniach organizowanych przez Komitet 68 razy, co stanowiło taki sam poziom jak w 2021 r., podczas gdy członkowie Komitetu niemal dwukrotnie zwiększyli swój udział w wydarzeniach organizowanych przez Parlament w tym samym okresie; z zadowoleniem przyjmuje fakt, że w 2022 r. Komitet skupił się na zacieśnieniu stosunków z Parlamentem i promowaniu wartości dodanej Komitetu, a tym samym na zacieśnieniu więzi między sekcjami Komitetu a komisjami parlamentarnymi;</w:t>
      </w:r>
    </w:p>
    <w:p w:rsidR="00FA16F3" w:rsidRPr="005D092A" w:rsidRDefault="00FA16F3" w:rsidP="00FA16F3">
      <w:pPr>
        <w:pStyle w:val="NormalHanging12a"/>
      </w:pPr>
      <w:r w:rsidRPr="005D092A">
        <w:t>18.</w:t>
      </w:r>
      <w:r w:rsidRPr="005D092A">
        <w:tab/>
      </w:r>
      <w:proofErr w:type="gramStart"/>
      <w:r w:rsidRPr="005D092A">
        <w:t>odnotowuje</w:t>
      </w:r>
      <w:proofErr w:type="gramEnd"/>
      <w:r w:rsidRPr="005D092A">
        <w:t xml:space="preserve"> szeroki udział Komitetu w różnych inicjatywach, w tym w kluczowych wydarzeniach i corocznych konferencjach mających na celu współpracę z zainteresowanymi podmiotami europejskimi; z zadowoleniem przyjmuje wysiłki Komitetu na rzecz większego zaangażowania młodzieży w kształtowanie polityki;</w:t>
      </w:r>
    </w:p>
    <w:p w:rsidR="00FA16F3" w:rsidRPr="005D092A" w:rsidRDefault="00FA16F3" w:rsidP="00FA16F3">
      <w:pPr>
        <w:pStyle w:val="NormalHanging12a"/>
      </w:pPr>
      <w:r w:rsidRPr="005D092A">
        <w:t>19.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w 2022 r. Komitet nadal wzmacniał swoje ramy kontroli wewnętrznej, a także uprościł obieg środków finansowych w ramach procedury uproszczonej weryfikacji w przypadku niektórych transakcji o niskiej wartości oraz opracował politykę dotyczącą newralgicznych stanowisk, zgodnie z zaleceniami Trybunału zawartymi w sprawozdaniu rocznym za rok budżetowy 2019; zauważa, że na podstawie aktualizacji wykazu newralgicznych stanowisk przez cały 2022 r. i w momencie publikacji zaktualizowanego wykazu 36 stanowisk na początku 2023 r. Komitet nadal pracował nad przeglądem metodyki i systemu zarządzania ryzykiem, biorąc pod uwagę zarówno wielkość instytucji, jak i charakter jej działalności; zwraca się do Komitetu o poinformowanie organu udzielającego absolutorium o postępach we </w:t>
      </w:r>
      <w:proofErr w:type="gramStart"/>
      <w:r w:rsidRPr="005D092A">
        <w:t>wdrażaniu</w:t>
      </w:r>
      <w:proofErr w:type="gramEnd"/>
      <w:r w:rsidRPr="005D092A">
        <w:t xml:space="preserve"> metodyki newralgicznych stanowisk w 2023 r.;</w:t>
      </w:r>
    </w:p>
    <w:p w:rsidR="00FA16F3" w:rsidRPr="005D092A" w:rsidRDefault="00FA16F3" w:rsidP="00FA16F3">
      <w:pPr>
        <w:pStyle w:val="NormalHanging12a"/>
      </w:pPr>
      <w:r w:rsidRPr="005D092A">
        <w:t>20.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działania Komitetu na rzecz ustanowienia lepiej zdefiniowanych i spójniejszych ram kontroli przez sfinalizowanie karty audytu wewnętrznego i statutu Komitetu Audytu obejmujących przepisy proceduralne, które </w:t>
      </w:r>
      <w:r w:rsidRPr="005D092A">
        <w:lastRenderedPageBreak/>
        <w:t>zostały zatwierdzone przez Komitet Audytu w grudniu 2022 r. i przyjęte przez Prezydium Komitetu na początku 2023 r.; docenia, że w 2022 r. wzmocniono funkcję audytu wewnętrznego Komitetu, w szczególności dzięki zatrudnieniu administratora w swoim dziale audytu wewnętrznego oraz ścisłej koordynacji z audytorem wewnętrznym KR-u we wszystkich aspektach związanych z audytem służb wspólnych; odnotowuje, że w 2022 r. rozpoczęto cztery audyty dotyczące opóźnień w płatnościach, zezwoleń na spotkania, cyklu strategicznego i wyboru delegatów do Komisji Konsultacyjnej ds. Przemian w Przemyśle;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rPr>
          <w:b/>
          <w:i/>
        </w:rPr>
        <w:t>Zasoby ludzkie, równość i dobrostan pracowników</w:t>
      </w:r>
    </w:p>
    <w:p w:rsidR="00FA16F3" w:rsidRPr="005D092A" w:rsidRDefault="00FA16F3" w:rsidP="00FA16F3">
      <w:pPr>
        <w:pStyle w:val="NormalHanging12a"/>
      </w:pPr>
      <w:r w:rsidRPr="005D092A">
        <w:t>21.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na koniec 2022 r. Komitet zatrudniał ogółem 706 pracowników, podczas gdy w 2021 r. było ich 699; zauważa, że na koniec 2022 r. Komitet zatrudniał 50 pracowników kontraktowych i 128 pracowników tymczasowych (co stanowi wzrost w porównaniu z 46 pracownikami kontraktowymi i 107 pracownikami tymczasowymi w 2021 r.), w tym 19 pracowników kontraktowych i 3 pracowników tymczasowych zatrudnionych na czas nieokreślony; zauważa ponadto, że Komitet zatrudniał 12 pracowników tymczasowych i 7 pracowników zewnętrznych pracujących na miejscu, z wyłączeniem zewnętrznych usługodawców w dziedzinie logistyki i IT; zauważa, że w 2022 r. wskaźnik obsadzenia stanowisk przewidzianych w planie zatrudnienia wyniósł 95,1 %;</w:t>
      </w:r>
    </w:p>
    <w:p w:rsidR="00FA16F3" w:rsidRPr="005D092A" w:rsidRDefault="00FA16F3" w:rsidP="00FA16F3">
      <w:pPr>
        <w:pStyle w:val="NormalHanging12a"/>
      </w:pPr>
      <w:r w:rsidRPr="005D092A">
        <w:t>22.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ciągłe dążenie Komitetu do ulepszenia ram kadrowych, aby stać się atrakcyjnym pracodawcą i w pełni włączającym miejscem pracy, w którym każda osoba jest ceniona i może w pełni rozwijać swój potencjał; zauważa, że zintegrowana strategia kadrowa przyjęta w czerwcu 2022 r. opiera się na zasadach włączenia, utrzymania, kompetencji i wyników; docenia, że jednym z pierwszych działań następczych było rozpoczęcie w styczniu 2023 r. badania zadowolenia pracowników, w którym skupiono się na zaangażowaniu pracowników;</w:t>
      </w:r>
    </w:p>
    <w:p w:rsidR="00FA16F3" w:rsidRPr="005D092A" w:rsidRDefault="00FA16F3" w:rsidP="00FA16F3">
      <w:pPr>
        <w:pStyle w:val="NormalHanging12a"/>
      </w:pPr>
      <w:r w:rsidRPr="005D092A">
        <w:t>23.</w:t>
      </w:r>
      <w:r w:rsidRPr="005D092A">
        <w:tab/>
      </w:r>
      <w:proofErr w:type="gramStart"/>
      <w:r w:rsidRPr="005D092A">
        <w:t>podkreśla</w:t>
      </w:r>
      <w:proofErr w:type="gramEnd"/>
      <w:r w:rsidRPr="005D092A">
        <w:t>, że wdrażanie nowych pracowników stanowi ważny czynnik dostosowania strategicznego, gdyż gwarantuje, że pracownicy są poinformowani o zasadach i strategiach obowiązujących w danej instytucji; zauważa, że szkolenia wprowadzające dla nowych pracowników Komitetu wznowiono w kwietniu 2022 r.; z zadowoleniem przyjmuje, że Komitet opracował program mentoringu, w ramach którego mentorom zapewniono wsparcie i doradztwo w formie wymiany najlepszych praktyk w celu dostosowania ich metod do hybrydowego środowiska pracy;</w:t>
      </w:r>
    </w:p>
    <w:p w:rsidR="00FA16F3" w:rsidRPr="005D092A" w:rsidRDefault="00FA16F3" w:rsidP="00FA16F3">
      <w:pPr>
        <w:pStyle w:val="NormalHanging12a"/>
      </w:pPr>
      <w:r w:rsidRPr="005D092A">
        <w:t>24.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w celu lepszego podziału ograniczonych zasobów w 2022 r. Komitet zlecił zewnętrzną identyfikację i grupowanie zasobów ludzkich, która potwierdziła duże obciążenie pracą wielu różnych służb w Komitecie wynikające z niedoboru zasobów po zmniejszeniu planu zatrudnienia w 2013 r.; zauważa, że w następstwie audytu zewnętrznego dotyczącego identyfikacji i grupowania zasobów ludzkich Komitet rozpoczął przygotowywanie planu działania obejmującego działania w zakresie zintegrowanej strategii zasobów ludzkich, takie jak przegląd systemu ocen i efektywności, opracowanie strategii komunikacji wewnętrznej, przyjęcie nowej decyzji w sprawie warunków pracy oraz organizacja regularnego monitorowania zaangażowania pracowników; wzywa Komitet do przedstawienia aktualnych informacji na temat działań następczych w związku z </w:t>
      </w:r>
      <w:proofErr w:type="gramStart"/>
      <w:r w:rsidRPr="005D092A">
        <w:t>identyfikacją</w:t>
      </w:r>
      <w:proofErr w:type="gramEnd"/>
      <w:r w:rsidRPr="005D092A">
        <w:t xml:space="preserve"> i grupowaniem zasobów ludzkich w 2023 r.;</w:t>
      </w:r>
    </w:p>
    <w:p w:rsidR="00FA16F3" w:rsidRPr="005D092A" w:rsidRDefault="00FA16F3" w:rsidP="00FA16F3">
      <w:pPr>
        <w:pStyle w:val="NormalHanging12a"/>
      </w:pPr>
      <w:r w:rsidRPr="005D092A">
        <w:lastRenderedPageBreak/>
        <w:t>25.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uznaniem odnotowuje, że nowa decyzja w sprawie elastycznej organizacji pracy, wprowadzająca elastyczną i opartą na zaufaniu politykę w zakresie pracy hybrydowej, weszła w życie 1 kwietnia 2022 r. w formie projektu pilotażowego, zapewniającego szeroką gamę modeli pracy w niepełnym wymiarze godzin oraz elastyczne ustalenia dla pracowników dotyczące pracy w wymiarze dziennym i tygodniowym; zauważa, że w 2022 r. około 25 % kobiet i 14,4 % mężczyzn zatrudnionych w Komitecie złożyło wniosek o niestandardowy model organizacji pracy; zauważa, że decyzja w sprawie warunków pracy umożliwia pracownikom telepracę przez maksymalnie 60 % ich czasu pracy, pod warunkiem że jest to zgodne z interesem służb, oraz telepracę w innym miejscu niż </w:t>
      </w:r>
      <w:proofErr w:type="gramStart"/>
      <w:r w:rsidRPr="005D092A">
        <w:t>miejsce</w:t>
      </w:r>
      <w:proofErr w:type="gramEnd"/>
      <w:r w:rsidRPr="005D092A">
        <w:t xml:space="preserve"> zatrudnienia przez 15 dni w roku kalendarzowym; zauważa, że personel Komitetu jest wyposażony w sprzęt niezbędny do zapewnienia dobrych warunków pracy zdalnej; z zadowoleniem przyjmuje fakt, że komisja oceniająca przeprowadziła pod koniec 2022 r. ankietę dotyczącą zadowolenia pracowników; zauważa, że do końca 2023 r. powinna zostać przyjęta ostateczna decyzja w sprawie warunków pracy, w następstwie dialogu społecznego ze związkami zawodowymi, komitetem pracowniczym Komitetu i służbą prawną; zwraca się do Komitetu o terminowe informowanie organu udzielającego absolutorium o wszelkich nowych wydarzeniach dotyczących tej sprawy;</w:t>
      </w:r>
    </w:p>
    <w:p w:rsidR="00FA16F3" w:rsidRPr="005D092A" w:rsidRDefault="00FA16F3" w:rsidP="00FA16F3">
      <w:pPr>
        <w:pStyle w:val="NormalHanging12a"/>
      </w:pPr>
      <w:r w:rsidRPr="005D092A">
        <w:t>26.</w:t>
      </w:r>
      <w:r w:rsidRPr="005D092A">
        <w:tab/>
      </w:r>
      <w:proofErr w:type="gramStart"/>
      <w:r w:rsidRPr="005D092A">
        <w:t>ubolewa</w:t>
      </w:r>
      <w:proofErr w:type="gramEnd"/>
      <w:r w:rsidRPr="005D092A">
        <w:t>, że również w 2022 r. Komitet nie był w stanie dostarczyć danych na temat przypadków wypalenia zawodowego w Komitecie; szanuje ograniczenia związane z ochroną danych, ale przypomina Komitetowi o znaczeniu zanonimizowanych danych statystycznych dla wspomagania decyzji zarządczych w organizacji; przypomina, że należy rozważyć działania informacyjne, dobre praktyki dotyczące zarządzania obciążeniem pracą, sposobów komunikowania się i rozwiązywania konfliktów, a także politykę powrotu do pracy; ma świadomość, że przyjęcie nowej organizacji pracy stanowi pozytywny krok w kierunku skuteczniejszego zapobiegania wypaleniu zawodowemu na szczeblu organizacyjnym, co powinno również uwzględniać ustalenia wynikające z identyfikacji i grupowania zasobów ludzkich;</w:t>
      </w:r>
    </w:p>
    <w:p w:rsidR="00FA16F3" w:rsidRPr="005D092A" w:rsidRDefault="00FA16F3" w:rsidP="00FA16F3">
      <w:pPr>
        <w:pStyle w:val="NormalHanging12a"/>
      </w:pPr>
      <w:r w:rsidRPr="005D092A">
        <w:t>27.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Komitet w dalszym ciągu zatrudniał wysoki odsetek kobiet (64,6 % wszystkich pracowników), również na średnim szczeblu kierowniczym (59 % wszystkich kierowników); zauważa, że reprezentacja kobiet na stanowiskach kierowniczych wyższego szczebla nadal wymaga rozszerzenia, biorąc pod uwagę, że na koniec 2022 r. tylko troje spośród siedmiu kierowników wyższego szczebla stanowiły kobiety; zachęca Komitet do kontynuowania działań na rzecz zapewnienia równowagi płci, zwłaszcza przez zwiększanie świadomości w odniesieniu do organu powołującego oraz zapewnienie, aby skład różnych organów, w tym paneli ds. rekrutacji i selekcji kadr, pozostawał zrównoważony pod względem płci;</w:t>
      </w:r>
    </w:p>
    <w:p w:rsidR="00FA16F3" w:rsidRPr="005D092A" w:rsidRDefault="00FA16F3" w:rsidP="00FA16F3">
      <w:pPr>
        <w:pStyle w:val="NormalHanging12a"/>
      </w:pPr>
      <w:r w:rsidRPr="005D092A">
        <w:t>28.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prace nad przyjęciem nowej polityki różnorodności i włączenia społecznego na lata 2022–2023, prowadzone w porozumieniu z kierownictwem Komitetu, ze Wspólnym Komitetem ds. Równych Szans i komitetem pracowniczym Komitetu; zauważa, że oprócz przeprowadzonych działań w zakresie komunikacji wewnętrznej w grudniu 2022 r. przeprowadzono specjalną kampanię zwiększającą świadomość o kwestii homofobii; z zadowoleniem przyjmuje fakt, że specjalna sesja szkoleniowa na temat różnorodności i włączenia stała się obowiązkowa dla kadry kierowniczej i jest zalecana pracownikom oraz że członkom Komitetu zaoferowano specjalny kurs na temat różnorodności i włączenia w ramach ich rocznego programu szkoleniowego; zachęca Komitet do kontynuowania rozmów z Parlamentem w celu </w:t>
      </w:r>
      <w:proofErr w:type="gramStart"/>
      <w:r w:rsidRPr="005D092A">
        <w:t>przyłączenia</w:t>
      </w:r>
      <w:proofErr w:type="gramEnd"/>
      <w:r w:rsidRPr="005D092A">
        <w:t xml:space="preserve"> się do parlamentarnego programu działań pozytywnych</w:t>
      </w:r>
      <w:r w:rsidRPr="005D092A">
        <w:rPr>
          <w:rFonts w:ascii="Arial Narrow" w:hAnsi="Arial Narrow"/>
          <w:color w:val="476487"/>
          <w:sz w:val="27"/>
        </w:rPr>
        <w:t xml:space="preserve"> </w:t>
      </w:r>
      <w:r w:rsidRPr="005D092A">
        <w:t xml:space="preserve">dla osób z </w:t>
      </w:r>
      <w:r w:rsidRPr="005D092A">
        <w:lastRenderedPageBreak/>
        <w:t>niepełnosprawnościami w celu rekrutacji pracowników kontraktowych z niepełnosprawnościami; ponawia swój apel wyrażony w procesie udzielenia Komitetowi absolutorium za 2021 r. o sfinalizowanie zaktualizowanej strategii i planu działania na rzecz różnorodności i włączenia;</w:t>
      </w:r>
    </w:p>
    <w:p w:rsidR="00FA16F3" w:rsidRPr="005D092A" w:rsidRDefault="00FA16F3" w:rsidP="00FA16F3">
      <w:pPr>
        <w:pStyle w:val="NormalHanging12a"/>
      </w:pPr>
      <w:r w:rsidRPr="005D092A">
        <w:t>29.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chociaż wśród personelu Komitetu reprezentowane są wszystkie państwa członkowskie, wciąż nie osiągnięto równowagi geograficznej, ponieważ niektóre narodowości są nadal </w:t>
      </w:r>
      <w:proofErr w:type="spellStart"/>
      <w:r w:rsidRPr="005D092A">
        <w:t>nadreprezentowane</w:t>
      </w:r>
      <w:proofErr w:type="spellEnd"/>
      <w:r w:rsidRPr="005D092A">
        <w:t xml:space="preserve"> w porównaniu z innymi; zauważa, że w 2022 r. 21 % kadry kierowniczej Komitetu pochodziło z 13 państw członkowskich, które przystąpiły do Unii po 2004 r., co stanowi nieznaczny wzrost w porównaniu z 19 % w 2021 r.; ponownie zachęca Komitet, by nadal podejmował działania służące osiągnięciu zrównoważonego rozkładu geograficznego w odniesieniu do swoich pracowników, ze szczególnym uwzględnieniem szczebla kierowniczego;</w:t>
      </w:r>
    </w:p>
    <w:p w:rsidR="00FA16F3" w:rsidRPr="005D092A" w:rsidRDefault="00FA16F3" w:rsidP="00FA16F3">
      <w:pPr>
        <w:pStyle w:val="NormalHanging12a"/>
      </w:pPr>
      <w:r w:rsidRPr="005D092A">
        <w:t>30.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w 2022 r. Komitet przyjął łącznie 52 stażystów na okres pięciu miesięcy, czworo stażystów na okres trzech miesięcy i dwoje stażystów na stypendiach przyznanych przez zewnętrzne organy publiczne; zauważa, że wszyscy stażyści przyjęci na okres pięciu miesięcy otrzymywali miesięczne stypendium i dodatek, podczas gdy stażyści przyjęci na krótszy okres nie byli uprawnieni do żadnego finansowania; z zadowoleniem przyjmuje fakt, że w odpowiedzi na wezwanie Parlamentu podczas procedury udzielania absolutorium za 2020 r. w 2022 r. rozpoczęto przegląd decyzji w sprawie staży w Komitecie w celu zaprzestania bezpłatnych staży krótkoterminowych i zapewnienia wszystkim stażystom godziwego wynagrodzenia; podkreśla, że nowa decyzja w sprawie staży </w:t>
      </w:r>
      <w:proofErr w:type="gramStart"/>
      <w:r w:rsidRPr="005D092A">
        <w:t>weszła</w:t>
      </w:r>
      <w:proofErr w:type="gramEnd"/>
      <w:r w:rsidRPr="005D092A">
        <w:t xml:space="preserve"> w życie w lipcu 2023 r., co zagwarantowało miesięczny dochód, a także dodatki na podróże i koszty mobilności oraz, w stosownych przypadkach, rentę inwalidzką, zarówno stażystom długoterminowym, jak i krótkoterminowym;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rPr>
          <w:b/>
          <w:i/>
        </w:rPr>
        <w:t>Ramy etyczne i przejrzystość</w:t>
      </w:r>
    </w:p>
    <w:p w:rsidR="00FA16F3" w:rsidRPr="005D092A" w:rsidRDefault="00FA16F3" w:rsidP="00FA16F3">
      <w:pPr>
        <w:pStyle w:val="NormalHanging12a"/>
      </w:pPr>
      <w:r w:rsidRPr="005D092A">
        <w:t>31.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Komitet kontynuował proces reform wewnętrznych, przy czym w marcu 2022 r. przyjął nowy regulamin, a w listopadzie 2022 r. przepisy wykonawcze do niego; nadal ubolewa, że w odniesieniu do molestowania nie zajęto się odrębnie konkretnymi stosunkami między posłem a urzędnikiem; zauważa, że regulamin wewnętrzny jest obecnie dostosowany i spójny z kodeksem postępowania przyjętym w 2021 r. w następstwie audytu wewnętrznego Komitetu dotyczącego etyki i uczciwości; zwraca się do Komitetu o poinformowanie Parlamentu, czy ocena wdrożenia planu działania dotyczącego kontroli etyki i rzetelności została przeprowadzona zgodnie z planem i jaki był wynik tej oceny; z zadowoleniem przyjmuje rozpoczęte w 2022 r. rozważania mające </w:t>
      </w:r>
      <w:proofErr w:type="gramStart"/>
      <w:r w:rsidRPr="005D092A">
        <w:t>na</w:t>
      </w:r>
      <w:proofErr w:type="gramEnd"/>
      <w:r w:rsidRPr="005D092A">
        <w:t xml:space="preserve"> celu przygotowanie karty wartości dla pracowników Komitetu w następstwie włączającego i partycypacyjnego procesu, który został sfinalizowany i przedstawiony pracownikom w 2023 r.; uważa, że jedynie polityka zerowej tolerancji wobec molestowania zapobiegnie przyszłym zarzutom molestowania pod adresem Komitetu i poważnym uchybieniom;</w:t>
      </w:r>
    </w:p>
    <w:p w:rsidR="00FA16F3" w:rsidRPr="005D092A" w:rsidRDefault="00FA16F3" w:rsidP="00FA16F3">
      <w:pPr>
        <w:pStyle w:val="NormalHanging12a"/>
      </w:pPr>
      <w:r w:rsidRPr="005D092A">
        <w:t>32.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po wejściu w życie 15 grudnia 2021 r. zmienionej decyzji Komitetu w sprawie informowania o nieprawidłowościach (decyzja nr 297/21A), a także zmienionej decyzji w sprawie procedur zapobiegania nękaniu psychicznemu i molestowaniu seksualnemu w miejscu pracy oraz postępowania w przypadku takiego molestowania (decyzja 090/22A), przyjętej 31 marca 2022 r., odnowione etyczne ramy prawne mają zostać uzupełnione w 2023 r. zmienioną decyzją ustanawiającą ogólne przepisy </w:t>
      </w:r>
      <w:r w:rsidRPr="005D092A">
        <w:lastRenderedPageBreak/>
        <w:t xml:space="preserve">wykonawcze dotyczące postępowań dyscyplinarnych i postępowań administracyjnych, w koordynacji z KR-em; zauważa, że w 2022 r. przyjęto nową decyzję w sprawie przydziałów i działań zewnętrznych (decyzja nr 141/22A), mającą zastosowanie do pracowników czynnie zatrudnionych, pracowników oddelegowanych i byłych pracowników, zgodnie z </w:t>
      </w:r>
      <w:proofErr w:type="gramStart"/>
      <w:r w:rsidRPr="005D092A">
        <w:t>przepisami</w:t>
      </w:r>
      <w:proofErr w:type="gramEnd"/>
      <w:r w:rsidRPr="005D092A">
        <w:t xml:space="preserve"> regulaminu pracowniczego obowiązującymi w momencie odejścia ze służby;</w:t>
      </w:r>
    </w:p>
    <w:p w:rsidR="00FA16F3" w:rsidRPr="005D092A" w:rsidRDefault="00FA16F3" w:rsidP="00FA16F3">
      <w:pPr>
        <w:pStyle w:val="NormalHanging12a"/>
      </w:pPr>
      <w:r w:rsidRPr="005D092A">
        <w:t>33.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zauważa, że w 2022 r. Komitet w dalszym ciągu szkolił pracowników i zwiększał świadomość na temat obowiązujących ram etycznych, w szczególności nowego kodeksu postępowania, molestowania i sygnalizowania nieprawidłowości, a także roli i obowiązków doradców ds. etyki, których mandat rozpoczął się w styczniu 2022 r.; zauważa, że w 2022 r. 116 pracowników, w tym kierownicy i nowi pracownicy, wzięło udział w wewnętrznych szkoleniach z zakresu etyki, a 26 pracowników wzięło udział w szkoleniach z etyki prowadzonych przez Komisję i Europejską Szkołę Administracji; zauważa, że opracowano dostosowane do potrzeb szkolenie, który przeprowadzono dla zespołu doradców ds. etyki; z zadowoleniem przyjmuje fakt, że 83 % respondentów badania zadowolenia </w:t>
      </w:r>
      <w:proofErr w:type="gramStart"/>
      <w:r w:rsidRPr="005D092A">
        <w:t>pracowników</w:t>
      </w:r>
      <w:proofErr w:type="gramEnd"/>
      <w:r w:rsidRPr="005D092A">
        <w:t xml:space="preserve"> przeprowadzonego w 2022 r. wykazało dużą świadomość w kwestii etycznego postępowania i wzmocnionych ram etycznych Komitetu;</w:t>
      </w:r>
    </w:p>
    <w:p w:rsidR="00FA16F3" w:rsidRPr="005D092A" w:rsidRDefault="00FA16F3" w:rsidP="00FA16F3">
      <w:pPr>
        <w:pStyle w:val="NormalHanging12a"/>
        <w:rPr>
          <w:color w:val="000000" w:themeColor="text1"/>
        </w:rPr>
      </w:pPr>
      <w:r w:rsidRPr="005D092A">
        <w:t>34.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odniesieniu do przypadków molestowania zgłoszonych w ramach procedury udzielenia absolutorium w ubiegłych latach ostatnia ugoda związana ze sprawą OC/2018/0666/A1 Europejskiego Urzędu ds. Zwalczania Nadużyć Finansowych (OLAF) została zawarta 1 października 2022 r., co umożliwiło Komitetowi całkowite zamknięcie wszystkich wniosków o pomoc związanych z tą sprawą; z zadowoleniem przyjmuje, że 13 kwietnia 2022 r. ówczesna przewodnicząca Komitetu wydała publiczne oświadczenie, opublikowane na stronie internetowej Komitetu, w którym w imieniu Komitetu skierowała oficjalne przeprosiny do wszystkich ofiar w przedmiotowej sprawie – zarówno pracowników, jak i byłego członka;</w:t>
      </w:r>
      <w:r w:rsidRPr="005D092A">
        <w:rPr>
          <w:color w:val="000000" w:themeColor="text1"/>
        </w:rPr>
        <w:t xml:space="preserve"> z zadowoleniem przyjmuje fakt, że w wyroku z 6 października 2022 r. w sprawie C-673/21</w:t>
      </w:r>
      <w:r w:rsidRPr="005D092A">
        <w:rPr>
          <w:rStyle w:val="FootnoteReference"/>
          <w:color w:val="000000" w:themeColor="text1"/>
        </w:rPr>
        <w:footnoteReference w:id="6"/>
      </w:r>
      <w:r w:rsidRPr="005D092A">
        <w:rPr>
          <w:color w:val="000000" w:themeColor="text1"/>
        </w:rPr>
        <w:t xml:space="preserve"> Trybunał Sprawiedliwości potwierdził </w:t>
      </w:r>
      <w:proofErr w:type="gramStart"/>
      <w:r w:rsidRPr="005D092A">
        <w:rPr>
          <w:color w:val="000000" w:themeColor="text1"/>
        </w:rPr>
        <w:t>legalność</w:t>
      </w:r>
      <w:proofErr w:type="gramEnd"/>
      <w:r w:rsidRPr="005D092A">
        <w:rPr>
          <w:color w:val="000000" w:themeColor="text1"/>
        </w:rPr>
        <w:t xml:space="preserve"> środków podjętych przez Prezydium Komitetu w decyzji z 9 czerwca 2020 r.;</w:t>
      </w:r>
    </w:p>
    <w:p w:rsidR="00FA16F3" w:rsidRPr="005D092A" w:rsidRDefault="00FA16F3" w:rsidP="00FA16F3">
      <w:pPr>
        <w:pStyle w:val="NormalHanging12a"/>
      </w:pPr>
      <w:r w:rsidRPr="005D092A">
        <w:t>35.</w:t>
      </w:r>
      <w:r w:rsidRPr="005D092A">
        <w:tab/>
      </w:r>
      <w:proofErr w:type="gramStart"/>
      <w:r w:rsidRPr="005D092A">
        <w:t>ponawia</w:t>
      </w:r>
      <w:proofErr w:type="gramEnd"/>
      <w:r w:rsidRPr="005D092A">
        <w:t xml:space="preserve"> swój apel do Komitetu o przeprowadzenie zewnętrznego i niezależnego dochodzenia w celu szczegółowego przeglądu procedur Komitetu w odniesieniu do zasobów ludzkich i ich skuteczności, ze szczególnym uwzględnieniem określenia obowiązków w hierarchii administracyjnej w zakresie rozpatrywania skarg dotyczących molestowania i zapewniania dobrego samopoczucia pracowników; odrzuca – pomimo środków podjętych w ostatnich latach w celu wzmocnienia ram etycznych komisji – stanowisko Komitetu, że takie dochodzenie nie jest konieczne, ponieważ istniejące środki umożliwiły zajęcie się przypadkiem molestowania, i przypomina, że Parlament wyraził już obawy dotyczące powtarzającej się powolnej reakcji Komitetu w przedmiotowych sprawach;</w:t>
      </w:r>
    </w:p>
    <w:p w:rsidR="00FA16F3" w:rsidRPr="005D092A" w:rsidRDefault="00FA16F3" w:rsidP="00FA16F3">
      <w:pPr>
        <w:pStyle w:val="NormalHanging12a"/>
      </w:pPr>
      <w:r w:rsidRPr="005D092A">
        <w:t>36.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w 2022 r. Europejski Rzecznik Praw Obywatelskich przeprowadził trzy dochodzenia w następstwie skarg; zauważa, że jedna sprawa doprowadziła do dochodzenia, w którym stwierdzono, że nie doszło do niewłaściwego administrowania; </w:t>
      </w:r>
      <w:r w:rsidRPr="005D092A">
        <w:lastRenderedPageBreak/>
        <w:t>zauważa, że dwie inne sprawy zamknięto bez dochodzenia, a Rzecznik Praw Obywatelskich uznał, że obie sprawy zostały w międzyczasie rozstrzygnięte;</w:t>
      </w:r>
    </w:p>
    <w:p w:rsidR="00FA16F3" w:rsidRPr="005D092A" w:rsidRDefault="00FA16F3" w:rsidP="00FA16F3">
      <w:pPr>
        <w:pStyle w:val="NormalHanging12a"/>
      </w:pPr>
      <w:r w:rsidRPr="005D092A">
        <w:t>37.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zaniepokojeniem zauważa, że w 2022 r. Komitet nadal badał cztery toczące się sprawy dotyczące domniemanego molestowania; zwraca się do Komitetu o terminowe informowanie Parlamentu o działaniach podjętych w związku z tymi sprawami; zauważa, że w 2022 r. w Komitecie nie zgłoszono żadnych nowych przypadków domniemanego molestowania dotyczących jego pracowników lub członków, ale ma świadomość, że w 2022 r. w innej instytucji zgłoszono zarzuty molestowania dotyczące pracownika Komitetu; zwraca się do Komitetu, aby we współpracy z inną zainteresowaną instytucją informował Parlament o dalszych działaniach w tej sprawie;</w:t>
      </w:r>
    </w:p>
    <w:p w:rsidR="00FA16F3" w:rsidRPr="005D092A" w:rsidRDefault="00FA16F3" w:rsidP="00FA16F3">
      <w:pPr>
        <w:spacing w:after="240"/>
        <w:ind w:left="567" w:hanging="567"/>
        <w:rPr>
          <w:szCs w:val="24"/>
        </w:rPr>
      </w:pPr>
      <w:r w:rsidRPr="005D092A">
        <w:t>38.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Komitet jest stroną cywilną w postępowaniu wszczętym przez belgijskie władze krajowe przeciwko byłemu członkowi oskarżonemu o popełnienie wykroczenia i toczącym się obecnie przed sądem belgijskim w oczekiwaniu na wydanie orzeczenia; zwraca się do Komitetu o terminowe informowanie Parlamentu o przebiegu sprawy;</w:t>
      </w:r>
    </w:p>
    <w:p w:rsidR="00FA16F3" w:rsidRPr="005D092A" w:rsidRDefault="00FA16F3" w:rsidP="00FA16F3">
      <w:pPr>
        <w:spacing w:after="240"/>
        <w:ind w:left="567" w:hanging="567"/>
        <w:rPr>
          <w:szCs w:val="24"/>
        </w:rPr>
      </w:pPr>
      <w:r w:rsidRPr="005D092A">
        <w:t>39.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członkowie lub pracownicy formalnie wszczęli trzy sprawy dotyczące sygnalizowania nieprawidłowości; zauważa, że wszystkie trzy sprawy zostały rozpatrzone i szybko zamknięte z należytym poszanowaniem ochrony sygnalistów, zgodnie z decyzją w sprawie informowania o nieprawidłowościach (decyzja 297/21A); zauważa ponadto, że w 2022 r. doradcom ds. etyki zgłoszono dwa potencjalne przypadki informowania o nieprawidłowościach, ale żaden z nich nie został potwierdzony;</w:t>
      </w:r>
    </w:p>
    <w:p w:rsidR="00FA16F3" w:rsidRPr="005D092A" w:rsidRDefault="00FA16F3" w:rsidP="00FA16F3">
      <w:pPr>
        <w:pStyle w:val="NormalHanging12a"/>
      </w:pPr>
      <w:r w:rsidRPr="005D092A">
        <w:t>40.</w:t>
      </w:r>
      <w:r w:rsidRPr="005D092A">
        <w:tab/>
      </w:r>
      <w:proofErr w:type="gramStart"/>
      <w:r w:rsidRPr="005D092A">
        <w:t>docenia</w:t>
      </w:r>
      <w:proofErr w:type="gramEnd"/>
      <w:r w:rsidRPr="005D092A">
        <w:t xml:space="preserve"> gotowość Komitetu do współpracy z organami dochodzeniowymi Unii (OLAF-em i Prokuraturą Europejską (EPPO)); zauważa, że w 2022 r. OLAF zamknął dwie sprawy dotyczące rzekomego sprzeniewierzenia środków unijnych oraz możliwych nieprawidłowości i poważnych uchybień w odniesieniu do dwóch członków w związku z brakiem dowodów nadużyć finansowych i ustaleń; z zaniepokojeniem zauważa, że w 2023 r. OLAF wszczął trzy nowe sprawy przeciwko członkom dotyczące potencjalnych nadużyć finansowych, z których dwie zamknięto w tym samym roku i przekazano EPPO do zbadania; zauważa, że OLAF przekazał komisji etycznej Komitetu jedną sprawę dotyczącą rzekomego naruszenia kodeksu postępowania przez członka; zwraca się do Komitetu o terminowe informowanie Parlamentu o działaniach podjętych w związku z tą sprawą;</w:t>
      </w:r>
    </w:p>
    <w:p w:rsidR="00FA16F3" w:rsidRPr="005D092A" w:rsidRDefault="00FA16F3" w:rsidP="00FA16F3">
      <w:pPr>
        <w:spacing w:after="240"/>
        <w:ind w:left="567" w:hanging="567"/>
        <w:rPr>
          <w:szCs w:val="24"/>
        </w:rPr>
      </w:pPr>
      <w:r w:rsidRPr="005D092A">
        <w:t>41.</w:t>
      </w:r>
      <w:r w:rsidRPr="005D092A">
        <w:tab/>
      </w:r>
      <w:proofErr w:type="gramStart"/>
      <w:r w:rsidRPr="005D092A">
        <w:t>gratuluje</w:t>
      </w:r>
      <w:proofErr w:type="gramEnd"/>
      <w:r w:rsidRPr="005D092A">
        <w:t xml:space="preserve"> Komitetowi podjęcia decyzji o formalnym przystąpieniu od 1 czerwca 2023 r. do unijnego rejestru służącego przejrzystości, utworzonego na mocy porozumienia międzyinstytucjonalnego z dnia 20 maja 2021 r. pomiędzy Parlamentem Europejskim, Radą Unii Europejskiej i Komisją Europejską w sprawie obowiązkowego rejestru służącego przejrzystości</w:t>
      </w:r>
      <w:r w:rsidRPr="005D092A">
        <w:rPr>
          <w:szCs w:val="24"/>
          <w:vertAlign w:val="superscript"/>
        </w:rPr>
        <w:footnoteReference w:id="7"/>
      </w:r>
      <w:r w:rsidRPr="005D092A">
        <w:t>; zauważa, że 21 marca 2023 r. Komitet przyjął szereg środków służących przejrzystości zgodnie z zasadami określonymi w odniesieniu do unijnego rejestru służącego przejrzystości, takich jak zalecenie, aby członkowie sprawujący urząd spotykali się wyłącznie z zarejestrowanymi zainteresowanymi stronami, obowiązek publikowania przez członków sprawujących urząd list posiedzeń oraz dobrowolny „ślad legislacyjny” dla sprawozdawców;</w:t>
      </w:r>
    </w:p>
    <w:p w:rsidR="00FA16F3" w:rsidRPr="005D092A" w:rsidRDefault="00FA16F3" w:rsidP="00FA16F3">
      <w:pPr>
        <w:pStyle w:val="NormalHanging12a"/>
      </w:pPr>
      <w:r w:rsidRPr="005D092A">
        <w:t>42.</w:t>
      </w:r>
      <w:r w:rsidRPr="005D092A">
        <w:tab/>
      </w:r>
      <w:proofErr w:type="gramStart"/>
      <w:r w:rsidRPr="005D092A">
        <w:t>ubolewa</w:t>
      </w:r>
      <w:proofErr w:type="gramEnd"/>
      <w:r w:rsidRPr="005D092A">
        <w:t xml:space="preserve">, że Komitet wprowadził szereg środków służących zapobieganiu nadużyciom </w:t>
      </w:r>
      <w:r w:rsidRPr="005D092A">
        <w:lastRenderedPageBreak/>
        <w:t>finansowym, lecz nie wprowadził jeszcze zintegrowanej strategii zwalczania nadużyć finansowych mimo wcześniejszych żądań ze strony Parlamentu; z zadowoleniem przyjmuje, że Komitet przeprowadził inwentaryzację obszarów istotnych dla rozpoczęcia wewnętrznej analizy ryzyka nadużyć finansowych, takich jak zasady i procedury, szkolenia pracowników i współpraca z innymi organami, w celu ulepszenia ram zwalczania nadużyć finansowych;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rPr>
          <w:b/>
          <w:i/>
        </w:rPr>
        <w:t xml:space="preserve">Cyfryzacja, </w:t>
      </w:r>
      <w:proofErr w:type="spellStart"/>
      <w:r w:rsidRPr="005D092A">
        <w:rPr>
          <w:b/>
          <w:i/>
        </w:rPr>
        <w:t>cyberbezpieczeństwo</w:t>
      </w:r>
      <w:proofErr w:type="spellEnd"/>
      <w:r w:rsidRPr="005D092A">
        <w:rPr>
          <w:b/>
          <w:i/>
        </w:rPr>
        <w:t xml:space="preserve"> i ochrona danych</w:t>
      </w:r>
    </w:p>
    <w:p w:rsidR="00FA16F3" w:rsidRPr="005D092A" w:rsidRDefault="00FA16F3" w:rsidP="00FA16F3">
      <w:pPr>
        <w:pStyle w:val="NormalHanging12a"/>
      </w:pPr>
      <w:r w:rsidRPr="005D092A">
        <w:t>43.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łączny budżet Komitetu i KR-u w obszarze IT wyniósł 11 712 000 EUR, z uwzględnieniem 750 000 EUR z wewnętrznego przesunięcia budżetowego w ciągu roku, natomiast w 2021 r. wyniósł on 12 860 000 EUR, co oznacza spadek o 9 %;</w:t>
      </w:r>
    </w:p>
    <w:p w:rsidR="00FA16F3" w:rsidRPr="005D092A" w:rsidRDefault="00FA16F3" w:rsidP="00FA16F3">
      <w:pPr>
        <w:pStyle w:val="NormalHanging12a"/>
      </w:pPr>
      <w:r w:rsidRPr="005D092A">
        <w:t>44</w:t>
      </w:r>
      <w:r w:rsidR="00803054">
        <w:t>.</w:t>
      </w:r>
      <w:bookmarkStart w:id="8" w:name="_GoBack"/>
      <w:bookmarkEnd w:id="8"/>
      <w:r w:rsidRPr="005D092A">
        <w:tab/>
        <w:t>zauważa, że Komitet stosuje strategię cyfrową mającą na celu świadczenie usług informatycznych zgodnie z najlepszymi praktykami zarządzania IT i jednocześnie optymalizację wykorzystania zasobów ludzkich i finansowych; zauważa, że przez cały 2022 r. Komitet pracował nad dostosowaniem i rozwojem kilku strategicznych narzędzi informatycznych, aby zwiększyć wydajność i skuteczność prac politycznych Komitetu oraz jego procesów i obiegów zadań administracyjnych; zauważa, że główny projekt dotyczący infrastruktury informatycznej w 2022 r. dotyczył dostosowania typologii sieci wymaganej w nowej sali komputerowej w budynku Jacques’a Delorsa (JDE) zgodnie z planem działania dotyczącym chmury hybrydowej;</w:t>
      </w:r>
    </w:p>
    <w:p w:rsidR="00FA16F3" w:rsidRPr="005D092A" w:rsidRDefault="00FA16F3" w:rsidP="00FA16F3">
      <w:pPr>
        <w:pStyle w:val="NormalHanging12a"/>
      </w:pPr>
      <w:r w:rsidRPr="005D092A">
        <w:t>45.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Komitet zwiększył liczbę posiedzeń hybrydowych w 2022 r., aby dostosować się do pracy hybrydowej i zoptymalizować sposoby pracy, w szczególności przez zmniejszenie liczby podróży służbowych; rozumie, że ten nowy sposób pracy wymagał modernizacji technicznej wyposażenia </w:t>
      </w:r>
      <w:proofErr w:type="spellStart"/>
      <w:r w:rsidRPr="005D092A">
        <w:t>sal</w:t>
      </w:r>
      <w:proofErr w:type="spellEnd"/>
      <w:r w:rsidRPr="005D092A">
        <w:t xml:space="preserve"> do posiedzeń hybrydowych;</w:t>
      </w:r>
    </w:p>
    <w:p w:rsidR="00FA16F3" w:rsidRPr="005D092A" w:rsidRDefault="00FA16F3" w:rsidP="00FA16F3">
      <w:pPr>
        <w:pStyle w:val="NormalHanging12a"/>
      </w:pPr>
      <w:r w:rsidRPr="005D092A">
        <w:t>46.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w 2022 r. Komitet nie doświadczył żadnych cyberataków; zauważa, że nowa wspólna Dyrekcja Innowacji i Technologii Informacyjnych Komitetu i KR-u składa się z trzech działów, które zajmują się odpowiednio transformacją cyfrową, rozwiązaniami cyfrowymi i platformami cyfrowymi; zauważa, że dział ds. platform cyfrowych jest odpowiedzialny między innymi za </w:t>
      </w:r>
      <w:proofErr w:type="spellStart"/>
      <w:r w:rsidRPr="005D092A">
        <w:t>cyberbezpieczeństwo</w:t>
      </w:r>
      <w:proofErr w:type="spellEnd"/>
      <w:r w:rsidRPr="005D092A">
        <w:t xml:space="preserve">; zwraca się do Komitetu o poinformowanie organu udzielającego absolutorium o tym, w jaki sposób utworzenie tej nowej struktury przyczyniło się do zwiększenia gotowości jej pracowników w zakresie </w:t>
      </w:r>
      <w:proofErr w:type="spellStart"/>
      <w:r w:rsidRPr="005D092A">
        <w:t>cyberbezpieczeństwa</w:t>
      </w:r>
      <w:proofErr w:type="spellEnd"/>
      <w:r w:rsidRPr="005D092A">
        <w:t xml:space="preserve">, zgodnie z ramami </w:t>
      </w:r>
      <w:proofErr w:type="spellStart"/>
      <w:r w:rsidRPr="005D092A">
        <w:t>cyberbezpieczeństwa</w:t>
      </w:r>
      <w:proofErr w:type="spellEnd"/>
      <w:r w:rsidRPr="005D092A">
        <w:t xml:space="preserve"> NIST (Narodowego Instytutu Standaryzacji i Technologii) oraz we współpracy ze Służbą ds. </w:t>
      </w:r>
      <w:proofErr w:type="spellStart"/>
      <w:r w:rsidRPr="005D092A">
        <w:t>Cyberbezpieczeństwa</w:t>
      </w:r>
      <w:proofErr w:type="spellEnd"/>
      <w:r w:rsidRPr="005D092A">
        <w:t xml:space="preserve"> Instytucji, Organów i Jednostek Organizacyjnych Unii (CERT-UE); zachęca Komitet do podnoszenia świadomości członków i pracowników na temat </w:t>
      </w:r>
      <w:proofErr w:type="spellStart"/>
      <w:r w:rsidRPr="005D092A">
        <w:t>cyberbezpieczeństwa</w:t>
      </w:r>
      <w:proofErr w:type="spellEnd"/>
      <w:r w:rsidRPr="005D092A">
        <w:t xml:space="preserve">, do przeprowadzania regularnych ocen ryzyka infrastruktury informatycznej oraz do zapewnienia regularnych audytów i testów </w:t>
      </w:r>
      <w:proofErr w:type="spellStart"/>
      <w:r w:rsidRPr="005D092A">
        <w:t>cyberobrony</w:t>
      </w:r>
      <w:proofErr w:type="spellEnd"/>
      <w:r w:rsidRPr="005D092A">
        <w:t>;</w:t>
      </w:r>
    </w:p>
    <w:p w:rsidR="00FA16F3" w:rsidRPr="005D092A" w:rsidRDefault="00FA16F3" w:rsidP="00FA16F3">
      <w:pPr>
        <w:pStyle w:val="NormalHanging12a"/>
      </w:pPr>
      <w:r w:rsidRPr="005D092A">
        <w:t>47.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Komitet korzysta z technologii otwartego oprogramowania w jego własnych systemach, zwłaszcza w głównych aplikacjach operacyjnych wykorzystywanych do zarządzania pracami politycznymi Komitetu („Agora” i „Phoenix”); zauważa ponadto, że Komitet śledzi wykorzystanie technologii otwartego oprogramowania w swoim rocznym portfelu IT, tak aby były one stosowane w nowych aplikacjach;</w:t>
      </w:r>
    </w:p>
    <w:p w:rsidR="00FA16F3" w:rsidRPr="005D092A" w:rsidRDefault="00FA16F3" w:rsidP="00FA16F3">
      <w:pPr>
        <w:spacing w:after="240"/>
        <w:ind w:left="567" w:hanging="567"/>
        <w:rPr>
          <w:szCs w:val="24"/>
        </w:rPr>
      </w:pPr>
      <w:r w:rsidRPr="005D092A">
        <w:lastRenderedPageBreak/>
        <w:t>48.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Komitet poczynił postępy w przyjmowaniu nowych ram zarządzania dokumentami w celu zwiększenia przejrzystości i dostępności; z zainteresowaniem zauważa, że Komitet w odpowiednim czasie rozpoczął ocenę technicznej wykonalności i skutków finansowych korzystania z elektronicznego systemu zarządzania dokumentacją Komisji (Ares);</w:t>
      </w:r>
    </w:p>
    <w:p w:rsidR="00FA16F3" w:rsidRPr="005D092A" w:rsidRDefault="00FA16F3" w:rsidP="00FA16F3">
      <w:pPr>
        <w:pStyle w:val="NormalHanging12a"/>
        <w:ind w:left="0" w:firstLine="0"/>
        <w:rPr>
          <w:b/>
          <w:i/>
        </w:rPr>
      </w:pPr>
      <w:r w:rsidRPr="005D092A">
        <w:rPr>
          <w:b/>
          <w:i/>
        </w:rPr>
        <w:t xml:space="preserve">Budynki </w:t>
      </w:r>
    </w:p>
    <w:p w:rsidR="00FA16F3" w:rsidRPr="005D092A" w:rsidRDefault="00FA16F3" w:rsidP="00FA16F3">
      <w:pPr>
        <w:spacing w:after="240"/>
        <w:ind w:left="567" w:hanging="567"/>
        <w:rPr>
          <w:szCs w:val="24"/>
        </w:rPr>
      </w:pPr>
      <w:r w:rsidRPr="005D092A">
        <w:t>49.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Komitet i KR straciły 5000 m² powierzchni biurowej w wyniku przejęcia umowy najmu dawnego budynku ESDZ przy </w:t>
      </w:r>
      <w:proofErr w:type="spellStart"/>
      <w:r w:rsidRPr="005D092A">
        <w:t>Belliard</w:t>
      </w:r>
      <w:proofErr w:type="spellEnd"/>
      <w:r w:rsidRPr="005D092A">
        <w:t xml:space="preserve"> 100, która zaczęła obowiązywać we wrześniu 2021 r., oraz wymiany budynków między budynkami Komitetu i KR-u </w:t>
      </w:r>
      <w:proofErr w:type="spellStart"/>
      <w:r w:rsidRPr="005D092A">
        <w:t>Belliard</w:t>
      </w:r>
      <w:proofErr w:type="spellEnd"/>
      <w:r w:rsidRPr="005D092A">
        <w:t xml:space="preserve"> 68 i </w:t>
      </w:r>
      <w:proofErr w:type="spellStart"/>
      <w:r w:rsidRPr="005D092A">
        <w:t>Trèves</w:t>
      </w:r>
      <w:proofErr w:type="spellEnd"/>
      <w:r w:rsidRPr="005D092A">
        <w:t xml:space="preserve"> 74 a budynkiem Komisji Van </w:t>
      </w:r>
      <w:proofErr w:type="spellStart"/>
      <w:r w:rsidRPr="005D092A">
        <w:t>Maerlant</w:t>
      </w:r>
      <w:proofErr w:type="spellEnd"/>
      <w:r w:rsidRPr="005D092A">
        <w:t xml:space="preserve"> 2 (VMA), która zaczęła obowiązywać we wrześniu 2022 r.; zauważa, że prace wykończeniowe w dwóch nowo nabytych budynkach były konieczne, aby umożliwić bardziej efektywne wykorzystanie powierzchni biurowej; z zadowoleniem przyjmuje utworzenie w 2022 r. wspólnej grupy zadaniowej ds. nowych sposobów pracy, której zadaniem jest rozważenie możliwej optymalizacji organizacji pracy i wykorzystania przestrzeni biurowej, przy jednoczesnym ograniczeniu śladu środowiskowego;</w:t>
      </w:r>
    </w:p>
    <w:p w:rsidR="00FA16F3" w:rsidRPr="005D092A" w:rsidRDefault="00FA16F3" w:rsidP="00FA16F3">
      <w:pPr>
        <w:pStyle w:val="NormalHanging12a"/>
      </w:pPr>
      <w:r w:rsidRPr="005D092A">
        <w:t>50.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całkowity budżet przeznaczony w latach 2021 i 2022 na renowację budynku VMA od trzeciego do dziewiątego piętra przez Komitet i KR wyniósł 9,54 mln EUR; zauważa, że prace remontowe podjęte przez Komitet i KR obejmowały wykorzystanie inteligentnych technologii oszczędzania energii z silnym elementem środowiskowym; zwraca się do Komitetu o przedstawienie aktualnych informacji na temat zwrotu z inwestycji w te instalacje technologiczne;</w:t>
      </w:r>
    </w:p>
    <w:p w:rsidR="00FA16F3" w:rsidRPr="005D092A" w:rsidRDefault="00FA16F3" w:rsidP="00FA16F3">
      <w:pPr>
        <w:spacing w:after="240"/>
        <w:ind w:left="567" w:hanging="567"/>
        <w:rPr>
          <w:szCs w:val="24"/>
        </w:rPr>
      </w:pPr>
      <w:r w:rsidRPr="005D092A">
        <w:t>51.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strategia dotycząca budynków Komitetu i KR-u dotyczyła geograficznej koncentracji budynków, co osiągnięto poprzez fizyczne połączenie wszystkich budynków wykorzystywanych przez Komitet i KR z ich budynkiem głównym (JDE); z zadowoleniem przyjmuje nowe fizyczne połączenie z budynkami Parlamentu, które zaczęło funkcjonować w listopadzie 2022 r. i zapewnia bardziej bezpośrednie, łatwiejsze i krótsze o 125 m połączenie między budynkami Komitetu i KR-u a budynkami Parlamentu;</w:t>
      </w:r>
    </w:p>
    <w:p w:rsidR="00FA16F3" w:rsidRPr="005D092A" w:rsidRDefault="00FA16F3" w:rsidP="00FA16F3">
      <w:pPr>
        <w:pStyle w:val="NormalHanging12a"/>
      </w:pPr>
      <w:r w:rsidRPr="005D092A">
        <w:t>52.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zobowiązanie Komitetu i KR-u do systematycznego stosowania zasady „projektowania dla wszystkich” w odniesieniu do ich infrastruktury, a także do zapewnienia dostępności budynków już na etapie projektowania; zauważa, że Komitet i KR przedsięwzięły szereg różnych środków, aby zapewnić dostępność budynków osobom z różnymi rodzajami niepełnosprawności;</w:t>
      </w:r>
    </w:p>
    <w:p w:rsidR="00FA16F3" w:rsidRPr="005D092A" w:rsidRDefault="00FA16F3" w:rsidP="00FA16F3">
      <w:pPr>
        <w:pStyle w:val="NormalHanging12a"/>
        <w:ind w:left="0" w:firstLine="0"/>
        <w:rPr>
          <w:b/>
          <w:i/>
        </w:rPr>
      </w:pPr>
      <w:r w:rsidRPr="005D092A">
        <w:rPr>
          <w:b/>
          <w:i/>
        </w:rPr>
        <w:t>Środowisko i zrównoważony rozwój</w:t>
      </w:r>
    </w:p>
    <w:p w:rsidR="00FA16F3" w:rsidRPr="005D092A" w:rsidRDefault="00FA16F3" w:rsidP="00FA16F3">
      <w:pPr>
        <w:pStyle w:val="NormalHanging12a"/>
      </w:pPr>
      <w:r w:rsidRPr="005D092A">
        <w:t>53.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zrównoważone praktyki, w szczególności podejście Komitetu i KR-u do wyeliminowania dokumentów papierowych, które przyczyniły się do ograniczenia śladu środowiskowego zgodnie ze strategią cyfrową; gratuluje Komitetowi i KR-owi osiągnięcia z nawiązką celów EMAS na lata 2021–2025, z wyjątkiem celów związanych ze zużyciem gazu; zauważa, że na opracowany przez Komitet program kompensacji emisji dwutlenku węgla przeznaczono budżet w wysokości 60 000 EUR obejmujący środki z zakupu wysokiej jakości jednostek emisji dwutlenku węgla w 2023 r.;</w:t>
      </w:r>
    </w:p>
    <w:p w:rsidR="00FA16F3" w:rsidRPr="005D092A" w:rsidRDefault="00FA16F3" w:rsidP="00FA16F3">
      <w:pPr>
        <w:pStyle w:val="NormalHanging12a"/>
      </w:pPr>
      <w:r w:rsidRPr="005D092A">
        <w:lastRenderedPageBreak/>
        <w:t>54.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całkowita produkcja energii elektrycznej wytworzonej przez panele słoneczne w budynkach Komitetu i KR-u wyniosła około 15,5 MWh, co stanowi 0,25 % całkowitego rocznego zużycia Komitetu i KR-u; zauważa, że od 16 września 2022 r. jedynie budynek JDE był wyposażony w panele słoneczne; jest świadomy, że ze względu na procedury administracyjne Komitet i KR będą musiały liczyć się z opóźnieniem, zanim będą mogły rozbudować instalację paneli słonecznych;</w:t>
      </w:r>
    </w:p>
    <w:p w:rsidR="00FA16F3" w:rsidRPr="005D092A" w:rsidRDefault="00FA16F3" w:rsidP="00FA16F3">
      <w:pPr>
        <w:pStyle w:val="NormalHanging12a"/>
      </w:pPr>
      <w:r w:rsidRPr="005D092A">
        <w:t>55.</w:t>
      </w:r>
      <w:r w:rsidRPr="005D092A">
        <w:tab/>
      </w:r>
      <w:proofErr w:type="gramStart"/>
      <w:r w:rsidRPr="005D092A">
        <w:t>gratuluje</w:t>
      </w:r>
      <w:proofErr w:type="gramEnd"/>
      <w:r w:rsidRPr="005D092A">
        <w:t xml:space="preserve"> Komitetowi ustanowienia planu transportu biznesowego w porozumieniu z departamentem ds. mobilności Regionu Stołecznego Brukseli, w następstwie którego Komitet zobowiązuje się do przeprowadzania co trzy lata obowiązkowej ankiety dotyczącej mobilności wśród swoich pracowników; zauważa, że Komitet wdrożył plan zrównoważonej mobilności mający zachęcić pracowników do korzystania z bardziej zrównoważonych środków transportu, również poprzez wkład finansowy w abonamenty pracowników na transport publiczny lub miesięczny wkład finansowy dla pracowników dojeżdżających do pracy rowerem; zauważa, że Komitet bada dodatkowe rozwiązania, takie jak zapewnienie rowerów elektrycznych i montaż dodatkowych stacji ładowania do samochodów elektrycznych;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rPr>
          <w:b/>
          <w:i/>
        </w:rPr>
        <w:t>Współpraca międzyinstytucjonalna</w:t>
      </w:r>
    </w:p>
    <w:p w:rsidR="00FA16F3" w:rsidRPr="005D092A" w:rsidRDefault="00FA16F3" w:rsidP="00FA16F3">
      <w:pPr>
        <w:pStyle w:val="NormalHanging12a"/>
      </w:pPr>
      <w:r w:rsidRPr="005D092A">
        <w:t>56.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oszczędności budżetowe i administracyjne osiągnięte dzięki współpracy międzyinstytucjonalnej, w szczególności ścisłej współpracy nawiązanej na szczeblu administracyjnym z KR-em, z którym Komitet dzieli pomieszczenia i służby wspólne w obszarach tłumaczeń, infrastruktury, logistyki i technologii informacyjnej, a jednocześnie zachowuje pełną autonomię instytucjonalną; zauważa, że 1 października 2022 r. utworzono nowe służby wspólne, w tym nową Dyrekcję Innowacji i Technologii Informacyjnych, dział ds. bezpieczeństwa i ochrony oraz dział ds. zamówień publicznych i zarządzania finansami, w ramach nowej umowy o współpracy podpisanej z KR-em w 2022 r.; zauważa ponadto, że w 2022 r. Komitet i KR zgromadziły łącznie 470 pracowników oraz kwotę 55 mln EUR, z czego </w:t>
      </w:r>
      <w:proofErr w:type="gramStart"/>
      <w:r w:rsidRPr="005D092A">
        <w:t>ponad</w:t>
      </w:r>
      <w:proofErr w:type="gramEnd"/>
      <w:r w:rsidRPr="005D092A">
        <w:t xml:space="preserve"> 30 mln EUR pochodziło z Komitetu, z wyłączeniem wydatków na wynagrodzenia; apeluje do Komitetu o kontynuowanie i rozszerzanie tej współpracy w innych obszarach, aby uniknąć powielania działań i jeszcze bardziej racjonalizować koszty operacyjne usług dostępnych w pomieszczeniach współdzielonych przez Komitet i KR; zachęca Komitet i KR do zbadania możliwości utworzenia jednej administracji dla ich służb wspólnych, z zachowaniem oddzielnych dyrekcji lub działów dla służb zajmujących się sprawami związanymi z ich szczególnymi i niezależnymi mandatami;</w:t>
      </w:r>
    </w:p>
    <w:p w:rsidR="00FA16F3" w:rsidRPr="005D092A" w:rsidRDefault="00FA16F3" w:rsidP="00FA16F3">
      <w:pPr>
        <w:pStyle w:val="NormalHanging12a"/>
      </w:pPr>
      <w:r w:rsidRPr="005D092A">
        <w:t>57.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dążenie Komitetu do synergii polegające na nabywaniu usług od innych instytucji na podstawie umów o gwarantowanym poziomie usług oraz na uczestnictwie w międzyinstytucjonalnych organach koordynacyjnych i międzyinstytucjonalnych procedurach udzielania zamówień; zauważa, że Parlament w szczególności zapewnia usługi tłumaczenia ustnego podczas posiedzeń plenarnych Komitetu odbywających się w pomieszczeniach Parlamentu oraz podczas niektórych posiedzeń odbywających się w pomieszczeniach Komitetu;</w:t>
      </w:r>
    </w:p>
    <w:p w:rsidR="00FA16F3" w:rsidRPr="005D092A" w:rsidRDefault="00FA16F3" w:rsidP="00FA16F3">
      <w:pPr>
        <w:pStyle w:val="NormalHanging12a"/>
      </w:pPr>
      <w:r w:rsidRPr="005D092A">
        <w:t>58.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 większe zaangażowanie Komitetu w cykl legislacyjny i wzywa Komitet do dopilnowania, aby jego opinie były przekazywane członkom odpowiednich komisji Parlamentu zgodnie z umową o współpracy między Parlamentem a Komitetem;</w:t>
      </w:r>
    </w:p>
    <w:p w:rsidR="00FA16F3" w:rsidRPr="005D092A" w:rsidRDefault="00FA16F3" w:rsidP="00FA16F3">
      <w:pPr>
        <w:pStyle w:val="NormalHanging12a"/>
      </w:pPr>
      <w:r w:rsidRPr="005D092A">
        <w:lastRenderedPageBreak/>
        <w:t>59.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Komitet kontynuował i zacieśnił współpracę z Komisją w kontekście umowy o gwarantowanym poziomie usług zawartej z Biurem Dochodzeń i Postępowań Dyscyplinarnych Komisji w sprawie wsparcia dochodzeń administracyjnych oraz w ramach zaktualizowanego w 2022 r. protokołu o współpracy, wzmacniającego synergie polityczne, legislacyjne i komunikacyjne między tymi dwiema instytucjami, w szczególności w zakresie wdrażania europejskiej inicjatywy obywatelskiej i europejskiego semestru; zauważa, że zgodnie ze zaktualizowanym protokołem o współpracy wzrosło wykorzystanie przez Komisję opinii rozpoznawczych Komitetu, co zwiększyło zaangażowanie Komitetu w unijny cykl legislacyjny;</w:t>
      </w:r>
    </w:p>
    <w:p w:rsidR="00FA16F3" w:rsidRPr="005D092A" w:rsidRDefault="00FA16F3" w:rsidP="00FA16F3">
      <w:pPr>
        <w:pStyle w:val="NormalHanging12a"/>
      </w:pPr>
      <w:r w:rsidRPr="005D092A">
        <w:t>60.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Komitet odgrywa kluczową rolę w umacnianiu powiązań z krajowymi radami gospodarczo-społecznymi Unii i pomiędzy nimi; zachęca Komitet do dalszego wspierania współpracy w kwestiach będących przedmiotem wspólnego zainteresowania i dobrych praktyk oraz do podkreślania, w jaki sposób społeczeństwo obywatelskie wnosi swój wkład w obecne wyzwania Unii, zwłaszcza poprzez wymianę pracowników i organizację wspólnych wydarzeń;</w:t>
      </w:r>
    </w:p>
    <w:p w:rsidR="00FA16F3" w:rsidRPr="005D092A" w:rsidRDefault="00FA16F3" w:rsidP="00FA16F3">
      <w:pPr>
        <w:pStyle w:val="NormalHanging12a"/>
        <w:rPr>
          <w:b/>
          <w:i/>
        </w:rPr>
      </w:pPr>
      <w:r w:rsidRPr="005D092A">
        <w:rPr>
          <w:b/>
          <w:i/>
        </w:rPr>
        <w:t>Komunikacja</w:t>
      </w:r>
    </w:p>
    <w:p w:rsidR="00FA16F3" w:rsidRPr="005D092A" w:rsidRDefault="00FA16F3" w:rsidP="00FA16F3">
      <w:pPr>
        <w:pStyle w:val="NormalHanging12a"/>
      </w:pPr>
      <w:r w:rsidRPr="005D092A">
        <w:t>61.</w:t>
      </w:r>
      <w:r w:rsidRPr="005D092A">
        <w:tab/>
      </w:r>
      <w:proofErr w:type="gramStart"/>
      <w:r w:rsidRPr="005D092A">
        <w:t>zauważa</w:t>
      </w:r>
      <w:proofErr w:type="gramEnd"/>
      <w:r w:rsidRPr="005D092A">
        <w:t>, że w 2022 r. ogólny budżet Komitetu na komunikację wyniósł 15 mln EUR, czyli tyle samo co w 2021 r.; zauważa, że budżet ten został przeznaczony przede wszystkim na wsparcie rozwoju i utrzymania witryny internetowej Komitetu, komunikację w mediach społecznościowych, monitorowanie mediów, relacje z mediami oraz promocję najważniejszych działań i wydarzeń Komitetu, takich jak Nagroda EKES-u dla Społeczeństwa Obywatelskiego i działania związane z Komitetem w ramach prac Konferencji w sprawie Przyszłości Europy oraz wsparcie Komitetu dla Ukrainy;</w:t>
      </w:r>
    </w:p>
    <w:p w:rsidR="00FA16F3" w:rsidRPr="005D092A" w:rsidRDefault="00FA16F3" w:rsidP="00FA16F3">
      <w:pPr>
        <w:pStyle w:val="NormalHanging12a"/>
      </w:pPr>
      <w:r w:rsidRPr="005D092A">
        <w:t>62.</w:t>
      </w:r>
      <w:r w:rsidRPr="005D092A">
        <w:tab/>
      </w:r>
      <w:proofErr w:type="gramStart"/>
      <w:r w:rsidRPr="005D092A">
        <w:t>wyraża</w:t>
      </w:r>
      <w:proofErr w:type="gramEnd"/>
      <w:r w:rsidRPr="005D092A">
        <w:t xml:space="preserve"> zadowolenie z przyjęcia przez Komitet w październiku 2022 r. nowej strategii komunikacji opartej na danych, mającej na celu zwiększenie zasięgu komunikacji Komitetu i wpływu jej opinii oraz określającej europejskie organizacje społeczeństwa obywatelskiego i inne instytucje Unii jako główne cele komunikacji; zauważa ponadto, że w 2022 r. Komitet zaktualizował zasady partnerstwa w celu zwiększenia swojego strategicznego zaangażowania we współpracę z organizacjami społeczeństwa obywatelskiego w ramach wydarzeń tematycznych;</w:t>
      </w:r>
    </w:p>
    <w:p w:rsidR="00FA16F3" w:rsidRPr="005D092A" w:rsidRDefault="00FA16F3" w:rsidP="00FA16F3">
      <w:pPr>
        <w:pStyle w:val="NormalHanging12a"/>
      </w:pPr>
      <w:r w:rsidRPr="005D092A">
        <w:t>63.</w:t>
      </w:r>
      <w:r w:rsidRPr="005D092A">
        <w:tab/>
      </w:r>
      <w:proofErr w:type="gramStart"/>
      <w:r w:rsidRPr="005D092A">
        <w:t>zauważa</w:t>
      </w:r>
      <w:proofErr w:type="gramEnd"/>
      <w:r w:rsidRPr="005D092A">
        <w:t xml:space="preserve">, że Komitet zorganizował ważne wydarzenia hybrydowe poświęcone aktualnym kwestiom istotnym dla społeczeństwa obywatelskiego, takie jak wydarzenie wysokiego szczebla w ramach Konferencji w sprawie przyszłości Europy zatytułowane „Wspólne kształtowanie Europy – przyszłość jest w twoich rękach”, coroczne wydarzenie dla młodzieży „Twoja Europa – Twoje zdanie!” </w:t>
      </w:r>
      <w:proofErr w:type="gramStart"/>
      <w:r w:rsidRPr="005D092A">
        <w:t>dla</w:t>
      </w:r>
      <w:proofErr w:type="gramEnd"/>
      <w:r w:rsidRPr="005D092A">
        <w:t xml:space="preserve"> uczniów i nauczycieli z Unii i krajów kandydujących oraz coroczna sesja plenarna młodzieży dla studentów „Prawda o kłamstwach. Młodzież kwestionuje dezinformację”; zauważa, że Komitet zorganizował także bardziej specjalistyczne działania skupiające się na Roku Młodzieży i wojnie napastniczej Rosji przeciwko Ukrainie, skierowane do dziennikarzy i specjalistów ds. komunikacji z organizacji społeczeństwa obywatelskiego;</w:t>
      </w:r>
    </w:p>
    <w:p w:rsidR="00FA16F3" w:rsidRPr="005D092A" w:rsidRDefault="00FA16F3" w:rsidP="00FA16F3">
      <w:pPr>
        <w:pStyle w:val="NormalHanging12a"/>
      </w:pPr>
      <w:r w:rsidRPr="005D092A">
        <w:t>64.</w:t>
      </w:r>
      <w:r w:rsidRPr="005D092A">
        <w:tab/>
      </w:r>
      <w:proofErr w:type="gramStart"/>
      <w:r w:rsidRPr="005D092A">
        <w:t>wyraża</w:t>
      </w:r>
      <w:proofErr w:type="gramEnd"/>
      <w:r w:rsidRPr="005D092A">
        <w:t xml:space="preserve"> zadowolenie, że ogólny zasięg komunikacji Komitetu zwiększył się w 2022 r. w porównaniu z 2021 r., zwłaszcza dzięki relacjom w mediach oraz obecności w </w:t>
      </w:r>
      <w:proofErr w:type="spellStart"/>
      <w:r w:rsidRPr="005D092A">
        <w:t>internecie</w:t>
      </w:r>
      <w:proofErr w:type="spellEnd"/>
      <w:r w:rsidRPr="005D092A">
        <w:t xml:space="preserve"> i mediach społecznościowych; zauważa, że liczba odwiedzin na głównej stronie na Facebooku wzrosła o 96,9 % (57 000 odwiedzin), a liczba odwiedzin na </w:t>
      </w:r>
      <w:r w:rsidRPr="005D092A">
        <w:lastRenderedPageBreak/>
        <w:t xml:space="preserve">koncie na Instagramie o 97,9 % (20 000 odwiedzin), podczas gdy liczba użytkowników Facebooka wzrosła o 1,1 % (6 mln użytkowników), zasięg na Instagramie wzrósł o 33 % (ponad 3 mln użytkowników), posty opublikowane na LinkedIn wygenerowały prawie 1,2 mln wyświetleń, a </w:t>
      </w:r>
      <w:proofErr w:type="spellStart"/>
      <w:r w:rsidRPr="005D092A">
        <w:t>tweety</w:t>
      </w:r>
      <w:proofErr w:type="spellEnd"/>
      <w:r w:rsidRPr="005D092A">
        <w:t xml:space="preserve"> opublikowane na X (dawniej Twitter) zebrały ponad 6 mln wyświetleń; z zadowoleniem przyjmuje udział Komitetu od 2023 r. w projekcie pilotażowym prowadzonym przez Europejskiego Inspektora Ochrony Danych, </w:t>
      </w:r>
      <w:proofErr w:type="gramStart"/>
      <w:r w:rsidRPr="005D092A">
        <w:t>mającym</w:t>
      </w:r>
      <w:proofErr w:type="gramEnd"/>
      <w:r w:rsidRPr="005D092A">
        <w:t xml:space="preserve"> na celu włączenie instytucji Unii do EU-Voice i EU-Video – dwóch bezpłatnych sieci mediów społecznościowych o otwartym kodzie źródłowym, opartych na oprogramowaniu </w:t>
      </w:r>
      <w:proofErr w:type="spellStart"/>
      <w:r w:rsidRPr="005D092A">
        <w:t>Mastodon</w:t>
      </w:r>
      <w:proofErr w:type="spellEnd"/>
      <w:r w:rsidRPr="005D092A">
        <w:t xml:space="preserve"> – umożliwiających interakcję tych instytucji ze społeczeństwem przez udostępnianie tekstów, zdjęć, filmów i podcastów;</w:t>
      </w:r>
    </w:p>
    <w:p w:rsidR="00FA16F3" w:rsidRPr="005D092A" w:rsidRDefault="00FA16F3" w:rsidP="00FA16F3">
      <w:pPr>
        <w:pStyle w:val="NormalHanging12a"/>
      </w:pPr>
      <w:r w:rsidRPr="005D092A">
        <w:t>65.</w:t>
      </w:r>
      <w:r w:rsidRPr="005D092A">
        <w:tab/>
      </w:r>
      <w:proofErr w:type="gramStart"/>
      <w:r w:rsidRPr="005D092A">
        <w:t>z</w:t>
      </w:r>
      <w:proofErr w:type="gramEnd"/>
      <w:r w:rsidRPr="005D092A">
        <w:t xml:space="preserve"> zadowoleniem przyjmuje, że Komitet zapewnia obywatelom otwarty dostęp do swoich dokumentów za pośrednictwem specjalnego rejestru elektronicznego; zauważa, że Komitet wnosi wkład w Portal Otwartych Danych Komisji za pomocą własnych zbiorów danych, czym potwierdza większą przejrzystość swoich działań dzięki swobodnemu dostępowi do danych w formatach nadających się do odczytu maszynowego i przez człowieka oraz wzmacnia więź z obywatelami.</w:t>
      </w:r>
    </w:p>
    <w:p w:rsidR="00FA16F3" w:rsidRPr="005D092A" w:rsidRDefault="00FA16F3" w:rsidP="00FA16F3"/>
    <w:p w:rsidR="00E365E1" w:rsidRPr="005D092A" w:rsidRDefault="00E365E1" w:rsidP="002B4E07">
      <w:bookmarkStart w:id="9" w:name="TextBodyEnd"/>
      <w:bookmarkEnd w:id="9"/>
    </w:p>
    <w:sectPr w:rsidR="00E365E1" w:rsidRPr="005D092A" w:rsidSect="005D092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E07" w:rsidRPr="005D092A" w:rsidRDefault="002B4E07">
      <w:r w:rsidRPr="005D092A">
        <w:separator/>
      </w:r>
    </w:p>
  </w:endnote>
  <w:endnote w:type="continuationSeparator" w:id="0">
    <w:p w:rsidR="002B4E07" w:rsidRPr="005D092A" w:rsidRDefault="002B4E07">
      <w:r w:rsidRPr="005D09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6F3" w:rsidRPr="005D092A" w:rsidRDefault="00FA16F3" w:rsidP="00CE41D8">
    <w:pPr>
      <w:pStyle w:val="EPFooter"/>
    </w:pPr>
    <w:r w:rsidRPr="005D092A">
      <w:t>PE</w:t>
    </w:r>
    <w:r w:rsidRPr="005D092A">
      <w:rPr>
        <w:rStyle w:val="HideTWBExt"/>
      </w:rPr>
      <w:t>&lt;</w:t>
    </w:r>
    <w:proofErr w:type="spellStart"/>
    <w:r w:rsidRPr="005D092A">
      <w:rPr>
        <w:rStyle w:val="HideTWBExt"/>
      </w:rPr>
      <w:t>NoPE</w:t>
    </w:r>
    <w:proofErr w:type="spellEnd"/>
    <w:r w:rsidRPr="005D092A">
      <w:rPr>
        <w:rStyle w:val="HideTWBExt"/>
      </w:rPr>
      <w:t>&gt;</w:t>
    </w:r>
    <w:r w:rsidRPr="005D092A">
      <w:t>753.483</w:t>
    </w:r>
    <w:r w:rsidRPr="005D092A">
      <w:rPr>
        <w:rStyle w:val="HideTWBExt"/>
      </w:rPr>
      <w:t>&lt;/</w:t>
    </w:r>
    <w:proofErr w:type="spellStart"/>
    <w:r w:rsidRPr="005D092A">
      <w:rPr>
        <w:rStyle w:val="HideTWBExt"/>
      </w:rPr>
      <w:t>NoPE</w:t>
    </w:r>
    <w:proofErr w:type="spellEnd"/>
    <w:r w:rsidRPr="005D092A">
      <w:rPr>
        <w:rStyle w:val="HideTWBExt"/>
      </w:rPr>
      <w:t>&gt;&lt;Version&gt;</w:t>
    </w:r>
    <w:r w:rsidRPr="005D092A">
      <w:t>v02-00</w:t>
    </w:r>
    <w:r w:rsidRPr="005D092A">
      <w:rPr>
        <w:rStyle w:val="HideTWBExt"/>
      </w:rPr>
      <w:t>&lt;/Version&gt;</w:t>
    </w:r>
    <w:r w:rsidRPr="005D092A">
      <w:tab/>
    </w:r>
    <w:r w:rsidRPr="005D092A">
      <w:fldChar w:fldCharType="begin"/>
    </w:r>
    <w:r w:rsidRPr="005D092A">
      <w:instrText xml:space="preserve"> PAGE  \* MERGEFORMAT </w:instrText>
    </w:r>
    <w:r w:rsidRPr="005D092A">
      <w:fldChar w:fldCharType="separate"/>
    </w:r>
    <w:r w:rsidR="005D092A" w:rsidRPr="005D092A">
      <w:rPr>
        <w:noProof/>
      </w:rPr>
      <w:t>2</w:t>
    </w:r>
    <w:r w:rsidRPr="005D092A">
      <w:fldChar w:fldCharType="end"/>
    </w:r>
    <w:r w:rsidRPr="005D092A">
      <w:t>/</w:t>
    </w:r>
    <w:fldSimple w:instr=" NUMPAGES  \* MERGEFORMAT ">
      <w:r w:rsidR="005D092A" w:rsidRPr="005D092A">
        <w:rPr>
          <w:noProof/>
        </w:rPr>
        <w:t>3</w:t>
      </w:r>
    </w:fldSimple>
    <w:r w:rsidRPr="005D092A">
      <w:tab/>
    </w:r>
    <w:r w:rsidRPr="005D092A">
      <w:rPr>
        <w:rStyle w:val="HideTWBExt"/>
      </w:rPr>
      <w:t>&lt;PathFdR&gt;</w:t>
    </w:r>
    <w:r w:rsidRPr="005D092A">
      <w:t>RR\1298480PL.docx</w:t>
    </w:r>
    <w:r w:rsidRPr="005D092A">
      <w:rPr>
        <w:rStyle w:val="HideTWBExt"/>
      </w:rPr>
      <w:t>&lt;/</w:t>
    </w:r>
    <w:proofErr w:type="spellStart"/>
    <w:r w:rsidRPr="005D092A">
      <w:rPr>
        <w:rStyle w:val="HideTWBExt"/>
      </w:rPr>
      <w:t>PathFdR</w:t>
    </w:r>
    <w:proofErr w:type="spellEnd"/>
    <w:r w:rsidRPr="005D092A">
      <w:rPr>
        <w:rStyle w:val="HideTWBExt"/>
      </w:rPr>
      <w:t>&gt;</w:t>
    </w:r>
  </w:p>
  <w:p w:rsidR="00FA16F3" w:rsidRPr="005D092A" w:rsidRDefault="00FA16F3" w:rsidP="00CE41D8">
    <w:pPr>
      <w:pStyle w:val="EPFooter2"/>
    </w:pPr>
    <w:r w:rsidRPr="005D092A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6F3" w:rsidRPr="005D092A" w:rsidRDefault="00FA16F3" w:rsidP="00CE41D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6F3" w:rsidRPr="005D092A" w:rsidRDefault="00FA16F3" w:rsidP="00CE41D8">
    <w:pPr>
      <w:pStyle w:val="EPFooter"/>
    </w:pPr>
    <w:r w:rsidRPr="005D092A">
      <w:rPr>
        <w:rStyle w:val="HideTWBExt"/>
      </w:rPr>
      <w:t>&lt;PathFdR&gt;</w:t>
    </w:r>
    <w:r w:rsidRPr="005D092A">
      <w:t>RR\1298480PL.docx</w:t>
    </w:r>
    <w:r w:rsidRPr="005D092A">
      <w:rPr>
        <w:rStyle w:val="HideTWBExt"/>
      </w:rPr>
      <w:t>&lt;/</w:t>
    </w:r>
    <w:proofErr w:type="spellStart"/>
    <w:r w:rsidRPr="005D092A">
      <w:rPr>
        <w:rStyle w:val="HideTWBExt"/>
      </w:rPr>
      <w:t>PathFdR</w:t>
    </w:r>
    <w:proofErr w:type="spellEnd"/>
    <w:r w:rsidRPr="005D092A">
      <w:rPr>
        <w:rStyle w:val="HideTWBExt"/>
      </w:rPr>
      <w:t>&gt;</w:t>
    </w:r>
    <w:r w:rsidRPr="005D092A">
      <w:tab/>
    </w:r>
    <w:r w:rsidRPr="005D092A">
      <w:tab/>
      <w:t>PE</w:t>
    </w:r>
    <w:r w:rsidRPr="005D092A">
      <w:rPr>
        <w:rStyle w:val="HideTWBExt"/>
      </w:rPr>
      <w:t>&lt;</w:t>
    </w:r>
    <w:proofErr w:type="spellStart"/>
    <w:r w:rsidRPr="005D092A">
      <w:rPr>
        <w:rStyle w:val="HideTWBExt"/>
      </w:rPr>
      <w:t>NoPE</w:t>
    </w:r>
    <w:proofErr w:type="spellEnd"/>
    <w:r w:rsidRPr="005D092A">
      <w:rPr>
        <w:rStyle w:val="HideTWBExt"/>
      </w:rPr>
      <w:t>&gt;</w:t>
    </w:r>
    <w:r w:rsidRPr="005D092A">
      <w:t>753.483</w:t>
    </w:r>
    <w:r w:rsidRPr="005D092A">
      <w:rPr>
        <w:rStyle w:val="HideTWBExt"/>
      </w:rPr>
      <w:t>&lt;/</w:t>
    </w:r>
    <w:proofErr w:type="spellStart"/>
    <w:r w:rsidRPr="005D092A">
      <w:rPr>
        <w:rStyle w:val="HideTWBExt"/>
      </w:rPr>
      <w:t>NoPE</w:t>
    </w:r>
    <w:proofErr w:type="spellEnd"/>
    <w:r w:rsidRPr="005D092A">
      <w:rPr>
        <w:rStyle w:val="HideTWBExt"/>
      </w:rPr>
      <w:t>&gt;&lt;Version&gt;</w:t>
    </w:r>
    <w:r w:rsidRPr="005D092A">
      <w:t>v02-00</w:t>
    </w:r>
    <w:r w:rsidRPr="005D092A">
      <w:rPr>
        <w:rStyle w:val="HideTWBExt"/>
      </w:rPr>
      <w:t>&lt;/Version&gt;</w:t>
    </w:r>
  </w:p>
  <w:p w:rsidR="00FA16F3" w:rsidRPr="005D092A" w:rsidRDefault="00FA16F3" w:rsidP="00CE41D8">
    <w:pPr>
      <w:pStyle w:val="EPFooter2"/>
    </w:pPr>
    <w:r w:rsidRPr="005D092A">
      <w:t>PL</w:t>
    </w:r>
    <w:r w:rsidRPr="005D092A">
      <w:tab/>
    </w:r>
    <w:r w:rsidRPr="005D092A">
      <w:rPr>
        <w:b w:val="0"/>
        <w:i/>
        <w:color w:val="C0C0C0"/>
        <w:sz w:val="22"/>
      </w:rPr>
      <w:t>Zjednoczona w różnorodności</w:t>
    </w:r>
    <w:r w:rsidRPr="005D092A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92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92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9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E07" w:rsidRPr="005D092A" w:rsidRDefault="002B4E07">
      <w:r w:rsidRPr="005D092A">
        <w:separator/>
      </w:r>
    </w:p>
  </w:footnote>
  <w:footnote w:type="continuationSeparator" w:id="0">
    <w:p w:rsidR="002B4E07" w:rsidRPr="005D092A" w:rsidRDefault="002B4E07">
      <w:r w:rsidRPr="005D092A">
        <w:continuationSeparator/>
      </w:r>
    </w:p>
  </w:footnote>
  <w:footnote w:id="1">
    <w:p w:rsidR="00FA16F3" w:rsidRPr="005D092A" w:rsidRDefault="00FA16F3" w:rsidP="005D092A">
      <w:pPr>
        <w:pStyle w:val="FootnoteText"/>
        <w:ind w:left="567" w:hanging="567"/>
        <w:rPr>
          <w:sz w:val="24"/>
          <w:lang w:val="pl-PL"/>
        </w:rPr>
      </w:pPr>
      <w:r w:rsidRPr="005D092A">
        <w:rPr>
          <w:rStyle w:val="FootnoteReference"/>
          <w:sz w:val="24"/>
          <w:lang w:val="pl-PL"/>
        </w:rPr>
        <w:footnoteRef/>
      </w:r>
      <w:r w:rsidR="005D092A" w:rsidRPr="005D092A">
        <w:rPr>
          <w:sz w:val="24"/>
          <w:lang w:val="pl-PL"/>
        </w:rPr>
        <w:t xml:space="preserve"> </w:t>
      </w:r>
      <w:r w:rsidR="005D092A" w:rsidRPr="005D092A">
        <w:rPr>
          <w:sz w:val="24"/>
          <w:lang w:val="pl-PL"/>
        </w:rPr>
        <w:tab/>
      </w:r>
      <w:r w:rsidRPr="005D092A">
        <w:rPr>
          <w:sz w:val="24"/>
          <w:lang w:val="pl-PL"/>
        </w:rPr>
        <w:t>Dz.U. L 45 z 24.2.2022.</w:t>
      </w:r>
    </w:p>
  </w:footnote>
  <w:footnote w:id="2">
    <w:p w:rsidR="00FA16F3" w:rsidRPr="005D092A" w:rsidRDefault="00FA16F3" w:rsidP="005D092A">
      <w:pPr>
        <w:pStyle w:val="FootnoteText"/>
        <w:ind w:left="567" w:hanging="567"/>
        <w:rPr>
          <w:sz w:val="24"/>
          <w:lang w:val="pl-PL"/>
        </w:rPr>
      </w:pPr>
      <w:r w:rsidRPr="005D092A">
        <w:rPr>
          <w:rStyle w:val="FootnoteReference"/>
          <w:sz w:val="24"/>
          <w:lang w:val="pl-PL"/>
        </w:rPr>
        <w:footnoteRef/>
      </w:r>
      <w:r w:rsidR="005D092A" w:rsidRPr="005D092A">
        <w:rPr>
          <w:sz w:val="24"/>
          <w:lang w:val="pl-PL"/>
        </w:rPr>
        <w:t xml:space="preserve"> </w:t>
      </w:r>
      <w:r w:rsidR="005D092A" w:rsidRPr="005D092A">
        <w:rPr>
          <w:sz w:val="24"/>
          <w:lang w:val="pl-PL"/>
        </w:rPr>
        <w:tab/>
      </w:r>
      <w:r w:rsidRPr="005D092A">
        <w:rPr>
          <w:sz w:val="24"/>
          <w:lang w:val="pl-PL"/>
        </w:rPr>
        <w:t>Dz.U. C, C/2023/2, 12.10.2023.</w:t>
      </w:r>
    </w:p>
  </w:footnote>
  <w:footnote w:id="3">
    <w:p w:rsidR="00FA16F3" w:rsidRPr="005D092A" w:rsidRDefault="00FA16F3" w:rsidP="005D092A">
      <w:pPr>
        <w:pStyle w:val="FootnoteText"/>
        <w:ind w:left="567" w:hanging="567"/>
        <w:rPr>
          <w:sz w:val="24"/>
          <w:lang w:val="pl-PL"/>
        </w:rPr>
      </w:pPr>
      <w:r w:rsidRPr="005D092A">
        <w:rPr>
          <w:rStyle w:val="FootnoteReference"/>
          <w:sz w:val="24"/>
          <w:lang w:val="pl-PL"/>
        </w:rPr>
        <w:footnoteRef/>
      </w:r>
      <w:r w:rsidR="005D092A" w:rsidRPr="005D092A">
        <w:rPr>
          <w:sz w:val="24"/>
          <w:lang w:val="pl-PL"/>
        </w:rPr>
        <w:t xml:space="preserve"> </w:t>
      </w:r>
      <w:r w:rsidR="005D092A" w:rsidRPr="005D092A">
        <w:rPr>
          <w:sz w:val="24"/>
          <w:lang w:val="pl-PL"/>
        </w:rPr>
        <w:tab/>
      </w:r>
      <w:r w:rsidRPr="005D092A">
        <w:rPr>
          <w:sz w:val="24"/>
          <w:lang w:val="pl-PL"/>
        </w:rPr>
        <w:t>Dz.U. C, C/2023/103, 4.10.2023.</w:t>
      </w:r>
    </w:p>
  </w:footnote>
  <w:footnote w:id="4">
    <w:p w:rsidR="00FA16F3" w:rsidRPr="005D092A" w:rsidRDefault="00FA16F3" w:rsidP="005D092A">
      <w:pPr>
        <w:pStyle w:val="FootnoteText"/>
        <w:ind w:left="567" w:hanging="567"/>
        <w:rPr>
          <w:sz w:val="24"/>
          <w:lang w:val="pl-PL"/>
        </w:rPr>
      </w:pPr>
      <w:r w:rsidRPr="005D092A">
        <w:rPr>
          <w:rStyle w:val="FootnoteReference"/>
          <w:sz w:val="24"/>
          <w:lang w:val="pl-PL"/>
        </w:rPr>
        <w:footnoteRef/>
      </w:r>
      <w:r w:rsidR="005D092A" w:rsidRPr="005D092A">
        <w:rPr>
          <w:sz w:val="24"/>
          <w:lang w:val="pl-PL"/>
        </w:rPr>
        <w:t xml:space="preserve"> </w:t>
      </w:r>
      <w:r w:rsidR="005D092A" w:rsidRPr="005D092A">
        <w:rPr>
          <w:sz w:val="24"/>
          <w:lang w:val="pl-PL"/>
        </w:rPr>
        <w:tab/>
      </w:r>
      <w:r w:rsidRPr="005D092A">
        <w:rPr>
          <w:sz w:val="24"/>
          <w:lang w:val="pl-PL"/>
        </w:rPr>
        <w:t>Dz.U. C, C/2023/112, 12.10.2023.</w:t>
      </w:r>
    </w:p>
  </w:footnote>
  <w:footnote w:id="5">
    <w:p w:rsidR="00FA16F3" w:rsidRPr="005D092A" w:rsidRDefault="00FA16F3" w:rsidP="005D092A">
      <w:pPr>
        <w:pStyle w:val="FootnoteText"/>
        <w:ind w:left="567" w:hanging="567"/>
        <w:rPr>
          <w:sz w:val="24"/>
          <w:lang w:val="pl-PL"/>
        </w:rPr>
      </w:pPr>
      <w:r w:rsidRPr="005D092A">
        <w:rPr>
          <w:rStyle w:val="FootnoteReference"/>
          <w:sz w:val="24"/>
          <w:lang w:val="pl-PL"/>
        </w:rPr>
        <w:footnoteRef/>
      </w:r>
      <w:r w:rsidR="005D092A" w:rsidRPr="005D092A">
        <w:rPr>
          <w:sz w:val="24"/>
          <w:lang w:val="pl-PL"/>
        </w:rPr>
        <w:t xml:space="preserve"> </w:t>
      </w:r>
      <w:r w:rsidR="005D092A" w:rsidRPr="005D092A">
        <w:rPr>
          <w:sz w:val="24"/>
          <w:lang w:val="pl-PL"/>
        </w:rPr>
        <w:tab/>
      </w:r>
      <w:r w:rsidRPr="005D092A">
        <w:rPr>
          <w:sz w:val="24"/>
          <w:lang w:val="pl-PL"/>
        </w:rPr>
        <w:t xml:space="preserve">Dz.U. L 193 z 30.7.2018, </w:t>
      </w:r>
      <w:proofErr w:type="gramStart"/>
      <w:r w:rsidRPr="005D092A">
        <w:rPr>
          <w:sz w:val="24"/>
          <w:lang w:val="pl-PL"/>
        </w:rPr>
        <w:t>s</w:t>
      </w:r>
      <w:proofErr w:type="gramEnd"/>
      <w:r w:rsidRPr="005D092A">
        <w:rPr>
          <w:sz w:val="24"/>
          <w:lang w:val="pl-PL"/>
        </w:rPr>
        <w:t>. 1.</w:t>
      </w:r>
    </w:p>
  </w:footnote>
  <w:footnote w:id="6">
    <w:p w:rsidR="00FA16F3" w:rsidRPr="005D092A" w:rsidRDefault="00FA16F3" w:rsidP="005D092A">
      <w:pPr>
        <w:pStyle w:val="FootnoteText"/>
        <w:ind w:left="567" w:hanging="567"/>
        <w:rPr>
          <w:sz w:val="24"/>
          <w:lang w:val="pl-PL"/>
        </w:rPr>
      </w:pPr>
      <w:r w:rsidRPr="005D092A">
        <w:rPr>
          <w:rStyle w:val="FootnoteReference"/>
          <w:sz w:val="24"/>
          <w:lang w:val="pl-PL"/>
        </w:rPr>
        <w:footnoteRef/>
      </w:r>
      <w:r w:rsidR="005D092A" w:rsidRPr="005D092A">
        <w:rPr>
          <w:sz w:val="24"/>
          <w:lang w:val="pl-PL"/>
        </w:rPr>
        <w:t xml:space="preserve"> </w:t>
      </w:r>
      <w:r w:rsidR="005D092A" w:rsidRPr="005D092A">
        <w:rPr>
          <w:sz w:val="24"/>
          <w:lang w:val="pl-PL"/>
        </w:rPr>
        <w:tab/>
      </w:r>
      <w:r w:rsidRPr="005D092A">
        <w:rPr>
          <w:sz w:val="24"/>
          <w:lang w:val="pl-PL"/>
        </w:rPr>
        <w:t>Wyrok Trybunału Sprawiedliwości z 6 października 2022 r., KN przeciwko Europejskiemu Komitetowi Ekonomiczno-Społecznemu, C-673/21, ECLI</w:t>
      </w:r>
      <w:proofErr w:type="gramStart"/>
      <w:r w:rsidRPr="005D092A">
        <w:rPr>
          <w:sz w:val="24"/>
          <w:lang w:val="pl-PL"/>
        </w:rPr>
        <w:t>:EU</w:t>
      </w:r>
      <w:proofErr w:type="gramEnd"/>
      <w:r w:rsidRPr="005D092A">
        <w:rPr>
          <w:sz w:val="24"/>
          <w:lang w:val="pl-PL"/>
        </w:rPr>
        <w:t>:C:2022:759.</w:t>
      </w:r>
    </w:p>
  </w:footnote>
  <w:footnote w:id="7">
    <w:p w:rsidR="00FA16F3" w:rsidRPr="005D092A" w:rsidRDefault="00FA16F3" w:rsidP="005D092A">
      <w:pPr>
        <w:pStyle w:val="FootnoteText"/>
        <w:ind w:left="567" w:hanging="567"/>
        <w:rPr>
          <w:sz w:val="24"/>
          <w:lang w:val="pl-PL"/>
        </w:rPr>
      </w:pPr>
      <w:r w:rsidRPr="005D092A">
        <w:rPr>
          <w:rStyle w:val="FootnoteReference"/>
          <w:sz w:val="24"/>
          <w:lang w:val="pl-PL"/>
        </w:rPr>
        <w:footnoteRef/>
      </w:r>
      <w:r w:rsidR="005D092A" w:rsidRPr="005D092A">
        <w:rPr>
          <w:sz w:val="24"/>
          <w:lang w:val="pl-PL"/>
        </w:rPr>
        <w:t xml:space="preserve"> </w:t>
      </w:r>
      <w:r w:rsidR="005D092A" w:rsidRPr="005D092A">
        <w:rPr>
          <w:sz w:val="24"/>
          <w:lang w:val="pl-PL"/>
        </w:rPr>
        <w:tab/>
      </w:r>
      <w:r w:rsidRPr="005D092A">
        <w:rPr>
          <w:sz w:val="24"/>
          <w:lang w:val="pl-PL"/>
        </w:rPr>
        <w:t xml:space="preserve">Dz.U. L 207 z 11.6.2021, </w:t>
      </w:r>
      <w:proofErr w:type="gramStart"/>
      <w:r w:rsidRPr="005D092A">
        <w:rPr>
          <w:sz w:val="24"/>
          <w:lang w:val="pl-PL"/>
        </w:rPr>
        <w:t>s</w:t>
      </w:r>
      <w:proofErr w:type="gramEnd"/>
      <w:r w:rsidRPr="005D092A">
        <w:rPr>
          <w:sz w:val="24"/>
          <w:lang w:val="pl-PL"/>
        </w:rPr>
        <w:t>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6F3" w:rsidRPr="005D092A" w:rsidRDefault="00FA16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6F3" w:rsidRPr="005D092A" w:rsidRDefault="00FA16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6F3" w:rsidRPr="005D092A" w:rsidRDefault="00FA16F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92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92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9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2/2024"/>
    <w:docVar w:name="dvlangue" w:val="PL"/>
    <w:docVar w:name="dvnumam" w:val="0"/>
    <w:docVar w:name="dvpe" w:val="753.483"/>
    <w:docVar w:name="dvrapporteur" w:val="Sprawozdawca: "/>
    <w:docVar w:name="dvstar" w:val="??"/>
    <w:docVar w:name="dvtitre" w:val="Decyzja Parlamentu Europejskiego z dnia  2024 r. w sprawie absolutorium z wykonania budżetu ogólnego Unii Europejskiej za rok budżetowy 2022, sekcja VI – Europejski Komitet Ekonomiczno-Społeczny(2023/2135(DEC))"/>
  </w:docVars>
  <w:rsids>
    <w:rsidRoot w:val="002B4E07"/>
    <w:rsid w:val="00002272"/>
    <w:rsid w:val="00064002"/>
    <w:rsid w:val="000677B9"/>
    <w:rsid w:val="000831BA"/>
    <w:rsid w:val="00084D8F"/>
    <w:rsid w:val="000A42CC"/>
    <w:rsid w:val="000E7DD9"/>
    <w:rsid w:val="0010095E"/>
    <w:rsid w:val="00125B37"/>
    <w:rsid w:val="00187494"/>
    <w:rsid w:val="001F32AE"/>
    <w:rsid w:val="002767FF"/>
    <w:rsid w:val="002B18FE"/>
    <w:rsid w:val="002B4E07"/>
    <w:rsid w:val="002B5493"/>
    <w:rsid w:val="00343214"/>
    <w:rsid w:val="00361C00"/>
    <w:rsid w:val="00395FA1"/>
    <w:rsid w:val="003D3DA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92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054"/>
    <w:rsid w:val="00817416"/>
    <w:rsid w:val="008206D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6F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7055F"/>
  <w15:chartTrackingRefBased/>
  <w15:docId w15:val="{180489F1-8218-4C27-A5DD-E62DC8DF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A16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A16F3"/>
    <w:pPr>
      <w:spacing w:before="480" w:after="240"/>
    </w:pPr>
  </w:style>
  <w:style w:type="paragraph" w:customStyle="1" w:styleId="PageHeading">
    <w:name w:val="PageHeading"/>
    <w:basedOn w:val="Normal"/>
    <w:rsid w:val="00FA16F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A16F3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FA16F3"/>
    <w:pPr>
      <w:spacing w:after="240"/>
      <w:ind w:left="567" w:hanging="567"/>
    </w:pPr>
    <w:rPr>
      <w:szCs w:val="24"/>
    </w:rPr>
  </w:style>
  <w:style w:type="paragraph" w:styleId="Header">
    <w:name w:val="header"/>
    <w:basedOn w:val="Normal"/>
    <w:link w:val="HeaderChar"/>
    <w:rsid w:val="00FA16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16F3"/>
    <w:rPr>
      <w:sz w:val="24"/>
      <w:lang w:val="pl-PL"/>
    </w:rPr>
  </w:style>
  <w:style w:type="paragraph" w:customStyle="1" w:styleId="EPFooter">
    <w:name w:val="EPFooter"/>
    <w:basedOn w:val="Normal"/>
    <w:rsid w:val="00FA16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FA16F3"/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FAEF3-35C8-4ADF-AFA2-A59B4BFE7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6214</Words>
  <Characters>40481</Characters>
  <Application>Microsoft Office Word</Application>
  <DocSecurity>0</DocSecurity>
  <Lines>337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2024-05-28T08:56:00Z</dcterms:created>
  <dcterms:modified xsi:type="dcterms:W3CDTF">2024-05-28T08:56:00Z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P9_TA(2024)0232_</vt:lpwstr>
  </property>
  <property fmtid="{D5CDD505-2E9C-101B-9397-08002B2CF9AE}" pid="4" name="&lt;Type&gt;">
    <vt:lpwstr>RR</vt:lpwstr>
  </property>
</Properties>
</file>