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6EA7" w:rsidTr="0010095E">
        <w:trPr>
          <w:trHeight w:hRule="exact" w:val="1418"/>
        </w:trPr>
        <w:tc>
          <w:tcPr>
            <w:tcW w:w="6804" w:type="dxa"/>
            <w:shd w:val="clear" w:color="auto" w:fill="auto"/>
            <w:vAlign w:val="center"/>
          </w:tcPr>
          <w:p w:rsidR="00751A4A" w:rsidRPr="00CD6EA7" w:rsidRDefault="001F602C" w:rsidP="0010095E">
            <w:pPr>
              <w:pStyle w:val="EPName"/>
            </w:pPr>
            <w:r w:rsidRPr="00CD6EA7">
              <w:t>Parlamentul European</w:t>
            </w:r>
          </w:p>
          <w:p w:rsidR="00751A4A" w:rsidRPr="00CD6EA7" w:rsidRDefault="00817416" w:rsidP="00756632">
            <w:pPr>
              <w:pStyle w:val="EPTerm"/>
              <w:rPr>
                <w:rStyle w:val="HideTWBExt"/>
                <w:noProof w:val="0"/>
                <w:vanish w:val="0"/>
                <w:color w:val="auto"/>
              </w:rPr>
            </w:pPr>
            <w:r w:rsidRPr="00CD6EA7">
              <w:t>2019-2024</w:t>
            </w:r>
          </w:p>
        </w:tc>
        <w:tc>
          <w:tcPr>
            <w:tcW w:w="2268" w:type="dxa"/>
            <w:shd w:val="clear" w:color="auto" w:fill="auto"/>
          </w:tcPr>
          <w:p w:rsidR="00751A4A" w:rsidRPr="00CD6EA7" w:rsidRDefault="00187494" w:rsidP="0010095E">
            <w:pPr>
              <w:pStyle w:val="EPLogo"/>
            </w:pPr>
            <w:r w:rsidRPr="00CD6E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6EA7" w:rsidRDefault="00D058B8" w:rsidP="004C5D52">
      <w:pPr>
        <w:pStyle w:val="LineTop"/>
      </w:pPr>
    </w:p>
    <w:p w:rsidR="00680577" w:rsidRPr="00CD6EA7" w:rsidRDefault="001F602C" w:rsidP="00680577">
      <w:pPr>
        <w:pStyle w:val="EPBodyTA1"/>
      </w:pPr>
      <w:r w:rsidRPr="00CD6EA7">
        <w:t>TEXTE ADOPTATE</w:t>
      </w:r>
    </w:p>
    <w:p w:rsidR="00D058B8" w:rsidRPr="00CD6EA7" w:rsidRDefault="00D058B8" w:rsidP="00D058B8">
      <w:pPr>
        <w:pStyle w:val="LineBottom"/>
      </w:pPr>
    </w:p>
    <w:p w:rsidR="001F602C" w:rsidRPr="00CD6EA7" w:rsidRDefault="001F602C" w:rsidP="001F602C">
      <w:pPr>
        <w:pStyle w:val="ATHeading1"/>
      </w:pPr>
      <w:bookmarkStart w:id="0" w:name="TANumber"/>
      <w:r w:rsidRPr="00CD6EA7">
        <w:t>P9_TA(2024)0</w:t>
      </w:r>
      <w:bookmarkEnd w:id="0"/>
      <w:r w:rsidR="00CD6EA7" w:rsidRPr="00CD6EA7">
        <w:t>232</w:t>
      </w:r>
    </w:p>
    <w:p w:rsidR="001F602C" w:rsidRPr="00CD6EA7" w:rsidRDefault="001F602C" w:rsidP="001F602C">
      <w:pPr>
        <w:pStyle w:val="ATHeading2"/>
      </w:pPr>
      <w:bookmarkStart w:id="1" w:name="title"/>
      <w:r w:rsidRPr="00CD6EA7">
        <w:t>Descărcarea de gestiune 2022: bugetul general al UE - Comitetul Economic și Social European</w:t>
      </w:r>
      <w:bookmarkEnd w:id="1"/>
    </w:p>
    <w:p w:rsidR="001F602C" w:rsidRPr="00CD6EA7" w:rsidRDefault="001F602C" w:rsidP="001F602C">
      <w:pPr>
        <w:rPr>
          <w:i/>
          <w:vanish/>
        </w:rPr>
      </w:pPr>
      <w:r w:rsidRPr="00CD6EA7">
        <w:rPr>
          <w:i/>
        </w:rPr>
        <w:fldChar w:fldCharType="begin"/>
      </w:r>
      <w:r w:rsidRPr="00CD6EA7">
        <w:rPr>
          <w:i/>
        </w:rPr>
        <w:instrText xml:space="preserve"> TC"(</w:instrText>
      </w:r>
      <w:bookmarkStart w:id="2" w:name="DocNumber"/>
      <w:r w:rsidRPr="00CD6EA7">
        <w:rPr>
          <w:i/>
        </w:rPr>
        <w:instrText>A9-0072/2024</w:instrText>
      </w:r>
      <w:bookmarkEnd w:id="2"/>
      <w:r w:rsidRPr="00CD6EA7">
        <w:rPr>
          <w:i/>
        </w:rPr>
        <w:instrText xml:space="preserve"> - Raportor: </w:instrText>
      </w:r>
      <w:proofErr w:type="spellStart"/>
      <w:r w:rsidRPr="00CD6EA7">
        <w:rPr>
          <w:i/>
        </w:rPr>
        <w:instrText>Luke</w:instrText>
      </w:r>
      <w:proofErr w:type="spellEnd"/>
      <w:r w:rsidRPr="00CD6EA7">
        <w:rPr>
          <w:i/>
        </w:rPr>
        <w:instrText xml:space="preserve"> </w:instrText>
      </w:r>
      <w:proofErr w:type="spellStart"/>
      <w:r w:rsidRPr="00CD6EA7">
        <w:rPr>
          <w:i/>
        </w:rPr>
        <w:instrText>Ming</w:instrText>
      </w:r>
      <w:proofErr w:type="spellEnd"/>
      <w:r w:rsidRPr="00CD6EA7">
        <w:rPr>
          <w:i/>
        </w:rPr>
        <w:instrText xml:space="preserve"> </w:instrText>
      </w:r>
      <w:proofErr w:type="spellStart"/>
      <w:r w:rsidRPr="00CD6EA7">
        <w:rPr>
          <w:i/>
        </w:rPr>
        <w:instrText>Flanagan</w:instrText>
      </w:r>
      <w:proofErr w:type="spellEnd"/>
      <w:r w:rsidRPr="00CD6EA7">
        <w:rPr>
          <w:i/>
        </w:rPr>
        <w:instrText xml:space="preserve">)"\l3 \n&gt; \* MERGEFORMAT </w:instrText>
      </w:r>
      <w:r w:rsidRPr="00CD6EA7">
        <w:rPr>
          <w:i/>
        </w:rPr>
        <w:fldChar w:fldCharType="end"/>
      </w:r>
    </w:p>
    <w:p w:rsidR="001F602C" w:rsidRPr="00CD6EA7" w:rsidRDefault="001F602C" w:rsidP="001F602C">
      <w:pPr>
        <w:rPr>
          <w:vanish/>
        </w:rPr>
      </w:pPr>
      <w:bookmarkStart w:id="3" w:name="Commission"/>
      <w:r w:rsidRPr="00CD6EA7">
        <w:rPr>
          <w:vanish/>
        </w:rPr>
        <w:t>Comisia pentru control bugetar</w:t>
      </w:r>
      <w:bookmarkEnd w:id="3"/>
    </w:p>
    <w:p w:rsidR="001F602C" w:rsidRPr="00CD6EA7" w:rsidRDefault="001F602C" w:rsidP="001F602C">
      <w:pPr>
        <w:rPr>
          <w:vanish/>
        </w:rPr>
      </w:pPr>
      <w:bookmarkStart w:id="4" w:name="PE"/>
      <w:r w:rsidRPr="00CD6EA7">
        <w:rPr>
          <w:vanish/>
        </w:rPr>
        <w:t>PE753.483</w:t>
      </w:r>
      <w:bookmarkEnd w:id="4"/>
    </w:p>
    <w:p w:rsidR="001F602C" w:rsidRPr="00CD6EA7" w:rsidRDefault="001F602C" w:rsidP="007F2384">
      <w:pPr>
        <w:pStyle w:val="ATHeading3"/>
      </w:pPr>
      <w:bookmarkStart w:id="5" w:name="Sujet"/>
      <w:r w:rsidRPr="00CD6EA7">
        <w:t>1. Decizia Parlamentului European din 11 aprilie 2024 privind descărcarea de gestiune pentru execuția bugetului general al Uniunii Europene aferent exercițiului financiar 2022, secțiunea VI – Comitetul Economic și Social European</w:t>
      </w:r>
      <w:bookmarkStart w:id="6" w:name="References"/>
      <w:r w:rsidR="007F2384" w:rsidRPr="00CD6EA7">
        <w:t xml:space="preserve"> </w:t>
      </w:r>
      <w:r w:rsidRPr="00CD6EA7">
        <w:t>(2023/2135(DEC))</w:t>
      </w:r>
      <w:bookmarkEnd w:id="6"/>
    </w:p>
    <w:p w:rsidR="0057055B" w:rsidRPr="00CD6EA7" w:rsidRDefault="0057055B" w:rsidP="0057055B">
      <w:pPr>
        <w:pStyle w:val="EPComma"/>
        <w:rPr>
          <w:szCs w:val="24"/>
        </w:rPr>
      </w:pPr>
      <w:bookmarkStart w:id="7" w:name="TextBodyBegin"/>
      <w:bookmarkEnd w:id="5"/>
      <w:bookmarkEnd w:id="7"/>
      <w:r w:rsidRPr="00CD6EA7">
        <w:rPr>
          <w:i/>
          <w:iCs/>
        </w:rPr>
        <w:t>Parlamentul European</w:t>
      </w:r>
      <w:r w:rsidRPr="00CD6EA7">
        <w:t>,</w:t>
      </w:r>
    </w:p>
    <w:p w:rsidR="0057055B" w:rsidRPr="00CD6EA7" w:rsidRDefault="0057055B" w:rsidP="0057055B">
      <w:pPr>
        <w:pStyle w:val="NormalHanging12a"/>
      </w:pPr>
      <w:r w:rsidRPr="00CD6EA7">
        <w:t>–</w:t>
      </w:r>
      <w:r w:rsidRPr="00CD6EA7">
        <w:tab/>
        <w:t>având în vedere bugetul general al Uniunii Europene aferent exercițiului financiar 2022</w:t>
      </w:r>
      <w:r w:rsidRPr="00CD6EA7">
        <w:rPr>
          <w:rStyle w:val="FootnoteReference"/>
        </w:rPr>
        <w:footnoteReference w:id="1"/>
      </w:r>
      <w:r w:rsidRPr="00CD6EA7">
        <w:t>,</w:t>
      </w:r>
    </w:p>
    <w:p w:rsidR="0057055B" w:rsidRPr="00CD6EA7" w:rsidRDefault="0057055B" w:rsidP="0057055B">
      <w:pPr>
        <w:pStyle w:val="NormalHanging12a"/>
      </w:pPr>
      <w:r w:rsidRPr="00CD6EA7">
        <w:t>–</w:t>
      </w:r>
      <w:r w:rsidRPr="00CD6EA7">
        <w:tab/>
        <w:t>având în vedere conturile anuale consolidate ale Uniunii Europene pentru exercițiul financiar 2022 (COM(2023)0391 – C9</w:t>
      </w:r>
      <w:r w:rsidRPr="00CD6EA7">
        <w:noBreakHyphen/>
        <w:t>0254/2023)</w:t>
      </w:r>
      <w:r w:rsidRPr="00CD6EA7">
        <w:rPr>
          <w:rStyle w:val="FootnoteReference"/>
        </w:rPr>
        <w:footnoteReference w:id="2"/>
      </w:r>
      <w:r w:rsidRPr="00CD6EA7">
        <w:t>,</w:t>
      </w:r>
    </w:p>
    <w:p w:rsidR="0057055B" w:rsidRPr="00CD6EA7" w:rsidRDefault="0057055B" w:rsidP="0057055B">
      <w:pPr>
        <w:pStyle w:val="NormalHanging12a"/>
      </w:pPr>
      <w:r w:rsidRPr="00CD6EA7">
        <w:t>–</w:t>
      </w:r>
      <w:r w:rsidRPr="00CD6EA7">
        <w:tab/>
        <w:t>având în vedere Raportul anual de activitate al Comitetului Economic și Social European pe anul 2022 și raportul său anual către autoritatea care acordă descărcarea de gestiune privind auditurile interne desfășurate în 2022,</w:t>
      </w:r>
    </w:p>
    <w:p w:rsidR="0057055B" w:rsidRPr="00CD6EA7" w:rsidRDefault="0057055B" w:rsidP="0057055B">
      <w:pPr>
        <w:pStyle w:val="NormalHanging12a"/>
      </w:pPr>
      <w:r w:rsidRPr="00CD6EA7">
        <w:t>–</w:t>
      </w:r>
      <w:r w:rsidRPr="00CD6EA7">
        <w:tab/>
        <w:t>având în vedere Raportul anual al Curții de Conturi referitor la execuția bugetului privind exercițiul financiar 2022, însoțit de răspunsurile instituțiilor</w:t>
      </w:r>
      <w:r w:rsidRPr="00CD6EA7">
        <w:rPr>
          <w:rStyle w:val="FootnoteReference"/>
        </w:rPr>
        <w:footnoteReference w:id="3"/>
      </w:r>
      <w:r w:rsidRPr="00CD6EA7">
        <w:t>,</w:t>
      </w:r>
    </w:p>
    <w:p w:rsidR="0057055B" w:rsidRPr="00CD6EA7" w:rsidRDefault="0057055B" w:rsidP="0057055B">
      <w:pPr>
        <w:pStyle w:val="NormalHanging12a"/>
      </w:pPr>
      <w:r w:rsidRPr="00CD6EA7">
        <w:t>–</w:t>
      </w:r>
      <w:r w:rsidRPr="00CD6EA7">
        <w:tab/>
        <w:t>având în vedere declarația de asigurare</w:t>
      </w:r>
      <w:r w:rsidRPr="00CD6EA7">
        <w:rPr>
          <w:rStyle w:val="FootnoteReference"/>
        </w:rPr>
        <w:footnoteReference w:id="4"/>
      </w:r>
      <w:r w:rsidRPr="00CD6EA7">
        <w:t xml:space="preserve"> privind fiabilitatea conturilor și legalitatea și regularitatea operațiunilor subiacente întocmită de Curtea de Conturi pentru exercițiul financiar 2022 în temeiul articolului 287 din Tratatul privind funcționarea Uniunii Europene,</w:t>
      </w:r>
    </w:p>
    <w:p w:rsidR="0057055B" w:rsidRPr="00CD6EA7" w:rsidRDefault="0057055B" w:rsidP="0057055B">
      <w:pPr>
        <w:pStyle w:val="NormalHanging12a"/>
      </w:pPr>
      <w:r w:rsidRPr="00CD6EA7">
        <w:t>–</w:t>
      </w:r>
      <w:r w:rsidRPr="00CD6EA7">
        <w:tab/>
        <w:t>având în vedere articolul 314 alineatul (10) și articolele 317, 318 și 319 din Tratatul privind funcționarea Uniunii Europene,</w:t>
      </w:r>
    </w:p>
    <w:p w:rsidR="0057055B" w:rsidRPr="00CD6EA7" w:rsidRDefault="0057055B" w:rsidP="0057055B">
      <w:pPr>
        <w:pStyle w:val="NormalHanging12a"/>
      </w:pPr>
      <w:r w:rsidRPr="00CD6EA7">
        <w:t>–</w:t>
      </w:r>
      <w:r w:rsidRPr="00CD6EA7">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Pr="00CD6EA7">
        <w:lastRenderedPageBreak/>
        <w:t>(UE) nr. 1303/2013, (UE) nr. 1304/2013, (UE) nr. 1309/2013, (UE) nr. 1316/2013, (UE) nr. 223/2014, (UE) nr. 283/2014 și a Deciziei nr. 541/2014/UE și de abrogare a Regulamentului (UE, Euratom) nr. 966/2012</w:t>
      </w:r>
      <w:r w:rsidRPr="00CD6EA7">
        <w:rPr>
          <w:rStyle w:val="FootnoteReference"/>
        </w:rPr>
        <w:footnoteReference w:id="5"/>
      </w:r>
      <w:r w:rsidRPr="00CD6EA7">
        <w:t>, în special articolele 59, 118, 260, 261 și 262,</w:t>
      </w:r>
    </w:p>
    <w:p w:rsidR="0057055B" w:rsidRPr="00CD6EA7" w:rsidRDefault="0057055B" w:rsidP="0057055B">
      <w:pPr>
        <w:pStyle w:val="NormalHanging12a"/>
      </w:pPr>
      <w:r w:rsidRPr="00CD6EA7">
        <w:t>–</w:t>
      </w:r>
      <w:r w:rsidRPr="00CD6EA7">
        <w:tab/>
        <w:t>având în vedere articolul 100 și anexa V la Regulamentul său de procedură,</w:t>
      </w:r>
    </w:p>
    <w:p w:rsidR="0057055B" w:rsidRPr="00CD6EA7" w:rsidRDefault="0057055B" w:rsidP="0057055B">
      <w:pPr>
        <w:pStyle w:val="NormalHanging12a"/>
      </w:pPr>
      <w:r w:rsidRPr="00CD6EA7">
        <w:t>–</w:t>
      </w:r>
      <w:r w:rsidRPr="00CD6EA7">
        <w:tab/>
        <w:t>având în vedere raportul Comisiei pentru control bugetar (A9-0072/2024),</w:t>
      </w:r>
    </w:p>
    <w:p w:rsidR="0057055B" w:rsidRPr="00CD6EA7" w:rsidRDefault="0057055B" w:rsidP="0057055B">
      <w:pPr>
        <w:pStyle w:val="NormalHanging12a"/>
      </w:pPr>
      <w:r w:rsidRPr="00CD6EA7">
        <w:t>1.</w:t>
      </w:r>
      <w:r w:rsidRPr="00CD6EA7">
        <w:tab/>
        <w:t>acordă Secretar</w:t>
      </w:r>
      <w:r w:rsidR="0015427E" w:rsidRPr="00CD6EA7">
        <w:t>ei</w:t>
      </w:r>
      <w:r w:rsidRPr="00CD6EA7">
        <w:t xml:space="preserve"> General</w:t>
      </w:r>
      <w:r w:rsidR="0015427E" w:rsidRPr="00CD6EA7">
        <w:t>e</w:t>
      </w:r>
      <w:r w:rsidRPr="00CD6EA7">
        <w:t xml:space="preserve"> a Comitetului Economic și Social European descărcarea de gestiune pentru execuția bugetului Comitetului Economic și Social European aferent exercițiului financiar 2022;</w:t>
      </w:r>
    </w:p>
    <w:p w:rsidR="0057055B" w:rsidRPr="00CD6EA7" w:rsidRDefault="0057055B" w:rsidP="0057055B">
      <w:pPr>
        <w:pStyle w:val="NormalHanging12a"/>
      </w:pPr>
      <w:r w:rsidRPr="00CD6EA7">
        <w:t>2.</w:t>
      </w:r>
      <w:r w:rsidRPr="00CD6EA7">
        <w:tab/>
        <w:t>își prezintă observațiile în cadrul rezoluției de mai jos;</w:t>
      </w:r>
    </w:p>
    <w:p w:rsidR="0057055B" w:rsidRPr="00CD6EA7" w:rsidRDefault="0057055B" w:rsidP="0057055B">
      <w:pPr>
        <w:pStyle w:val="NormalHanging12a"/>
      </w:pPr>
      <w:r w:rsidRPr="00CD6EA7">
        <w:t>3.</w:t>
      </w:r>
      <w:r w:rsidRPr="00CD6EA7">
        <w:tab/>
        <w:t>încredințează Președintei sarcina de a transmite prezenta decizie împreună cu rezoluția Parlamentului, ca parte integrantă a acesteia, secretar</w:t>
      </w:r>
      <w:r w:rsidR="0015427E" w:rsidRPr="00CD6EA7">
        <w:t xml:space="preserve">ei </w:t>
      </w:r>
      <w:r w:rsidRPr="00CD6EA7">
        <w:t>general</w:t>
      </w:r>
      <w:r w:rsidR="0015427E" w:rsidRPr="00CD6EA7">
        <w:t>e</w:t>
      </w:r>
      <w:r w:rsidRPr="00CD6EA7">
        <w:t xml:space="preserve"> a Comitetului Economic și Social European, Consiliului, Comisiei și Curții de Conturi și de a asigura publicarea acestora în </w:t>
      </w:r>
      <w:r w:rsidRPr="00CD6EA7">
        <w:rPr>
          <w:i/>
        </w:rPr>
        <w:t>Jurnalul Oficial al Uniunii Europene</w:t>
      </w:r>
      <w:r w:rsidRPr="00CD6EA7">
        <w:t xml:space="preserve"> (seria L). </w:t>
      </w:r>
    </w:p>
    <w:p w:rsidR="0057055B" w:rsidRPr="00CD6EA7" w:rsidRDefault="0057055B" w:rsidP="0057055B"/>
    <w:p w:rsidR="0057055B" w:rsidRPr="00CD6EA7" w:rsidRDefault="0057055B" w:rsidP="0057055B">
      <w:pPr>
        <w:pStyle w:val="PageHeading"/>
        <w:sectPr w:rsidR="0057055B" w:rsidRPr="00CD6EA7" w:rsidSect="00CE447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7055B" w:rsidRPr="00CD6EA7" w:rsidRDefault="007F2384" w:rsidP="007F2384">
      <w:pPr>
        <w:pStyle w:val="ATHeading3"/>
        <w:rPr>
          <w:szCs w:val="24"/>
        </w:rPr>
      </w:pPr>
      <w:bookmarkStart w:id="8" w:name="_Toc161841934"/>
      <w:r w:rsidRPr="00CD6EA7">
        <w:lastRenderedPageBreak/>
        <w:t>2. Rezoluția Parlamentului European</w:t>
      </w:r>
      <w:bookmarkEnd w:id="8"/>
      <w:r w:rsidRPr="00CD6EA7">
        <w:t xml:space="preserve"> din 11 aprilie 2024 conținând observațiile </w:t>
      </w:r>
      <w:r w:rsidR="0057055B" w:rsidRPr="00CD6EA7">
        <w:t>care fac parte integrantă din decizia privind descărcarea de gestiune pentru execuția bugetului general al Uniunii Europene aferent exercițiului financiar 2022, secțiunea VI – Comitetul Economic și Social European</w:t>
      </w:r>
      <w:r w:rsidRPr="00CD6EA7">
        <w:rPr>
          <w:szCs w:val="24"/>
        </w:rPr>
        <w:t xml:space="preserve"> </w:t>
      </w:r>
      <w:r w:rsidR="0057055B" w:rsidRPr="00CD6EA7">
        <w:t>(2023/2135(DEC))</w:t>
      </w:r>
    </w:p>
    <w:p w:rsidR="0057055B" w:rsidRPr="00CD6EA7" w:rsidRDefault="0057055B" w:rsidP="0057055B">
      <w:pPr>
        <w:pStyle w:val="EPComma"/>
        <w:rPr>
          <w:szCs w:val="24"/>
        </w:rPr>
      </w:pPr>
      <w:r w:rsidRPr="00CD6EA7">
        <w:rPr>
          <w:i/>
          <w:iCs/>
        </w:rPr>
        <w:t>Parlamentul European</w:t>
      </w:r>
      <w:r w:rsidRPr="00CD6EA7">
        <w:t>,</w:t>
      </w:r>
    </w:p>
    <w:p w:rsidR="0057055B" w:rsidRPr="00CD6EA7" w:rsidRDefault="0057055B" w:rsidP="0057055B">
      <w:pPr>
        <w:pStyle w:val="NormalHanging12a"/>
      </w:pPr>
      <w:r w:rsidRPr="00CD6EA7">
        <w:t>–</w:t>
      </w:r>
      <w:r w:rsidRPr="00CD6EA7">
        <w:tab/>
        <w:t>având în vedere Decizia sa privind descărcarea de gestiune pentru execuția bugetului general al Uniunii Europene aferent exercițiului financiar 2022, secțiunea VI – Comitetul Economic și Social European,</w:t>
      </w:r>
    </w:p>
    <w:p w:rsidR="0057055B" w:rsidRPr="00CD6EA7" w:rsidRDefault="0057055B" w:rsidP="0057055B">
      <w:pPr>
        <w:pStyle w:val="NormalHanging12a"/>
      </w:pPr>
      <w:r w:rsidRPr="00CD6EA7">
        <w:t>–</w:t>
      </w:r>
      <w:r w:rsidRPr="00CD6EA7">
        <w:tab/>
        <w:t>având în vedere articolul 100 și anexa V la Regulamentul său de procedură,</w:t>
      </w:r>
    </w:p>
    <w:p w:rsidR="0057055B" w:rsidRPr="00CD6EA7" w:rsidRDefault="0057055B" w:rsidP="0057055B">
      <w:pPr>
        <w:pStyle w:val="NormalHanging12a"/>
      </w:pPr>
      <w:r w:rsidRPr="00CD6EA7">
        <w:t>–</w:t>
      </w:r>
      <w:r w:rsidRPr="00CD6EA7">
        <w:tab/>
        <w:t>având în vedere raportul Comisiei pentru control bugetar (A9-0072/2024),</w:t>
      </w:r>
    </w:p>
    <w:p w:rsidR="0057055B" w:rsidRPr="00CD6EA7" w:rsidRDefault="0057055B" w:rsidP="0057055B">
      <w:pPr>
        <w:pStyle w:val="NormalHanging12a"/>
      </w:pPr>
      <w:r w:rsidRPr="00CD6EA7">
        <w:t>A.</w:t>
      </w:r>
      <w:r w:rsidRPr="00CD6EA7">
        <w:tab/>
        <w:t>întrucât, în contextul procedurii de descărcare de gestiune, autoritatea care acordă descărcarea de gestiune dorește să sublinieze că este deosebit de important să se întărească și mai mult legitimitatea democratică a instituțiilor Uniunii prin îmbunătățirea transparenței și a răspunderii și prin aplicarea principiului întocmirii bugetului în funcție de performanțe și buna administrare a resurselor umane;</w:t>
      </w:r>
    </w:p>
    <w:p w:rsidR="0057055B" w:rsidRPr="00CD6EA7" w:rsidRDefault="0057055B" w:rsidP="0057055B">
      <w:pPr>
        <w:pStyle w:val="NormalHanging12a"/>
      </w:pPr>
      <w:r w:rsidRPr="00CD6EA7">
        <w:t>B.</w:t>
      </w:r>
      <w:r w:rsidRPr="00CD6EA7">
        <w:tab/>
        <w:t>întrucât Comitetul Economic și Social European (denumit în continuare „Comitetul”) este un organ consultativ al Uniunii care oferă un forum de consultare, dialog și consens între reprezentanții diferitelor componente economice, sociale și civile ale societății civile organizate din statele membre;</w:t>
      </w:r>
    </w:p>
    <w:p w:rsidR="0057055B" w:rsidRPr="00CD6EA7" w:rsidRDefault="0057055B" w:rsidP="0057055B">
      <w:pPr>
        <w:pStyle w:val="NormalHanging12a"/>
      </w:pPr>
      <w:r w:rsidRPr="00CD6EA7">
        <w:t>C.</w:t>
      </w:r>
      <w:r w:rsidRPr="00CD6EA7">
        <w:tab/>
        <w:t>întrucât Comitetul contribuie la procesul decizional al Uniunii și, prin asigurarea legăturii dintre politicile Uniunii și circumstanțele economice, sociale și civice, își îndeplinește misiunile de îmbunătățire a legiferării, democrație participativă de jos în sus și de promovare a valorilor Uniunii;</w:t>
      </w:r>
    </w:p>
    <w:p w:rsidR="0057055B" w:rsidRPr="00CD6EA7" w:rsidRDefault="0057055B" w:rsidP="0057055B">
      <w:pPr>
        <w:pStyle w:val="NormalHanging12a"/>
      </w:pPr>
      <w:r w:rsidRPr="00CD6EA7">
        <w:t>D.</w:t>
      </w:r>
      <w:r w:rsidRPr="00CD6EA7">
        <w:tab/>
        <w:t>întrucât consultarea Comitetului de către Comisie sau Consiliu este obligatorie în anumite cazuri, iar Comitetul poate adopta și avize din proprie inițiativă, beneficiind de o marjă largă de sesizare, astfel cum este definită în tratate, ceea ce îi permite să fie consultat de Parlament;</w:t>
      </w:r>
    </w:p>
    <w:p w:rsidR="0057055B" w:rsidRPr="00CD6EA7" w:rsidRDefault="0057055B" w:rsidP="0057055B">
      <w:pPr>
        <w:pStyle w:val="NormalHanging12a"/>
      </w:pPr>
      <w:r w:rsidRPr="00CD6EA7">
        <w:t>E.</w:t>
      </w:r>
      <w:r w:rsidRPr="00CD6EA7">
        <w:tab/>
        <w:t>întrucât Comisia pentru afaceri financiare și bugetare a Comitetului este organismul său de supraveghere pentru toate procedurile bugetare și, în special, întocmirea estimărilor bugetare, execuția bugetară, raportul anual de activitate, descărcarea de gestiune și acțiunile întreprinse ca urmare a raportului anual al Curții de Conturi (denumită în continuare „Curtea”),</w:t>
      </w:r>
    </w:p>
    <w:p w:rsidR="0057055B" w:rsidRPr="00CD6EA7" w:rsidRDefault="0057055B" w:rsidP="0057055B">
      <w:pPr>
        <w:pStyle w:val="NormalHanging12a"/>
      </w:pPr>
      <w:r w:rsidRPr="00CD6EA7">
        <w:t>1.</w:t>
      </w:r>
      <w:r w:rsidRPr="00CD6EA7">
        <w:tab/>
        <w:t>constată că bugetul Comitetului se încadrează la rubrica 7 din CFM, „Administrația publică europeană”, care s-a ridicat la un total de 11,6 miliarde EUR în 2022 (adică 5,9 % din cheltuielile bugetare ale Uniunii); constată că, în 2022, bugetul Comitetului a reprezentat 1,31 % din rubrica 7 din CFM;</w:t>
      </w:r>
    </w:p>
    <w:p w:rsidR="0057055B" w:rsidRPr="00CD6EA7" w:rsidRDefault="0057055B" w:rsidP="0057055B">
      <w:pPr>
        <w:pStyle w:val="NormalHanging12a"/>
      </w:pPr>
      <w:r w:rsidRPr="00CD6EA7">
        <w:t>2.</w:t>
      </w:r>
      <w:r w:rsidRPr="00CD6EA7">
        <w:tab/>
        <w:t xml:space="preserve">constată că, în Raportul său anual pentru exercițiul financiar 2022, Curtea a examinat un eșantion de 60 de operațiuni de la rubrica „Administrație”, același număr ca și în 2021; observă și că, potrivit Curții, cheltuielile administrative cuprind cheltuieli cu resursele umane, inclusiv cheltuieli cu pensiile, care în 2022 au reprezentat aproximativ 70 % din </w:t>
      </w:r>
      <w:r w:rsidRPr="00CD6EA7">
        <w:lastRenderedPageBreak/>
        <w:t>cheltuielile administrative totale, și cheltuieli cu clădirile, echipamentele, energia, tehnologia informației și comunicațiilor și că activitatea sa pe parcursul multor ani arată că, per ansamblu, aceste cheltuieli prezintă un risc scăzut;</w:t>
      </w:r>
    </w:p>
    <w:p w:rsidR="0057055B" w:rsidRPr="00CD6EA7" w:rsidRDefault="0057055B" w:rsidP="0057055B">
      <w:pPr>
        <w:pStyle w:val="NormalHanging12a"/>
      </w:pPr>
      <w:r w:rsidRPr="00CD6EA7">
        <w:t>3.</w:t>
      </w:r>
      <w:r w:rsidRPr="00CD6EA7">
        <w:tab/>
        <w:t>constată că, în cadrul auditului său pentru 2022, Curtea a examinat sistemele de supraveghere și de control ale Comitetului, în special punerea în aplicare a standardelor privind controlul intern, gestionarea riscurilor și funcționarea controalelor-cheie definite în Regulamentul financiar, inclusiv controalele ex ante și ex post asupra plăților;</w:t>
      </w:r>
    </w:p>
    <w:p w:rsidR="0057055B" w:rsidRPr="00CD6EA7" w:rsidRDefault="0057055B" w:rsidP="0057055B">
      <w:pPr>
        <w:pStyle w:val="NormalHanging12a"/>
      </w:pPr>
      <w:r w:rsidRPr="00CD6EA7">
        <w:t>4.</w:t>
      </w:r>
      <w:r w:rsidRPr="00CD6EA7">
        <w:tab/>
        <w:t>observă că 14 (23 %) dintre cele 60 de operațiuni conțineau erori însă, pe baza celor cinci erori care au fost cuantificate, Curtea estimează că nivelul de eroare se află sub pragul de semnificație;</w:t>
      </w:r>
    </w:p>
    <w:p w:rsidR="0057055B" w:rsidRPr="00CD6EA7" w:rsidRDefault="0057055B" w:rsidP="0057055B">
      <w:pPr>
        <w:pStyle w:val="NormalHanging12a"/>
      </w:pPr>
      <w:r w:rsidRPr="00CD6EA7">
        <w:t>5.</w:t>
      </w:r>
      <w:r w:rsidRPr="00CD6EA7">
        <w:tab/>
        <w:t>remarcă cu satisfacție că, în raportul său anual pentru exercițiul financiar 2022, Curtea menționează că nu a depistat probleme speciale implicând Comitetul; remarcă și că, în analiza sa subsecventă, Curtea a considerat că recomandarea adresată Comitetului în raportul anual pentru exercițiul financiar 2019 în ceea ce privește nevoia ca acesta să elaboreze o politică privind funcțiile sensibile, în conformitate cu standardele sale de control intern, a fost pusă în aplicare în unele privințe;</w:t>
      </w:r>
    </w:p>
    <w:p w:rsidR="0057055B" w:rsidRPr="00CD6EA7" w:rsidRDefault="0057055B" w:rsidP="0057055B">
      <w:pPr>
        <w:pStyle w:val="NormalHanging12a"/>
        <w:rPr>
          <w:b/>
          <w:i/>
        </w:rPr>
      </w:pPr>
      <w:r w:rsidRPr="00CD6EA7">
        <w:rPr>
          <w:b/>
          <w:i/>
        </w:rPr>
        <w:t>Gestiunea bugetară și financiară</w:t>
      </w:r>
    </w:p>
    <w:p w:rsidR="0057055B" w:rsidRPr="00CD6EA7" w:rsidRDefault="0057055B" w:rsidP="0057055B">
      <w:pPr>
        <w:pStyle w:val="NormalHanging12a"/>
      </w:pPr>
      <w:r w:rsidRPr="00CD6EA7">
        <w:t>6.</w:t>
      </w:r>
      <w:r w:rsidRPr="00CD6EA7">
        <w:tab/>
        <w:t>constată că, în 2022, bugetul final adoptat pentru Comitet s-a ridicat la 152 451 643 EUR, reprezentând o creștere generală de 5,1 % comparativ cu 2021; constată că linia bugetară pentru remunerații și indemnizații a crescut cu 5 % în perioada 2021-2022, ca urmare a indexării anuale a salariilor; constată că linia bugetară pentru amenajarea spațiilor a crescut cu 77 % în perioada 2021-2022 și a revenit la nivelul obișnuit după realizarea unor lucrări importante de renovare în 2021; constată că, altfel, distribuția creditelor la nivelul liniilor bugetare în bugetul pe 2022 a rămas comparabilă cu distribuția pe anii precedenți;</w:t>
      </w:r>
    </w:p>
    <w:p w:rsidR="0057055B" w:rsidRPr="00CD6EA7" w:rsidRDefault="0057055B" w:rsidP="0057055B">
      <w:pPr>
        <w:pStyle w:val="NormalHanging12a"/>
      </w:pPr>
      <w:r w:rsidRPr="00CD6EA7">
        <w:t>7.</w:t>
      </w:r>
      <w:r w:rsidRPr="00CD6EA7">
        <w:tab/>
        <w:t>constată că rata de execuție bugetară a fost de 96,12 % în 2022, după doi ani de execuție bugetară mai scăzută, ca urmare a pandemiei de COVID-19 și a restricțiilor asociate acesteia în ceea ce privește deplasările; observă că rata de execuție a plăților a urmat aceeași tendință și a ajuns la 88,12 % în 2022;</w:t>
      </w:r>
    </w:p>
    <w:p w:rsidR="0057055B" w:rsidRPr="00CD6EA7" w:rsidRDefault="0057055B" w:rsidP="0057055B">
      <w:pPr>
        <w:pStyle w:val="NormalHanging12a"/>
      </w:pPr>
      <w:r w:rsidRPr="00CD6EA7">
        <w:t>8.</w:t>
      </w:r>
      <w:r w:rsidRPr="00CD6EA7">
        <w:tab/>
        <w:t>constată că reportarea creditelor în anul 2022 s-a ridicat la 20 162 518 EUR, adică aproximativ 13 % din bugetul anual pe 2022, care a fost substanțial mai mare decât media în ultimii ani; înțelege că această reportare a fost legată de amânarea lucrărilor de construcții în 2020 și 2021;</w:t>
      </w:r>
    </w:p>
    <w:p w:rsidR="0057055B" w:rsidRPr="00CD6EA7" w:rsidRDefault="0057055B" w:rsidP="0057055B">
      <w:pPr>
        <w:pStyle w:val="NormalHanging12a"/>
      </w:pPr>
      <w:r w:rsidRPr="00CD6EA7">
        <w:t>9.</w:t>
      </w:r>
      <w:r w:rsidRPr="00CD6EA7">
        <w:tab/>
        <w:t>constată că termenul mediu de plată a fost de 18 zile în 2022, ceea ce reprezintă o scădere importantă față de 2019, când a fost de 30,19 zile; apreciază, în același timp, că utilizarea facturării electronice a crescut de la 58,54 % în 2018 la 88,84 % în 2022, ceea ce este posibil să fi contribuit la reducerea termenului de plată pe această perioadă; salută faptul că Comitetul și-a schimbat practicile ca urmare a recomandărilor de audit intern privind termenele de plată, care a fost inițiat și închis în 2022 și a contribuit la o scădere a procentului de plăți efectuate cu întârziere la aproximativ 10 % în 2022;</w:t>
      </w:r>
    </w:p>
    <w:p w:rsidR="0057055B" w:rsidRPr="00CD6EA7" w:rsidRDefault="0057055B" w:rsidP="0057055B">
      <w:pPr>
        <w:pStyle w:val="NormalHanging12a"/>
      </w:pPr>
      <w:r w:rsidRPr="00CD6EA7">
        <w:t>10.</w:t>
      </w:r>
      <w:r w:rsidRPr="00CD6EA7">
        <w:tab/>
        <w:t xml:space="preserve">constată că serviciile proprii ale Comitetului au lansat 15 proceduri de negociere pentru achiziții cu o valoare sub 60 000 EUR în 2022, în special pentru expertiză, studii și </w:t>
      </w:r>
      <w:r w:rsidRPr="00CD6EA7">
        <w:lastRenderedPageBreak/>
        <w:t>sprijin logistic; constată că procedurile de achiziții în domeniul logisticii au fost lansate de serviciile comune partajate de Comitet și Comitetul Regiunilor (denumit în continuare „</w:t>
      </w:r>
      <w:proofErr w:type="spellStart"/>
      <w:r w:rsidRPr="00CD6EA7">
        <w:t>CoR</w:t>
      </w:r>
      <w:proofErr w:type="spellEnd"/>
      <w:r w:rsidRPr="00CD6EA7">
        <w:t>”);</w:t>
      </w:r>
    </w:p>
    <w:p w:rsidR="0057055B" w:rsidRPr="00CD6EA7" w:rsidRDefault="0057055B" w:rsidP="0057055B">
      <w:pPr>
        <w:pStyle w:val="NormalHanging12a"/>
      </w:pPr>
      <w:r w:rsidRPr="00CD6EA7">
        <w:t>11.</w:t>
      </w:r>
      <w:r w:rsidRPr="00CD6EA7">
        <w:tab/>
        <w:t xml:space="preserve">constată că, în 2022, Comitetul a continuat să își îmbunătățească eficacitatea metodelor de lucru la nivel de costuri, mai ales grație muncii hibride, dematerializării complete a circuitelor financiare și reducerii consumului de energie; observă și că s-au realizat economii bugetare și administrative prin cooperare interinstituțională, mai ales prin serviciile comune cu </w:t>
      </w:r>
      <w:proofErr w:type="spellStart"/>
      <w:r w:rsidRPr="00CD6EA7">
        <w:t>CoR</w:t>
      </w:r>
      <w:proofErr w:type="spellEnd"/>
      <w:r w:rsidRPr="00CD6EA7">
        <w:t xml:space="preserve"> și prin externalizarea anumitor servicii către Comisie (în schimbul unei taxe anuale) pentru gestionarea aspectelor legate de RU și pentru utilizarea diferitelor platforme informatice pentru gestiunea financiară și RU, dar și prin participarea la proceduri de achiziții interinstituționale conduse de alte instituții;</w:t>
      </w:r>
    </w:p>
    <w:p w:rsidR="0057055B" w:rsidRPr="00CD6EA7" w:rsidRDefault="0057055B" w:rsidP="0057055B">
      <w:pPr>
        <w:pStyle w:val="NormalHanging12a"/>
      </w:pPr>
      <w:r w:rsidRPr="00CD6EA7">
        <w:t>12.</w:t>
      </w:r>
      <w:r w:rsidRPr="00CD6EA7">
        <w:tab/>
        <w:t xml:space="preserve">este conștient că deciziile referitoare la indemnizațiile membrilor Comitetului pentru participarea la ședințe și la cuantumul acestor indemnizații sunt luate de Consiliu; regretă că, după eliminarea progresivă a restricțiilor de deplasare asociate pandemiei de COVID-19, Consiliul a decis să nu se abroge decizia temporară din 2021 prin care se acorda o indemnizație de 145 EUR pentru participarea la întâlniri de la distanță de către membri, care a rămas în vigoare până la 25 mai 2023, când a fost adoptată o nouă decizie a Consiliului, prin care se prevede o sumă forfetară de 145 EUR pe zi pentru participarea la întâlniri de la distanță; consideră că participarea de la distanță este un instrument important pentru o instituție modernă, întrucât, printre altele, reduce costurile ședințelor și permite o participare mai largă, mai ales în situații de criză, după cum s-a văzut pe perioada pandemiei de COVID-19; consideră însă că o indemnizație pentru participarea de la distanță, deși redusă, este greu de înțeles de către public, mai ales ținând cont de diferența plătită membrilor Comitetului și membrilor </w:t>
      </w:r>
      <w:proofErr w:type="spellStart"/>
      <w:r w:rsidRPr="00CD6EA7">
        <w:t>CoR</w:t>
      </w:r>
      <w:proofErr w:type="spellEnd"/>
      <w:r w:rsidRPr="00CD6EA7">
        <w:t xml:space="preserve"> pentru participarea de la distanță; ia act de diferitele niveluri de control aplicate pentru a demonstra că un membru participă la o ședință de la distanță, înainte de plata indemnizației;</w:t>
      </w:r>
    </w:p>
    <w:p w:rsidR="0057055B" w:rsidRPr="00CD6EA7" w:rsidRDefault="0057055B" w:rsidP="0057055B">
      <w:pPr>
        <w:pStyle w:val="NormalHanging12a"/>
      </w:pPr>
      <w:r w:rsidRPr="00CD6EA7">
        <w:t>13.</w:t>
      </w:r>
      <w:r w:rsidRPr="00CD6EA7">
        <w:tab/>
        <w:t>observă că războiul de agresiune al Rusiei împotriva Ucrainei a creat presiuni bugetare pentru Comitet, inclusiv prin creșterea inflației și prin ajustări salariale, majorând semnificativ costurile cu energia și costul construcțiilor și al materiilor prime; observă mai ales că costurile cu energia au crescut de la 726 000 EUR la 3 125 000 EUR în perioada 2021-2022, ceea ce reprezintă o creștere de 330 %; constată că activitățile ad-hoc pentru sprijinirea societății civile ucrainene au presupus costuri directe și indirecte, precum costurile legate de traducerea și interpretarea din și în limba ucraineană, găzduirea ONG-urilor ucrainene și serviciile de securitate și formările pentru misiuni în Ucraina;</w:t>
      </w:r>
    </w:p>
    <w:p w:rsidR="0057055B" w:rsidRPr="00CD6EA7" w:rsidRDefault="0057055B" w:rsidP="0057055B">
      <w:pPr>
        <w:pStyle w:val="NormalHanging12a"/>
        <w:rPr>
          <w:b/>
          <w:i/>
        </w:rPr>
      </w:pPr>
      <w:r w:rsidRPr="00CD6EA7">
        <w:t>14.</w:t>
      </w:r>
      <w:r w:rsidRPr="00CD6EA7">
        <w:tab/>
        <w:t>constată că bugetul pe 2022 pentru misiunile personalului a crescut cu 25 000 EUR comparativ cu 2021, când a fost finanțat dintr-un transfer bugetar, pentru a acoperi cheltuielile mai mari cauzate de creșterea prețurilor pentru zboruri și cazări la hotel în 2022 și s-a ridicat, în total, la 398 974 EUR; constată că, în 2022, președintele Comitetului a participat la 26 de misiuni cu un cost total de 38 042 EUR, comparativ cu 12 misiuni cu un cost total de 15 327 EUR în 2021, ca urmare a ridicării restricțiilor de deplasare după sfârșitul pandemiei de COVID-19;</w:t>
      </w:r>
    </w:p>
    <w:p w:rsidR="0057055B" w:rsidRPr="00CD6EA7" w:rsidRDefault="0057055B" w:rsidP="0057055B">
      <w:pPr>
        <w:pStyle w:val="NormalHanging12a"/>
        <w:rPr>
          <w:b/>
          <w:i/>
        </w:rPr>
      </w:pPr>
      <w:r w:rsidRPr="00CD6EA7">
        <w:rPr>
          <w:b/>
          <w:i/>
        </w:rPr>
        <w:t>Gestiunea internă, performanța și controlul intern</w:t>
      </w:r>
    </w:p>
    <w:p w:rsidR="0057055B" w:rsidRPr="00CD6EA7" w:rsidRDefault="0057055B" w:rsidP="0057055B">
      <w:pPr>
        <w:pStyle w:val="NormalHanging12a"/>
      </w:pPr>
      <w:r w:rsidRPr="00CD6EA7">
        <w:t>15.</w:t>
      </w:r>
      <w:r w:rsidRPr="00CD6EA7">
        <w:tab/>
        <w:t xml:space="preserve">constată că Comitetul își realizează misiunea prin avize care se referă la propunerile </w:t>
      </w:r>
      <w:r w:rsidRPr="00CD6EA7">
        <w:lastRenderedPageBreak/>
        <w:t xml:space="preserve">legislative formulate de Comisie (sesizări), avize din proprie inițiativă, care invită instituțiile Uniunii să ia măsuri, și avize exploratorii, care contribuie la activitatea Comisiei privind inițiativele sale planificate, și că pozițiile Comitetului pot fi evidențiate în rezoluții sau pot fi incluse în rapoarte de evaluare și informare; observă că, în 2022, Comitetul a adoptat 202 avize și rapoarte, în acord cu performanța sa anuală medie, cu excepția anilor 2019 și 2020, când activitatea Comitetului a fost mai redusă; constată că Comitetul și-a îmbunătățit și angajamentul la nivelul ciclului politic și legislativ, participând la 345 de ședințe, </w:t>
      </w:r>
      <w:proofErr w:type="spellStart"/>
      <w:r w:rsidRPr="00CD6EA7">
        <w:t>summituri</w:t>
      </w:r>
      <w:proofErr w:type="spellEnd"/>
      <w:r w:rsidRPr="00CD6EA7">
        <w:t xml:space="preserve"> și conferințe la nivel înalt, organizate la nivel național, la nivelul Uniunii și la nivel internațional și organizând 116 audieri și 29 de conferințe;</w:t>
      </w:r>
    </w:p>
    <w:p w:rsidR="0057055B" w:rsidRPr="00CD6EA7" w:rsidRDefault="0057055B" w:rsidP="0057055B">
      <w:pPr>
        <w:pStyle w:val="NormalHanging12a"/>
      </w:pPr>
      <w:r w:rsidRPr="00CD6EA7">
        <w:t>16.</w:t>
      </w:r>
      <w:r w:rsidRPr="00CD6EA7">
        <w:tab/>
        <w:t xml:space="preserve">apreciază proiectele lansate în 2022 în ceea ce privește avizele subsecvente consolidate, pentru a crește impactul și amploarea avizelor respective și pentru a îmbunătăți capacitatea Comitetului de a-și </w:t>
      </w:r>
      <w:proofErr w:type="spellStart"/>
      <w:r w:rsidRPr="00CD6EA7">
        <w:t>prioritiza</w:t>
      </w:r>
      <w:proofErr w:type="spellEnd"/>
      <w:r w:rsidRPr="00CD6EA7">
        <w:t xml:space="preserve"> activitatea și de a publica avize la momentul potrivit; constată că aceste inițiative au fost completate, la sfârșitul anului 2022, de o reflecție asupra formatului avizelor, menită să promoveze o utilizare mai eficientă și eficace a avizelor Comitetului în procesul decizional legislativ;</w:t>
      </w:r>
    </w:p>
    <w:p w:rsidR="0057055B" w:rsidRPr="00CD6EA7" w:rsidRDefault="0057055B" w:rsidP="0057055B">
      <w:pPr>
        <w:pStyle w:val="NormalHanging12a"/>
      </w:pPr>
      <w:r w:rsidRPr="00CD6EA7">
        <w:t>17.</w:t>
      </w:r>
      <w:r w:rsidRPr="00CD6EA7">
        <w:tab/>
        <w:t>constată că, în 2022, deputații în Parlamentul European au participat la ședințe sau la evenimente organizate de Comitet în 68 de situații, numărul rămânând la același nivel ca în 2021, în timp ce membrii Comitetului aproape că și-au dublat participarea la evenimente organizate de Parlament în aceeași perioadă; salută faptul că, în 2022, Comitetul s-a concentrat pe intensificarea relațiilor sale cu Parlamentul și pe promovarea valorii adăugate a Comitetului, încurajând astfel legături și mai strânse între secțiunile Comitetului și comisiile parlamentare;</w:t>
      </w:r>
    </w:p>
    <w:p w:rsidR="0057055B" w:rsidRPr="00CD6EA7" w:rsidRDefault="0057055B" w:rsidP="0057055B">
      <w:pPr>
        <w:pStyle w:val="NormalHanging12a"/>
      </w:pPr>
      <w:r w:rsidRPr="00CD6EA7">
        <w:t>18.</w:t>
      </w:r>
      <w:r w:rsidRPr="00CD6EA7">
        <w:tab/>
        <w:t>ia act de participarea largă a Comitetului la diverse inițiative, inclusiv la principalele evenimente și conferințe anuale pentru a colabora cu părțile interesate europene; salută eforturile depuse de Comitet pentru a spori implicarea tinerilor în procesul de elaborare a politicilor;</w:t>
      </w:r>
    </w:p>
    <w:p w:rsidR="0057055B" w:rsidRPr="00CD6EA7" w:rsidRDefault="0057055B" w:rsidP="0057055B">
      <w:pPr>
        <w:pStyle w:val="NormalHanging12a"/>
      </w:pPr>
      <w:r w:rsidRPr="00CD6EA7">
        <w:t>19.</w:t>
      </w:r>
      <w:r w:rsidRPr="00CD6EA7">
        <w:tab/>
        <w:t>observă că Comitetul și-a consolidat în continuare cadrul de control intern în 2022, cu simplificarea circuitelor financiare în cadrul procedurii de „verificare simplificată” pentru unele operațiuni cu valoare scăzută, și a continuat să își dezvolte politica privind posturile sensibile, după cum a recomandat Curtea în raportul său anual pentru exercițiul financiar 2019; observă că, după cum rezultă din actualizarea listei posturilor sensibile pe parcursul anului 2022 și la momentul publicării listei actualizate cu 36 de posturi la începutul anului 2023, Comitetul încă lucra la revizuirea metodologiei și a sistemului de gestionare a riscurilor, ținând cont atât de dimensiunea instituției, cât și de natura operațiunilor sale; invită Comitetul să informeze autoritatea de descărcare de gestiune cu privire la progresele înregistrate în ceea ce privește punerea în aplicare a metodologiei privind posturile sensibile în 2023;</w:t>
      </w:r>
    </w:p>
    <w:p w:rsidR="0057055B" w:rsidRPr="00CD6EA7" w:rsidRDefault="0057055B" w:rsidP="0057055B">
      <w:pPr>
        <w:pStyle w:val="NormalHanging12a"/>
      </w:pPr>
      <w:r w:rsidRPr="00CD6EA7">
        <w:t>20.</w:t>
      </w:r>
      <w:r w:rsidRPr="00CD6EA7">
        <w:tab/>
        <w:t xml:space="preserve">salută eforturile Comitetului de a institui un cadru de audit mai bine definit și mai consecvent, prin finalizarea cartei de audit intern și a cartei comitetului de audit, presupunând norme procedurale care au fost aprobate de comitetul de audit în decembrie 2022 și adoptate de Biroul Comitetului la începutul anului 2023; apreciază faptul că funcția de audit intern a Comitetului a fost consolidată în 2022, mai ales prin recrutarea unui administrator în serviciul de audit intern și printr-o strânsă coordonare cu auditorul intern al </w:t>
      </w:r>
      <w:proofErr w:type="spellStart"/>
      <w:r w:rsidRPr="00CD6EA7">
        <w:t>CoR</w:t>
      </w:r>
      <w:proofErr w:type="spellEnd"/>
      <w:r w:rsidRPr="00CD6EA7">
        <w:t xml:space="preserve"> în toate aspectele legate de auditul serviciilor comune; ia act de cele patru audituri lansate în 2022 pe întârzierea în efectuarea plăților, autorizarea </w:t>
      </w:r>
      <w:r w:rsidRPr="00CD6EA7">
        <w:lastRenderedPageBreak/>
        <w:t>ședințelor, ciclul strategic și selectarea delegaților pentru Comisia consultativă pentru mutații industriale a Comitetului;</w:t>
      </w:r>
    </w:p>
    <w:p w:rsidR="0057055B" w:rsidRPr="00CD6EA7" w:rsidRDefault="0057055B" w:rsidP="0057055B">
      <w:pPr>
        <w:pStyle w:val="NormalHanging12a"/>
        <w:rPr>
          <w:b/>
          <w:i/>
        </w:rPr>
      </w:pPr>
      <w:r w:rsidRPr="00CD6EA7">
        <w:rPr>
          <w:b/>
          <w:i/>
        </w:rPr>
        <w:t>Resursele umane, egalitatea și starea de bine a personalului</w:t>
      </w:r>
    </w:p>
    <w:p w:rsidR="0057055B" w:rsidRPr="00CD6EA7" w:rsidRDefault="0057055B" w:rsidP="0057055B">
      <w:pPr>
        <w:pStyle w:val="NormalHanging12a"/>
      </w:pPr>
      <w:r w:rsidRPr="00CD6EA7">
        <w:t>21.</w:t>
      </w:r>
      <w:r w:rsidRPr="00CD6EA7">
        <w:tab/>
        <w:t>constată că, la sfârșitul anului 2022, Comitetul avea în total 706 angajați, comparativ cu 699 în 2021; observă că, la sfârșitul anului 2022, Comitetul avea angajați 50 de agenți contractuali și 128 de agenți temporari (o creștere față de cei 46 de agenți contractuali și cei 107 agenți temporari în 2021), inclusiv 19 agenți contractuali și trei agenți temporari cu contract pe perioadă nedeterminată; constată, în plus, că Comitetul a angajat 12 agenți interimari și șapte membri externi ai personalului care lucrau la sediu, în afara furnizorilor externi de servicii din domeniul logisticii și al IT; observă că, în 2022, rata de ocupare a posturilor din schema de personal a fost de 95,1 %;</w:t>
      </w:r>
    </w:p>
    <w:p w:rsidR="0057055B" w:rsidRPr="00CD6EA7" w:rsidRDefault="0057055B" w:rsidP="0057055B">
      <w:pPr>
        <w:pStyle w:val="NormalHanging12a"/>
      </w:pPr>
      <w:r w:rsidRPr="00CD6EA7">
        <w:t>22.</w:t>
      </w:r>
      <w:r w:rsidRPr="00CD6EA7">
        <w:tab/>
        <w:t>salută eforturile continue ale Comitetului de a-și îmbunătăți cadrul privind RU spre a deveni un angajator atractiv ce oferă locuri de muncă cu adevărat incluzive, unde fiecare persoană este apreciată și își poate dezvolta pe deplin potențialul; constată că strategia integrată în materie de RU, adoptată în iunie 2022, este articulată în jurul principiilor incluziunii, păstrării personalului, competențelor și performanței; apreciază pozitiv faptul că una dintre primele măsuri subsecvente a fost lansarea unui sondaj privind satisfacția personalului în ianuarie 2023, cu accent pe implicarea personalului;</w:t>
      </w:r>
    </w:p>
    <w:p w:rsidR="0057055B" w:rsidRPr="00CD6EA7" w:rsidRDefault="0057055B" w:rsidP="0057055B">
      <w:pPr>
        <w:pStyle w:val="NormalHanging12a"/>
      </w:pPr>
      <w:r w:rsidRPr="00CD6EA7">
        <w:t>23.</w:t>
      </w:r>
      <w:r w:rsidRPr="00CD6EA7">
        <w:tab/>
        <w:t>subliniază că integrarea noilor angajați constituie un factor important al alinierii strategice, garantând faptul că personalul este informat cu privire la normele și strategiile adoptate în cadrul unei instituții; observă că formările introductive pentru noii angajați ai Comitetului au fost reluate în aprilie 2022; felicită Comitetul pentru că a dezvoltat un sistem de mentorat prin care mentorilor li se oferă sprijin și asistență sub forma unui schimb de bune practici, pentru a-și adapta metodele la mediul de lucru hibrid;</w:t>
      </w:r>
    </w:p>
    <w:p w:rsidR="0057055B" w:rsidRPr="00CD6EA7" w:rsidRDefault="0057055B" w:rsidP="0057055B">
      <w:pPr>
        <w:pStyle w:val="NormalHanging12a"/>
      </w:pPr>
      <w:r w:rsidRPr="00CD6EA7">
        <w:t>24.</w:t>
      </w:r>
      <w:r w:rsidRPr="00CD6EA7">
        <w:tab/>
        <w:t>constată că, pentru a aloca mai bine resursele insuficiente, în 2022 Comitetul a comandat o cartografiere externă a RU, care a confirmat volumul mare de muncă în cadrul multor servicii diferite ale Comitetului, din cauza insuficienței resurselor ca urmare a reducerii schemei de personal în 2013; observă că, drept urmare a auditului extern privind cartografierea RU, Comitetul a început să pregătească un plan de acțiune vizând strategia integrată în materie de RU, precum o revizuire a sistemului de evaluare și de performanță, dezvoltarea unei strategii de comunicare internă, adoptarea noii decizii privind condițiile de muncă și organizarea unei monitorizări regulate a implicării personalului; invită Comitetul să transmită informații actualizate cu privire la acțiunile subsecvente cartografierii RU în 2023;</w:t>
      </w:r>
    </w:p>
    <w:p w:rsidR="0057055B" w:rsidRPr="00CD6EA7" w:rsidRDefault="0057055B" w:rsidP="0057055B">
      <w:pPr>
        <w:pStyle w:val="NormalHanging12a"/>
      </w:pPr>
      <w:r w:rsidRPr="00CD6EA7">
        <w:t>25.</w:t>
      </w:r>
      <w:r w:rsidRPr="00CD6EA7">
        <w:tab/>
        <w:t xml:space="preserve">constată cu satisfacție că la 1 aprilie 2022 a intrat în vigoare o nouă decizie privind formulele flexibile de lucru, care stabilește o politică flexibilă și bazată pe încredere pentru munca hibridă, sub forma unui proiect-pilot, care prevede o gamă vastă de modele de lucru cu fracțiune de normă și formule flexibile zilnice și săptămânale pentru personal; constată că aproximativ 25 % dintre femeile și 14,4 % dintre bărbații angajați de Comitet au solicitat formule non-standard de lucru în 2022; observă că decizia privind condițiile de muncă oferă personalului posibilitatea de a munci de la distanță până la 60 % din timpul de lucru, cu condiția ca acest lucru să fie compatibil cu interesul de serviciu, și să lucreze de la distanță din alt loc decât de la locul de muncă timp de 15 zile pe an calendaristic; observă că personalul Comitetului este dotat cu </w:t>
      </w:r>
      <w:r w:rsidRPr="00CD6EA7">
        <w:lastRenderedPageBreak/>
        <w:t>echipamentele necesare pentru a dispune de condiții de muncă bune atunci când lucrează de la distanță; salută faptul că comitetul de evaluare a efectuat un sondaj privind satisfacția personalului, lansat la sfârșitul anului 2022; ia act de faptul că decizia finală privind condițiile de muncă, după dialogul social cu sindicatele personalului, Comitetul pentru personal și Serviciul juridic al Comitetului, ar trebui adoptată până la sfârșitul lui 2023; solicită Comitetului să informeze în timp util autoritatea care acordă descărcarea de gestiune cu privire la evoluțiile în acest caz;</w:t>
      </w:r>
    </w:p>
    <w:p w:rsidR="0057055B" w:rsidRPr="00CD6EA7" w:rsidRDefault="0057055B" w:rsidP="0057055B">
      <w:pPr>
        <w:pStyle w:val="NormalHanging12a"/>
      </w:pPr>
      <w:r w:rsidRPr="00CD6EA7">
        <w:t>26.</w:t>
      </w:r>
      <w:r w:rsidRPr="00CD6EA7">
        <w:tab/>
        <w:t>regretă că, nici în 2022, Comitetul nu a fost în măsură să furnizeze date privind cazurile de epuizare profesională din cadrul Comitetului; respectă limitările în materie de protecție a datelor, dar reamintește Comitetului importanța datelor statistice anonimizate în cadrul unei organizații, pentru a sprijini deciziile manageriale; reiterează faptul că ar trebui luate în considerare acțiunile de informare, bunele practici în gestionarea volumului de muncă, comunicarea și soluționarea conflictelor, precum și politica de revenire la locul de muncă; înțelege că adoptarea noilor formule de lucru reprezintă un pas pozitiv în direcția unei preveniri mai eficace a epuizării profesionale la nivel organizațional, care ar trebui să țină cont și de rezultatele cartografierii RU;</w:t>
      </w:r>
    </w:p>
    <w:p w:rsidR="0057055B" w:rsidRPr="00CD6EA7" w:rsidRDefault="0057055B" w:rsidP="0057055B">
      <w:pPr>
        <w:pStyle w:val="NormalHanging12a"/>
      </w:pPr>
      <w:r w:rsidRPr="00CD6EA7">
        <w:t>27.</w:t>
      </w:r>
      <w:r w:rsidRPr="00CD6EA7">
        <w:tab/>
        <w:t>constată că, în 2022, Comitetul a continuat să angajeze femei într-un procent ridicat (64,6 % din totalul personalului), inclusiv la nivelul mediu de conducere (59 % din totalul managerilor); constată că încă trebuie îmbunătățită reprezentarea femeilor la nivelul superior de conducere, întrucât doar trei directori de nivel superior din șapte erau femei la sfârșitul anului 2022; încurajează Comitetul să își continue eforturile de asigurare a echilibrului de gen, mai ales prin acțiuni de sensibilizare la nivelul autorității împuternicite să facă numiri și asigurându-se că componența diferitelor organisme, inclusiv a comitetelor de recrutare și selecție a resurselor umane, rămâne echilibrată din punctul de vedere al genului;</w:t>
      </w:r>
    </w:p>
    <w:p w:rsidR="0057055B" w:rsidRPr="00CD6EA7" w:rsidRDefault="0057055B" w:rsidP="0057055B">
      <w:pPr>
        <w:pStyle w:val="NormalHanging12a"/>
      </w:pPr>
      <w:r w:rsidRPr="00CD6EA7">
        <w:t>28.</w:t>
      </w:r>
      <w:r w:rsidRPr="00CD6EA7">
        <w:tab/>
        <w:t>salută eforturile depuse în vederea adoptării unei noi politici privind diversitatea și incluziunea în perioada 2022-2023, în consultare cu conducerea Comitetului, cu Comitetul consultativ pentru egalitatea de șanse între femei și bărbați și cu comitetul pentru personal al Comitetului; constată că, pe lângă acțiunile de comunicare internă derulate, în decembrie 2022 s-a desfășurat o campanie specifică de sensibilizare împotriva homofobiei; salută introducerea obligativității unei sesiuni specifice de formare privind diversitatea și incluziunea pentru manageri și faptul că aceasta a fost recomandată întregului personal, precum și faptul că membrii Comitetului au beneficiat de un curs dedicat privind diversitatea și incluziunea ca parte a programului lor anual de formare; încurajează Comitetul să își continue discuțiile cu Parlamentul în vederea aderării la Programul de acțiune pozitivă pentru persoanele cu dizabilități al Parlamentului, pentru a recruta agenți contractuali cu dizabilități; reiterează solicitarea formulată în descărcarea de gestiune pentru 2021 pentru Comitet, de a finaliza o strategie și un plan de acțiune actualizate privind diversitatea și incluziunea;</w:t>
      </w:r>
    </w:p>
    <w:p w:rsidR="0057055B" w:rsidRPr="00CD6EA7" w:rsidRDefault="0057055B" w:rsidP="0057055B">
      <w:pPr>
        <w:pStyle w:val="NormalHanging12a"/>
      </w:pPr>
      <w:r w:rsidRPr="00CD6EA7">
        <w:t>29.</w:t>
      </w:r>
      <w:r w:rsidRPr="00CD6EA7">
        <w:tab/>
        <w:t>observă că, deși toate statele membre sunt reprezentate în rândul personalului Comitetului, echilibrul geografic nu a fost încă atins, unele naționalități fiind în continuare subreprezentate comparativ cu altele; ia act de faptul că, în 2022, 21 % din cadrele de conducere din cadrul Comitetului proveneau din cele 13 state membre care au aderat la Uniune după 2004, ceea ce reprezintă o ușoară creștere față de 19 % în 2021; încurajează din nou Comitetul să ia în continuare măsuri pentru o distribuție geografică echilibrată a personalului său, cu un accent deosebit asupra nivelului de management;</w:t>
      </w:r>
    </w:p>
    <w:p w:rsidR="0057055B" w:rsidRPr="00CD6EA7" w:rsidRDefault="0057055B" w:rsidP="0057055B">
      <w:pPr>
        <w:pStyle w:val="NormalHanging12a"/>
      </w:pPr>
      <w:r w:rsidRPr="00CD6EA7">
        <w:lastRenderedPageBreak/>
        <w:t>30.</w:t>
      </w:r>
      <w:r w:rsidRPr="00CD6EA7">
        <w:tab/>
        <w:t>ia act de faptul că, în 2022, Comitetul a contractat în total 52 de stagiari pe perioade de cinci luni, patru stagiari cu un contract de trei luni și doi stagiari care au beneficiat de granturi acordate de organisme publice externe; ia act de faptul că toți stagiarii cu contract de cinci luni au beneficiat de o alocație lunară și indemnizații, în timp ce stagiarii pe termen mai scurt nu au avut dreptul la nicio contribuție financiară; salută faptul că, inclusiv datorită solicitării formulate de Parlament în cadrul procedurii de descărcare de gestiune pe 2020, în 2022 a fost lansată o revizuire a deciziei privind stagiile în cadrul Comitetului, cu scopul de a sista stagiile pe termen scurt neremunerate și de a asigura faptul că toți stagiarii sunt remunerați decent; subliniază că noua decizie privind stagiile de practică a intrat în vigoare în iulie 2023, asigurând un venit lunar, precum și indemnizații pentru deplasare și mobilitate și o prestație de invaliditate, după caz, atât pentru stagiarii pe termen lung, cât și pentru cei pe termen scurt;</w:t>
      </w:r>
    </w:p>
    <w:p w:rsidR="0057055B" w:rsidRPr="00CD6EA7" w:rsidRDefault="0057055B" w:rsidP="0057055B">
      <w:pPr>
        <w:pStyle w:val="NormalHanging12a"/>
        <w:rPr>
          <w:b/>
          <w:i/>
        </w:rPr>
      </w:pPr>
      <w:r w:rsidRPr="00CD6EA7">
        <w:rPr>
          <w:b/>
          <w:i/>
        </w:rPr>
        <w:t>Cadrul etic și transparența</w:t>
      </w:r>
    </w:p>
    <w:p w:rsidR="0057055B" w:rsidRPr="00CD6EA7" w:rsidRDefault="0057055B" w:rsidP="0057055B">
      <w:pPr>
        <w:pStyle w:val="NormalHanging12a"/>
      </w:pPr>
      <w:r w:rsidRPr="00CD6EA7">
        <w:t>31.</w:t>
      </w:r>
      <w:r w:rsidRPr="00CD6EA7">
        <w:tab/>
        <w:t>constată că Comitetul și-a continuat procesul de reformă internă prin adoptarea noului regulament de procedură în martie 2022 și a dispozițiilor de punere în aplicare a acestuia în noiembrie 2022; încă regretă că problema relațiilor dintre un membru și un funcționar nu este tratată separat din perspectiva hărțuirii; constată că, acum, Regulamentul de procedură este aliniat și consecvent cu codul de conduită adoptat în 2021 în urma auditului intern pe teme de etică și integritate al Comitetului; solicită Comitetului să informeze Parlamentul dacă s-a efectuat o evaluare a punerii în aplicare a planului de acțiune pentru auditul pe teme de etică și integritate, astfel cum era planificat, și care a fost rezultatul acestei evaluări; salută reflecția inițiată în 2022, pentru a pregăti o cartă a valorilor pentru personalul Comitetului, ca urmare a unui proces incluziv și participativ care a fost finalizat și comunicat personalului în 2023; consideră că numai o politică de toleranță zero față de hărțuire va împiedica apariția unor viitoare acuzații de hărțuire și abateri grave cu care Comitetul s-ar putea confrunta;</w:t>
      </w:r>
    </w:p>
    <w:p w:rsidR="0057055B" w:rsidRPr="00CD6EA7" w:rsidRDefault="0057055B" w:rsidP="0057055B">
      <w:pPr>
        <w:pStyle w:val="NormalHanging12a"/>
      </w:pPr>
      <w:r w:rsidRPr="00CD6EA7">
        <w:t>32.</w:t>
      </w:r>
      <w:r w:rsidRPr="00CD6EA7">
        <w:tab/>
        <w:t xml:space="preserve">observă că, în urma intrării în vigoare, la 15 decembrie 2021, a deciziei revizuite a Comitetului privind avertizarea de integritate (Decizia 297/21A), precum și a deciziei revizuite privind procedurile de prevenire și combatere a hărțuirii psihologice și sexuale la locul de muncă (Decizia 090/22A), adoptată la 31 martie 2022, cadrul juridic etic reînnoit trebuia să fie completat printr-o decizie revizuită de stabilire a dispozițiilor generale de punere în aplicare privind procedurile disciplinare și anchetele administrative în 2023, în coordonare cu </w:t>
      </w:r>
      <w:proofErr w:type="spellStart"/>
      <w:r w:rsidRPr="00CD6EA7">
        <w:t>CoR</w:t>
      </w:r>
      <w:proofErr w:type="spellEnd"/>
      <w:r w:rsidRPr="00CD6EA7">
        <w:t>; observă că, în 2022, a fost adoptată o nouă decizie privind misiunile de muncă temporară și activitățile externe (Decizia nr. 141/22A), aplicabilă personalului activ, personalului detașat și foștilor angajați, în conformitate cu dispozițiile din Statutul funcționarilor aplicabile la momentul încetării contractului de muncă;</w:t>
      </w:r>
    </w:p>
    <w:p w:rsidR="0057055B" w:rsidRPr="00CD6EA7" w:rsidRDefault="0057055B" w:rsidP="0057055B">
      <w:pPr>
        <w:pStyle w:val="NormalHanging12a"/>
      </w:pPr>
      <w:r w:rsidRPr="00CD6EA7">
        <w:t>33.</w:t>
      </w:r>
      <w:r w:rsidRPr="00CD6EA7">
        <w:tab/>
        <w:t xml:space="preserve">constată cu satisfacție că, în 2022, Comitetul a asigurat în continuare formarea și sensibilizarea personalului cu privire la cadrul de etică instituit, mai ales în ceea ce privește noul cod de conduită, hărțuirea și avertizarea în interes public, și cu privire la rolul și responsabilitățile consilierilor pe teme de etică al căror mandat a început în ianuarie 2022; constată că, în 2022, 116 angajați, inclusiv manageri și persoane nou-angajate, au participat la cursurile de formare internă pe teme de etică, iar 26 de angajați au participat la cursurile de formare pe teme de etică oferite de Comisie și de Școala Europeană de Administrație; observă că a fost conceput și susținut un curs de formare personalizat pentru echipa de consilieri pe teme de etică; salută faptul că 83 % dintre respondenții la sondajul privind satisfacția personalului lansat în 2022 au demonstrat că </w:t>
      </w:r>
      <w:r w:rsidRPr="00CD6EA7">
        <w:lastRenderedPageBreak/>
        <w:t>sunt bine familiarizați cu comportamentul etic și cu cadrul etic consolidat al Comitetului;</w:t>
      </w:r>
    </w:p>
    <w:p w:rsidR="0057055B" w:rsidRPr="00CD6EA7" w:rsidRDefault="0057055B" w:rsidP="0057055B">
      <w:pPr>
        <w:pStyle w:val="NormalHanging12a"/>
        <w:rPr>
          <w:color w:val="000000" w:themeColor="text1"/>
        </w:rPr>
      </w:pPr>
      <w:r w:rsidRPr="00CD6EA7">
        <w:t>34.</w:t>
      </w:r>
      <w:r w:rsidRPr="00CD6EA7">
        <w:tab/>
        <w:t>constată că, în ceea ce privește cazurile de hărțuire raportate în descărcările de gestiune din ultimii ani, ultimul acord de soluționare legat de cauza OC/2018/0666/A1 a Oficiului European de Luptă Antifraudă (OLAF) a fost încheiat la 1 octombrie 2022, permițându-i astfel Comitetului să închidă complet toate solicitările de asistență legate de această cauză; salută faptul că, la 13 aprilie 2022, președinta Comitetului din acea perioadă a făcut o declarație publică, publicată pe site-ul internet al Comitetului, adresând scuze oficiale în numele Comitetului tuturor victimelor, atât angajaților, cât și fostului membru, în cazul vizat;</w:t>
      </w:r>
      <w:r w:rsidRPr="00CD6EA7">
        <w:rPr>
          <w:color w:val="000000" w:themeColor="text1"/>
        </w:rPr>
        <w:t xml:space="preserve"> salută faptul că, prin hotărârea pronunțată la 6 octombrie 2022 în cauza C-673/21</w:t>
      </w:r>
      <w:r w:rsidRPr="00CD6EA7">
        <w:rPr>
          <w:rStyle w:val="FootnoteReference"/>
          <w:color w:val="000000" w:themeColor="text1"/>
        </w:rPr>
        <w:footnoteReference w:id="6"/>
      </w:r>
      <w:r w:rsidRPr="00CD6EA7">
        <w:rPr>
          <w:color w:val="000000" w:themeColor="text1"/>
        </w:rPr>
        <w:t>, Curtea de Justiție a confirmat legalitatea măsurilor adoptate de Biroul Comitetului în decizia sa din 9 iunie 2020;</w:t>
      </w:r>
    </w:p>
    <w:p w:rsidR="0057055B" w:rsidRPr="00CD6EA7" w:rsidRDefault="0057055B" w:rsidP="0057055B">
      <w:pPr>
        <w:pStyle w:val="NormalHanging12a"/>
      </w:pPr>
      <w:r w:rsidRPr="00CD6EA7">
        <w:t>35.</w:t>
      </w:r>
      <w:r w:rsidRPr="00CD6EA7">
        <w:tab/>
        <w:t>reiterează solicitarea adresată Comitetului, de a asigura desfășurarea unei investigații externe și independente, pentru a analiza în special procedurile Comitetului privind resursele umane și eficacitatea acestora, punând accentul pe identificarea responsabilităților ierarhiei administrative în abordarea reclamațiilor privind hărțuirea și pe asigurarea bunăstării personalului; respinge, în pofida măsurilor adoptate pentru îmbunătățirea cadrului etic al Comitetului în ultimii ani, poziția Comitetului prin care se susține că o astfel de investigație nu este necesară, întrucât măsurile adoptate au permis abordarea cazului de hărțuire și reamintește că Parlamentul și-a exprimat deja îngrijorările în ceea ce privește reacția de obicei lentă a Comitetului în cazurile respective;</w:t>
      </w:r>
    </w:p>
    <w:p w:rsidR="0057055B" w:rsidRPr="00CD6EA7" w:rsidRDefault="0057055B" w:rsidP="0057055B">
      <w:pPr>
        <w:pStyle w:val="NormalHanging12a"/>
      </w:pPr>
      <w:r w:rsidRPr="00CD6EA7">
        <w:t>36.</w:t>
      </w:r>
      <w:r w:rsidRPr="00CD6EA7">
        <w:tab/>
        <w:t>ia act de faptul că Ombudsmanul European a efectuat trei anchete în urma plângerilor din 2022; ia act de faptul că un caz a condus la o anchetă, care a conchis că nu au existat cazuri de administrare defectuoasă; ia act de faptul că alte două cazuri au fost închise fără anchetă, Ombudsmanul considerând că ambele cazuri au fost soluționate între timp;</w:t>
      </w:r>
    </w:p>
    <w:p w:rsidR="0057055B" w:rsidRPr="00CD6EA7" w:rsidRDefault="0057055B" w:rsidP="0057055B">
      <w:pPr>
        <w:pStyle w:val="NormalHanging12a"/>
      </w:pPr>
      <w:r w:rsidRPr="00CD6EA7">
        <w:t>37.</w:t>
      </w:r>
      <w:r w:rsidRPr="00CD6EA7">
        <w:tab/>
        <w:t>constată cu îngrijorare că patru cazuri în curs privind pretinse situații de hărțuire încă erau analizate de Comitet în 2022; invită Comitetul să informeze Parlamentul, în timp util, cu privire la acțiunile adoptate în aceste cazuri; observă că nu au fost raportate noi acuzații de hărțuire la nivelul personalului sau al membrilor Comitetului în 2022, însă este conștient că, în 2022, au fost raportate într-o altă instituție acuzații de hărțuire în care este implicat un funcționar al Comitetului; invită Comitetul să țină la curent Parlamentul cu privire la acțiunile adoptate în acest caz, în cooperare cu cealaltă instituție vizată;</w:t>
      </w:r>
    </w:p>
    <w:p w:rsidR="0057055B" w:rsidRPr="00CD6EA7" w:rsidRDefault="0057055B" w:rsidP="0057055B">
      <w:pPr>
        <w:spacing w:after="240"/>
        <w:ind w:left="567" w:hanging="567"/>
        <w:rPr>
          <w:szCs w:val="24"/>
        </w:rPr>
      </w:pPr>
      <w:r w:rsidRPr="00CD6EA7">
        <w:t>38.</w:t>
      </w:r>
      <w:r w:rsidRPr="00CD6EA7">
        <w:tab/>
        <w:t>observă că Comitetul este parte civilă în proceduri judiciare în curs inițiate de autoritățile naționale belgiene împotriva unui fost membru acuzat de conduită necorespunzătoare, care se află în prezent în fața instanței belgiene pentru pronunțarea unei hotărâri; invită Comitetul să informeze Parlamentul, în timp util, cu privire la evoluția cazului;</w:t>
      </w:r>
    </w:p>
    <w:p w:rsidR="0057055B" w:rsidRPr="00CD6EA7" w:rsidRDefault="0057055B" w:rsidP="0057055B">
      <w:pPr>
        <w:spacing w:after="240"/>
        <w:ind w:left="567" w:hanging="567"/>
        <w:rPr>
          <w:szCs w:val="24"/>
        </w:rPr>
      </w:pPr>
      <w:r w:rsidRPr="00CD6EA7">
        <w:t>39.</w:t>
      </w:r>
      <w:r w:rsidRPr="00CD6EA7">
        <w:tab/>
        <w:t xml:space="preserve">constată că, în 2022, membrii sau personalul au deschis în mod oficial trei cazuri de avertizare în interes public; constată că toate cele trei cazuri au fost gestionate și închise rapid, cu asigurarea protecției depline a avertizorilor de integritate, în conformitate cu </w:t>
      </w:r>
      <w:r w:rsidRPr="00CD6EA7">
        <w:lastRenderedPageBreak/>
        <w:t>decizia sa privind avertizarea în interes public (Decizia nr. 297/21A); constată totodată că două cazuri potențiale de avertizare în interes public au fost semnalate consilierilor de etică în 2022, dar niciunul dintre acestea nu s-a confirmat;</w:t>
      </w:r>
    </w:p>
    <w:p w:rsidR="0057055B" w:rsidRPr="00CD6EA7" w:rsidRDefault="0057055B" w:rsidP="0057055B">
      <w:pPr>
        <w:pStyle w:val="NormalHanging12a"/>
      </w:pPr>
      <w:r w:rsidRPr="00CD6EA7">
        <w:t>40.</w:t>
      </w:r>
      <w:r w:rsidRPr="00CD6EA7">
        <w:tab/>
        <w:t>apreciază disponibilitatea Comitetului de a coopera cu organele de anchetă ale Uniunii [OLAF și Parchetul European (EPPO)]; observă că, în 2022, OLAF a închis două cazuri care vizau o presupusă deturnare de fonduri ale Uniunii și posibile nereguli și abateri grave din partea a doi membri, în absența dovezilor de fraudă și a constatărilor în acest sens; constată cu îngrijorare că, în 2023, OLAF a inițiat trei noi cazuri împotriva unor membri, vizând o potențială fraudă, două dintre acestea fiind închise în același an și transmise către EPPO spre examinare; constată că OLAF a semnalat Comitetului de etică al Comitetului un caz care viza o presupusă încălcare a codului de conduită de către un membru; invită Comitetul să informeze Parlamentul, în timp util, cu privire la acțiunile adoptate în acest caz;</w:t>
      </w:r>
    </w:p>
    <w:p w:rsidR="0057055B" w:rsidRPr="00CD6EA7" w:rsidRDefault="0057055B" w:rsidP="0057055B">
      <w:pPr>
        <w:spacing w:after="240"/>
        <w:ind w:left="567" w:hanging="567"/>
        <w:rPr>
          <w:szCs w:val="24"/>
        </w:rPr>
      </w:pPr>
      <w:r w:rsidRPr="00CD6EA7">
        <w:t>41.</w:t>
      </w:r>
      <w:r w:rsidRPr="00CD6EA7">
        <w:tab/>
        <w:t>felicită Comitetul pentru că a luat decizia de a adera în mod oficial, începând cu 1 iunie 2023, la registrul de transparență al UE instituit prin acordul interinstituțional din 20 mai 2021 dintre Parlamentul European, Consiliul Uniunii Europene și Comisia Europeană referitor la un registru de transparență obligatoriu</w:t>
      </w:r>
      <w:r w:rsidRPr="00CD6EA7">
        <w:rPr>
          <w:szCs w:val="24"/>
          <w:vertAlign w:val="superscript"/>
        </w:rPr>
        <w:footnoteReference w:id="7"/>
      </w:r>
      <w:r w:rsidRPr="00CD6EA7">
        <w:t>; constată că, la 21 martie 2023, Comitetul a adoptat mai multe măsuri în materie de transparență, în conformitate cu principiile prevăzute în ceea ce privește registrul de transparență al UE, precum o recomandare ca membrii în exercițiu să se întâlnească doar cu părți interesate înregistrate, obligația ca membrii în exercițiu să își publice listele de ședințe și o „amprentă legislativă” voluntară pentru raportori;</w:t>
      </w:r>
    </w:p>
    <w:p w:rsidR="0057055B" w:rsidRPr="00CD6EA7" w:rsidRDefault="0057055B" w:rsidP="0057055B">
      <w:pPr>
        <w:pStyle w:val="NormalHanging12a"/>
      </w:pPr>
      <w:r w:rsidRPr="00CD6EA7">
        <w:t>42.</w:t>
      </w:r>
      <w:r w:rsidRPr="00CD6EA7">
        <w:tab/>
        <w:t>regretă că Comitetul a instituit o serie de măsuri pentru prevenirea fraudei, dar nu a adoptat încă o strategie antifraudă integrată, în ciuda solicitărilor din trecut ale Parlamentului; felicită Comitetul pentru că a finalizat un inventar al domeniilor care sunt relevante pentru lansarea unei analize interne a riscului de fraudă, precum politicile și procedurile, formarea personalului și cooperarea cu alte organisme, în vederea îmbunătățirii cadrului antifraudă;</w:t>
      </w:r>
    </w:p>
    <w:p w:rsidR="0057055B" w:rsidRPr="00CD6EA7" w:rsidRDefault="0057055B" w:rsidP="0057055B">
      <w:pPr>
        <w:pStyle w:val="NormalHanging12a"/>
        <w:rPr>
          <w:b/>
          <w:i/>
        </w:rPr>
      </w:pPr>
      <w:r w:rsidRPr="00CD6EA7">
        <w:rPr>
          <w:b/>
          <w:i/>
        </w:rPr>
        <w:t>Digitalizarea, securitatea cibernetică și protecția datelor</w:t>
      </w:r>
    </w:p>
    <w:p w:rsidR="0057055B" w:rsidRPr="00CD6EA7" w:rsidRDefault="0057055B" w:rsidP="0057055B">
      <w:pPr>
        <w:pStyle w:val="NormalHanging12a"/>
      </w:pPr>
      <w:r w:rsidRPr="00CD6EA7">
        <w:t>43.</w:t>
      </w:r>
      <w:r w:rsidRPr="00CD6EA7">
        <w:tab/>
        <w:t xml:space="preserve">constată că bugetul combinat pentru informatică al Comitetului și al </w:t>
      </w:r>
      <w:proofErr w:type="spellStart"/>
      <w:r w:rsidRPr="00CD6EA7">
        <w:t>CoR</w:t>
      </w:r>
      <w:proofErr w:type="spellEnd"/>
      <w:r w:rsidRPr="00CD6EA7">
        <w:t xml:space="preserve"> pentru s-a ridicat la 11 712 000 EUR în 2022, incluzând o consolidare de 750 000 EUR printr-un transfer bugetar intern pe parcursul anului, comparativ cu suma de 12 860 000 EUR din 2021, reprezentând o scădere cu 9 %;</w:t>
      </w:r>
    </w:p>
    <w:p w:rsidR="0057055B" w:rsidRPr="00CD6EA7" w:rsidRDefault="0057055B" w:rsidP="0057055B">
      <w:pPr>
        <w:pStyle w:val="NormalHanging12a"/>
      </w:pPr>
      <w:r w:rsidRPr="00CD6EA7">
        <w:t>44</w:t>
      </w:r>
      <w:r w:rsidR="009E2C42">
        <w:t>.</w:t>
      </w:r>
      <w:bookmarkStart w:id="9" w:name="_GoBack"/>
      <w:bookmarkEnd w:id="9"/>
      <w:r w:rsidRPr="00CD6EA7">
        <w:tab/>
        <w:t xml:space="preserve">observă că Comitetul are o strategie digitală menită să furnizeze servicii IT conform celor mai bune practici de gestionare informatică, optimizând totodată utilizarea resurselor umane și financiare; observă că Comitetul a lucrat la adaptarea și dezvoltarea mai multor instrumente informatice strategice pe parcursul anului 2022, cu scopul de a îmbunătăți eficiența și eficacitatea activității politice a Comitetului și a proceselor și fluxurilor sale de lucru administrative; constată că principalul proiect de infrastructură informatică din 2022 a vizat o adaptare a tipologiei de rețele necesară pentru noua sală de calculatoare din clădirea Jacques Delors (JDE), în conformitate cu foaia de parcurs pentru un </w:t>
      </w:r>
      <w:proofErr w:type="spellStart"/>
      <w:r w:rsidRPr="00CD6EA7">
        <w:t>cloud</w:t>
      </w:r>
      <w:proofErr w:type="spellEnd"/>
      <w:r w:rsidRPr="00CD6EA7">
        <w:t xml:space="preserve"> hibrid;</w:t>
      </w:r>
    </w:p>
    <w:p w:rsidR="0057055B" w:rsidRPr="00CD6EA7" w:rsidRDefault="0057055B" w:rsidP="0057055B">
      <w:pPr>
        <w:pStyle w:val="NormalHanging12a"/>
      </w:pPr>
      <w:r w:rsidRPr="00CD6EA7">
        <w:lastRenderedPageBreak/>
        <w:t>45.</w:t>
      </w:r>
      <w:r w:rsidRPr="00CD6EA7">
        <w:tab/>
        <w:t>observă că Comitetul a mărit numărul de ședințe în format hibrid în 2022, pentru a se adapta la activitatea în format hibrid și a-și optimiza modalitățile de lucru, în special reducând numărul de misiuni; înțelege că acest nou stil de lucru a impus o modernizare tehnică în ceea ce privește echipamentele pentru săli de ședințe în format hibrid;</w:t>
      </w:r>
    </w:p>
    <w:p w:rsidR="0057055B" w:rsidRPr="00CD6EA7" w:rsidRDefault="0057055B" w:rsidP="0057055B">
      <w:pPr>
        <w:pStyle w:val="NormalHanging12a"/>
      </w:pPr>
      <w:r w:rsidRPr="00CD6EA7">
        <w:t>46.</w:t>
      </w:r>
      <w:r w:rsidRPr="00CD6EA7">
        <w:tab/>
        <w:t xml:space="preserve">observă că Comitetul nu s-a confruntat cu atacuri cibernetice în 2022; observă că noua Direcție comună pentru inovare și tehnologia informației a Comitetului și a </w:t>
      </w:r>
      <w:proofErr w:type="spellStart"/>
      <w:r w:rsidRPr="00CD6EA7">
        <w:t>CoR</w:t>
      </w:r>
      <w:proofErr w:type="spellEnd"/>
      <w:r w:rsidRPr="00CD6EA7">
        <w:t xml:space="preserve"> este alcătuită din trei unități, și anume cele responsabile pentru transformarea digitală, soluțiile digitale și platformele digitale; ia act de faptul că unitatea pentru platforme digitale este responsabilă, printre altele, de securitatea cibernetică; invită Comitetul să informeze autoritatea de descărcare de gestiune despre modul în care crearea acestei noi structuri a contribuit la îmbunătățirea pregătirii personalului său pentru securitatea cibernetică, în conformitate cu cadrul de securitate cibernetică al NIST (Institutul național pentru standarde și tehnologie) și în cooperare cu Serviciul de securitate cibernetică pentru instituțiile, organele, oficiile și agențiile Uniunii (CERT-UE); încurajează Comitetul să informeze membrii și personalul său cu privire la securitatea cibernetică, să efectueze evaluări periodice ale riscurilor legate de infrastructura sa informatică și să asigure audituri și teste periodice ale sistemelor sale de apărare cibernetică;</w:t>
      </w:r>
    </w:p>
    <w:p w:rsidR="0057055B" w:rsidRPr="00CD6EA7" w:rsidRDefault="0057055B" w:rsidP="0057055B">
      <w:pPr>
        <w:pStyle w:val="NormalHanging12a"/>
      </w:pPr>
      <w:r w:rsidRPr="00CD6EA7">
        <w:t>47.</w:t>
      </w:r>
      <w:r w:rsidRPr="00CD6EA7">
        <w:tab/>
        <w:t>ia act de practica Comitetului de a utiliza tehnologie cu sursă deschisă în sistemele sale proprii, în special prin principalele aplicații operaționale folosite pentru gestionarea activității politice a Comitetului („Agora” și „Phoenix”); constată și că Comitetul urmărește utilizarea de tehnologii cu sursă deschisă pentru portofoliul său informatic anual, astfel încât acestea să se utilizeze și pentru noile aplicații;</w:t>
      </w:r>
    </w:p>
    <w:p w:rsidR="0057055B" w:rsidRPr="00CD6EA7" w:rsidRDefault="0057055B" w:rsidP="0057055B">
      <w:pPr>
        <w:spacing w:after="240"/>
        <w:ind w:left="567" w:hanging="567"/>
        <w:rPr>
          <w:szCs w:val="24"/>
        </w:rPr>
      </w:pPr>
      <w:r w:rsidRPr="00CD6EA7">
        <w:t>48.</w:t>
      </w:r>
      <w:r w:rsidRPr="00CD6EA7">
        <w:tab/>
        <w:t>constată că, în 2022, Comitetul evolua către adoptarea unui nou cadru pentru gestionarea documentelor, pentru a îmbunătăți transparența și accesibilitatea; observă cu interes că Comitetul a început să evalueze fezabilitatea tehnică și implicațiile financiare ale utilizării Sistemului de gestionare a înregistrărilor electronice al Comisiei (Ares) în timp util;</w:t>
      </w:r>
    </w:p>
    <w:p w:rsidR="0057055B" w:rsidRPr="00CD6EA7" w:rsidRDefault="0057055B" w:rsidP="0057055B">
      <w:pPr>
        <w:pStyle w:val="NormalHanging12a"/>
        <w:ind w:left="0" w:firstLine="0"/>
        <w:rPr>
          <w:b/>
          <w:i/>
        </w:rPr>
      </w:pPr>
      <w:r w:rsidRPr="00CD6EA7">
        <w:rPr>
          <w:b/>
          <w:i/>
        </w:rPr>
        <w:t xml:space="preserve">Clădiri </w:t>
      </w:r>
    </w:p>
    <w:p w:rsidR="0057055B" w:rsidRPr="00CD6EA7" w:rsidRDefault="0057055B" w:rsidP="0057055B">
      <w:pPr>
        <w:spacing w:after="240"/>
        <w:ind w:left="567" w:hanging="567"/>
        <w:rPr>
          <w:szCs w:val="24"/>
        </w:rPr>
      </w:pPr>
      <w:r w:rsidRPr="00CD6EA7">
        <w:t>49.</w:t>
      </w:r>
      <w:r w:rsidRPr="00CD6EA7">
        <w:tab/>
        <w:t xml:space="preserve">observă că Comitetul și </w:t>
      </w:r>
      <w:proofErr w:type="spellStart"/>
      <w:r w:rsidRPr="00CD6EA7">
        <w:t>CoR</w:t>
      </w:r>
      <w:proofErr w:type="spellEnd"/>
      <w:r w:rsidRPr="00CD6EA7">
        <w:t xml:space="preserve"> au pierdut o suprafață de 5 000 m² de spațiu pentru birouri, ca urmare a preluării contractului de închiriere a fostei clădiri SEAE din de pe strada </w:t>
      </w:r>
      <w:proofErr w:type="spellStart"/>
      <w:r w:rsidRPr="00CD6EA7">
        <w:t>Belliard</w:t>
      </w:r>
      <w:proofErr w:type="spellEnd"/>
      <w:r w:rsidRPr="00CD6EA7">
        <w:t xml:space="preserve"> nr. 100, care a intrat în vigoare în septembrie 2021, și a schimbului de clădiri între clădirile </w:t>
      </w:r>
      <w:proofErr w:type="spellStart"/>
      <w:r w:rsidRPr="00CD6EA7">
        <w:t>Belliard</w:t>
      </w:r>
      <w:proofErr w:type="spellEnd"/>
      <w:r w:rsidRPr="00CD6EA7">
        <w:t xml:space="preserve"> 68 și </w:t>
      </w:r>
      <w:proofErr w:type="spellStart"/>
      <w:r w:rsidRPr="00CD6EA7">
        <w:t>Trèves</w:t>
      </w:r>
      <w:proofErr w:type="spellEnd"/>
      <w:r w:rsidRPr="00CD6EA7">
        <w:t xml:space="preserve"> 74 ale Comitetului și </w:t>
      </w:r>
      <w:proofErr w:type="spellStart"/>
      <w:r w:rsidRPr="00CD6EA7">
        <w:t>CoR</w:t>
      </w:r>
      <w:proofErr w:type="spellEnd"/>
      <w:r w:rsidRPr="00CD6EA7">
        <w:t xml:space="preserve"> și Van </w:t>
      </w:r>
      <w:proofErr w:type="spellStart"/>
      <w:r w:rsidRPr="00CD6EA7">
        <w:t>Maerlant</w:t>
      </w:r>
      <w:proofErr w:type="spellEnd"/>
      <w:r w:rsidRPr="00CD6EA7">
        <w:t xml:space="preserve"> 2 (VMA) a Comisiei, care a intrat în vigoare în septembrie 2022; constată că au fost necesare lucrări de amenajare în cele două clădiri nou-dobândite, pentru a permite o utilizare mai eficientă a spațiului pentru birouri; salută instituirea, în 2022, a unui grup operativ comun pentru a găsi noi modalități de lucru și pentru a reflecta asupra posibilei optimizări a modalității de organizare a muncii și de utilizare a spațiului pentru birouri, reducând totodată amprenta de mediu;</w:t>
      </w:r>
    </w:p>
    <w:p w:rsidR="0057055B" w:rsidRPr="00CD6EA7" w:rsidRDefault="0057055B" w:rsidP="0057055B">
      <w:pPr>
        <w:pStyle w:val="NormalHanging12a"/>
      </w:pPr>
      <w:r w:rsidRPr="00CD6EA7">
        <w:t>50.</w:t>
      </w:r>
      <w:r w:rsidRPr="00CD6EA7">
        <w:tab/>
        <w:t xml:space="preserve">constată că bugetul total angajat în 2021 și 2022 pentru renovarea VMA de către Comitet și </w:t>
      </w:r>
      <w:proofErr w:type="spellStart"/>
      <w:r w:rsidRPr="00CD6EA7">
        <w:t>CoR</w:t>
      </w:r>
      <w:proofErr w:type="spellEnd"/>
      <w:r w:rsidRPr="00CD6EA7">
        <w:t xml:space="preserve">, de la etajul al treilea până la al nouălea, s-a ridicat la 9,54 milioane EUR; constată că lucrările de renovare realizate de Comitet și de </w:t>
      </w:r>
      <w:proofErr w:type="spellStart"/>
      <w:r w:rsidRPr="00CD6EA7">
        <w:t>CoR</w:t>
      </w:r>
      <w:proofErr w:type="spellEnd"/>
      <w:r w:rsidRPr="00CD6EA7">
        <w:t xml:space="preserve"> au integrat utilizarea unor tehnologii inteligente de economisire a energiei, cu o componentă ecologică solidă; invită Comitetul să furnizeze informații actualizate privind rentabilitatea investiției în cazul acestor instalații tehnologice;</w:t>
      </w:r>
    </w:p>
    <w:p w:rsidR="0057055B" w:rsidRPr="00CD6EA7" w:rsidRDefault="0057055B" w:rsidP="0057055B">
      <w:pPr>
        <w:spacing w:after="240"/>
        <w:ind w:left="567" w:hanging="567"/>
        <w:rPr>
          <w:szCs w:val="24"/>
        </w:rPr>
      </w:pPr>
      <w:r w:rsidRPr="00CD6EA7">
        <w:lastRenderedPageBreak/>
        <w:t>51.</w:t>
      </w:r>
      <w:r w:rsidRPr="00CD6EA7">
        <w:tab/>
        <w:t xml:space="preserve">constată că, în 2022, strategia Comitetului și a </w:t>
      </w:r>
      <w:proofErr w:type="spellStart"/>
      <w:r w:rsidRPr="00CD6EA7">
        <w:t>CoR</w:t>
      </w:r>
      <w:proofErr w:type="spellEnd"/>
      <w:r w:rsidRPr="00CD6EA7">
        <w:t xml:space="preserve"> în ceea ce privește clădirile s-a axat pe concentrarea geografică a clădirilor, care s-a realizat prin conectarea fizică a tuturor clădirilor folosite de comitete la clădirea principală a acestora (JDE); salută noua legătură fizică cu clădirile Parlamentului, care a devenit operațională în noiembrie 2022, asigurând un drum mai direct, mai ușor și cu 125 m mai scurt între clădirile Comitetului și </w:t>
      </w:r>
      <w:proofErr w:type="spellStart"/>
      <w:r w:rsidRPr="00CD6EA7">
        <w:t>CoR</w:t>
      </w:r>
      <w:proofErr w:type="spellEnd"/>
      <w:r w:rsidRPr="00CD6EA7">
        <w:t xml:space="preserve"> și clădirile Parlamentului;</w:t>
      </w:r>
    </w:p>
    <w:p w:rsidR="0057055B" w:rsidRPr="00CD6EA7" w:rsidRDefault="0057055B" w:rsidP="0057055B">
      <w:pPr>
        <w:pStyle w:val="NormalHanging12a"/>
      </w:pPr>
      <w:r w:rsidRPr="00CD6EA7">
        <w:t>52.</w:t>
      </w:r>
      <w:r w:rsidRPr="00CD6EA7">
        <w:tab/>
        <w:t xml:space="preserve">salută angajamentul Comitetului și al </w:t>
      </w:r>
      <w:proofErr w:type="spellStart"/>
      <w:r w:rsidRPr="00CD6EA7">
        <w:t>CoR</w:t>
      </w:r>
      <w:proofErr w:type="spellEnd"/>
      <w:r w:rsidRPr="00CD6EA7">
        <w:t xml:space="preserve"> de a aplica în mod sistematic principiul proiectării universale în infrastructura lor, asigurând accesibilitatea clădirilor lor încă din faza de proiectare; constată că Comitetul și </w:t>
      </w:r>
      <w:proofErr w:type="spellStart"/>
      <w:r w:rsidRPr="00CD6EA7">
        <w:t>CoR</w:t>
      </w:r>
      <w:proofErr w:type="spellEnd"/>
      <w:r w:rsidRPr="00CD6EA7">
        <w:t xml:space="preserve"> au întreprins o gamă de diferite măsuri pentru a asigura accesibilitatea clădirilor lor pentru persoane cu diferite tipuri de dizabilități;</w:t>
      </w:r>
    </w:p>
    <w:p w:rsidR="0057055B" w:rsidRPr="00CD6EA7" w:rsidRDefault="0057055B" w:rsidP="0057055B">
      <w:pPr>
        <w:pStyle w:val="NormalHanging12a"/>
        <w:ind w:left="0" w:firstLine="0"/>
        <w:rPr>
          <w:b/>
          <w:i/>
        </w:rPr>
      </w:pPr>
      <w:r w:rsidRPr="00CD6EA7">
        <w:rPr>
          <w:b/>
          <w:i/>
        </w:rPr>
        <w:t>Mediul și sustenabilitatea</w:t>
      </w:r>
    </w:p>
    <w:p w:rsidR="0057055B" w:rsidRPr="00CD6EA7" w:rsidRDefault="0057055B" w:rsidP="0057055B">
      <w:pPr>
        <w:pStyle w:val="NormalHanging12a"/>
      </w:pPr>
      <w:r w:rsidRPr="00CD6EA7">
        <w:t>53.</w:t>
      </w:r>
      <w:r w:rsidRPr="00CD6EA7">
        <w:tab/>
        <w:t xml:space="preserve">salută practicile ecologice sustenabile și mai ales abordarea Comitetului și a </w:t>
      </w:r>
      <w:proofErr w:type="spellStart"/>
      <w:r w:rsidRPr="00CD6EA7">
        <w:t>CoR</w:t>
      </w:r>
      <w:proofErr w:type="spellEnd"/>
      <w:r w:rsidRPr="00CD6EA7">
        <w:t xml:space="preserve"> de eliminare a documentelor în format fizic, care a contribuit la reducerea amprentei de mediu a acestora, în conformitate cu strategia digitală; felicită comitetele pentru că au depășit obiectivele EMAS pentru perioada 2021-2025, cu excepția celor legate de consumul de gaze; constată că un buget de 60 000 EUR a fost alocat pentru schema de compensare a emisiilor de CO</w:t>
      </w:r>
      <w:r w:rsidRPr="00CD6EA7">
        <w:rPr>
          <w:vertAlign w:val="subscript"/>
        </w:rPr>
        <w:t>2</w:t>
      </w:r>
      <w:r w:rsidRPr="00CD6EA7">
        <w:t xml:space="preserve"> a Comitetului, prin achiziționarea unor credite de carbon de calitate ridicată în 2023;</w:t>
      </w:r>
    </w:p>
    <w:p w:rsidR="0057055B" w:rsidRPr="00CD6EA7" w:rsidRDefault="0057055B" w:rsidP="0057055B">
      <w:pPr>
        <w:pStyle w:val="NormalHanging12a"/>
      </w:pPr>
      <w:r w:rsidRPr="00CD6EA7">
        <w:t>54.</w:t>
      </w:r>
      <w:r w:rsidRPr="00CD6EA7">
        <w:tab/>
        <w:t xml:space="preserve">constată că, în 2022, producția totală de energie electrică generată de panourile solare de pe clădirile Comitetului și ale </w:t>
      </w:r>
      <w:proofErr w:type="spellStart"/>
      <w:r w:rsidRPr="00CD6EA7">
        <w:t>CoR</w:t>
      </w:r>
      <w:proofErr w:type="spellEnd"/>
      <w:r w:rsidRPr="00CD6EA7">
        <w:t xml:space="preserve"> a fost de aproximativ 15,5 MWh, reprezentând 0,25 % din consumul anual total al Comitetului și al </w:t>
      </w:r>
      <w:proofErr w:type="spellStart"/>
      <w:r w:rsidRPr="00CD6EA7">
        <w:t>CoR</w:t>
      </w:r>
      <w:proofErr w:type="spellEnd"/>
      <w:r w:rsidRPr="00CD6EA7">
        <w:t xml:space="preserve">; observă că, la 16 septembrie 2022, doar clădirea JDE era dotată cu panouri solare; este conștient că, din cauza procedurilor administrative, va mai dura până ce Comitetul și </w:t>
      </w:r>
      <w:proofErr w:type="spellStart"/>
      <w:r w:rsidRPr="00CD6EA7">
        <w:t>CoR</w:t>
      </w:r>
      <w:proofErr w:type="spellEnd"/>
      <w:r w:rsidRPr="00CD6EA7">
        <w:t xml:space="preserve"> își vor putea extinde instalația de panouri solare;</w:t>
      </w:r>
    </w:p>
    <w:p w:rsidR="0057055B" w:rsidRPr="00CD6EA7" w:rsidRDefault="0057055B" w:rsidP="0057055B">
      <w:pPr>
        <w:pStyle w:val="NormalHanging12a"/>
      </w:pPr>
      <w:r w:rsidRPr="00CD6EA7">
        <w:t>55.</w:t>
      </w:r>
      <w:r w:rsidRPr="00CD6EA7">
        <w:tab/>
        <w:t>felicită Comitetul pentru instituirea unui plan de transport profesional în acord cu departamentul pentru mobilitate al regiunii Bruxelles-Capitală, potrivit căruia Comitetul se angajează să efectueze un sondaj obligatoriu privind mobilitatea în rândul personalului său o dată la trei ani; constată că Comitetul a instituit un plan sustenabil în materie de mobilitate, menit să încurajeze personalul acestuia să utilizeze mijloace de transport mai sustenabile, inclusiv printr-o contribuție financiară la abonamentele de transport în comun ale personalului sau printr-o contribuție financiară lunară pentru ca membrii personalului să vină la locul de muncă cu bicicleta; constată că Comitetul analizează soluții suplimentare, precum punerea la dispoziție de biciclete electrice și instalarea de încărcătoare suplimentare pentru mașinile electrice;</w:t>
      </w:r>
    </w:p>
    <w:p w:rsidR="0057055B" w:rsidRPr="00CD6EA7" w:rsidRDefault="0057055B" w:rsidP="0057055B">
      <w:pPr>
        <w:pStyle w:val="NormalHanging12a"/>
        <w:rPr>
          <w:b/>
          <w:i/>
        </w:rPr>
      </w:pPr>
      <w:r w:rsidRPr="00CD6EA7">
        <w:rPr>
          <w:b/>
          <w:i/>
        </w:rPr>
        <w:t>Cooperarea interinstituțională</w:t>
      </w:r>
    </w:p>
    <w:p w:rsidR="0057055B" w:rsidRPr="00CD6EA7" w:rsidRDefault="0057055B" w:rsidP="0057055B">
      <w:pPr>
        <w:pStyle w:val="NormalHanging12a"/>
      </w:pPr>
      <w:r w:rsidRPr="00CD6EA7">
        <w:t>56.</w:t>
      </w:r>
      <w:r w:rsidRPr="00CD6EA7">
        <w:tab/>
        <w:t xml:space="preserve">salută economiile bugetare și administrative realizate prin cooperare interinstituțională, în special cooperarea strânsă stabilită la nivel administrativ cu </w:t>
      </w:r>
      <w:proofErr w:type="spellStart"/>
      <w:r w:rsidRPr="00CD6EA7">
        <w:t>CoR</w:t>
      </w:r>
      <w:proofErr w:type="spellEnd"/>
      <w:r w:rsidRPr="00CD6EA7">
        <w:t xml:space="preserve">, cu care Comitetul are spații și servicii comune în domeniul traducerii, infrastructurii, logisticii și IT-ului, menținându-și totodată pe deplin autonomia instituțională; constată că, la 1 octombrie 2022, au fost create noi servicii comune, printre care o nouă Direcție pentru inovare și tehnologia informației, o unitate pentru securitate și siguranță și o unitate pentru achiziții publice și gestiune financiară, în cadrul noului acord de cooperare semnat cu </w:t>
      </w:r>
      <w:proofErr w:type="spellStart"/>
      <w:r w:rsidRPr="00CD6EA7">
        <w:t>CoR</w:t>
      </w:r>
      <w:proofErr w:type="spellEnd"/>
      <w:r w:rsidRPr="00CD6EA7">
        <w:t xml:space="preserve"> în 2022; observă, de asemenea, că Comitetul și </w:t>
      </w:r>
      <w:proofErr w:type="spellStart"/>
      <w:r w:rsidRPr="00CD6EA7">
        <w:t>CoR</w:t>
      </w:r>
      <w:proofErr w:type="spellEnd"/>
      <w:r w:rsidRPr="00CD6EA7">
        <w:t xml:space="preserve"> au folosit în comun 470 de </w:t>
      </w:r>
      <w:r w:rsidRPr="00CD6EA7">
        <w:lastRenderedPageBreak/>
        <w:t xml:space="preserve">angajați și 55 de milioane EUR în 2022, dintre care peste 30 de milioane EUR au provenit de la Comitet, cu excepția cheltuielilor salariale; invită Comitetul să susțină și să extindă această cooperare și în alte domenii, pentru a evita suprapunerile și a raționaliza în continuare costurile de funcționare ale serviciilor disponibile în spațiile comune ale celor două comitete; invită Comitetul și </w:t>
      </w:r>
      <w:proofErr w:type="spellStart"/>
      <w:r w:rsidRPr="00CD6EA7">
        <w:t>CoR</w:t>
      </w:r>
      <w:proofErr w:type="spellEnd"/>
      <w:r w:rsidRPr="00CD6EA7">
        <w:t xml:space="preserve"> să analizeze posibilitatea de a crea o administrație unică pentru serviciile lor comune, având direcții sau unități specifice pentru serviciile care gestionează aspecte legate de mandatele lor specifice și independente;</w:t>
      </w:r>
    </w:p>
    <w:p w:rsidR="0057055B" w:rsidRPr="00CD6EA7" w:rsidRDefault="0057055B" w:rsidP="0057055B">
      <w:pPr>
        <w:pStyle w:val="NormalHanging12a"/>
      </w:pPr>
      <w:r w:rsidRPr="00CD6EA7">
        <w:t>57.</w:t>
      </w:r>
      <w:r w:rsidRPr="00CD6EA7">
        <w:tab/>
        <w:t>salută faptul că Comitetul caută sinergii prin achiziționarea de servicii de la alte instituții pe baza unor acorduri privind nivelul serviciilor și prin participarea la organisme de coordonare interinstituțională și la proceduri de achiziții interinstituționale; constată că Parlamentul oferă în special servicii de interpretare pentru sesiunile plenare ale Comitetului desfășurate la sediul Parlamentului și pentru unele ședințe care au loc la sediul Comitetului;</w:t>
      </w:r>
    </w:p>
    <w:p w:rsidR="0057055B" w:rsidRPr="00CD6EA7" w:rsidRDefault="0057055B" w:rsidP="0057055B">
      <w:pPr>
        <w:pStyle w:val="NormalHanging12a"/>
      </w:pPr>
      <w:r w:rsidRPr="00CD6EA7">
        <w:t>58.</w:t>
      </w:r>
      <w:r w:rsidRPr="00CD6EA7">
        <w:tab/>
        <w:t>salută implicarea sporită a Comitetului în ciclul legislativ și invită Comitetul să se asigure că avizele sale sunt comunicate membrilor comisiilor de resort ale Parlamentului, în conformitate cu Acordul de cooperare dintre Parlament și Comitet;</w:t>
      </w:r>
    </w:p>
    <w:p w:rsidR="0057055B" w:rsidRPr="00CD6EA7" w:rsidRDefault="0057055B" w:rsidP="0057055B">
      <w:pPr>
        <w:pStyle w:val="NormalHanging12a"/>
      </w:pPr>
      <w:r w:rsidRPr="00CD6EA7">
        <w:t>59.</w:t>
      </w:r>
      <w:r w:rsidRPr="00CD6EA7">
        <w:tab/>
        <w:t xml:space="preserve">constată că Comitetul și-a desfășurat și intensificat cooperarea cu Comisia în 2022, în contextul acordului privind nivelul serviciilor cu Oficiul de investigație și de disciplină al Comisiei privind sprijinul pentru anchete administrative și în cadrul protocolului de cooperare actualizat în 2022 menit să consolideze </w:t>
      </w:r>
      <w:proofErr w:type="spellStart"/>
      <w:r w:rsidRPr="00CD6EA7">
        <w:t>sinergiile</w:t>
      </w:r>
      <w:proofErr w:type="spellEnd"/>
      <w:r w:rsidRPr="00CD6EA7">
        <w:t xml:space="preserve"> politice, legislative și de comunicare între aceste două instituții, în special în ceea ce privește punerea în aplicare a inițiativei cetățenești europene și a semestrului european; constată că, potrivit protocolului de cooperare actualizat, a fost consolidată utilizarea avizelor exploratorii ale Comitetului de către Comisie, ceea ce îmbunătățește implicarea Comitetului în ciclul legislativ al Uniunii;</w:t>
      </w:r>
    </w:p>
    <w:p w:rsidR="0057055B" w:rsidRPr="00CD6EA7" w:rsidRDefault="0057055B" w:rsidP="0057055B">
      <w:pPr>
        <w:pStyle w:val="NormalHanging12a"/>
      </w:pPr>
      <w:r w:rsidRPr="00CD6EA7">
        <w:t>60.</w:t>
      </w:r>
      <w:r w:rsidRPr="00CD6EA7">
        <w:tab/>
        <w:t>observă că Comitetul joacă un rol esențial în consolidarea legăturilor cu și între consiliile economice și sociale naționale din statele membre; încurajează Comitetul să stimuleze în continuare cooperarea pe teme de interes comun și privind bunele practici și să sublinieze modul în care societatea civilă contribuie la provocările actuale ale Uniunii, mai ales prin schimburi de personal și prin organizarea de evenimente comune;</w:t>
      </w:r>
    </w:p>
    <w:p w:rsidR="0057055B" w:rsidRPr="00CD6EA7" w:rsidRDefault="0057055B" w:rsidP="0057055B">
      <w:pPr>
        <w:pStyle w:val="NormalHanging12a"/>
        <w:rPr>
          <w:b/>
          <w:i/>
        </w:rPr>
      </w:pPr>
      <w:r w:rsidRPr="00CD6EA7">
        <w:rPr>
          <w:b/>
          <w:i/>
        </w:rPr>
        <w:t>Comunicare</w:t>
      </w:r>
    </w:p>
    <w:p w:rsidR="0057055B" w:rsidRPr="00CD6EA7" w:rsidRDefault="0057055B" w:rsidP="0057055B">
      <w:pPr>
        <w:pStyle w:val="NormalHanging12a"/>
      </w:pPr>
      <w:r w:rsidRPr="00CD6EA7">
        <w:t>61.</w:t>
      </w:r>
      <w:r w:rsidRPr="00CD6EA7">
        <w:tab/>
        <w:t>constată că, în 2022, bugetul total pentru comunicare al Comitetului a fost de 1,5 milioane EUR, la fel ca în 2021; observă că acest buget a fost alocat în special pentru a sprijini dezvoltarea și întreținerea site-ului web al Comitetului, pentru platforme de comunicare socială, monitorizarea mass-mediei, relațiile cu mass-media și promovarea principalelor activități și evenimente ale Comitetului, precum Premiul pentru societatea civilă, pentru activitățile legate de Comitet din cadrul lucrărilor Conferinței privind viitorul Europei și pentru activitățile de sprijinire a Ucrainei;</w:t>
      </w:r>
    </w:p>
    <w:p w:rsidR="0057055B" w:rsidRPr="00CD6EA7" w:rsidRDefault="0057055B" w:rsidP="0057055B">
      <w:pPr>
        <w:pStyle w:val="NormalHanging12a"/>
      </w:pPr>
      <w:r w:rsidRPr="00CD6EA7">
        <w:t>62.</w:t>
      </w:r>
      <w:r w:rsidRPr="00CD6EA7">
        <w:tab/>
        <w:t xml:space="preserve">consideră binevenită adoptarea de către Comitet a unei noi strategii de comunicare, bazată pe date, în octombrie 2022, menită să îmbunătățească raza de acțiune a activităților de comunicare ale Comitetului și impactul avizelor sale și să definească organizațiile europene ale societății civile (OSC) și celelalte instituții ale Uniunii drept principalele ținte ale activității sale de comunicare; constată, de asemenea, că, în 2022, </w:t>
      </w:r>
      <w:r w:rsidRPr="00CD6EA7">
        <w:lastRenderedPageBreak/>
        <w:t>Comitetul a actualizat normele privind parteneriatul, cu scopul de a-și îmbunătăți cooperarea strategică cu OSC-urile prin evenimente tematice;</w:t>
      </w:r>
    </w:p>
    <w:p w:rsidR="0057055B" w:rsidRPr="00CD6EA7" w:rsidRDefault="0057055B" w:rsidP="0057055B">
      <w:pPr>
        <w:pStyle w:val="NormalHanging12a"/>
      </w:pPr>
      <w:r w:rsidRPr="00CD6EA7">
        <w:t>63.</w:t>
      </w:r>
      <w:r w:rsidRPr="00CD6EA7">
        <w:tab/>
        <w:t>observă că Comitetul a organizat evenimente hibride importante pe teme de mare relevanță pentru societatea civilă, precum evenimentul la nivel înalt al Conferinței privind viitorul Europei pe tema „Conturăm Europa împreună – viitorul este în mâinile tale”, evenimentul anual pentru tineret „Europa ta, părerea ta!” adresat elevilor și profesorilor din Uniune și din țările candidate și sesiunea plenară anuală pentru tineret „Adevărul despre minciuni. Tinerii în fața provocărilor dezinformării” adresată studenților; observă că Comitetul a organizat și activități mai țintite axate pe Anul tineretului și pe războiul de agresiune dus de Rusia împotriva Ucrainei, adresate jurnaliștilor și specialiștilor în comunicare din cadrul OSC-urilor;</w:t>
      </w:r>
    </w:p>
    <w:p w:rsidR="0057055B" w:rsidRPr="00CD6EA7" w:rsidRDefault="0057055B" w:rsidP="0057055B">
      <w:pPr>
        <w:pStyle w:val="NormalHanging12a"/>
      </w:pPr>
      <w:r w:rsidRPr="00CD6EA7">
        <w:t>64.</w:t>
      </w:r>
      <w:r w:rsidRPr="00CD6EA7">
        <w:tab/>
        <w:t xml:space="preserve">constată cu satisfacție că, per ansamblu, impactul activităților de comunicare ale Comitetului a crescut în 2022 față de 2021, în special prin prezența în presă, pe internet și pe platformele de comunicare socială; constată că numărul de vizite pe pagina centrală de Facebook a crescut cu 96,9 % (57 000 de vizite), iar numărul de vizite pe contul de </w:t>
      </w:r>
      <w:proofErr w:type="spellStart"/>
      <w:r w:rsidRPr="00CD6EA7">
        <w:t>Instagram</w:t>
      </w:r>
      <w:proofErr w:type="spellEnd"/>
      <w:r w:rsidRPr="00CD6EA7">
        <w:t xml:space="preserve"> a crescut cu 97,9 % (20 000 de vizite), în timp ce numărul utilizatorilor de Facebook a crescut cu 1,1 % (6 milioane de utilizatori), impactul pe </w:t>
      </w:r>
      <w:proofErr w:type="spellStart"/>
      <w:r w:rsidRPr="00CD6EA7">
        <w:t>Instagram</w:t>
      </w:r>
      <w:proofErr w:type="spellEnd"/>
      <w:r w:rsidRPr="00CD6EA7">
        <w:t xml:space="preserve"> a crescut cu 33 % (peste 3 milioane de utilizatori), postările publicate pe </w:t>
      </w:r>
      <w:proofErr w:type="spellStart"/>
      <w:r w:rsidRPr="00CD6EA7">
        <w:t>LinkedIn</w:t>
      </w:r>
      <w:proofErr w:type="spellEnd"/>
      <w:r w:rsidRPr="00CD6EA7">
        <w:t xml:space="preserve"> au generat aproape 1,2 milioane de vizualizări, iar </w:t>
      </w:r>
      <w:proofErr w:type="spellStart"/>
      <w:r w:rsidRPr="00CD6EA7">
        <w:t>tweeturile</w:t>
      </w:r>
      <w:proofErr w:type="spellEnd"/>
      <w:r w:rsidRPr="00CD6EA7">
        <w:t xml:space="preserve"> publicate pe X (fostul </w:t>
      </w:r>
      <w:proofErr w:type="spellStart"/>
      <w:r w:rsidRPr="00CD6EA7">
        <w:t>Twitter</w:t>
      </w:r>
      <w:proofErr w:type="spellEnd"/>
      <w:r w:rsidRPr="00CD6EA7">
        <w:t>) au adunat peste 6 milioane de vizualizări; salută participarea Comitetului, începând cu 2023, la proiectul-pilot condus de Autoritatea Europeană pentru Protecția Datelor, menit să aducă instituțiile Uniunii pe EU-</w:t>
      </w:r>
      <w:proofErr w:type="spellStart"/>
      <w:r w:rsidRPr="00CD6EA7">
        <w:t>Voice</w:t>
      </w:r>
      <w:proofErr w:type="spellEnd"/>
      <w:r w:rsidRPr="00CD6EA7">
        <w:t xml:space="preserve"> și EU-Video, care sunt două rețele de comunicare socială gratuite și cu sursă deschisă, bazate pe software-</w:t>
      </w:r>
      <w:proofErr w:type="spellStart"/>
      <w:r w:rsidRPr="00CD6EA7">
        <w:t>ul</w:t>
      </w:r>
      <w:proofErr w:type="spellEnd"/>
      <w:r w:rsidRPr="00CD6EA7">
        <w:t xml:space="preserve"> </w:t>
      </w:r>
      <w:proofErr w:type="spellStart"/>
      <w:r w:rsidRPr="00CD6EA7">
        <w:t>Mastodon</w:t>
      </w:r>
      <w:proofErr w:type="spellEnd"/>
      <w:r w:rsidRPr="00CD6EA7">
        <w:t xml:space="preserve">, ce permit instituțiilor Uniunii să interacționeze cu publicul partajând texte, imagini, clipuri video și </w:t>
      </w:r>
      <w:proofErr w:type="spellStart"/>
      <w:r w:rsidRPr="00CD6EA7">
        <w:t>podcasturi</w:t>
      </w:r>
      <w:proofErr w:type="spellEnd"/>
      <w:r w:rsidRPr="00CD6EA7">
        <w:t>;</w:t>
      </w:r>
    </w:p>
    <w:p w:rsidR="0057055B" w:rsidRPr="00CD6EA7" w:rsidRDefault="0057055B" w:rsidP="0057055B">
      <w:pPr>
        <w:pStyle w:val="NormalHanging12a"/>
      </w:pPr>
      <w:r w:rsidRPr="00CD6EA7">
        <w:t>65.</w:t>
      </w:r>
      <w:r w:rsidRPr="00CD6EA7">
        <w:tab/>
        <w:t>felicită Comitetul pentru că se asigură că cetățenii au acces liber la documentele sale printr-un registru electronic dedicat; observă că Comitetul contribuie la portalul de date deschise al Comisiei cu propriile sale seturi de date, încurajând astfel o transparență sporită a operațiunilor sale, prin date accesibile în mod liber în formate prelucrabile automat și lizibile de către oameni, și consolidând legătura cu cetățenii.</w:t>
      </w:r>
    </w:p>
    <w:p w:rsidR="00E365E1" w:rsidRPr="00CD6EA7" w:rsidRDefault="00E365E1" w:rsidP="007F2384">
      <w:pPr>
        <w:rPr>
          <w:lang w:eastAsia="fr-FR"/>
        </w:rPr>
      </w:pPr>
      <w:bookmarkStart w:id="10" w:name="TextBodyEnd"/>
      <w:bookmarkEnd w:id="10"/>
    </w:p>
    <w:sectPr w:rsidR="00E365E1" w:rsidRPr="00CD6EA7" w:rsidSect="00CE447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02C" w:rsidRPr="00CE4479" w:rsidRDefault="001F602C">
      <w:r w:rsidRPr="00CE4479">
        <w:separator/>
      </w:r>
    </w:p>
  </w:endnote>
  <w:endnote w:type="continuationSeparator" w:id="0">
    <w:p w:rsidR="001F602C" w:rsidRPr="00CE4479" w:rsidRDefault="001F602C">
      <w:r w:rsidRPr="00CE44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55B" w:rsidRPr="00CE4479" w:rsidRDefault="0057055B" w:rsidP="006A5381">
    <w:pPr>
      <w:pStyle w:val="EPFooter"/>
    </w:pPr>
    <w:r w:rsidRPr="00CE4479">
      <w:t>PE</w:t>
    </w:r>
    <w:r w:rsidRPr="00CE4479">
      <w:rPr>
        <w:rStyle w:val="HideTWBExt"/>
      </w:rPr>
      <w:t>&lt;</w:t>
    </w:r>
    <w:proofErr w:type="spellStart"/>
    <w:r w:rsidRPr="00CE4479">
      <w:rPr>
        <w:rStyle w:val="HideTWBExt"/>
      </w:rPr>
      <w:t>NoPE</w:t>
    </w:r>
    <w:proofErr w:type="spellEnd"/>
    <w:r w:rsidRPr="00CE4479">
      <w:rPr>
        <w:rStyle w:val="HideTWBExt"/>
      </w:rPr>
      <w:t>&gt;</w:t>
    </w:r>
    <w:r w:rsidRPr="00CE4479">
      <w:t>753.483</w:t>
    </w:r>
    <w:r w:rsidRPr="00CE4479">
      <w:rPr>
        <w:rStyle w:val="HideTWBExt"/>
      </w:rPr>
      <w:t>&lt;/</w:t>
    </w:r>
    <w:proofErr w:type="spellStart"/>
    <w:r w:rsidRPr="00CE4479">
      <w:rPr>
        <w:rStyle w:val="HideTWBExt"/>
      </w:rPr>
      <w:t>NoPE</w:t>
    </w:r>
    <w:proofErr w:type="spellEnd"/>
    <w:r w:rsidRPr="00CE4479">
      <w:rPr>
        <w:rStyle w:val="HideTWBExt"/>
      </w:rPr>
      <w:t>&gt;&lt;Version&gt;</w:t>
    </w:r>
    <w:r w:rsidRPr="00CE4479">
      <w:t>v02-00</w:t>
    </w:r>
    <w:r w:rsidRPr="00CE4479">
      <w:rPr>
        <w:rStyle w:val="HideTWBExt"/>
      </w:rPr>
      <w:t>&lt;/</w:t>
    </w:r>
    <w:proofErr w:type="spellStart"/>
    <w:r w:rsidRPr="00CE4479">
      <w:rPr>
        <w:rStyle w:val="HideTWBExt"/>
      </w:rPr>
      <w:t>Version</w:t>
    </w:r>
    <w:proofErr w:type="spellEnd"/>
    <w:r w:rsidRPr="00CE4479">
      <w:rPr>
        <w:rStyle w:val="HideTWBExt"/>
      </w:rPr>
      <w:t>&gt;</w:t>
    </w:r>
    <w:r w:rsidRPr="00CE4479">
      <w:tab/>
    </w:r>
    <w:r w:rsidRPr="00CE4479">
      <w:fldChar w:fldCharType="begin"/>
    </w:r>
    <w:r w:rsidRPr="00CE4479">
      <w:instrText xml:space="preserve"> PAGE  \* MERGEFORMAT </w:instrText>
    </w:r>
    <w:r w:rsidRPr="00CE4479">
      <w:fldChar w:fldCharType="separate"/>
    </w:r>
    <w:r w:rsidR="00CE4479" w:rsidRPr="00CE4479">
      <w:rPr>
        <w:noProof/>
      </w:rPr>
      <w:t>4</w:t>
    </w:r>
    <w:r w:rsidRPr="00CE4479">
      <w:fldChar w:fldCharType="end"/>
    </w:r>
    <w:r w:rsidRPr="00CE4479">
      <w:t>/</w:t>
    </w:r>
    <w:fldSimple w:instr=" NUMPAGES  \* MERGEFORMAT ">
      <w:r w:rsidR="00CE4479" w:rsidRPr="00CE4479">
        <w:rPr>
          <w:noProof/>
        </w:rPr>
        <w:t>6</w:t>
      </w:r>
    </w:fldSimple>
    <w:r w:rsidRPr="00CE4479">
      <w:tab/>
    </w:r>
    <w:r w:rsidRPr="00CE4479">
      <w:rPr>
        <w:rStyle w:val="HideTWBExt"/>
      </w:rPr>
      <w:t>&lt;PathFdR&gt;</w:t>
    </w:r>
    <w:r w:rsidRPr="00CE4479">
      <w:t>RR\1298480RO.docx</w:t>
    </w:r>
    <w:r w:rsidRPr="00CE4479">
      <w:rPr>
        <w:rStyle w:val="HideTWBExt"/>
      </w:rPr>
      <w:t>&lt;/</w:t>
    </w:r>
    <w:proofErr w:type="spellStart"/>
    <w:r w:rsidRPr="00CE4479">
      <w:rPr>
        <w:rStyle w:val="HideTWBExt"/>
      </w:rPr>
      <w:t>PathFdR</w:t>
    </w:r>
    <w:proofErr w:type="spellEnd"/>
    <w:r w:rsidRPr="00CE4479">
      <w:rPr>
        <w:rStyle w:val="HideTWBExt"/>
      </w:rPr>
      <w:t>&gt;</w:t>
    </w:r>
  </w:p>
  <w:p w:rsidR="0057055B" w:rsidRPr="00CE4479" w:rsidRDefault="0057055B" w:rsidP="006A5381">
    <w:pPr>
      <w:pStyle w:val="EPFooter2"/>
    </w:pPr>
    <w:r w:rsidRPr="00CE4479">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55B" w:rsidRPr="00CE4479" w:rsidRDefault="0057055B" w:rsidP="006A5381">
    <w:pPr>
      <w:pStyle w:val="EPFooter"/>
    </w:pPr>
    <w:r w:rsidRPr="00CE4479">
      <w:rPr>
        <w:rStyle w:val="HideTWBExt"/>
      </w:rPr>
      <w:t>&lt;PathFdR&gt;</w:t>
    </w:r>
    <w:r w:rsidRPr="00CE4479">
      <w:t>RR\1298480RO.docx</w:t>
    </w:r>
    <w:r w:rsidRPr="00CE4479">
      <w:rPr>
        <w:rStyle w:val="HideTWBExt"/>
      </w:rPr>
      <w:t>&lt;/</w:t>
    </w:r>
    <w:proofErr w:type="spellStart"/>
    <w:r w:rsidRPr="00CE4479">
      <w:rPr>
        <w:rStyle w:val="HideTWBExt"/>
      </w:rPr>
      <w:t>PathFdR</w:t>
    </w:r>
    <w:proofErr w:type="spellEnd"/>
    <w:r w:rsidRPr="00CE4479">
      <w:rPr>
        <w:rStyle w:val="HideTWBExt"/>
      </w:rPr>
      <w:t>&gt;</w:t>
    </w:r>
    <w:r w:rsidRPr="00CE4479">
      <w:tab/>
    </w:r>
    <w:r w:rsidRPr="00CE4479">
      <w:tab/>
      <w:t>PE</w:t>
    </w:r>
    <w:r w:rsidRPr="00CE4479">
      <w:rPr>
        <w:rStyle w:val="HideTWBExt"/>
      </w:rPr>
      <w:t>&lt;</w:t>
    </w:r>
    <w:proofErr w:type="spellStart"/>
    <w:r w:rsidRPr="00CE4479">
      <w:rPr>
        <w:rStyle w:val="HideTWBExt"/>
      </w:rPr>
      <w:t>NoPE</w:t>
    </w:r>
    <w:proofErr w:type="spellEnd"/>
    <w:r w:rsidRPr="00CE4479">
      <w:rPr>
        <w:rStyle w:val="HideTWBExt"/>
      </w:rPr>
      <w:t>&gt;</w:t>
    </w:r>
    <w:r w:rsidRPr="00CE4479">
      <w:t>753.483</w:t>
    </w:r>
    <w:r w:rsidRPr="00CE4479">
      <w:rPr>
        <w:rStyle w:val="HideTWBExt"/>
      </w:rPr>
      <w:t>&lt;/</w:t>
    </w:r>
    <w:proofErr w:type="spellStart"/>
    <w:r w:rsidRPr="00CE4479">
      <w:rPr>
        <w:rStyle w:val="HideTWBExt"/>
      </w:rPr>
      <w:t>NoPE</w:t>
    </w:r>
    <w:proofErr w:type="spellEnd"/>
    <w:r w:rsidRPr="00CE4479">
      <w:rPr>
        <w:rStyle w:val="HideTWBExt"/>
      </w:rPr>
      <w:t>&gt;&lt;Version&gt;</w:t>
    </w:r>
    <w:r w:rsidRPr="00CE4479">
      <w:t>v02-00</w:t>
    </w:r>
    <w:r w:rsidRPr="00CE4479">
      <w:rPr>
        <w:rStyle w:val="HideTWBExt"/>
      </w:rPr>
      <w:t>&lt;/</w:t>
    </w:r>
    <w:proofErr w:type="spellStart"/>
    <w:r w:rsidRPr="00CE4479">
      <w:rPr>
        <w:rStyle w:val="HideTWBExt"/>
      </w:rPr>
      <w:t>Version</w:t>
    </w:r>
    <w:proofErr w:type="spellEnd"/>
    <w:r w:rsidRPr="00CE4479">
      <w:rPr>
        <w:rStyle w:val="HideTWBExt"/>
      </w:rPr>
      <w:t>&gt;</w:t>
    </w:r>
  </w:p>
  <w:p w:rsidR="0057055B" w:rsidRPr="00CE4479" w:rsidRDefault="0057055B" w:rsidP="006A5381">
    <w:pPr>
      <w:pStyle w:val="EPFooter2"/>
    </w:pPr>
    <w:r w:rsidRPr="00CE4479">
      <w:t>RO</w:t>
    </w:r>
    <w:r w:rsidRPr="00CE4479">
      <w:tab/>
    </w:r>
    <w:r w:rsidRPr="00CE4479">
      <w:rPr>
        <w:b w:val="0"/>
        <w:i/>
        <w:color w:val="C0C0C0"/>
        <w:sz w:val="22"/>
      </w:rPr>
      <w:t>Unită în diversitate</w:t>
    </w:r>
    <w:r w:rsidRPr="00CE4479">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02C" w:rsidRPr="00CE4479" w:rsidRDefault="001F602C">
      <w:r w:rsidRPr="00CE4479">
        <w:separator/>
      </w:r>
    </w:p>
  </w:footnote>
  <w:footnote w:type="continuationSeparator" w:id="0">
    <w:p w:rsidR="001F602C" w:rsidRPr="00CE4479" w:rsidRDefault="001F602C">
      <w:r w:rsidRPr="00CE4479">
        <w:continuationSeparator/>
      </w:r>
    </w:p>
  </w:footnote>
  <w:footnote w:id="1">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L 45, 24.2.2022.</w:t>
      </w:r>
    </w:p>
  </w:footnote>
  <w:footnote w:id="2">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C, C/2023/2, 12.10.2023.</w:t>
      </w:r>
    </w:p>
  </w:footnote>
  <w:footnote w:id="3">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C, C/2023/103, 4.10.2023.</w:t>
      </w:r>
    </w:p>
  </w:footnote>
  <w:footnote w:id="4">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C, C/2023/112, 12.10.2023.</w:t>
      </w:r>
    </w:p>
  </w:footnote>
  <w:footnote w:id="5">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L 193, 30.7.2018, p. 1.</w:t>
      </w:r>
    </w:p>
  </w:footnote>
  <w:footnote w:id="6">
    <w:p w:rsidR="0057055B" w:rsidRPr="00CD6EA7"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Hotărârea Curții de Justiție din 6 octombrie 2022, KN/Comitetul Economic și Social European, C-673/21, ECLI:EU:T:2022:759.</w:t>
      </w:r>
    </w:p>
  </w:footnote>
  <w:footnote w:id="7">
    <w:p w:rsidR="0057055B" w:rsidRPr="00CE4479" w:rsidRDefault="0057055B" w:rsidP="00CE4479">
      <w:pPr>
        <w:pStyle w:val="FootnoteText"/>
        <w:ind w:left="567" w:hanging="567"/>
        <w:rPr>
          <w:sz w:val="24"/>
          <w:lang w:val="ro-RO"/>
        </w:rPr>
      </w:pPr>
      <w:r w:rsidRPr="00CD6EA7">
        <w:rPr>
          <w:rStyle w:val="FootnoteReference"/>
          <w:sz w:val="24"/>
          <w:lang w:val="ro-RO"/>
        </w:rPr>
        <w:footnoteRef/>
      </w:r>
      <w:r w:rsidR="00CE4479" w:rsidRPr="00CD6EA7">
        <w:rPr>
          <w:sz w:val="24"/>
          <w:lang w:val="ro-RO"/>
        </w:rPr>
        <w:t xml:space="preserve"> </w:t>
      </w:r>
      <w:r w:rsidR="00CE4479" w:rsidRPr="00CD6EA7">
        <w:rPr>
          <w:sz w:val="24"/>
          <w:lang w:val="ro-RO"/>
        </w:rPr>
        <w:tab/>
      </w:r>
      <w:r w:rsidRPr="00CD6EA7">
        <w:rPr>
          <w:sz w:val="24"/>
          <w:lang w:val="ro-RO"/>
        </w:rPr>
        <w:t>JO L 207,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44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RO"/>
    <w:docVar w:name="dvnumam" w:val="0"/>
    <w:docVar w:name="dvpe" w:val="753.483"/>
    <w:docVar w:name="dvrapporteur" w:val="Raportor: "/>
    <w:docVar w:name="dvtitre" w:val="1. Decizia Parlamentului European din 11 aprilie 2024 privind descărcarea de gestiune pentru execuția bugetului general al Uniunii Europene aferent exercițiului financiar 2022, secțiunea VI – Comitetul Economic și Social European_x000d__x000a_(2023/2135(DEC))_x000d__x000a_(2023/2135(DEC))"/>
  </w:docVars>
  <w:rsids>
    <w:rsidRoot w:val="001F602C"/>
    <w:rsid w:val="00002272"/>
    <w:rsid w:val="00064002"/>
    <w:rsid w:val="000677B9"/>
    <w:rsid w:val="000831BA"/>
    <w:rsid w:val="000A42CC"/>
    <w:rsid w:val="000E7DD9"/>
    <w:rsid w:val="0010095E"/>
    <w:rsid w:val="00125B37"/>
    <w:rsid w:val="0015427E"/>
    <w:rsid w:val="00187494"/>
    <w:rsid w:val="001F32AE"/>
    <w:rsid w:val="001F602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55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384"/>
    <w:rsid w:val="00817416"/>
    <w:rsid w:val="00842779"/>
    <w:rsid w:val="00865F67"/>
    <w:rsid w:val="00881A7B"/>
    <w:rsid w:val="008840E5"/>
    <w:rsid w:val="00887B3E"/>
    <w:rsid w:val="008C2AC6"/>
    <w:rsid w:val="00930C23"/>
    <w:rsid w:val="0093193B"/>
    <w:rsid w:val="009509D8"/>
    <w:rsid w:val="00950B64"/>
    <w:rsid w:val="00981893"/>
    <w:rsid w:val="009E2C4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EA7"/>
    <w:rsid w:val="00CE447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E0E0E"/>
  <w15:chartTrackingRefBased/>
  <w15:docId w15:val="{9F2CFF4F-9DE8-4241-A06B-FFEE75C3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05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055B"/>
    <w:pPr>
      <w:spacing w:before="480" w:after="240"/>
    </w:pPr>
  </w:style>
  <w:style w:type="paragraph" w:customStyle="1" w:styleId="PageHeading">
    <w:name w:val="PageHeading"/>
    <w:basedOn w:val="Normal"/>
    <w:rsid w:val="0057055B"/>
    <w:pPr>
      <w:keepNext/>
      <w:spacing w:after="480"/>
      <w:jc w:val="center"/>
    </w:pPr>
    <w:rPr>
      <w:rFonts w:ascii="Arial" w:hAnsi="Arial" w:cs="Arial"/>
      <w:b/>
    </w:rPr>
  </w:style>
  <w:style w:type="paragraph" w:customStyle="1" w:styleId="NormalBold">
    <w:name w:val="NormalBold"/>
    <w:basedOn w:val="Normal"/>
    <w:rsid w:val="0057055B"/>
    <w:rPr>
      <w:b/>
    </w:rPr>
  </w:style>
  <w:style w:type="paragraph" w:customStyle="1" w:styleId="NormalHanging12a">
    <w:name w:val="NormalHanging12a"/>
    <w:basedOn w:val="Normal"/>
    <w:link w:val="NormalHanging12aChar"/>
    <w:qFormat/>
    <w:rsid w:val="0057055B"/>
    <w:pPr>
      <w:spacing w:after="240"/>
      <w:ind w:left="567" w:hanging="567"/>
    </w:pPr>
    <w:rPr>
      <w:szCs w:val="24"/>
    </w:rPr>
  </w:style>
  <w:style w:type="paragraph" w:styleId="Header">
    <w:name w:val="header"/>
    <w:basedOn w:val="Normal"/>
    <w:link w:val="HeaderChar"/>
    <w:rsid w:val="0057055B"/>
    <w:pPr>
      <w:tabs>
        <w:tab w:val="center" w:pos="4513"/>
        <w:tab w:val="right" w:pos="9026"/>
      </w:tabs>
    </w:pPr>
  </w:style>
  <w:style w:type="character" w:customStyle="1" w:styleId="HeaderChar">
    <w:name w:val="Header Char"/>
    <w:basedOn w:val="DefaultParagraphFont"/>
    <w:link w:val="Header"/>
    <w:rsid w:val="0057055B"/>
    <w:rPr>
      <w:sz w:val="24"/>
      <w:lang w:val="ro-RO"/>
    </w:rPr>
  </w:style>
  <w:style w:type="paragraph" w:customStyle="1" w:styleId="EPFooter">
    <w:name w:val="EPFooter"/>
    <w:basedOn w:val="Normal"/>
    <w:rsid w:val="0057055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7055B"/>
    <w:rPr>
      <w:sz w:val="24"/>
      <w:szCs w:val="24"/>
      <w:lang w:val="ro-RO"/>
    </w:rPr>
  </w:style>
  <w:style w:type="paragraph" w:styleId="Footer">
    <w:name w:val="footer"/>
    <w:basedOn w:val="Normal"/>
    <w:link w:val="FooterChar"/>
    <w:rsid w:val="007F2384"/>
    <w:pPr>
      <w:tabs>
        <w:tab w:val="center" w:pos="4513"/>
        <w:tab w:val="right" w:pos="9026"/>
      </w:tabs>
    </w:pPr>
  </w:style>
  <w:style w:type="character" w:customStyle="1" w:styleId="FooterChar">
    <w:name w:val="Footer Char"/>
    <w:basedOn w:val="DefaultParagraphFont"/>
    <w:link w:val="Footer"/>
    <w:rsid w:val="007F238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92E9B-9F17-485B-A181-D4D291746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7128</Words>
  <Characters>41039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2024-05-21T15:17:00Z</dcterms:created>
  <dcterms:modified xsi:type="dcterms:W3CDTF">2024-05-21T15:17:00Z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P9_TA(2024)0232_</vt:lpwstr>
  </property>
  <property fmtid="{D5CDD505-2E9C-101B-9397-08002B2CF9AE}" pid="4" name="&lt;Type&gt;">
    <vt:lpwstr>RR</vt:lpwstr>
  </property>
</Properties>
</file>