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A3F73" w:rsidRPr="00FA7AB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A3F73" w:rsidRPr="00FA7AB6" w:rsidRDefault="00EB3D10">
            <w:pPr>
              <w:pStyle w:val="EPName"/>
            </w:pPr>
            <w:r w:rsidRPr="00FA7AB6">
              <w:t>Európsky parlament</w:t>
            </w:r>
          </w:p>
          <w:p w:rsidR="00EA3F73" w:rsidRPr="00FA7AB6" w:rsidRDefault="00EB3D1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7AB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EA3F73" w:rsidRPr="00FA7AB6" w:rsidRDefault="00EB3D10">
            <w:pPr>
              <w:pStyle w:val="EPLogo"/>
            </w:pPr>
            <w:r w:rsidRPr="00FA7AB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3F73" w:rsidRPr="00FA7AB6" w:rsidRDefault="00EA3F73">
      <w:pPr>
        <w:pStyle w:val="LineTop"/>
      </w:pPr>
    </w:p>
    <w:p w:rsidR="00EA3F73" w:rsidRPr="00FA7AB6" w:rsidRDefault="00EB3D10">
      <w:pPr>
        <w:pStyle w:val="EPBodyTA1"/>
      </w:pPr>
      <w:r w:rsidRPr="00FA7AB6">
        <w:t>PRIJATÉ TEXTY</w:t>
      </w:r>
    </w:p>
    <w:p w:rsidR="00EA3F73" w:rsidRPr="00FA7AB6" w:rsidRDefault="00EA3F73">
      <w:pPr>
        <w:pStyle w:val="LineBottom"/>
      </w:pPr>
    </w:p>
    <w:p w:rsidR="00EA3F73" w:rsidRPr="00FA7AB6" w:rsidRDefault="00EB3D10">
      <w:pPr>
        <w:pStyle w:val="ATHeading1"/>
      </w:pPr>
      <w:bookmarkStart w:id="0" w:name="TANumber"/>
      <w:r w:rsidRPr="00FA7AB6">
        <w:t>P9_TA(2024)0</w:t>
      </w:r>
      <w:r w:rsidR="00921B3D" w:rsidRPr="00FA7AB6">
        <w:t>23</w:t>
      </w:r>
      <w:bookmarkEnd w:id="0"/>
      <w:r w:rsidR="00AE2E8E">
        <w:t>2</w:t>
      </w:r>
    </w:p>
    <w:p w:rsidR="00EA3F73" w:rsidRPr="00FA7AB6" w:rsidRDefault="00EB3D10">
      <w:pPr>
        <w:pStyle w:val="ATHeading2"/>
      </w:pPr>
      <w:bookmarkStart w:id="1" w:name="title"/>
      <w:r w:rsidRPr="00FA7AB6">
        <w:t>Absolutórium za rok 2022: všeobecný rozpočet EÚ – Európsky hospodársky a sociálny výbor</w:t>
      </w:r>
      <w:bookmarkEnd w:id="1"/>
    </w:p>
    <w:p w:rsidR="00EA3F73" w:rsidRPr="00FA7AB6" w:rsidRDefault="00EB3D10">
      <w:pPr>
        <w:rPr>
          <w:i/>
          <w:vanish/>
        </w:rPr>
      </w:pPr>
      <w:r w:rsidRPr="00FA7AB6">
        <w:rPr>
          <w:i/>
        </w:rPr>
        <w:fldChar w:fldCharType="begin"/>
      </w:r>
      <w:r w:rsidRPr="00FA7AB6">
        <w:rPr>
          <w:i/>
        </w:rPr>
        <w:instrText xml:space="preserve"> TC"(</w:instrText>
      </w:r>
      <w:bookmarkStart w:id="2" w:name="DocNumber"/>
      <w:r w:rsidRPr="00FA7AB6">
        <w:rPr>
          <w:i/>
        </w:rPr>
        <w:instrText>A9-0072/2024</w:instrText>
      </w:r>
      <w:bookmarkEnd w:id="2"/>
      <w:r w:rsidRPr="00FA7AB6">
        <w:rPr>
          <w:i/>
        </w:rPr>
        <w:instrText xml:space="preserve"> - Spravodajca: Luke Ming Flanagan)"\l3 \n&gt; \* MERGEFORMAT </w:instrText>
      </w:r>
      <w:r w:rsidRPr="00FA7AB6">
        <w:rPr>
          <w:i/>
        </w:rPr>
        <w:fldChar w:fldCharType="end"/>
      </w:r>
    </w:p>
    <w:p w:rsidR="00EA3F73" w:rsidRPr="00FA7AB6" w:rsidRDefault="00EB3D10">
      <w:pPr>
        <w:rPr>
          <w:vanish/>
        </w:rPr>
      </w:pPr>
      <w:bookmarkStart w:id="3" w:name="Commission"/>
      <w:r w:rsidRPr="00FA7AB6">
        <w:rPr>
          <w:vanish/>
        </w:rPr>
        <w:t>Výbor pre kontrolu rozpočtu</w:t>
      </w:r>
      <w:bookmarkEnd w:id="3"/>
    </w:p>
    <w:p w:rsidR="00EA3F73" w:rsidRPr="00FA7AB6" w:rsidRDefault="00EB3D10">
      <w:pPr>
        <w:rPr>
          <w:vanish/>
        </w:rPr>
      </w:pPr>
      <w:bookmarkStart w:id="4" w:name="PE"/>
      <w:r w:rsidRPr="00FA7AB6">
        <w:rPr>
          <w:vanish/>
        </w:rPr>
        <w:t>PE753.483</w:t>
      </w:r>
      <w:bookmarkEnd w:id="4"/>
    </w:p>
    <w:p w:rsidR="00EA3F73" w:rsidRPr="00FA7AB6" w:rsidRDefault="00EB3D10">
      <w:pPr>
        <w:pStyle w:val="ATHeading3"/>
      </w:pPr>
      <w:bookmarkStart w:id="5" w:name="Sujet"/>
      <w:r w:rsidRPr="00FA7AB6">
        <w:t>1. Rozhodnutie Európskeho parlamentu z 11. apríla 2024 o absolutóriu za plnenie všeobecného rozpočtu Európskej únie za rozpočtový rok 2022, oddiel VI – Európsky hospodársky a sociálny výbor</w:t>
      </w:r>
      <w:bookmarkEnd w:id="5"/>
      <w:r w:rsidRPr="00FA7AB6">
        <w:t xml:space="preserve"> </w:t>
      </w:r>
      <w:bookmarkStart w:id="6" w:name="References"/>
      <w:r w:rsidRPr="00FA7AB6">
        <w:t>(2023/2135(DEC))</w:t>
      </w:r>
      <w:bookmarkEnd w:id="6"/>
    </w:p>
    <w:p w:rsidR="00EA3F73" w:rsidRPr="00FA7AB6" w:rsidRDefault="00EB3D10">
      <w:pPr>
        <w:pStyle w:val="EPComma"/>
        <w:rPr>
          <w:szCs w:val="24"/>
        </w:rPr>
      </w:pPr>
      <w:bookmarkStart w:id="7" w:name="TextBodyBegin"/>
      <w:bookmarkEnd w:id="7"/>
      <w:r w:rsidRPr="00FA7AB6">
        <w:rPr>
          <w:i/>
          <w:iCs/>
        </w:rPr>
        <w:t>Európsky parlament</w:t>
      </w:r>
      <w:r w:rsidRPr="00FA7AB6">
        <w:t>,</w:t>
      </w:r>
    </w:p>
    <w:p w:rsidR="00EA3F73" w:rsidRPr="00FA7AB6" w:rsidRDefault="00EB3D10">
      <w:pPr>
        <w:pStyle w:val="NormalHanging12a"/>
      </w:pPr>
      <w:r w:rsidRPr="00FA7AB6">
        <w:t>–</w:t>
      </w:r>
      <w:r w:rsidRPr="00FA7AB6">
        <w:tab/>
        <w:t>so zreteľom na všeobecný rozpočet Európskej únie na rozpočtový rok 2022</w:t>
      </w:r>
      <w:r w:rsidRPr="00FA7AB6">
        <w:rPr>
          <w:rStyle w:val="FootnoteReference"/>
        </w:rPr>
        <w:footnoteReference w:id="1"/>
      </w:r>
      <w:r w:rsidRPr="00FA7AB6">
        <w:t>,</w:t>
      </w:r>
    </w:p>
    <w:p w:rsidR="00EA3F73" w:rsidRPr="00FA7AB6" w:rsidRDefault="00EB3D10">
      <w:pPr>
        <w:pStyle w:val="NormalHanging12a"/>
      </w:pPr>
      <w:r w:rsidRPr="00FA7AB6">
        <w:t>–</w:t>
      </w:r>
      <w:r w:rsidRPr="00FA7AB6">
        <w:tab/>
        <w:t>so zreteľom na konsolidovanú ročnú účtovnú závierku Európskej únie za rozpočtový rok 2022 (COM(2023)0391 – C9</w:t>
      </w:r>
      <w:r w:rsidRPr="00FA7AB6">
        <w:noBreakHyphen/>
        <w:t>0254/2023)</w:t>
      </w:r>
      <w:r w:rsidRPr="00FA7AB6">
        <w:rPr>
          <w:rStyle w:val="FootnoteReference"/>
        </w:rPr>
        <w:footnoteReference w:id="2"/>
      </w:r>
      <w:r w:rsidRPr="00FA7AB6">
        <w:t>,</w:t>
      </w:r>
    </w:p>
    <w:p w:rsidR="00EA3F73" w:rsidRPr="00FA7AB6" w:rsidRDefault="00EB3D10">
      <w:pPr>
        <w:pStyle w:val="NormalHanging12a"/>
      </w:pPr>
      <w:r w:rsidRPr="00FA7AB6">
        <w:t>–</w:t>
      </w:r>
      <w:r w:rsidRPr="00FA7AB6">
        <w:tab/>
        <w:t>so zreteľom na výročnú správu o činnosti za rok 2022 Európskeho hospodárskeho a sociálneho výboru a jej správu o vnútorných auditoch vykonaných v roku 2022 pre orgán udeľujúci absolutórium,</w:t>
      </w:r>
    </w:p>
    <w:p w:rsidR="00EA3F73" w:rsidRPr="00FA7AB6" w:rsidRDefault="00EB3D10">
      <w:pPr>
        <w:pStyle w:val="NormalHanging12a"/>
      </w:pPr>
      <w:r w:rsidRPr="00FA7AB6">
        <w:t>–</w:t>
      </w:r>
      <w:r w:rsidRPr="00FA7AB6">
        <w:tab/>
        <w:t>so zreteľom na výročnú správu Dvora audítorov o plnení rozpočtu za rozpočtový rok 2022 spolu s odpoveďami inštitúcií</w:t>
      </w:r>
      <w:r w:rsidRPr="00FA7AB6">
        <w:rPr>
          <w:rStyle w:val="FootnoteReference"/>
        </w:rPr>
        <w:footnoteReference w:id="3"/>
      </w:r>
      <w:r w:rsidRPr="00FA7AB6">
        <w:t>,</w:t>
      </w:r>
    </w:p>
    <w:p w:rsidR="00EA3F73" w:rsidRPr="00FA7AB6" w:rsidRDefault="00EB3D10">
      <w:pPr>
        <w:pStyle w:val="NormalHanging12a"/>
      </w:pPr>
      <w:r w:rsidRPr="00FA7AB6">
        <w:t>–</w:t>
      </w:r>
      <w:r w:rsidRPr="00FA7AB6">
        <w:tab/>
        <w:t>so zreteľom na vyhlásenie</w:t>
      </w:r>
      <w:r w:rsidRPr="00FA7AB6">
        <w:rPr>
          <w:rStyle w:val="FootnoteReference"/>
        </w:rPr>
        <w:footnoteReference w:id="4"/>
      </w:r>
      <w:r w:rsidRPr="00FA7AB6">
        <w:t xml:space="preserve"> o vierohodnosti vedenia účtov a zákonnosti a správnosti príslušných operácií, ktoré poskytol Dvor audítorov za rozpočtový rok 2022 v súlade s článkom 287 Zmluvy o fungovaní Európskej únie,</w:t>
      </w:r>
    </w:p>
    <w:p w:rsidR="00EA3F73" w:rsidRPr="00FA7AB6" w:rsidRDefault="00EB3D10">
      <w:pPr>
        <w:pStyle w:val="NormalHanging12a"/>
      </w:pPr>
      <w:r w:rsidRPr="00FA7AB6">
        <w:t>–</w:t>
      </w:r>
      <w:r w:rsidRPr="00FA7AB6">
        <w:tab/>
        <w:t>so zreteľom na článok 314 ods. 10 a články 317, 318 a 319 Zmluvy o fungovaní Európskej únie,</w:t>
      </w:r>
    </w:p>
    <w:p w:rsidR="00EA3F73" w:rsidRPr="00FA7AB6" w:rsidRDefault="00EB3D10">
      <w:pPr>
        <w:pStyle w:val="NormalHanging12a"/>
      </w:pPr>
      <w:r w:rsidRPr="00FA7AB6">
        <w:t>–</w:t>
      </w:r>
      <w:r w:rsidRPr="00FA7AB6">
        <w:tab/>
        <w:t xml:space="preserve">so zreteľom na nariadenie Európskeho parlamentu a Rady (EÚ, </w:t>
      </w:r>
      <w:proofErr w:type="spellStart"/>
      <w:r w:rsidRPr="00FA7AB6">
        <w:t>Euratom</w:t>
      </w:r>
      <w:proofErr w:type="spellEnd"/>
      <w:r w:rsidRPr="00FA7AB6">
        <w:t xml:space="preserve">) 2018/1046 z 18. júla 2018 o rozpočtových pravidlách, ktoré sa vzťahujú na všeobecný rozpočet Únie, o zmene nariadení (EÚ) č. 1296/2013, (EÚ) č. 1301/2013, (EÚ) č. 1303/2013, (EÚ) č. 1304/2013, (EÚ) č. 1309/2013, (EÚ) č. 1316/2013, (EÚ) č. 223/2014, (EÚ) č. 283/2014 a rozhodnutia č. 541/2014/EÚ a o zrušení nariadenia (EÚ, </w:t>
      </w:r>
      <w:proofErr w:type="spellStart"/>
      <w:r w:rsidRPr="00FA7AB6">
        <w:t>Euratom</w:t>
      </w:r>
      <w:proofErr w:type="spellEnd"/>
      <w:r w:rsidRPr="00FA7AB6">
        <w:t>) č. 966/2012</w:t>
      </w:r>
      <w:r w:rsidRPr="00FA7AB6">
        <w:rPr>
          <w:rStyle w:val="FootnoteReference"/>
        </w:rPr>
        <w:footnoteReference w:id="5"/>
      </w:r>
      <w:r w:rsidRPr="00FA7AB6">
        <w:t>, a najmä na jeho články 59, 118, 260, 261 a 262,</w:t>
      </w:r>
    </w:p>
    <w:p w:rsidR="00EA3F73" w:rsidRPr="00FA7AB6" w:rsidRDefault="00EB3D10">
      <w:pPr>
        <w:pStyle w:val="NormalHanging12a"/>
      </w:pPr>
      <w:r w:rsidRPr="00FA7AB6">
        <w:lastRenderedPageBreak/>
        <w:t>–</w:t>
      </w:r>
      <w:r w:rsidRPr="00FA7AB6">
        <w:tab/>
        <w:t>so zreteľom na článok 100 a prílohu V k rokovaciemu poriadku,</w:t>
      </w:r>
    </w:p>
    <w:p w:rsidR="00EA3F73" w:rsidRPr="00FA7AB6" w:rsidRDefault="00EB3D10">
      <w:pPr>
        <w:pStyle w:val="NormalHanging12a"/>
      </w:pPr>
      <w:r w:rsidRPr="00FA7AB6">
        <w:t>–</w:t>
      </w:r>
      <w:r w:rsidRPr="00FA7AB6">
        <w:tab/>
        <w:t>so zreteľom na správu Výboru pre kontrolu rozpočtu (A9-0072/2024),</w:t>
      </w:r>
    </w:p>
    <w:p w:rsidR="00EA3F73" w:rsidRPr="00FA7AB6" w:rsidRDefault="00EB3D10">
      <w:pPr>
        <w:pStyle w:val="NormalHanging12a"/>
      </w:pPr>
      <w:r w:rsidRPr="00FA7AB6">
        <w:t>1.</w:t>
      </w:r>
      <w:r w:rsidRPr="00FA7AB6">
        <w:tab/>
        <w:t>udeľuje generálnej tajomníčke Európskeho hospodárskeho a sociálneho výboru absolutórium za plnenie rozpočtu Európskeho hospodárskeho a sociálneho výboru za rozpočtový rok 2022;</w:t>
      </w:r>
    </w:p>
    <w:p w:rsidR="00EA3F73" w:rsidRPr="00FA7AB6" w:rsidRDefault="00EB3D10">
      <w:pPr>
        <w:pStyle w:val="NormalHanging12a"/>
      </w:pPr>
      <w:r w:rsidRPr="00FA7AB6">
        <w:t>2.</w:t>
      </w:r>
      <w:r w:rsidRPr="00FA7AB6">
        <w:tab/>
        <w:t>uvádza svoje poznámky v priloženom uznesení;</w:t>
      </w:r>
    </w:p>
    <w:p w:rsidR="00EA3F73" w:rsidRPr="00FA7AB6" w:rsidRDefault="00EB3D10">
      <w:pPr>
        <w:pStyle w:val="NormalHanging12a"/>
      </w:pPr>
      <w:r w:rsidRPr="00FA7AB6">
        <w:t>3.</w:t>
      </w:r>
      <w:r w:rsidRPr="00FA7AB6">
        <w:tab/>
        <w:t xml:space="preserve">poveruje svoju predsedníčku, aby postúpila toto rozhodnutie a uznesenie, ktoré je jeho neoddeliteľnou súčasťou, generálnej tajomníčke Európskeho hospodárskeho a sociálneho výboru, Rade, Komisii a Dvoru audítorov a aby zabezpečila ich uverejnenie v </w:t>
      </w:r>
      <w:r w:rsidRPr="00FA7AB6">
        <w:rPr>
          <w:i/>
        </w:rPr>
        <w:t>Úradnom vestníku Európskej únie</w:t>
      </w:r>
      <w:r w:rsidRPr="00FA7AB6">
        <w:t xml:space="preserve"> (v sérii L). </w:t>
      </w:r>
    </w:p>
    <w:p w:rsidR="00EA3F73" w:rsidRPr="00FA7AB6" w:rsidRDefault="00EA3F73"/>
    <w:p w:rsidR="00EA3F73" w:rsidRPr="00FA7AB6" w:rsidRDefault="00EA3F73">
      <w:pPr>
        <w:pStyle w:val="PageHeading"/>
        <w:jc w:val="left"/>
        <w:sectPr w:rsidR="00EA3F73" w:rsidRPr="00FA7AB6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A3F73" w:rsidRPr="00FA7AB6" w:rsidRDefault="00EB3D10">
      <w:pPr>
        <w:pStyle w:val="NormalBold"/>
        <w:rPr>
          <w:szCs w:val="24"/>
        </w:rPr>
      </w:pPr>
      <w:r w:rsidRPr="00FA7AB6">
        <w:lastRenderedPageBreak/>
        <w:t>2. Uznesenie Európskeho parlamentu z 11. apríla 2024 s poznámkami, ktoré je neoddeliteľnou súčasťou rozhodnutia o absolutóriu za plnenie všeobecného rozpočtu Európskej únie za rozpočtový rok 2022, oddiel VI – Európsky hospodársky a sociálny výbor (2023/2135(DEC))</w:t>
      </w:r>
    </w:p>
    <w:p w:rsidR="00EA3F73" w:rsidRPr="00FA7AB6" w:rsidRDefault="00EB3D10">
      <w:pPr>
        <w:pStyle w:val="EPComma"/>
        <w:rPr>
          <w:szCs w:val="24"/>
        </w:rPr>
      </w:pPr>
      <w:r w:rsidRPr="00FA7AB6">
        <w:rPr>
          <w:i/>
          <w:iCs/>
        </w:rPr>
        <w:t>Európsky parlament</w:t>
      </w:r>
      <w:r w:rsidRPr="00FA7AB6">
        <w:t>,</w:t>
      </w:r>
    </w:p>
    <w:p w:rsidR="00EA3F73" w:rsidRPr="00FA7AB6" w:rsidRDefault="00EB3D10">
      <w:pPr>
        <w:pStyle w:val="NormalHanging12a"/>
      </w:pPr>
      <w:r w:rsidRPr="00FA7AB6">
        <w:t>–</w:t>
      </w:r>
      <w:r w:rsidRPr="00FA7AB6">
        <w:tab/>
        <w:t>so zreteľom na svoje rozhodnutie o absolutóriu za plnenie všeobecného rozpočtu Európskej únie za rozpočtový rok 2022, oddiel VI – Európsky hospodársky a sociálny výbor,</w:t>
      </w:r>
    </w:p>
    <w:p w:rsidR="00EA3F73" w:rsidRPr="00FA7AB6" w:rsidRDefault="00EB3D10">
      <w:pPr>
        <w:pStyle w:val="NormalHanging12a"/>
      </w:pPr>
      <w:r w:rsidRPr="00FA7AB6">
        <w:t>–</w:t>
      </w:r>
      <w:r w:rsidRPr="00FA7AB6">
        <w:tab/>
        <w:t>so zreteľom na článok 100 a prílohu V k rokovaciemu poriadku,</w:t>
      </w:r>
    </w:p>
    <w:p w:rsidR="00EA3F73" w:rsidRPr="00FA7AB6" w:rsidRDefault="00EB3D10">
      <w:pPr>
        <w:pStyle w:val="NormalHanging12a"/>
      </w:pPr>
      <w:r w:rsidRPr="00FA7AB6">
        <w:t>–</w:t>
      </w:r>
      <w:r w:rsidRPr="00FA7AB6">
        <w:tab/>
        <w:t>so zreteľom na správu Výboru pre kontrolu rozpočtu (A9-0072/2024),</w:t>
      </w:r>
    </w:p>
    <w:p w:rsidR="00EA3F73" w:rsidRPr="00FA7AB6" w:rsidRDefault="00EB3D10">
      <w:pPr>
        <w:pStyle w:val="NormalHanging12a"/>
      </w:pPr>
      <w:r w:rsidRPr="00FA7AB6">
        <w:t>A.</w:t>
      </w:r>
      <w:r w:rsidRPr="00FA7AB6">
        <w:tab/>
        <w:t>keďže v súvislosti s postupom udelenia absolutória chce orgán udeľujúci absolutórium podčiarknuť osobitný význam ďalšieho posilňovania demokratickej legitimity inštitúcií Únie zvyšovaním transparentnosti a zodpovednosti a zavedením koncepcie zostavovania rozpočtu na základe výkonnosti a dobrého riadenia ľudských zdrojov;</w:t>
      </w:r>
    </w:p>
    <w:p w:rsidR="00EA3F73" w:rsidRPr="00FA7AB6" w:rsidRDefault="00EB3D10">
      <w:pPr>
        <w:pStyle w:val="NormalHanging12a"/>
      </w:pPr>
      <w:r w:rsidRPr="00FA7AB6">
        <w:t>B.</w:t>
      </w:r>
      <w:r w:rsidRPr="00FA7AB6">
        <w:tab/>
        <w:t>keďže Európsky hospodársky a sociálny výbor (ďalej len „výbor“) je poradným orgánom Únie, ktorý poskytuje fórum na konzultácie, dialóg a konsenzus medzi zástupcami rôznych hospodárskych, sociálnych a občianskych zložiek organizovanej občianskej spoločnosti z členských štátov;</w:t>
      </w:r>
    </w:p>
    <w:p w:rsidR="00EA3F73" w:rsidRPr="00FA7AB6" w:rsidRDefault="00EB3D10">
      <w:pPr>
        <w:pStyle w:val="NormalHanging12a"/>
      </w:pPr>
      <w:r w:rsidRPr="00FA7AB6">
        <w:t>C.</w:t>
      </w:r>
      <w:r w:rsidRPr="00FA7AB6">
        <w:tab/>
        <w:t xml:space="preserve">keďže výbor prispieva k rozhodovaciemu procesu Únie a tým, že zabezpečuje prepojenie medzi politikami Únie a hospodárskou, sociálnou a občianskou situáciou, plní svoje poslanie lepšej tvorby práva, </w:t>
      </w:r>
      <w:proofErr w:type="spellStart"/>
      <w:r w:rsidRPr="00FA7AB6">
        <w:t>participatívnej</w:t>
      </w:r>
      <w:proofErr w:type="spellEnd"/>
      <w:r w:rsidRPr="00FA7AB6">
        <w:t xml:space="preserve"> demokracie zdola nahor a presadzovania hodnôt Únie;</w:t>
      </w:r>
    </w:p>
    <w:p w:rsidR="00EA3F73" w:rsidRPr="00FA7AB6" w:rsidRDefault="00EB3D10">
      <w:pPr>
        <w:pStyle w:val="NormalHanging12a"/>
      </w:pPr>
      <w:r w:rsidRPr="00FA7AB6">
        <w:t>D.</w:t>
      </w:r>
      <w:r w:rsidRPr="00FA7AB6">
        <w:tab/>
        <w:t>keďže Komisia alebo Rada je v niektorých prípadoch povinná výbor konzultovať, výbor môže prijímať stanoviská aj z vlastnej iniciatívy a má široký priestor na postúpenie, ako sa vymedzuje v zmluvách, čo mu umožňuje konzultovať s Európskym parlamentom;</w:t>
      </w:r>
    </w:p>
    <w:p w:rsidR="00EA3F73" w:rsidRPr="00FA7AB6" w:rsidRDefault="00EB3D10">
      <w:pPr>
        <w:pStyle w:val="NormalHanging12a"/>
      </w:pPr>
      <w:r w:rsidRPr="00FA7AB6">
        <w:t>E.</w:t>
      </w:r>
      <w:r w:rsidRPr="00FA7AB6">
        <w:tab/>
        <w:t>keďže komisia pre finančné a rozpočtové záležitosti pôsobiaca pri výbore je dozorným orgánom výboru, pokiaľ ide o všetky rozpočtové postupy, a najmä o vypracovanie odhadov rozpočtu, plnenie rozpočtu, výročnú správu o činnosti, absolutórium a prijatie následných opatrení k výročnej správe Dvora audítorov (ďalej len „Dvor audítorov“);</w:t>
      </w:r>
    </w:p>
    <w:p w:rsidR="00EA3F73" w:rsidRPr="00FA7AB6" w:rsidRDefault="00EB3D10">
      <w:pPr>
        <w:pStyle w:val="NormalHanging12a"/>
      </w:pPr>
      <w:r w:rsidRPr="00FA7AB6">
        <w:t>1.</w:t>
      </w:r>
      <w:r w:rsidRPr="00FA7AB6">
        <w:tab/>
        <w:t>konštatuje, že rozpočet výboru patrí do okruhu 7 VFR „Európska verejná správa“, ktorý v roku 2022 dosiahol celkovú výšku 11,6 miliardy EUR (teda 5,9 % výdavkov rozpočtu Únie); konštatuje, že rozpočet výboru v roku 2022 predstavoval 1,31 % okruhu 7 VFR;</w:t>
      </w:r>
    </w:p>
    <w:p w:rsidR="00EA3F73" w:rsidRPr="00FA7AB6" w:rsidRDefault="00EB3D10">
      <w:pPr>
        <w:pStyle w:val="NormalHanging12a"/>
      </w:pPr>
      <w:r w:rsidRPr="00FA7AB6">
        <w:t>2.</w:t>
      </w:r>
      <w:r w:rsidRPr="00FA7AB6">
        <w:tab/>
        <w:t>poznamenáva, že Dvor audítorov vo svojej výročnej správe za rozpočtový rok 2022 preskúmal vzorku 60 transakcií v oddiele Administratíva, rovnako ako v roku 2021; ďalej konštatuje, že podľa Dvora audítorov administratívne výdavky zahŕňajú výdavky na ľudské zdroje vrátane výdavkov na dôchodky, ktoré v roku 2022 predstavovali približne 70 % celkových administratívnych výdavkov, a výdavky na budovy, zariadenie, energetiku, komunikáciu a informačné technológie, a že jeho práca počas mnohých rokov naznačuje, že tieto výdavky sú celkovo nízkorizikové;</w:t>
      </w:r>
    </w:p>
    <w:p w:rsidR="00EA3F73" w:rsidRPr="00FA7AB6" w:rsidRDefault="00EB3D10">
      <w:pPr>
        <w:pStyle w:val="NormalHanging12a"/>
      </w:pPr>
      <w:r w:rsidRPr="00FA7AB6">
        <w:lastRenderedPageBreak/>
        <w:t>3.</w:t>
      </w:r>
      <w:r w:rsidRPr="00FA7AB6">
        <w:tab/>
        <w:t xml:space="preserve">konštatuje, že Dvor audítorov preskúmal v rámci auditu za rok 2022 systémy dohľadu a kontroly výboru, najmä vykonávanie noriem vnútornej kontroly, riadenie rizík a fungovanie kľúčových kontrol stanovených v nariadení o rozpočtových pravidlách, a vykonal aj ex </w:t>
      </w:r>
      <w:proofErr w:type="spellStart"/>
      <w:r w:rsidRPr="00FA7AB6">
        <w:t>ante</w:t>
      </w:r>
      <w:proofErr w:type="spellEnd"/>
      <w:r w:rsidRPr="00FA7AB6">
        <w:t xml:space="preserve"> a ex post kontroly platieb;</w:t>
      </w:r>
    </w:p>
    <w:p w:rsidR="00EA3F73" w:rsidRPr="00FA7AB6" w:rsidRDefault="00EB3D10">
      <w:pPr>
        <w:pStyle w:val="NormalHanging12a"/>
      </w:pPr>
      <w:r w:rsidRPr="00FA7AB6">
        <w:t>4.</w:t>
      </w:r>
      <w:r w:rsidRPr="00FA7AB6">
        <w:tab/>
        <w:t>konštatuje, že 14 zo 60 (23 %) operácií obsahovalo chyby, ale že Dvor audítorov na základe piatich vyčíslených chýb odhaduje, že chybovosť bola pod prahom významnosti;</w:t>
      </w:r>
    </w:p>
    <w:p w:rsidR="00EA3F73" w:rsidRPr="00FA7AB6" w:rsidRDefault="00EB3D10">
      <w:pPr>
        <w:pStyle w:val="NormalHanging12a"/>
      </w:pPr>
      <w:r w:rsidRPr="00FA7AB6">
        <w:t>5.</w:t>
      </w:r>
      <w:r w:rsidRPr="00FA7AB6">
        <w:tab/>
        <w:t>s uspokojením konštatuje, že Dvor audítorov vo výročnej správe za rozpočtový rok 2022 uvádza, že nezistil žiadne konkrétne problémy týkajúce sa výboru; ďalej konštatuje, že Dvor audítorov vo svojom následnom preskúmaní usúdil, že odporúčanie výboru uvedené vo výročnej správe za rozpočtový rok 2019 v súvislosti s tým, že výbor musí vypracovať politiku citlivých funkcií v súlade so svojimi štandardmi vnútornej kontroly, bolo v niektorých ohľadoch vykonané;</w:t>
      </w:r>
    </w:p>
    <w:p w:rsidR="00EA3F73" w:rsidRPr="00FA7AB6" w:rsidRDefault="00EB3D10">
      <w:pPr>
        <w:pStyle w:val="NormalHanging12a"/>
        <w:rPr>
          <w:b/>
          <w:i/>
        </w:rPr>
      </w:pPr>
      <w:r w:rsidRPr="00FA7AB6">
        <w:rPr>
          <w:b/>
          <w:i/>
        </w:rPr>
        <w:t>Rozpočtové a finančné riadenie</w:t>
      </w:r>
    </w:p>
    <w:p w:rsidR="00EA3F73" w:rsidRPr="00FA7AB6" w:rsidRDefault="00EB3D10">
      <w:pPr>
        <w:pStyle w:val="NormalHanging12a"/>
      </w:pPr>
      <w:r w:rsidRPr="00FA7AB6">
        <w:t>6.</w:t>
      </w:r>
      <w:r w:rsidRPr="00FA7AB6">
        <w:tab/>
        <w:t>konštatuje, že v roku 2022 predstavoval konečný prijatý rozpočet výboru sumu 152 451 643 EUR, čo v porovnaní s rokom 2021 predstavuje celkové zvýšenie o 5,1 %; konštatuje, že rozpočtový riadok pre odmeny a príspevky sa v rokoch 2021 až 2022 zvýšil o 5 % z dôvodu ročnej indexácie platov; konštatuje, že rozpočtový riadok na vybavenie priestorov sa v rokoch 2021 až 2022 znížil o 77 % a po vykonaní dôležitých renovačných prác v roku 2021 sa vrátil na bežnú úroveň; konštatuje, že v opačnom prípade zostalo rozdelenie rozpočtových prostriedkov medzi rozpočtové riadky v rozpočte na rok 2022 porovnateľné s rozdelením v predchádzajúcich rokoch;</w:t>
      </w:r>
    </w:p>
    <w:p w:rsidR="00EA3F73" w:rsidRPr="00FA7AB6" w:rsidRDefault="00EB3D10">
      <w:pPr>
        <w:pStyle w:val="NormalHanging12a"/>
      </w:pPr>
      <w:r w:rsidRPr="00FA7AB6">
        <w:t>7.</w:t>
      </w:r>
      <w:r w:rsidRPr="00FA7AB6">
        <w:tab/>
        <w:t>konštatuje, že miera plnenia rozpočtu v roku 2022 bola 96,12 % po dvoch rokoch nižšieho plnenia rozpočtu v dôsledku pandémie ochorenia COVID-19 a súvisiacich cestovných obmedzení; konštatuje, že miera plnenia platieb mala rovnaký trend a v roku 2022 dosiahla 88,12 %;</w:t>
      </w:r>
    </w:p>
    <w:p w:rsidR="00EA3F73" w:rsidRPr="00FA7AB6" w:rsidRDefault="00EB3D10">
      <w:pPr>
        <w:pStyle w:val="NormalHanging12a"/>
      </w:pPr>
      <w:r w:rsidRPr="00FA7AB6">
        <w:t>8.</w:t>
      </w:r>
      <w:r w:rsidRPr="00FA7AB6">
        <w:tab/>
        <w:t>konštatuje, že prenos rozpočtových prostriedkov do roku 2022 predstavoval 20 162 518 EUR, t. j. približne 13 % ročného rozpočtu na rok 2022, čo bolo podstatne vyššie ako priemer v predchádzajúcich rokoch; chápe, že tento prenos súvisel s odložením stavebných prác v rokoch 2020 a 2021;</w:t>
      </w:r>
    </w:p>
    <w:p w:rsidR="00EA3F73" w:rsidRPr="00FA7AB6" w:rsidRDefault="00EB3D10">
      <w:pPr>
        <w:pStyle w:val="NormalHanging12a"/>
      </w:pPr>
      <w:r w:rsidRPr="00FA7AB6">
        <w:t>9.</w:t>
      </w:r>
      <w:r w:rsidRPr="00FA7AB6">
        <w:tab/>
        <w:t>konštatuje, že priemerná lehota na realizáciu platby v roku 2022 bola 18 dní, čo predstavuje prudký pokles od roku 2019, keď to bolo 30,19 dňa; oceňuje, že používanie elektronickej fakturácie sa zároveň zvýšilo z 58,54 % v roku 2018 na 88,84 % v roku 2022, čo pravdepodobne prispelo k skráteniu lehoty na realizáciu platby v tomto období; víta skutočnosť, že výbor zmenil svoje postupy v dôsledku odporúčaní vnútorného auditu týkajúcich sa platobných lehôt, ktoré boli spustené a uzavreté v roku 2022 a ktoré prispeli k zníženiu podielu oneskorených platieb na približne 10 % v roku 2022;</w:t>
      </w:r>
    </w:p>
    <w:p w:rsidR="00EA3F73" w:rsidRPr="00FA7AB6" w:rsidRDefault="00EB3D10">
      <w:pPr>
        <w:pStyle w:val="NormalHanging12a"/>
      </w:pPr>
      <w:r w:rsidRPr="00FA7AB6">
        <w:t>10.</w:t>
      </w:r>
      <w:r w:rsidRPr="00FA7AB6">
        <w:tab/>
        <w:t>konštatuje, že vlastné útvary výboru začali v roku 2022 15 postupov verejného obstarávania s hodnotou pod 60 000 EUR, najmä pokiaľ ide o odborné znalosti, štúdie a logistickú podporu; poznamenáva, že útvary, ktoré má výbor spoločné s Výborom regiónov (ďalej len „VR“), začali postupy verejného obstarávania v oblasti logistiky;</w:t>
      </w:r>
    </w:p>
    <w:p w:rsidR="00EA3F73" w:rsidRPr="00FA7AB6" w:rsidRDefault="00EB3D10">
      <w:pPr>
        <w:pStyle w:val="NormalHanging12a"/>
      </w:pPr>
      <w:r w:rsidRPr="00FA7AB6">
        <w:lastRenderedPageBreak/>
        <w:t>11.</w:t>
      </w:r>
      <w:r w:rsidRPr="00FA7AB6">
        <w:tab/>
        <w:t xml:space="preserve">konštatuje, že v roku 2022 výbor pokračoval v zlepšovaní nákladovej efektívnosti svojich pracovných metód, najmä vďaka hybridnej práci, úplnej </w:t>
      </w:r>
      <w:proofErr w:type="spellStart"/>
      <w:r w:rsidRPr="00FA7AB6">
        <w:t>dematerializácii</w:t>
      </w:r>
      <w:proofErr w:type="spellEnd"/>
      <w:r w:rsidRPr="00FA7AB6">
        <w:t xml:space="preserve"> finančných tokov a zníženej spotrebe energie; ďalej konštatuje, že rozpočtové a administratívne úspory sa dosiahli </w:t>
      </w:r>
      <w:proofErr w:type="spellStart"/>
      <w:r w:rsidRPr="00FA7AB6">
        <w:t>medziinštitucionálnou</w:t>
      </w:r>
      <w:proofErr w:type="spellEnd"/>
      <w:r w:rsidRPr="00FA7AB6">
        <w:t xml:space="preserve"> spoluprácou, najmä prostredníctvom spoločných služieb s VR a outsourcingu osobitných služieb Komisii (za ročný poplatok) za riešenie otázok ľudských zdrojov a využívanie rôznych IT platforiem na finančné riadenie a ľudské zdroje, ako aj prostredníctvom účasti na </w:t>
      </w:r>
      <w:proofErr w:type="spellStart"/>
      <w:r w:rsidRPr="00FA7AB6">
        <w:t>medziinštitucionálnych</w:t>
      </w:r>
      <w:proofErr w:type="spellEnd"/>
      <w:r w:rsidRPr="00FA7AB6">
        <w:t xml:space="preserve"> postupoch verejného obstarávania vedených inými inštitúciami;</w:t>
      </w:r>
    </w:p>
    <w:p w:rsidR="00EA3F73" w:rsidRPr="00FA7AB6" w:rsidRDefault="00EB3D10">
      <w:pPr>
        <w:pStyle w:val="NormalHanging12a"/>
      </w:pPr>
      <w:r w:rsidRPr="00FA7AB6">
        <w:t>12.</w:t>
      </w:r>
      <w:r w:rsidRPr="00FA7AB6">
        <w:tab/>
        <w:t>uvedomuje si, že rozhodnutia týkajúce sa príspevkov členov výboru za účasť na schôdzach a výšky týchto príspevkov prijíma Rada; vyjadruje poľutovanie nad tým, že po postupnom zrušení cestovných obmedzení súvisiacich s pandémiou ochorenia COVID-19 Rada rozhodla, že sa nezruší dočasné rozhodnutie z roku 2021, ktorým sa udeľuje príspevok vo výške 145 EUR za účasť členov na schôdzach na diaľku a ktoré bolo platné do 25. mája 2023, keď bolo prijaté nové rozhodnutie Rady s paušálnou sadzbou 145 EUR na deň za účasť na schôdzach na diaľku; domnieva sa, že účasť na diaľku je pre moderné inštitúcie dôležitým nástrojom, keďže okrem iného znižuje náklady na schôdze a umožňuje širšiu účasť, najmä počas krízových situácií, ako sa ukázalo počas pandémie ochorenia COVID-19; domnieva sa však, že príspevok za účasť na diaľku je pre verejnosť ťažké pochopiť, o to viac so zreteľom na rozdiel vyplácania za účasť na diaľku členom výboru a členom VR; berie na vedomie niekoľko úrovní kontroly vykonanej na to, aby sa pred vyplatením príspevku preukázalo, že sa člen zúčastňuje na schôdzi na diaľku;</w:t>
      </w:r>
    </w:p>
    <w:p w:rsidR="00EA3F73" w:rsidRPr="00FA7AB6" w:rsidRDefault="00EB3D10">
      <w:pPr>
        <w:pStyle w:val="NormalHanging12a"/>
      </w:pPr>
      <w:r w:rsidRPr="00FA7AB6">
        <w:t>13.</w:t>
      </w:r>
      <w:r w:rsidRPr="00FA7AB6">
        <w:tab/>
        <w:t>konštatuje, že útočná vojna Ruska proti Ukrajine vytvorila tlak na rozpočet výboru, a to aj v podobe rastúcej inflácie a úprav platov, výrazného zvýšenia nákladov na energiu, stavebných nákladov a nákladov na suroviny; konštatuje najmä, že náklady na energiu sa v rokoch 2021 až 2022 zvýšili zo 726 000 EUR na 3 125 000 EUR, t. j. o 330 %; konštatuje, že činnosťami ad hoc na podporu ukrajinskej občianskej spoločnosti vznikli priame a nepriame náklady, ako sú náklady na preklad a tlmočenie do ukrajinčiny a z nej, prijímanie ukrajinských mimovládnych organizácií a na bezpečnostné služby a odbornú prípravu pre misie na Ukrajinu;</w:t>
      </w:r>
    </w:p>
    <w:p w:rsidR="00EA3F73" w:rsidRPr="00FA7AB6" w:rsidRDefault="00EB3D10">
      <w:pPr>
        <w:pStyle w:val="NormalHanging12a"/>
        <w:rPr>
          <w:b/>
          <w:i/>
        </w:rPr>
      </w:pPr>
      <w:r w:rsidRPr="00FA7AB6">
        <w:t>14.</w:t>
      </w:r>
      <w:r w:rsidRPr="00FA7AB6">
        <w:tab/>
        <w:t>konštatuje, že rozpočet na služobné cesty zamestnancov za rok 2022 sa v porovnaní s rokom 2021 zvýšil o 25 000 EUR a bol financovaný presunom finančných prostriedkov s cieľom pokryť vyššie výdavky v dôsledku zvýšenia cien leteniek a hotelov v roku 2022, pričom dosiahol celkovú výšku 398 974 EUR; konštatuje, že v roku 2022 sa predseda výboru zúčastnil na 26 služobných cestách s celkovými nákladmi 38 042 EUR v porovnaní s 12 služobnými cestami s celkovými nákladmi 15 327 EUR v roku 2021, a to po zrušení cestovných obmedzení po skončení pandémie ochorenia COVID-19;</w:t>
      </w:r>
    </w:p>
    <w:p w:rsidR="00EA3F73" w:rsidRPr="00FA7AB6" w:rsidRDefault="00EB3D10">
      <w:pPr>
        <w:pStyle w:val="NormalHanging12a"/>
        <w:rPr>
          <w:b/>
          <w:i/>
        </w:rPr>
      </w:pPr>
      <w:r w:rsidRPr="00FA7AB6">
        <w:rPr>
          <w:b/>
          <w:i/>
        </w:rPr>
        <w:t>Vnútorné riadenie, výkonnosť a vnútorná kontrola</w:t>
      </w:r>
    </w:p>
    <w:p w:rsidR="00EA3F73" w:rsidRPr="00FA7AB6" w:rsidRDefault="00EB3D10">
      <w:pPr>
        <w:pStyle w:val="NormalHanging12a"/>
      </w:pPr>
      <w:r w:rsidRPr="00FA7AB6">
        <w:t>15.</w:t>
      </w:r>
      <w:r w:rsidRPr="00FA7AB6">
        <w:tab/>
        <w:t xml:space="preserve">konštatuje, že výbor plní svoje poslanie prostredníctvom stanovísk, v ktorých sa odkazuje na legislatívne návrhy Komisie (žiadosti o vypracovanie stanoviska), a stanovísk z vlastnej iniciatívy, ktoré vyzývajú inštitúcie Únie, aby prijali opatrenia, a prieskumných stanovísk, ktoré podporujú prácu Komisie na plánovaných iniciatívach, a že postoje výboru možno zdôrazňovať v uzneseniach alebo zahrnúť do hodnotení a informačných správ; konštatuje, že v roku 2022 výbor prijal 202 stanovísk a správ, čo je v súlade s jeho priemernou ročnou výkonnosťou s výnimkou rokov 2019 a 2020, keď bola činnosť výboru slabšia; konštatuje, že výbor tiež posilnil svoju angažovanosť v </w:t>
      </w:r>
      <w:r w:rsidRPr="00FA7AB6">
        <w:lastRenderedPageBreak/>
        <w:t xml:space="preserve">politickom a legislatívnom cykle tým, že sa zúčastnil na 345 národných, </w:t>
      </w:r>
      <w:proofErr w:type="spellStart"/>
      <w:r w:rsidRPr="00FA7AB6">
        <w:t>únijných</w:t>
      </w:r>
      <w:proofErr w:type="spellEnd"/>
      <w:r w:rsidRPr="00FA7AB6">
        <w:t xml:space="preserve"> a medzinárodných stretnutiach, samitoch a konferenciách na vysokej úrovni a zorganizoval 116 vypočutí a 29 konferencií;</w:t>
      </w:r>
    </w:p>
    <w:p w:rsidR="00EA3F73" w:rsidRPr="00FA7AB6" w:rsidRDefault="00EB3D10">
      <w:pPr>
        <w:pStyle w:val="NormalHanging12a"/>
      </w:pPr>
      <w:r w:rsidRPr="00FA7AB6">
        <w:t>16.</w:t>
      </w:r>
      <w:r w:rsidRPr="00FA7AB6">
        <w:tab/>
        <w:t>oceňuje projekty, ktoré sa začali v roku 2022 v súvislosti s posilnenými nadväzujúcimi stanoviskami s cieľom zvýšiť dosah a vplyv vybraných stanovísk a zlepšiť schopnosť výboru stanoviť pracovné priority, a pokiaľ ide o zlepšenie včasnosti vydávania stanovísk výboru; konštatuje, že tieto iniciatívy boli koncom roka 2022 doplnené úvahami o formáte stanovísk, ktorých cieľom je podporiť efektívnejšie a účinnejšie využívanie stanovísk výboru v legislatívnom rozhodovacom procese;</w:t>
      </w:r>
    </w:p>
    <w:p w:rsidR="00EA3F73" w:rsidRPr="00FA7AB6" w:rsidRDefault="00EB3D10">
      <w:pPr>
        <w:pStyle w:val="NormalHanging12a"/>
      </w:pPr>
      <w:r w:rsidRPr="00FA7AB6">
        <w:t>17.</w:t>
      </w:r>
      <w:r w:rsidRPr="00FA7AB6">
        <w:tab/>
        <w:t>konštatuje, že v roku 2022 sa poslanci Európskeho parlamentu zúčastnili na schôdzach alebo podujatiach organizovaných výborom pri 68 príležitostiach, čo je na rovnakej úrovni ako v roku 2021, zatiaľ čo členovia výboru takmer zdvojnásobili svoju účasť na podujatiach organizovaných Európskym parlamentom počas rovnakého obdobia; víta skutočnosť, že v roku 2022 sa výbor zameral na zintenzívnenie svojich vzťahov s Európskym parlamentom a na podporu jeho pridanej hodnoty, čím sa posilnili ešte užšie väzby medzi sekciami výboru a parlamentnými výbormi;</w:t>
      </w:r>
    </w:p>
    <w:p w:rsidR="00EA3F73" w:rsidRPr="00FA7AB6" w:rsidRDefault="00EB3D10">
      <w:pPr>
        <w:pStyle w:val="NormalHanging12a"/>
      </w:pPr>
      <w:r w:rsidRPr="00FA7AB6">
        <w:t>18.</w:t>
      </w:r>
      <w:r w:rsidRPr="00FA7AB6">
        <w:tab/>
        <w:t>berie na vedomie rozsiahlu účasť výboru na rôznych iniciatívach vrátane kľúčových podujatí a výročných konferencií s cieľom spolupracovať s európskymi zainteresovanými stranami; víta úsilie výboru o posilnenie zapojenia mládeže do tvorby politík;</w:t>
      </w:r>
    </w:p>
    <w:p w:rsidR="00EA3F73" w:rsidRPr="00FA7AB6" w:rsidRDefault="00EB3D10">
      <w:pPr>
        <w:pStyle w:val="NormalHanging12a"/>
      </w:pPr>
      <w:r w:rsidRPr="00FA7AB6">
        <w:t>19.</w:t>
      </w:r>
      <w:r w:rsidRPr="00FA7AB6">
        <w:tab/>
        <w:t>konštatuje, že výbor v roku 2022 naďalej posilňoval svoj rámec vnútornej kontroly zjednodušením finančných tokov v rámci postupu „zbežného overovania“ v prípade niektorých transakcií s nízkou hodnotou a rozvíjal svoju politiku v oblasti citlivých pracovných miest, ako odporúčal Dvor audítorov vo svojej výročnej správe za rozpočtový rok 2019; konštatuje, že na základe aktualizácie zoznamu citlivých pracovných miest počas roka 2022 a v čase uverejnenia aktualizovaného zoznamu 36 pracovných miest začiatkom roka 2023 výbor stále pracoval na preskúmaní metodiky a systému riadenia rizík, pričom zohľadnil veľkosť inštitúcie, ako aj povahu jej činností; žiada výbor, aby informoval orgán udeľujúci absolutórium o pokroku dosiahnutom v súvislosti s vykonávaním metodiky citlivých pracovných miest v roku 2023;</w:t>
      </w:r>
    </w:p>
    <w:p w:rsidR="00EA3F73" w:rsidRPr="00FA7AB6" w:rsidRDefault="00EB3D10">
      <w:pPr>
        <w:pStyle w:val="NormalHanging12a"/>
      </w:pPr>
      <w:r w:rsidRPr="00FA7AB6">
        <w:t>20.</w:t>
      </w:r>
      <w:r w:rsidRPr="00FA7AB6">
        <w:tab/>
        <w:t xml:space="preserve">víta úsilie výboru o vytvorenie lepšie vymedzeného a </w:t>
      </w:r>
      <w:proofErr w:type="spellStart"/>
      <w:r w:rsidRPr="00FA7AB6">
        <w:t>konzistentnejšieho</w:t>
      </w:r>
      <w:proofErr w:type="spellEnd"/>
      <w:r w:rsidRPr="00FA7AB6">
        <w:t xml:space="preserve"> rámca auditu finalizáciou charty vnútorného auditu a charty výboru pre audit, ktorá zahŕňa procesné pravidlá, ktoré schválil výbor pre audit v decembri 2022 a prijalo predsedníctvo výboru začiatkom roka 2023; oceňuje, že funkcia vnútorného auditu výboru bola v roku 2022 posilnená, najmä prijatím administrátora do útvaru vnútorného auditu a úzkou koordináciou s vnútorným audítorom VR vo všetkých aspektoch týkajúcich sa auditu spoločných služieb; konštatuje, že v roku 2022 sa začali štyri audity na témy oneskorených platieb, povolení na schôdze, strategického cyklu a výberu delegátov do poradnej komisie výboru pre priemyselné zmeny;</w:t>
      </w:r>
    </w:p>
    <w:p w:rsidR="00EA3F73" w:rsidRPr="00FA7AB6" w:rsidRDefault="00EB3D10">
      <w:pPr>
        <w:pStyle w:val="NormalHanging12a"/>
        <w:rPr>
          <w:b/>
          <w:i/>
        </w:rPr>
      </w:pPr>
      <w:r w:rsidRPr="00FA7AB6">
        <w:rPr>
          <w:b/>
          <w:i/>
        </w:rPr>
        <w:t>Ľudské zdroje, rovnosť a dobré pracovné podmienky zamestnancov</w:t>
      </w:r>
    </w:p>
    <w:p w:rsidR="00EA3F73" w:rsidRPr="00FA7AB6" w:rsidRDefault="00EB3D10">
      <w:pPr>
        <w:pStyle w:val="NormalHanging12a"/>
      </w:pPr>
      <w:r w:rsidRPr="00FA7AB6">
        <w:t>21.</w:t>
      </w:r>
      <w:r w:rsidRPr="00FA7AB6">
        <w:tab/>
        <w:t xml:space="preserve">konštatuje, že na konci roka 2022 mal výbor celkovo 706 zamestnancov v porovnaní so 699 v roku 2021; konštatuje, že na konci roka 2022 výbor zamestnával 50 zmluvných zamestnancov a 128 dočasných zamestnancov (čo predstavuje nárast v porovnaní so 46 zmluvnými zamestnancami a 107 dočasnými zamestnancami v roku 2021) vrátane 19 </w:t>
      </w:r>
      <w:r w:rsidRPr="00FA7AB6">
        <w:lastRenderedPageBreak/>
        <w:t>zmluvných zamestnancov a 3 dočasných zamestnancov so zmluvou na dobu neurčitú; okrem toho konštatuje, že výbor zamestnával 12 dočasných zamestnancov a 7 externých zamestnancov pracujúcich na mieste, a to okrem externých poskytovateľov služieb v oblasti logistiky a IT; konštatuje, že v roku 2022 bola miera obsadenosti pracovných miest v pláne pracovných miest 95,1 %;</w:t>
      </w:r>
    </w:p>
    <w:p w:rsidR="00EA3F73" w:rsidRPr="00FA7AB6" w:rsidRDefault="00EB3D10">
      <w:pPr>
        <w:pStyle w:val="NormalHanging12a"/>
      </w:pPr>
      <w:r w:rsidRPr="00FA7AB6">
        <w:t>22.</w:t>
      </w:r>
      <w:r w:rsidRPr="00FA7AB6">
        <w:tab/>
        <w:t xml:space="preserve">víta pokračujúce úsilie výboru o zlepšenie rámca ľudských zdrojov s cieľom stať sa atraktívnym zamestnávateľom a plne </w:t>
      </w:r>
      <w:proofErr w:type="spellStart"/>
      <w:r w:rsidRPr="00FA7AB6">
        <w:t>inkluzívnym</w:t>
      </w:r>
      <w:proofErr w:type="spellEnd"/>
      <w:r w:rsidRPr="00FA7AB6">
        <w:t xml:space="preserve"> pracoviskom, kde je každý jednotlivec oceňovaný a môže naplno rozvinúť svoj potenciál; konštatuje, že integrovaná stratégia v oblasti ľudských zdrojov prijatá v júni 2022 je založená na zásadách začleňovania, zachovania, kompetencií a výkonnosti; oceňuje, že jedným z prvých následných opatrení bolo začatie prieskumu spokojnosti zamestnancov v januári 2023 so zameraním na pracovné zapojenie zamestnancov;</w:t>
      </w:r>
    </w:p>
    <w:p w:rsidR="00EA3F73" w:rsidRPr="00FA7AB6" w:rsidRDefault="00EB3D10">
      <w:pPr>
        <w:pStyle w:val="NormalHanging12a"/>
      </w:pPr>
      <w:r w:rsidRPr="00FA7AB6">
        <w:t>23.</w:t>
      </w:r>
      <w:r w:rsidRPr="00FA7AB6">
        <w:tab/>
        <w:t>zdôrazňuje, že prijímanie nových zamestnancov predstavuje dôležitý faktor strategického zosúladenia, a to tým, že zabezpečuje, aby boli zamestnanci informovaní o pravidlách a stratégiách zavedených v inštitúcii; konštatuje, že úvodná odborná príprava pre nových zamestnancov výboru sa v apríli 2022 obnovila; víta, že výbor vytvoril mentorský program, v rámci ktorého sa mentorom poskytla podpora a poradenstvo vo forme výmeny najlepších postupov s cieľom prispôsobiť metódy hybridnému pracovnému prostrediu;</w:t>
      </w:r>
    </w:p>
    <w:p w:rsidR="00EA3F73" w:rsidRPr="00FA7AB6" w:rsidRDefault="00EB3D10">
      <w:pPr>
        <w:pStyle w:val="NormalHanging12a"/>
      </w:pPr>
      <w:r w:rsidRPr="00FA7AB6">
        <w:t>24.</w:t>
      </w:r>
      <w:r w:rsidRPr="00FA7AB6">
        <w:tab/>
        <w:t>konštatuje, že v záujme lepšieho rozdelenia obmedzených zdrojov výbor v roku 2022 zadal externé mapovanie ľudských zdrojov, ktoré potvrdilo vysokú pracovnú záťaž v mnohých rôznych útvaroch v celom výbore, a to vzhľadom na nedostatok zdrojov po znížení plánu pracovných miest v roku 2013; konštatuje, že v nadväznosti na externý audit mapovania ľudských zdrojov začal výbor pripravovať akčný plán zahŕňajúci opatrenia v rozsahu integrovanej stratégie ľudských zdrojov, ako sú preskúmanie systému hodnotenia a výkonnosti, vypracovanie internej komunikačnej stratégie, prijatie nového rozhodnutia o pracovných podmienkach a organizácia pravidelného monitorovania zapojenia zamestnancov; vyzýva výbor, aby poskytol aktuálne informácie o opatreniach nadväzujúcich na mapovanie ľudských zdrojov v roku 2023;</w:t>
      </w:r>
    </w:p>
    <w:p w:rsidR="00EA3F73" w:rsidRPr="00FA7AB6" w:rsidRDefault="00EB3D10">
      <w:pPr>
        <w:pStyle w:val="NormalHanging12a"/>
      </w:pPr>
      <w:r w:rsidRPr="00FA7AB6">
        <w:t>25.</w:t>
      </w:r>
      <w:r w:rsidRPr="00FA7AB6">
        <w:tab/>
        <w:t xml:space="preserve">s uznaním konštatuje, že 1. apríla 2022 nadobudlo účinnosť nové rozhodnutie o pružných pracovných podmienkach, v ktorom sa zakotvuje flexibilná politika hybridnej práce založená na dôvere, a to vo forme pilotného projektu, ktorý zamestnancom poskytuje širokú škálu modelov práce na čiastočný úväzok a pružné denné a týždenné podmienky; konštatuje, že v roku 2022 približne 25 % žien a 14,4 % mužov zamestnaných vo výbore požiadalo o neštandardné pracovné modely; konštatuje, že rozhodnutie o pracovných podmienkach poskytuje zamestnancom možnosť pracovať na diaľku až do 60 % svojho pracovného času za predpokladu, že je to v súlade so služobným záujmom, a </w:t>
      </w:r>
      <w:proofErr w:type="spellStart"/>
      <w:r w:rsidRPr="00FA7AB6">
        <w:t>teleprácu</w:t>
      </w:r>
      <w:proofErr w:type="spellEnd"/>
      <w:r w:rsidRPr="00FA7AB6">
        <w:t xml:space="preserve"> inde ako v mieste pracoviska 15 dní v kalendárnom roku; konštatuje, že zamestnanci výboru majú k dispozícii potrebné vybavenie na zabezpečenie dobrých pracovných podmienok pri práci na diaľku; víta skutočnosť, že hodnotiaci výbor vykonal prieskum spokojnosti zamestnancov, ktorý sa začal koncom roka 2022; konštatuje, že konečné rozhodnutie o pracovných podmienkach v nadväznosti na sociálny dialóg so zamestnaneckými odbormi, Výborom zamestnancov a právnou službou by sa malo prijať do konca roka 2023; žiada výbor, aby včas informoval orgán udeľujúci absolutórium o vývoji v tomto smere;</w:t>
      </w:r>
    </w:p>
    <w:p w:rsidR="00EA3F73" w:rsidRPr="00FA7AB6" w:rsidRDefault="00EB3D10">
      <w:pPr>
        <w:pStyle w:val="NormalHanging12a"/>
      </w:pPr>
      <w:r w:rsidRPr="00FA7AB6">
        <w:t>26.</w:t>
      </w:r>
      <w:r w:rsidRPr="00FA7AB6">
        <w:tab/>
        <w:t xml:space="preserve">vyjadruje poľutovanie nad tým, že ani v roku 2022 výbor nebol schopný poskytnúť </w:t>
      </w:r>
      <w:r w:rsidRPr="00FA7AB6">
        <w:lastRenderedPageBreak/>
        <w:t>údaje o prípadoch vyhorenia v rámci výboru; rešpektuje obmedzenia vyplývajúce z ochrany údajov, ale pripomína výboru význam anonymizovaných štatistických údajov v rámci organizácie, a to na pomoc pri rozhodovaní vedenia; opakuje, že by sa mali zohľadniť opatrenia na zvyšovanie informovanosti, osvedčené postupy v súvislosti s riadením pracovného zaťaženia, komunikáciou a riešením konfliktov, ako aj politika návratu do práce; chápe, že prijatie nových pracovných dojednaní je pozitívnym krokom smerom k účinnejšej prevencii vyhorenia na organizačnej úrovni, ktorá by mala zohľadňovať aj zistenia vyplývajúce z výsledkov mapovania ľudských zdrojov;</w:t>
      </w:r>
    </w:p>
    <w:p w:rsidR="00EA3F73" w:rsidRPr="00FA7AB6" w:rsidRDefault="00EB3D10">
      <w:pPr>
        <w:pStyle w:val="NormalHanging12a"/>
      </w:pPr>
      <w:r w:rsidRPr="00FA7AB6">
        <w:t>27.</w:t>
      </w:r>
      <w:r w:rsidRPr="00FA7AB6">
        <w:tab/>
        <w:t>konštatuje, že v roku 2022 výbor naďalej zamestnával vysoký podiel žien (64,6 % všetkých zamestnancov), a to aj na úrovni stredného manažmentu (59 % všetkých riadiacich pracovníkov); konštatuje, že zastúpenie žien na vyšších riadiacich pozíciách je stále potrebné zlepšiť, keďže na konci roka 2022 boli zo siedmich manažérskych pozícií len tri obsadené ženami; nabáda výbor, aby pokračoval v úsilí o rodovú rovnováhu, najmä zvyšovaním informovanosti o menovacom orgáne a zabezpečením toho, aby zloženie rôznych orgánov vrátane náborových a výberových komisií v oblasti ľudských zdrojov zostalo rodovo vyvážené;</w:t>
      </w:r>
    </w:p>
    <w:p w:rsidR="00EA3F73" w:rsidRPr="00FA7AB6" w:rsidRDefault="00EB3D10">
      <w:pPr>
        <w:pStyle w:val="NormalHanging12a"/>
      </w:pPr>
      <w:r w:rsidRPr="00FA7AB6">
        <w:t>28.</w:t>
      </w:r>
      <w:r w:rsidRPr="00FA7AB6">
        <w:tab/>
        <w:t>víta prácu na prijatí novej politiky rozmanitosti a začlenenia v rokoch 2022 až 2023 v konzultácii s vedením výboru, spoločným výborom pre rovnosť príležitostí a výborom zamestnancov výboru; konštatuje, že okrem vykonaných interných komunikačných opatrení sa v decembri 2022 uskutočnila osobitná informačná kampaň proti homofóbii; víta skutočnosť, že osobitné školenie o rozmanitosti a začlenení bolo pre riadiacich pracovníkov povinné a odporúčané pre zamestnancov a že členom výboru bol ponúknutý špecializovaný kurz o rozmanitosti a začlenení ako súčasť ich ročného programu odbornej prípravy; nabáda výbor, aby pokračoval v diskusiách s Európskym parlamentom s cieľom pripojiť sa k programu pozitívnych opatrení Európskeho parlamentu pre osoby so zdravotným postihnutím na účely prijímania zmluvných zamestnancov so zdravotným postihnutím; opakuje svoju výzvu z absolutória za rok 2021, aby výbor dokončil aktualizovanú stratégiu a akčný plán pre rozmanitosť a začlenenie;</w:t>
      </w:r>
    </w:p>
    <w:p w:rsidR="00EA3F73" w:rsidRPr="00FA7AB6" w:rsidRDefault="00EB3D10">
      <w:pPr>
        <w:pStyle w:val="NormalHanging12a"/>
      </w:pPr>
      <w:r w:rsidRPr="00FA7AB6">
        <w:t>29.</w:t>
      </w:r>
      <w:r w:rsidRPr="00FA7AB6">
        <w:tab/>
        <w:t>konštatuje, že hoci sú medzi zamestnancami výboru zastúpené všetky členské štáty, stále sa nedosiahla geografická rovnováha, keďže niektoré štátne príslušnosti sú v porovnaní s inými naďalej nadmerne zastúpené; konštatuje, že v roku 2022 výbor zahŕňal 21 % vedúcich pracovníkov z 13 členských štátov, ktoré vstúpili do Únie po roku 2004, čo predstavuje mierny nárast v porovnaní s 19 % v roku 2021; opakovane povzbudzuje výbor k tomu, aby pokračoval v prijímaní opatrení na dosiahnutie skutočnej geografickej rovnováhy medzi svojimi zamestnancami s osobitným dôrazom na úroveň riadenia;</w:t>
      </w:r>
    </w:p>
    <w:p w:rsidR="00EA3F73" w:rsidRPr="00FA7AB6" w:rsidRDefault="00EB3D10">
      <w:pPr>
        <w:pStyle w:val="NormalHanging12a"/>
      </w:pPr>
      <w:r w:rsidRPr="00FA7AB6">
        <w:t>30.</w:t>
      </w:r>
      <w:r w:rsidRPr="00FA7AB6">
        <w:tab/>
        <w:t xml:space="preserve">konštatuje, že v roku 2022 výbor prijal celkovo 52 stážistov na obdobie piatich mesiacov, štyroch stážistov na trojmesačné obdobie a dvoch stážistov s grantom od externého verejného orgánu; konštatuje, že všetci stážisti na päťmesačnej stáži dostávali mesačný grant a príspevok, zatiaľ čo stážisti na kratšej stáži nemali nárok na žiadny finančný príspevok; víta skutočnosť, že aj v nadväznosti na výzvu Európskeho parlamentu počas postupu udeľovania absolutória za rok 2020 sa v roku 2022 začala revízia rozhodnutia o stážach vo výbore s cieľom ukončiť neplatené krátkodobé stáže a zabezpečiť, aby všetci stážisti dostávali dôstojnú odmenu; zdôrazňuje, že nové rozhodnutie o stážach nadobudlo účinnosť v júli 2023 a zabezpečuje mesačný príjem a príspevky na cestovanie a mobilitu a v príslušných prípadoch príspevok na zdravotné </w:t>
      </w:r>
      <w:r w:rsidRPr="00FA7AB6">
        <w:lastRenderedPageBreak/>
        <w:t>postihnutie, a to pre dlhodobých aj krátkodobých stážistov;</w:t>
      </w:r>
    </w:p>
    <w:p w:rsidR="00EA3F73" w:rsidRPr="00FA7AB6" w:rsidRDefault="00EB3D10">
      <w:pPr>
        <w:pStyle w:val="NormalHanging12a"/>
        <w:rPr>
          <w:b/>
          <w:i/>
        </w:rPr>
      </w:pPr>
      <w:r w:rsidRPr="00FA7AB6">
        <w:rPr>
          <w:b/>
          <w:i/>
        </w:rPr>
        <w:t>Etický rámec a transparentnosť</w:t>
      </w:r>
    </w:p>
    <w:p w:rsidR="00EA3F73" w:rsidRPr="00FA7AB6" w:rsidRDefault="00EB3D10">
      <w:pPr>
        <w:pStyle w:val="NormalHanging12a"/>
      </w:pPr>
      <w:r w:rsidRPr="00FA7AB6">
        <w:t>31.</w:t>
      </w:r>
      <w:r w:rsidRPr="00FA7AB6">
        <w:tab/>
        <w:t xml:space="preserve">konštatuje, že výbor pokračoval vo svojom procese vnútorných reforiem prijatím nového rokovacieho poriadku v marci 2022 a jeho vykonávacích ustanovení v novembri 2022; naďalej vyjadruje poľutovanie nad tým, že konkrétne vzťahy medzi členmi a úradníkmi sa v súvislosti s obťažovaním neriešia samostatne; konštatuje, že rokovací poriadok je už zosúladený s kódexom správania prijatým v roku 2021 v nadväznosti na vnútorný audit výboru týkajúci sa etiky a integrity; žiada výbor, aby informoval Európsky parlament o tom, či sa podľa plánu vykonalo hodnotenie plnenia akčného plánu auditu v oblasti etiky a integrity a aký bol výsledok tohto hodnotenia; víta úvahy iniciované v roku 2022 s cieľom pripraviť chartu hodnôt pre zamestnancov výboru v nadväznosti na </w:t>
      </w:r>
      <w:proofErr w:type="spellStart"/>
      <w:r w:rsidRPr="00FA7AB6">
        <w:t>inkluzívny</w:t>
      </w:r>
      <w:proofErr w:type="spellEnd"/>
      <w:r w:rsidRPr="00FA7AB6">
        <w:t xml:space="preserve"> a </w:t>
      </w:r>
      <w:proofErr w:type="spellStart"/>
      <w:r w:rsidRPr="00FA7AB6">
        <w:t>participatívny</w:t>
      </w:r>
      <w:proofErr w:type="spellEnd"/>
      <w:r w:rsidRPr="00FA7AB6">
        <w:t xml:space="preserve"> proces, ktorý bol dokončený a oznámený zamestnancom v roku 2023; domnieva sa, že len prostredníctvom politiky nulovej tolerancie voči obťažovaniu výbor predíde budúcim obvineniam z obťažovania a závažného pochybenia;</w:t>
      </w:r>
    </w:p>
    <w:p w:rsidR="00EA3F73" w:rsidRPr="00FA7AB6" w:rsidRDefault="00EB3D10">
      <w:pPr>
        <w:pStyle w:val="NormalHanging12a"/>
      </w:pPr>
      <w:r w:rsidRPr="00FA7AB6">
        <w:t>32.</w:t>
      </w:r>
      <w:r w:rsidRPr="00FA7AB6">
        <w:tab/>
        <w:t>poznamenáva, že po nadobudnutí účinnosti revidovaného rozhodnutia výboru o oznamovaní protispoločenskej činnosti 15. decembra 2021 (rozhodnutie 297/21A), ako aj revidovaného rozhodnutia o postupoch prevencie a riešenia psychického a sexuálneho obťažovania na pracovisku (rozhodnutie 090/22A), ktoré bolo prijaté 31. marca 2022, sa očakávalo, že obnovený etický právny rámec bude doplnený revidovaným rozhodnutím, ktorým sa stanovia všeobecné vykonávacie ustanovenia o disciplinárnych konaniach a administratívnych zisťovaniach v roku 2023 v spolupráci s VR; konštatuje, že v roku 2022 bolo prijaté nové rozhodnutie o úlohách a vonkajších činnostiach (rozhodnutie č. 141/22A), ktoré sa vzťahuje na aktívnych zamestnancov, dočasne pridelených zamestnancov a bývalých zamestnancov v súlade s ustanoveniami služobného poriadku platného v čase odchodu zo služby;</w:t>
      </w:r>
    </w:p>
    <w:p w:rsidR="00EA3F73" w:rsidRPr="00FA7AB6" w:rsidRDefault="00EB3D10">
      <w:pPr>
        <w:pStyle w:val="NormalHanging12a"/>
      </w:pPr>
      <w:r w:rsidRPr="00FA7AB6">
        <w:t>33.</w:t>
      </w:r>
      <w:r w:rsidRPr="00FA7AB6">
        <w:tab/>
        <w:t>s uspokojením konštatuje, že v roku 2022 výbor pokračoval v odbornej príprave zamestnancov a zvyšoval informovanosť o zavedenom etickom rámci, najmä o novom kódexe správania, otázke obťažovaní a oznamovaní protispoločenskej činnosti, ako aj o úlohe a povinnostiach etických poradcov, ktorých mandát sa začal v januári 2022; konštatuje, že v roku 2022 sa 116 zamestnancov vrátane manažérov a nových zamestnancov zúčastnilo na interných kurzoch odbornej prípravy v oblasti etiky a 26 zamestnancov sa zúčastnilo na kurzoch odbornej prípravy v oblasti etiky, ktoré poskytla Komisia a Európska škola administratívy; konštatuje, že bol vypracovaný prispôsobený kurz odbornej prípravy, ktorý bol poskytnutý tímu poradcov v oblasti etiky; víta skutočnosť, že 83 % respondentov prieskumu spokojnosti zamestnancov, ktorý sa začal v roku 2022, preukázalo dobrú informovanosť o etickom správaní a posilnenom etickom rámci výboru;</w:t>
      </w:r>
    </w:p>
    <w:p w:rsidR="00EA3F73" w:rsidRPr="00FA7AB6" w:rsidRDefault="00EB3D10">
      <w:pPr>
        <w:pStyle w:val="NormalHanging12a"/>
        <w:rPr>
          <w:color w:val="000000" w:themeColor="text1"/>
        </w:rPr>
      </w:pPr>
      <w:r w:rsidRPr="00FA7AB6">
        <w:t>34.</w:t>
      </w:r>
      <w:r w:rsidRPr="00FA7AB6">
        <w:tab/>
        <w:t>konštatuje, že pokiaľ ide o prípady obťažovania oznámené počas uplynulých rokov udeľovania absolutória, posledná dohoda o urovnaní týkajúca sa prípadu Európskeho úradu pre boj proti podvodom (OLAF) OC/2018/0666/A1 bola uzavretá 1. októbra 2022, čo výboru umožnilo v plnej miere uzavrieť všetky žiadosti o pomoc súvisiace s týmto prípadom; víta skutočnosť, že 13. apríla 2022 vtedajšia predsedníčka výboru vydala verejné vyhlásenie uverejnené na webovom sídle výboru, v ktorom adresovala svoje oficiálne ospravedlnenie v mene výboru všetkým obetiam, a to tak zamestnancom, ako aj bývalému členovi, za daný prípad;</w:t>
      </w:r>
      <w:r w:rsidRPr="00FA7AB6">
        <w:rPr>
          <w:color w:val="000000" w:themeColor="text1"/>
        </w:rPr>
        <w:t xml:space="preserve"> víta skutočnosť, že Súdny dvor svojím </w:t>
      </w:r>
      <w:r w:rsidRPr="00FA7AB6">
        <w:rPr>
          <w:color w:val="000000" w:themeColor="text1"/>
        </w:rPr>
        <w:lastRenderedPageBreak/>
        <w:t>rozsudkom zo 6. októbra 2022 vo veci C-673/21</w:t>
      </w:r>
      <w:r w:rsidRPr="00FA7AB6">
        <w:rPr>
          <w:rStyle w:val="FootnoteReference"/>
          <w:color w:val="000000" w:themeColor="text1"/>
        </w:rPr>
        <w:footnoteReference w:id="6"/>
      </w:r>
      <w:r w:rsidRPr="00FA7AB6">
        <w:rPr>
          <w:color w:val="000000" w:themeColor="text1"/>
        </w:rPr>
        <w:t xml:space="preserve"> potvrdil zákonnosť opatrení, ktoré prijalo predsedníctvo výboru vo svojom rozhodnutí z 9. júna 2020;</w:t>
      </w:r>
    </w:p>
    <w:p w:rsidR="00EA3F73" w:rsidRPr="00FA7AB6" w:rsidRDefault="00EB3D10">
      <w:pPr>
        <w:pStyle w:val="NormalHanging12a"/>
      </w:pPr>
      <w:r w:rsidRPr="00FA7AB6">
        <w:t>35.</w:t>
      </w:r>
      <w:r w:rsidRPr="00FA7AB6">
        <w:tab/>
        <w:t>opakuje svoju výzvu výboru o zabezpečenie externého a nezávislého vyšetrenia konkrétne s cieľom preskúmať postupy výboru v oblasti ľudských zdrojov a ich účinnosť so zameraním na stanovenie zodpovednosti administratívnej hierarchie pri riešení sťažností týkajúcich sa obťažovania a zabezpečení dobrých pracovných podmienok zamestnancov; napriek opatreniam prijatým v posledných rokoch na posilnenie etického rámca výboru odmieta stanovisko výboru, že takéto vyšetrovanie nie je potrebné, keďže zavedené opatrenia umožnili riešenie prípadu obťažovania, a pripomína, že Európsky parlament už vyjadril obavy v súvislosti s opakovanou pomalou reakciou výboru v dotknutých prípadoch;</w:t>
      </w:r>
    </w:p>
    <w:p w:rsidR="00EA3F73" w:rsidRPr="00FA7AB6" w:rsidRDefault="00EB3D10">
      <w:pPr>
        <w:pStyle w:val="NormalHanging12a"/>
      </w:pPr>
      <w:r w:rsidRPr="00FA7AB6">
        <w:t>36.</w:t>
      </w:r>
      <w:r w:rsidRPr="00FA7AB6">
        <w:tab/>
        <w:t>poznamenáva, že európska ombudsmanka vykonala v roku 2022 tri vyšetrovania na základe sťažností; konštatuje, že jeden prípad viedol k vyšetrovaniu, v rámci ktorého sa dospelo k záveru, že nedošlo k nesprávnemu úradnému postupu; konštatuje, že dva ďalšie prípady boli uzavreté bez vyšetrovania, pričom ombudsmanka sa domnieva, že oba prípady boli medzičasom urovnané;</w:t>
      </w:r>
    </w:p>
    <w:p w:rsidR="00EA3F73" w:rsidRPr="00FA7AB6" w:rsidRDefault="00EB3D10">
      <w:pPr>
        <w:pStyle w:val="NormalHanging12a"/>
      </w:pPr>
      <w:r w:rsidRPr="00FA7AB6">
        <w:t>37.</w:t>
      </w:r>
      <w:r w:rsidRPr="00FA7AB6">
        <w:tab/>
        <w:t>so znepokojením konštatuje, že výbor v roku 2022 stále skúmal štyri prebiehajúce prípady údajného obťažovania; žiada výbor, aby Európsky parlament včas informoval o pokračovaní vyšetrovania uvedeného prípadu; konštatuje, že v roku 2022 neboli vo výbore nahlásené žiadne nové prípady údajného obťažovania týkajúce sa jeho zamestnancov alebo členov, ale je si vedomý toho, že v roku 2022 boli v inej inštitúcii hlásené obvinenia z obťažovania týkajúce sa jedného zamestnanca výboru; žiada výbor, aby v spolupráci s druhou dotknutou inštitúciou informoval Parlament o opatreniach nadväzujúcich na tento prípad;</w:t>
      </w:r>
    </w:p>
    <w:p w:rsidR="00EA3F73" w:rsidRPr="00FA7AB6" w:rsidRDefault="00EB3D10">
      <w:pPr>
        <w:spacing w:after="240"/>
        <w:ind w:left="567" w:hanging="567"/>
        <w:rPr>
          <w:szCs w:val="24"/>
        </w:rPr>
      </w:pPr>
      <w:r w:rsidRPr="00FA7AB6">
        <w:t>38.</w:t>
      </w:r>
      <w:r w:rsidRPr="00FA7AB6">
        <w:tab/>
        <w:t>poznamenáva, že výbor je poškodenou stranou v súdnych konaniach, ktoré začali vnútroštátne orgány proti bývalému členovi obvinenému z pochybenia, ktoré v súčasnosti prebiehajú pred belgickým súdom a očakáva sa rozhodnutie; žiada výbor, aby Parlament včas informoval o vývoji tohto prípadu;</w:t>
      </w:r>
    </w:p>
    <w:p w:rsidR="00EA3F73" w:rsidRPr="00FA7AB6" w:rsidRDefault="00EB3D10">
      <w:pPr>
        <w:spacing w:after="240"/>
        <w:ind w:left="567" w:hanging="567"/>
        <w:rPr>
          <w:szCs w:val="24"/>
        </w:rPr>
      </w:pPr>
      <w:r w:rsidRPr="00FA7AB6">
        <w:t>39.</w:t>
      </w:r>
      <w:r w:rsidRPr="00FA7AB6">
        <w:tab/>
        <w:t>konštatuje, že v roku 2022 členovia alebo zamestnanci formálne otvorili tri prípady oznámenej protispoločenskej činnosti; konštatuje, že všetky tri prípady boli vyriešené a uzavreté rýchlo s náležitým ohľadom na ochranu oznamovateľov v súlade s rozhodnutím o oznamovaní protispoločenskej činnosti (rozhodnutie 297/21A); ďalej konštatuje, že v roku 2022 boli poradcom pre etiku predložené dva prípady potenciálneho oznámenia protispoločenskej činnosti, ale ani jeden z nich nebol potvrdený;</w:t>
      </w:r>
    </w:p>
    <w:p w:rsidR="00EA3F73" w:rsidRPr="00FA7AB6" w:rsidRDefault="00EB3D10">
      <w:pPr>
        <w:pStyle w:val="NormalHanging12a"/>
      </w:pPr>
      <w:r w:rsidRPr="00FA7AB6">
        <w:t>40.</w:t>
      </w:r>
      <w:r w:rsidRPr="00FA7AB6">
        <w:tab/>
        <w:t xml:space="preserve">oceňuje ochotu výboru spolupracovať s vyšetrovacími orgánmi Únie (OLAF a Európska prokuratúra (EPPO); konštatuje, že v roku 2022 úrad OLAF uzavrel dva prípady údajnej sprenevery finančných prostriedkov Únie a možné nezrovnalosti a závažné pochybenia týkajúce sa dvoch členov, keďže neexistujú dôkazy o podvode a zisteniach; so znepokojením konštatuje, že úrad OLAF začal v roku 2023 tri nové prípady proti členom týkajúce sa potenciálnych podvodov, z ktorých dva boli uzavreté v tom istom roku a postúpené Európskej prokuratúre na preskúmanie; konštatuje, že úrad OLAF </w:t>
      </w:r>
      <w:r w:rsidRPr="00FA7AB6">
        <w:lastRenderedPageBreak/>
        <w:t>postúpil jednu vec týkajúcu sa údajného porušenia kódexu správania členom etického výboru; žiada výbor, aby Európsky parlament včas informoval o pokračovaní vyšetrovania uvedeného prípadu;</w:t>
      </w:r>
    </w:p>
    <w:p w:rsidR="00EA3F73" w:rsidRPr="00FA7AB6" w:rsidRDefault="00EB3D10">
      <w:pPr>
        <w:spacing w:after="240"/>
        <w:ind w:left="567" w:hanging="567"/>
        <w:rPr>
          <w:szCs w:val="24"/>
        </w:rPr>
      </w:pPr>
      <w:r w:rsidRPr="00FA7AB6">
        <w:t>41.</w:t>
      </w:r>
      <w:r w:rsidRPr="00FA7AB6">
        <w:tab/>
        <w:t xml:space="preserve">blahoželá výboru za rozhodnutie formálne sa zapojiť od 1. júna 2023 do registra transparentnosti zriadeného v rámci </w:t>
      </w:r>
      <w:proofErr w:type="spellStart"/>
      <w:r w:rsidRPr="00FA7AB6">
        <w:t>Medziinštitucionálnej</w:t>
      </w:r>
      <w:proofErr w:type="spellEnd"/>
      <w:r w:rsidRPr="00FA7AB6">
        <w:t xml:space="preserve"> dohody z 20. mája 2021 medzi Európskym parlamentom, Radou Európskej únie a Európskou komisiou o povinnom registri transparentnosti</w:t>
      </w:r>
      <w:r w:rsidRPr="00FA7AB6">
        <w:rPr>
          <w:szCs w:val="24"/>
          <w:vertAlign w:val="superscript"/>
        </w:rPr>
        <w:footnoteReference w:id="7"/>
      </w:r>
      <w:r w:rsidRPr="00FA7AB6">
        <w:t>; konštatuje, že výbor 21. marca 2023 prijal niekoľko opatrení v oblasti transparentnosti v súlade so zásadami stanovenými v súvislosti s registrom transparentnosti EÚ, ako sú odporúčanie pre členov zastávajúcich funkcie, aby sa stretávali len s registrovanými zainteresovanými stranami, povinnosť členov zastávajúcich funkcie zverejňovať svoje zoznamy schôdzí a dobrovoľná „legislatívna stopa“ pre spravodajcov;</w:t>
      </w:r>
    </w:p>
    <w:p w:rsidR="00EA3F73" w:rsidRPr="00FA7AB6" w:rsidRDefault="00EB3D10">
      <w:pPr>
        <w:pStyle w:val="NormalHanging12a"/>
      </w:pPr>
      <w:r w:rsidRPr="00FA7AB6">
        <w:t>42.</w:t>
      </w:r>
      <w:r w:rsidRPr="00FA7AB6">
        <w:tab/>
        <w:t>vyjadruje poľutovanie nad tým, že výbor zaviedol súbor opatrení na predchádzanie podvodom, ale napriek predchádzajúcim žiadostiam Parlamentu ešte nezaviedol integrovanú stratégiu boja proti podvodom; víta, že výbor dokončil zoznam oblastí, ktoré sú relevantné pre začatie vnútornej analýzy rizika podvodov, ako sú politiky a postupy, odborná príprava zamestnancov a spolupráca s inými orgánmi, s cieľom zlepšiť rámec pre boj proti podvodom;</w:t>
      </w:r>
    </w:p>
    <w:p w:rsidR="00EA3F73" w:rsidRPr="00FA7AB6" w:rsidRDefault="00EB3D10">
      <w:pPr>
        <w:pStyle w:val="NormalHanging12a"/>
        <w:rPr>
          <w:b/>
          <w:i/>
        </w:rPr>
      </w:pPr>
      <w:r w:rsidRPr="00FA7AB6">
        <w:rPr>
          <w:b/>
          <w:i/>
        </w:rPr>
        <w:t>Digitalizácia, kybernetická bezpečnosť a ochrana údajov</w:t>
      </w:r>
    </w:p>
    <w:p w:rsidR="00EA3F73" w:rsidRPr="00FA7AB6" w:rsidRDefault="00EB3D10">
      <w:pPr>
        <w:pStyle w:val="NormalHanging12a"/>
      </w:pPr>
      <w:r w:rsidRPr="00FA7AB6">
        <w:t>43.</w:t>
      </w:r>
      <w:r w:rsidRPr="00FA7AB6">
        <w:tab/>
        <w:t>konštatuje, že kombinovaný rozpočet výboru a VR na IT v roku 2022 predstavoval 11 712 000 EUR vrátane zvýšenia o 750 000 EUR vnútorným presunom rozpočtu počas roka v porovnaní s 12 860 000 EUR v roku 2021, čo predstavuje zníženie o 9 %;</w:t>
      </w:r>
    </w:p>
    <w:p w:rsidR="00EA3F73" w:rsidRPr="00FA7AB6" w:rsidRDefault="00EB3D10">
      <w:pPr>
        <w:pStyle w:val="NormalHanging12a"/>
      </w:pPr>
      <w:r w:rsidRPr="00FA7AB6">
        <w:t>44</w:t>
      </w:r>
      <w:r w:rsidR="00CC1969">
        <w:t>.</w:t>
      </w:r>
      <w:r w:rsidRPr="00FA7AB6">
        <w:tab/>
        <w:t xml:space="preserve">konštatuje, že výbor má digitálnu stratégiu zameranú na poskytovanie IT služieb v súlade s najlepšími postupmi riadenia IT a zároveň na optimalizáciu využívania ľudských a finančných zdrojov; konštatuje, že výbor počas roka 2022 pracoval na prispôsobení a vývoji viacerých strategických IT nástrojov s cieľom zvýšiť efektívnosť a účinnosť politickej práce výboru a jeho administratívnych procesov a pracovných postupov; konštatuje, že hlavný projekt v oblasti infraštruktúry IT v roku 2022 sa týkal úpravy typológie siete potrebnej pre novú počítačovú miestnosť v budove </w:t>
      </w:r>
      <w:proofErr w:type="spellStart"/>
      <w:r w:rsidRPr="00FA7AB6">
        <w:t>Jacques</w:t>
      </w:r>
      <w:proofErr w:type="spellEnd"/>
      <w:r w:rsidRPr="00FA7AB6">
        <w:t xml:space="preserve"> </w:t>
      </w:r>
      <w:proofErr w:type="spellStart"/>
      <w:r w:rsidRPr="00FA7AB6">
        <w:t>Delors</w:t>
      </w:r>
      <w:proofErr w:type="spellEnd"/>
      <w:r w:rsidRPr="00FA7AB6">
        <w:t xml:space="preserve"> (JDE) v súlade s plánom hybridného </w:t>
      </w:r>
      <w:proofErr w:type="spellStart"/>
      <w:r w:rsidRPr="00FA7AB6">
        <w:t>cloudu</w:t>
      </w:r>
      <w:proofErr w:type="spellEnd"/>
      <w:r w:rsidRPr="00FA7AB6">
        <w:t>;</w:t>
      </w:r>
    </w:p>
    <w:p w:rsidR="00EA3F73" w:rsidRPr="00FA7AB6" w:rsidRDefault="00EB3D10">
      <w:pPr>
        <w:pStyle w:val="NormalHanging12a"/>
      </w:pPr>
      <w:r w:rsidRPr="00FA7AB6">
        <w:t>45.</w:t>
      </w:r>
      <w:r w:rsidRPr="00FA7AB6">
        <w:tab/>
        <w:t>konštatuje, že výbor v roku 2022 zvýšil počet hybridných schôdzí s cieľom prispôsobiť sa hybridnej práci a optimalizovať spôsoby práce, najmä znížením počtu služobných ciest; chápe, že tento nový spôsob práce si vyžadoval technickú modernizáciu, pokiaľ ide o vybavenie hybridných zasadacích miestností;</w:t>
      </w:r>
    </w:p>
    <w:p w:rsidR="00EA3F73" w:rsidRPr="00FA7AB6" w:rsidRDefault="00EB3D10">
      <w:pPr>
        <w:pStyle w:val="NormalHanging12a"/>
      </w:pPr>
      <w:r w:rsidRPr="00FA7AB6">
        <w:t>46.</w:t>
      </w:r>
      <w:r w:rsidRPr="00FA7AB6">
        <w:tab/>
        <w:t xml:space="preserve">konštatuje, že výbor nebol v roku 2022 vystavený žiadnemu kybernetickému útoku; konštatuje, že výbor a nové spoločné riaditeľstvo VR pre inovácie a informačné technológie tvoria tri oddelenia, a to digitálna transformácia, digitálne riešenia a digitálne platformy; poznamenáva, že oddelenie pre digitálne platformy je zodpovedné okrem iného za kybernetickú bezpečnosť; žiada výbor, aby informoval orgán udeľujúci absolutórium o tom, ako vytvorenie tejto novej štruktúry prispelo k zvýšeniu pripravenosti jeho zamestnancov v oblasti kybernetickej bezpečnosti v súlade s rámcom kybernetickej bezpečnosti NIST a v spolupráci s tímom reakcie na núdzové počítačové </w:t>
      </w:r>
      <w:r w:rsidRPr="00FA7AB6">
        <w:lastRenderedPageBreak/>
        <w:t>situácie v európskych inštitúciách, orgánoch a agentúrach (CERT-EU); nabáda výbor, aby zvyšoval informovanosť svojich členov a zamestnancov o kybernetickej bezpečnosti, pravidelne posudzoval riziká svojej IT infraštruktúry a zabezpečil pravidelné audity a testy svojej kybernetickej obrany;</w:t>
      </w:r>
    </w:p>
    <w:p w:rsidR="00EA3F73" w:rsidRPr="00FA7AB6" w:rsidRDefault="00EB3D10">
      <w:pPr>
        <w:pStyle w:val="NormalHanging12a"/>
      </w:pPr>
      <w:r w:rsidRPr="00FA7AB6">
        <w:t>47.</w:t>
      </w:r>
      <w:r w:rsidRPr="00FA7AB6">
        <w:tab/>
        <w:t>berie na vedomie, že výbor používa technológiu s otvoreným zdrojovým kódom vo svojich systémoch, najmä v hlavných operačných aplikáciách používaných na riadenie politickej činnosti výboru (</w:t>
      </w:r>
      <w:proofErr w:type="spellStart"/>
      <w:r w:rsidRPr="00FA7AB6">
        <w:t>Agora</w:t>
      </w:r>
      <w:proofErr w:type="spellEnd"/>
      <w:r w:rsidRPr="00FA7AB6">
        <w:t xml:space="preserve"> a Phoenix); ďalej konštatuje, že výbor sleduje používanie technológií s otvoreným zdrojovým kódom vo svojom ročnom portfóliu IT tak, aby sa uplatňovali na nové aplikácie;</w:t>
      </w:r>
    </w:p>
    <w:p w:rsidR="00EA3F73" w:rsidRPr="00FA7AB6" w:rsidRDefault="00EB3D10">
      <w:pPr>
        <w:spacing w:after="240"/>
        <w:ind w:left="567" w:hanging="567"/>
        <w:rPr>
          <w:szCs w:val="24"/>
        </w:rPr>
      </w:pPr>
      <w:r w:rsidRPr="00FA7AB6">
        <w:t>48.</w:t>
      </w:r>
      <w:r w:rsidRPr="00FA7AB6">
        <w:tab/>
        <w:t>konštatuje, že v roku 2022 výbor pokročil smerom k prijatiu nového rámca pre správu dokumentov s cieľom zvýšiť transparentnosť a prístupnosť; so záujmom konštatuje, že výbor začal včas hodnotiť technickú uskutočniteľnosť a finančné dôsledky používania systému Komisie na správu elektronických záznamov (</w:t>
      </w:r>
      <w:proofErr w:type="spellStart"/>
      <w:r w:rsidRPr="00FA7AB6">
        <w:t>Ares</w:t>
      </w:r>
      <w:proofErr w:type="spellEnd"/>
      <w:r w:rsidRPr="00FA7AB6">
        <w:t>);</w:t>
      </w:r>
    </w:p>
    <w:p w:rsidR="00EA3F73" w:rsidRPr="00FA7AB6" w:rsidRDefault="00EB3D10">
      <w:pPr>
        <w:pStyle w:val="NormalHanging12a"/>
        <w:ind w:left="0" w:firstLine="0"/>
        <w:rPr>
          <w:b/>
          <w:i/>
        </w:rPr>
      </w:pPr>
      <w:r w:rsidRPr="00FA7AB6">
        <w:rPr>
          <w:b/>
          <w:i/>
        </w:rPr>
        <w:t xml:space="preserve">Budovy </w:t>
      </w:r>
    </w:p>
    <w:p w:rsidR="00EA3F73" w:rsidRPr="00FA7AB6" w:rsidRDefault="00EB3D10">
      <w:pPr>
        <w:spacing w:after="240"/>
        <w:ind w:left="567" w:hanging="567"/>
        <w:rPr>
          <w:szCs w:val="24"/>
        </w:rPr>
      </w:pPr>
      <w:r w:rsidRPr="00FA7AB6">
        <w:t>49.</w:t>
      </w:r>
      <w:r w:rsidRPr="00FA7AB6">
        <w:tab/>
        <w:t xml:space="preserve">konštatuje, že výbor a VR stratili 5 000 m² kancelárskych priestorov v dôsledku prevzatia nájomnej zmluvy na bývalú budovu ESVČ na adrese </w:t>
      </w:r>
      <w:proofErr w:type="spellStart"/>
      <w:r w:rsidRPr="00FA7AB6">
        <w:t>Belliard</w:t>
      </w:r>
      <w:proofErr w:type="spellEnd"/>
      <w:r w:rsidRPr="00FA7AB6">
        <w:t xml:space="preserve"> 100 od septembra 2021, a po výmene budov </w:t>
      </w:r>
      <w:proofErr w:type="spellStart"/>
      <w:r w:rsidRPr="00FA7AB6">
        <w:t>Belliard</w:t>
      </w:r>
      <w:proofErr w:type="spellEnd"/>
      <w:r w:rsidRPr="00FA7AB6">
        <w:t xml:space="preserve"> 68 a </w:t>
      </w:r>
      <w:proofErr w:type="spellStart"/>
      <w:r w:rsidRPr="00FA7AB6">
        <w:t>Trèves</w:t>
      </w:r>
      <w:proofErr w:type="spellEnd"/>
      <w:r w:rsidRPr="00FA7AB6">
        <w:t xml:space="preserve"> 74 medzi Výborom a VR s budovou Komisie Van </w:t>
      </w:r>
      <w:proofErr w:type="spellStart"/>
      <w:r w:rsidRPr="00FA7AB6">
        <w:t>Maerlant</w:t>
      </w:r>
      <w:proofErr w:type="spellEnd"/>
      <w:r w:rsidRPr="00FA7AB6">
        <w:t xml:space="preserve"> 2 (VMA) v septembri 2022; konštatuje, že úpravy v dvoch novonadobudnutých budovách boli potrebné na to, aby sa kancelárskych priestory mohli využívať hustejšie; víta zriadenie spoločnej pracovnej skupiny pre nové spôsoby práce v roku 2022 s cieľom zvážiť možnú optimalizáciu spôsobu organizácie práce a využívania kancelárskych priestorov pri súčasnom znižovaní environmentálnej stopy;</w:t>
      </w:r>
    </w:p>
    <w:p w:rsidR="00EA3F73" w:rsidRPr="00FA7AB6" w:rsidRDefault="00EB3D10">
      <w:pPr>
        <w:pStyle w:val="NormalHanging12a"/>
      </w:pPr>
      <w:r w:rsidRPr="00FA7AB6">
        <w:t>50.</w:t>
      </w:r>
      <w:r w:rsidRPr="00FA7AB6">
        <w:tab/>
        <w:t>konštatuje, že celkový rozpočet, ktorý výbor a VR vyčlenili v rokoch 2021 a 2022 na obnovu budovy VMA od tretieho do deviateho poschodia, predstavoval 9,54 milióna EUR; konštatuje, že renovačné práce, ktoré vykonali výbor a VR, zahŕňali využívanie inteligentných technológií na úsporu energie so silným environmentálnym prvkom; žiada výbor, aby poskytol aktuálne informácie o návratnosti investícií týchto technologických zariadení;</w:t>
      </w:r>
    </w:p>
    <w:p w:rsidR="00EA3F73" w:rsidRPr="00FA7AB6" w:rsidRDefault="00EB3D10">
      <w:pPr>
        <w:spacing w:after="240"/>
        <w:ind w:left="567" w:hanging="567"/>
        <w:rPr>
          <w:szCs w:val="24"/>
        </w:rPr>
      </w:pPr>
      <w:r w:rsidRPr="00FA7AB6">
        <w:t>51.</w:t>
      </w:r>
      <w:r w:rsidRPr="00FA7AB6">
        <w:tab/>
        <w:t>konštatuje, že v roku 2022 sa stratégia výboru a VR v oblasti budov zamerala na geografickú koncentráciu budov, ktorá sa dosiahla fyzickým prepojením všetkých budov používaných výbormi s ich hlavnou budovou (JDE); víta nové fyzické prepojenie s budovami Parlamentu, ktoré začalo fungovať v novembri 2022, a ponúka priamejšiu, jednoduchšiu a o 125 m kratšiu cestu medzi budovami výboru a VR a budovami Parlamentu;</w:t>
      </w:r>
    </w:p>
    <w:p w:rsidR="00EA3F73" w:rsidRPr="00FA7AB6" w:rsidRDefault="00EB3D10">
      <w:pPr>
        <w:pStyle w:val="NormalHanging12a"/>
      </w:pPr>
      <w:r w:rsidRPr="00FA7AB6">
        <w:t>52.</w:t>
      </w:r>
      <w:r w:rsidRPr="00FA7AB6">
        <w:tab/>
        <w:t>víta záväzok výboru a VR systematicky uplatňovať zásadu „dizajnu pre všetkých“ na svoju infraštruktúru a zabezpečiť prístupnosť svojej budovy vďaka dizajnu; konštatuje, že výbor a VR prijali celý rad rôznych opatrení na zabezpečenie prístupnosti svojich budov pre osoby s rôznym zdravotným postihnutím;</w:t>
      </w:r>
    </w:p>
    <w:p w:rsidR="00EA3F73" w:rsidRPr="00FA7AB6" w:rsidRDefault="00EB3D10">
      <w:pPr>
        <w:pStyle w:val="NormalHanging12a"/>
        <w:ind w:left="0" w:firstLine="0"/>
        <w:rPr>
          <w:b/>
          <w:i/>
        </w:rPr>
      </w:pPr>
      <w:r w:rsidRPr="00FA7AB6">
        <w:rPr>
          <w:b/>
          <w:i/>
        </w:rPr>
        <w:t>Životné prostredie a udržateľnosť</w:t>
      </w:r>
    </w:p>
    <w:p w:rsidR="00EA3F73" w:rsidRPr="00FA7AB6" w:rsidRDefault="00EB3D10">
      <w:pPr>
        <w:pStyle w:val="NormalHanging12a"/>
      </w:pPr>
      <w:r w:rsidRPr="00FA7AB6">
        <w:t>53.</w:t>
      </w:r>
      <w:r w:rsidRPr="00FA7AB6">
        <w:tab/>
        <w:t xml:space="preserve">víta udržateľné postupy, najmä bezpapierový prístup výboru a VR, ktorý prispel k zníženiu ich environmentálnej stopy v súlade s digitálnou stratégiou; blahoželá </w:t>
      </w:r>
      <w:r w:rsidRPr="00FA7AB6">
        <w:lastRenderedPageBreak/>
        <w:t>výborom k prekročeniu cieľov EMAS na roky 2021 – 2025 s výnimkou cieľov týkajúcich sa spotreby plynu; konštatuje, že na systém kompenzácie emisií uhlíka výboru bol v roku 2023 vyčlenený rozpočet vo výške 60 000 EUR prostredníctvom nákupu kvalitných uhlíkových kreditov;</w:t>
      </w:r>
    </w:p>
    <w:p w:rsidR="00EA3F73" w:rsidRPr="00FA7AB6" w:rsidRDefault="00EB3D10">
      <w:pPr>
        <w:pStyle w:val="NormalHanging12a"/>
      </w:pPr>
      <w:r w:rsidRPr="00FA7AB6">
        <w:t>54.</w:t>
      </w:r>
      <w:r w:rsidRPr="00FA7AB6">
        <w:tab/>
        <w:t>konštatuje, že v roku 2022 bola celková výroba elektrickej energie vyrobenej solárnymi panelmi na budovách výboru a VR približne 15,5 MWh, čo predstavuje 0,25 % celkovej ročnej spotreby výboru a VR; konštatuje, že k 16. septembru 2022 bola solárnymi panelmi vybavená len budova JDE; uvedomuje si, že v dôsledku administratívnych postupov budú výbor a VR čeliť oneskoreniu skôr, ako budú môcť predĺžiť inštaláciu solárnych panelov;</w:t>
      </w:r>
    </w:p>
    <w:p w:rsidR="00EA3F73" w:rsidRPr="00FA7AB6" w:rsidRDefault="00EB3D10">
      <w:pPr>
        <w:pStyle w:val="NormalHanging12a"/>
      </w:pPr>
      <w:r w:rsidRPr="00FA7AB6">
        <w:t>55.</w:t>
      </w:r>
      <w:r w:rsidRPr="00FA7AB6">
        <w:tab/>
        <w:t>blahoželá výboru k vypracovaniu plánu zamestnaneckej dopravy po dohode s oddelením mobility regiónu Brusel – hlavné mesto, na základe ktorého sa výbor zaväzuje uskutočniť každé tri roky povinný prieskum mobility svojich zamestnancov; konštatuje, že výbor zaviedol plán udržateľnej mobility s cieľom povzbudiť svojich zamestnancov, aby využívali udržateľnejšie dopravné prostriedky, a to aj finančným príspevkom na predplatné verejnej dopravy pre zamestnancov alebo mesačným finančným príspevkov pre zamestnancov, ktorí chodia do práce na bicykli; konštatuje, že výbor skúma ďalšie riešenia, ako sú poskytovanie elektrických bicyklov a inštalácia ďalších nabíjačiek pre elektrické vozidlá;</w:t>
      </w:r>
    </w:p>
    <w:p w:rsidR="00EA3F73" w:rsidRPr="00FA7AB6" w:rsidRDefault="00EB3D10">
      <w:pPr>
        <w:pStyle w:val="NormalHanging12a"/>
        <w:rPr>
          <w:b/>
          <w:i/>
        </w:rPr>
      </w:pPr>
      <w:proofErr w:type="spellStart"/>
      <w:r w:rsidRPr="00FA7AB6">
        <w:rPr>
          <w:b/>
          <w:i/>
        </w:rPr>
        <w:t>Medziinštitucionálna</w:t>
      </w:r>
      <w:proofErr w:type="spellEnd"/>
      <w:r w:rsidRPr="00FA7AB6">
        <w:rPr>
          <w:b/>
          <w:i/>
        </w:rPr>
        <w:t xml:space="preserve"> spolupráca</w:t>
      </w:r>
    </w:p>
    <w:p w:rsidR="00EA3F73" w:rsidRPr="00FA7AB6" w:rsidRDefault="00EB3D10">
      <w:pPr>
        <w:pStyle w:val="NormalHanging12a"/>
      </w:pPr>
      <w:r w:rsidRPr="00FA7AB6">
        <w:t>56.</w:t>
      </w:r>
      <w:r w:rsidRPr="00FA7AB6">
        <w:tab/>
        <w:t xml:space="preserve">víta rozpočtové a administratívne úspory dosiahnuté v rámci </w:t>
      </w:r>
      <w:proofErr w:type="spellStart"/>
      <w:r w:rsidRPr="00FA7AB6">
        <w:t>medziinštitucionálnej</w:t>
      </w:r>
      <w:proofErr w:type="spellEnd"/>
      <w:r w:rsidRPr="00FA7AB6">
        <w:t xml:space="preserve"> spolupráce, najmä úzkej spolupráce s VR na administratívnej úrovni, s ktorým má výbor spoločné priestory a služby v oblasti prekladu, infraštruktúry, logistiky a IT, pričom si zachováva plnú inštitucionálnu autonómiu; konštatuje, že 1. októbra 2022 boli vytvorené nové spoločné služby vrátane nového riaditeľstva pre inovácie a informačné technológie, oddelenia bezpečnosti a ochrany a oddelenia pre verejné obstarávanie a finančné riadenie ako súčasť novej dohody o spolupráci podpísanej s VR v roku 2022; ďalej konštatuje, že výbor a VR v roku 2022 zjednotili 470 zamestnancov a 55 miliónov EUR, z čoho viac ako 30 miliónov EUR pochádzalo od výboru, s výnimkou výdavkov súvisiacich s platmi; vyzýva výbor, aby pokračoval v tejto spolupráci a rozšíril ju v iných oblastiach s cieľom zabrániť duplicite a ďalej racionalizovať prevádzkové náklady na služby dostupné v spoločných priestoroch výboru a VR; vyzýva výbor a VR, aby preskúmali možnosť vytvorenia jednotnej administratívy pre spoločné služby, pričom by sa zachovali samostatné riaditeľstvá alebo oddelenia pre útvary, ktoré sa zaoberajú záležitosťami súvisiacimi s ich osobitnými a nezávislými mandátmi;</w:t>
      </w:r>
    </w:p>
    <w:p w:rsidR="00EA3F73" w:rsidRPr="00FA7AB6" w:rsidRDefault="00EB3D10">
      <w:pPr>
        <w:pStyle w:val="NormalHanging12a"/>
      </w:pPr>
      <w:r w:rsidRPr="00FA7AB6">
        <w:t>57.</w:t>
      </w:r>
      <w:r w:rsidRPr="00FA7AB6">
        <w:tab/>
        <w:t xml:space="preserve">víta úsilie výboru o dosiahnutie synergií nákupom služieb od iných inštitúcií v rámci dohôd na úrovni útvarov a účasťou v </w:t>
      </w:r>
      <w:proofErr w:type="spellStart"/>
      <w:r w:rsidRPr="00FA7AB6">
        <w:t>medziinštitucionálnych</w:t>
      </w:r>
      <w:proofErr w:type="spellEnd"/>
      <w:r w:rsidRPr="00FA7AB6">
        <w:t xml:space="preserve"> koordinačných orgánoch a </w:t>
      </w:r>
      <w:proofErr w:type="spellStart"/>
      <w:r w:rsidRPr="00FA7AB6">
        <w:t>medziinštitucionálnych</w:t>
      </w:r>
      <w:proofErr w:type="spellEnd"/>
      <w:r w:rsidRPr="00FA7AB6">
        <w:t xml:space="preserve"> postupoch verejného obstarávania; konštatuje, že Parlament poskytuje najmä tlmočnícke služby na plenárne zasadnutia výboru, ktoré sa konajú v priestoroch Parlamentu, a na niektoré schôdze, ktoré sa konajú v priestoroch výboru;</w:t>
      </w:r>
    </w:p>
    <w:p w:rsidR="00EA3F73" w:rsidRPr="00FA7AB6" w:rsidRDefault="00EB3D10">
      <w:pPr>
        <w:pStyle w:val="NormalHanging12a"/>
      </w:pPr>
      <w:r w:rsidRPr="00FA7AB6">
        <w:t>58.</w:t>
      </w:r>
      <w:r w:rsidRPr="00FA7AB6">
        <w:tab/>
        <w:t>víta výraznejšie zapojenie výboru do legislatívneho cyklu a vyzýva výbor, aby zabezpečil zdieľanie svojich stanovísk s členmi príslušných výborov Parlamentu v súlade s dohodou o spolupráci medzi Parlamentom a výborom;</w:t>
      </w:r>
    </w:p>
    <w:p w:rsidR="00EA3F73" w:rsidRPr="00FA7AB6" w:rsidRDefault="00EB3D10">
      <w:pPr>
        <w:pStyle w:val="NormalHanging12a"/>
      </w:pPr>
      <w:r w:rsidRPr="00FA7AB6">
        <w:t>59.</w:t>
      </w:r>
      <w:r w:rsidRPr="00FA7AB6">
        <w:tab/>
        <w:t xml:space="preserve">konštatuje, že výbor v roku 2022 pokračoval a zintenzívnil spoluprácu s Komisiou v </w:t>
      </w:r>
      <w:r w:rsidRPr="00FA7AB6">
        <w:lastRenderedPageBreak/>
        <w:t>kontexte dohody na úrovni útvarov s vyšetrovacím a disciplinárnym úradom Komisie o podpore administratívnych vyšetrovaní a v rámci protokolu o spolupráci aktualizovaného v roku 2022, čím sa posilnili politické, legislatívne a komunikačné synergie medzi týmito dvoma inštitúciami, najmä pri vykonávaní európskej iniciatívy občanov a európskeho semestra; konštatuje, že podľa aktualizovaného protokolu o spolupráci sa posilnilo využívanie prieskumných stanovísk výboru Komisiou, čím sa posilnilo zapojenie výboru do legislatívneho cyklu Únie;</w:t>
      </w:r>
    </w:p>
    <w:p w:rsidR="00EA3F73" w:rsidRPr="00FA7AB6" w:rsidRDefault="00EB3D10">
      <w:pPr>
        <w:pStyle w:val="NormalHanging12a"/>
      </w:pPr>
      <w:r w:rsidRPr="00FA7AB6">
        <w:t>60.</w:t>
      </w:r>
      <w:r w:rsidRPr="00FA7AB6">
        <w:tab/>
        <w:t>konštatuje, že výbor zohráva kľúčovú úlohu pri posilňovaní väzieb s národnými hospodárskymi a sociálnymi radami členských štátov a medzi nimi; nabáda výbor, aby naďalej podporoval spoluprácu v otázkach spoločného záujmu a osvedčených postupov a zdôraznil, ako občianska spoločnosť prispieva k súčasným výzvam Únie, najmä spoločnými výmenami zamestnancov a organizovaním spoločných podujatí;</w:t>
      </w:r>
    </w:p>
    <w:p w:rsidR="00EA3F73" w:rsidRPr="00FA7AB6" w:rsidRDefault="00EB3D10">
      <w:pPr>
        <w:pStyle w:val="NormalHanging12a"/>
        <w:rPr>
          <w:b/>
          <w:i/>
        </w:rPr>
      </w:pPr>
      <w:r w:rsidRPr="00FA7AB6">
        <w:rPr>
          <w:b/>
          <w:i/>
        </w:rPr>
        <w:t>Komunikácia</w:t>
      </w:r>
    </w:p>
    <w:p w:rsidR="00EA3F73" w:rsidRPr="00FA7AB6" w:rsidRDefault="00EB3D10">
      <w:pPr>
        <w:pStyle w:val="NormalHanging12a"/>
      </w:pPr>
      <w:r w:rsidRPr="00FA7AB6">
        <w:t>61.</w:t>
      </w:r>
      <w:r w:rsidRPr="00FA7AB6">
        <w:tab/>
        <w:t>konštatuje, že v roku 2022 bol celkový rozpočet výboru na komunikáciu 1,5 milióna EUR, čo je rovnaká suma ako v roku 2021; konštatuje, že tento rozpočet bol primárne vyčlenený na podporu rozvoja a údržby webového sídla výboru, komunikácie v sociálnych médiách, monitorovania médií, vzťahov s médiami a propagácie hlavných činností a podujatí výboru, ako sú Cena pre občiansku spoločnosť a činnosti súvisiace s výborom pri práci Konferencie o budúcnosti Európy (COFE) a podpora výboru pre Ukrajinu;</w:t>
      </w:r>
    </w:p>
    <w:p w:rsidR="00EA3F73" w:rsidRPr="00FA7AB6" w:rsidRDefault="00EB3D10">
      <w:pPr>
        <w:pStyle w:val="NormalHanging12a"/>
      </w:pPr>
      <w:r w:rsidRPr="00FA7AB6">
        <w:t>62.</w:t>
      </w:r>
      <w:r w:rsidRPr="00FA7AB6">
        <w:tab/>
        <w:t>víta, že výbor v októbri 2022 prijal novú komunikačnú stratégiu založenú na údajoch, ktorej cieľom je zvýšiť dosah komunikácie výboru a vplyv jeho stanovísk a vymedziť európske organizácie občianskej spoločnosti a ostatné inštitúcie Únie ako svoje hlavné komunikačné ciele; ďalej konštatuje, že v roku 2022 výbor aktualizoval pravidlá pre partnerstvá s cieľom posilniť svoju strategickú spoluprácu s organizáciami občianskej spoločnosti v rámci tematických podujatí;</w:t>
      </w:r>
    </w:p>
    <w:p w:rsidR="00EA3F73" w:rsidRPr="00FA7AB6" w:rsidRDefault="00EB3D10">
      <w:pPr>
        <w:pStyle w:val="NormalHanging12a"/>
      </w:pPr>
      <w:r w:rsidRPr="00FA7AB6">
        <w:t>63.</w:t>
      </w:r>
      <w:r w:rsidRPr="00FA7AB6">
        <w:tab/>
        <w:t>konštatuje, že výbor zorganizoval významné hybridné podujatia o aktuálnych otázkach, ktoré sú dôležité pre občiansku spoločnosť, ako napríklad podujatie Konferencie o budúcnosti Európy na vysokej úrovni s názvom „Budúcnosť je vo vašich rukách – formovanie Európy spoločnými silami“, výročné podujatie pre mládež „Vaša Európa, váš názor“ pre žiakov a učiteľov z Únie a kandidátskych krajín a výročné plenárne mládežnícke zasadnutie pre študentov s názvom „Pravda o klamstvách. Mládež vzdoruje dezinformáciám“; konštatuje, že výbor zorganizoval aj špecializovanejšie činnosti zamerané na rok mládeže a na ruskú útočnú vojnu proti Ukrajine, ktoré boli určené novinárom a odborníkom v oblasti komunikácie organizácií občianskej spoločnosti;</w:t>
      </w:r>
    </w:p>
    <w:p w:rsidR="00EA3F73" w:rsidRPr="00FA7AB6" w:rsidRDefault="00EB3D10">
      <w:pPr>
        <w:pStyle w:val="NormalHanging12a"/>
      </w:pPr>
      <w:r w:rsidRPr="00FA7AB6">
        <w:t>64.</w:t>
      </w:r>
      <w:r w:rsidRPr="00FA7AB6">
        <w:tab/>
        <w:t xml:space="preserve">víta, že celkový dosah komunikácie výboru sa v roku 2022 v porovnaní s rokom 2021 zvýšil, najmä vďaka mediálnemu pokrytiu a prítomnosti na internete a v sociálnych médiách; konštatuje, že počet návštev centrálnej stránky na Facebooku sa zvýšil o 96,9 % (57 000 návštev) a počet návštev na </w:t>
      </w:r>
      <w:proofErr w:type="spellStart"/>
      <w:r w:rsidRPr="00FA7AB6">
        <w:t>Instagrame</w:t>
      </w:r>
      <w:proofErr w:type="spellEnd"/>
      <w:r w:rsidRPr="00FA7AB6">
        <w:t xml:space="preserve"> sa zvýšil o 97,9 % (20000 návštev), pričom počet používateľov Facebooku sa zvýšil o 1,1 % (6 miliónov používateľov), dosah na </w:t>
      </w:r>
      <w:proofErr w:type="spellStart"/>
      <w:r w:rsidRPr="00FA7AB6">
        <w:t>Instagrame</w:t>
      </w:r>
      <w:proofErr w:type="spellEnd"/>
      <w:r w:rsidRPr="00FA7AB6">
        <w:t xml:space="preserve"> sa zvýšil o 33 % (viac ako 3 milióny používateľov), príspevky uverejnené na LinkedIn vyvolali takmer 1,2 milióna reakcií a </w:t>
      </w:r>
      <w:proofErr w:type="spellStart"/>
      <w:r w:rsidRPr="00FA7AB6">
        <w:t>tweety</w:t>
      </w:r>
      <w:proofErr w:type="spellEnd"/>
      <w:r w:rsidRPr="00FA7AB6">
        <w:t xml:space="preserve"> uverejnené na X (predtým Twitter) viac ako 6 miliónov reakcií; víta účasť výboru od roku 2023 na pilotnom projekte pod vedením európskeho dozorného úradníka pre </w:t>
      </w:r>
      <w:r w:rsidRPr="00FA7AB6">
        <w:lastRenderedPageBreak/>
        <w:t>ochranu údajov, ktorého cieľom je nabádať inštitúcie Únie, aby používali EU-</w:t>
      </w:r>
      <w:proofErr w:type="spellStart"/>
      <w:r w:rsidRPr="00FA7AB6">
        <w:t>Voice</w:t>
      </w:r>
      <w:proofErr w:type="spellEnd"/>
      <w:r w:rsidRPr="00FA7AB6">
        <w:t xml:space="preserve"> a EU-Video, dve bezplatné siete sociálnych médií s otvoreným zdrojovým kódom založené na softvéri </w:t>
      </w:r>
      <w:proofErr w:type="spellStart"/>
      <w:r w:rsidRPr="00FA7AB6">
        <w:t>Mastodon</w:t>
      </w:r>
      <w:proofErr w:type="spellEnd"/>
      <w:r w:rsidRPr="00FA7AB6">
        <w:t>, ktoré inštitúciám Únie umožňujú komunikovať s verejnosťou zdieľaním textov, obrázkov, videí a podcastov;</w:t>
      </w:r>
    </w:p>
    <w:p w:rsidR="00EA3F73" w:rsidRPr="00FA7AB6" w:rsidRDefault="00EB3D10">
      <w:pPr>
        <w:pStyle w:val="NormalHanging12a"/>
      </w:pPr>
      <w:r w:rsidRPr="00FA7AB6">
        <w:t>65.</w:t>
      </w:r>
      <w:r w:rsidRPr="00FA7AB6">
        <w:tab/>
        <w:t>víta skutočnosť, že výbor zabezpečuje, aby občania mali otvorený prístup k svojim dokumentom v rámci špecializovaného elektronického registra; konštatuje, že výbor prispieva k portálu otvorených údajov Komisie svojimi vlastnými súbormi údajov, čím podporuje väčšiu transparentnosť jeho fungovania prostredníctvom voľne dostupných údajov v ľudskom a strojovo čitateľnom formáte a posilňuje prepojenie s občanmi.</w:t>
      </w:r>
    </w:p>
    <w:p w:rsidR="00EA3F73" w:rsidRPr="00FA7AB6" w:rsidRDefault="00EA3F73"/>
    <w:p w:rsidR="00EA3F73" w:rsidRPr="00FA7AB6" w:rsidRDefault="00EA3F73">
      <w:bookmarkStart w:id="9" w:name="TextBodyEnd"/>
      <w:bookmarkEnd w:id="9"/>
    </w:p>
    <w:sectPr w:rsidR="00EA3F73" w:rsidRPr="00FA7AB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F73" w:rsidRDefault="00EB3D10">
      <w:r>
        <w:separator/>
      </w:r>
    </w:p>
  </w:endnote>
  <w:endnote w:type="continuationSeparator" w:id="0">
    <w:p w:rsidR="00EA3F73" w:rsidRDefault="00EB3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F73" w:rsidRDefault="00EB3D10">
    <w:pPr>
      <w:pStyle w:val="EPFooter"/>
    </w:pPr>
    <w:r>
      <w:t>PE</w:t>
    </w:r>
    <w:r>
      <w:rPr>
        <w:rStyle w:val="HideTWBExt"/>
      </w:rPr>
      <w:t>&lt;NoPE&gt;</w:t>
    </w:r>
    <w:r>
      <w:t>753.483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fldSimple w:instr=" NUMPAGES  \* MERGEFORMAT ">
      <w:r>
        <w:rPr>
          <w:noProof/>
        </w:rPr>
        <w:t>3</w:t>
      </w:r>
    </w:fldSimple>
    <w:r>
      <w:tab/>
    </w:r>
    <w:r>
      <w:rPr>
        <w:rStyle w:val="HideTWBExt"/>
      </w:rPr>
      <w:t>&lt;PathFdR&gt;</w:t>
    </w:r>
    <w:r>
      <w:t>RR\1298480SK.docx</w:t>
    </w:r>
    <w:r>
      <w:rPr>
        <w:rStyle w:val="HideTWBExt"/>
      </w:rPr>
      <w:t>&lt;/PathFdR&gt;</w:t>
    </w:r>
  </w:p>
  <w:p w:rsidR="00EA3F73" w:rsidRDefault="00EB3D10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F73" w:rsidRDefault="00EB3D10">
    <w:pPr>
      <w:pStyle w:val="EPFooter"/>
    </w:pPr>
    <w:r>
      <w:rPr>
        <w:rStyle w:val="HideTWBExt"/>
      </w:rPr>
      <w:t>&lt;PathFdR&gt;</w:t>
    </w:r>
    <w:r>
      <w:t>RR\1298480SK.docx</w:t>
    </w:r>
    <w:r>
      <w:rPr>
        <w:rStyle w:val="HideTWBExt"/>
      </w:rPr>
      <w:t>&lt;/PathFdR&gt;</w:t>
    </w:r>
    <w:r>
      <w:tab/>
    </w:r>
    <w:r>
      <w:tab/>
      <w:t>PE</w:t>
    </w:r>
    <w:r>
      <w:rPr>
        <w:rStyle w:val="HideTWBExt"/>
      </w:rPr>
      <w:t>&lt;NoPE&gt;</w:t>
    </w:r>
    <w:r>
      <w:t>753.483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</w:p>
  <w:p w:rsidR="00EA3F73" w:rsidRDefault="00EB3D10"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F73" w:rsidRDefault="00EA3F7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F73" w:rsidRDefault="00EA3F73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F73" w:rsidRDefault="00EA3F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F73" w:rsidRDefault="00EB3D10">
      <w:r>
        <w:separator/>
      </w:r>
    </w:p>
  </w:footnote>
  <w:footnote w:type="continuationSeparator" w:id="0">
    <w:p w:rsidR="00EA3F73" w:rsidRDefault="00EB3D10">
      <w:r>
        <w:continuationSeparator/>
      </w:r>
    </w:p>
  </w:footnote>
  <w:footnote w:id="1">
    <w:p w:rsidR="00EA3F73" w:rsidRDefault="00EB3D10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 L 45, 24.2.2022.</w:t>
      </w:r>
    </w:p>
  </w:footnote>
  <w:footnote w:id="2">
    <w:p w:rsidR="00EA3F73" w:rsidRDefault="00EB3D10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</w:t>
      </w:r>
      <w:r>
        <w:rPr>
          <w:sz w:val="24"/>
          <w:lang w:val="sk-SK"/>
        </w:rPr>
        <w:t xml:space="preserve">EÚ </w:t>
      </w:r>
      <w:r w:rsidR="00A027E2">
        <w:rPr>
          <w:sz w:val="24"/>
          <w:lang w:val="sk-SK"/>
        </w:rPr>
        <w:t xml:space="preserve">C, </w:t>
      </w:r>
      <w:r>
        <w:rPr>
          <w:sz w:val="24"/>
          <w:lang w:val="sk-SK"/>
        </w:rPr>
        <w:t>C/2023/2, 12.10.2023.</w:t>
      </w:r>
    </w:p>
  </w:footnote>
  <w:footnote w:id="3">
    <w:p w:rsidR="00EA3F73" w:rsidRDefault="00EB3D10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</w:t>
      </w:r>
      <w:r>
        <w:rPr>
          <w:sz w:val="24"/>
          <w:lang w:val="sk-SK"/>
        </w:rPr>
        <w:t xml:space="preserve">EÚ </w:t>
      </w:r>
      <w:r w:rsidR="00A027E2">
        <w:rPr>
          <w:sz w:val="24"/>
          <w:lang w:val="sk-SK"/>
        </w:rPr>
        <w:t xml:space="preserve">C, </w:t>
      </w:r>
      <w:bookmarkStart w:id="8" w:name="_GoBack"/>
      <w:bookmarkEnd w:id="8"/>
      <w:r>
        <w:rPr>
          <w:sz w:val="24"/>
          <w:lang w:val="sk-SK"/>
        </w:rPr>
        <w:t>C/2023/103, 4.10.2023.</w:t>
      </w:r>
    </w:p>
  </w:footnote>
  <w:footnote w:id="4">
    <w:p w:rsidR="00EA3F73" w:rsidRDefault="00EB3D10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C, C/2023/112, 12.10.2023.</w:t>
      </w:r>
    </w:p>
  </w:footnote>
  <w:footnote w:id="5">
    <w:p w:rsidR="00EA3F73" w:rsidRDefault="00EB3D10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193, 30.7.2018, s. 1.</w:t>
      </w:r>
    </w:p>
  </w:footnote>
  <w:footnote w:id="6">
    <w:p w:rsidR="00EA3F73" w:rsidRDefault="00EB3D10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Rozsudok Súdneho dvora zo 6. októbra 2022, KN/Európsky hospodársky a sociálny výbor, C-673/21, ECLI:EU:C:2022:759.</w:t>
      </w:r>
    </w:p>
  </w:footnote>
  <w:footnote w:id="7">
    <w:p w:rsidR="00EA3F73" w:rsidRDefault="00EB3D10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207, 11.6.2021,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F73" w:rsidRDefault="00EA3F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F73" w:rsidRDefault="00EA3F7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F73" w:rsidRDefault="00EA3F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2/2024"/>
    <w:docVar w:name="dvlangue" w:val="SK"/>
    <w:docVar w:name="dvnumam" w:val="0"/>
    <w:docVar w:name="dvpe" w:val="753.483"/>
    <w:docVar w:name="dvrapporteur" w:val="Spravodajca: "/>
    <w:docVar w:name="dvtitre" w:val="1. Rozhodnutie Európskeho parlamentu z xx. aprila 2024 o absolutóriu za plnenie všeobecného rozpočtu Európskej únie za rozpočtový rok 2022, oddiel VI – Európsky hospodársky a sociálny výbor(2023/2135(DEC))"/>
  </w:docVars>
  <w:rsids>
    <w:rsidRoot w:val="00EA3F73"/>
    <w:rsid w:val="000324A0"/>
    <w:rsid w:val="00921B3D"/>
    <w:rsid w:val="00A027E2"/>
    <w:rsid w:val="00AE2E8E"/>
    <w:rsid w:val="00CC1969"/>
    <w:rsid w:val="00DB1329"/>
    <w:rsid w:val="00EA3F73"/>
    <w:rsid w:val="00EB3D10"/>
    <w:rsid w:val="00FA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0D5526"/>
  <w15:chartTrackingRefBased/>
  <w15:docId w15:val="{01B0CC06-6C00-4AC3-8D68-06B7C60B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qFormat/>
    <w:pPr>
      <w:spacing w:after="240"/>
      <w:ind w:left="567" w:hanging="567"/>
    </w:pPr>
    <w:rPr>
      <w:szCs w:val="24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szCs w:val="24"/>
      <w:lang w:val="sk-SK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EA455-A75A-46D3-9848-3B2A1EEEC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6133</Words>
  <Characters>37049</Characters>
  <Application>Microsoft Office Word</Application>
  <DocSecurity>0</DocSecurity>
  <Lines>308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Karina Pesa</cp:lastModifiedBy>
  <cp:revision>3</cp:revision>
  <cp:lastPrinted>2004-11-19T15:42:00Z</cp:lastPrinted>
  <dcterms:created xsi:type="dcterms:W3CDTF">2024-05-15T11:32:00Z</dcterms:created>
  <dcterms:modified xsi:type="dcterms:W3CDTF">2024-10-30T19:04:00Z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P9_TA(2024)0232_</vt:lpwstr>
  </property>
  <property fmtid="{D5CDD505-2E9C-101B-9397-08002B2CF9AE}" pid="4" name="&lt;Type&gt;">
    <vt:lpwstr>RR</vt:lpwstr>
  </property>
</Properties>
</file>