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83AEA" w:rsidTr="0010095E">
        <w:trPr>
          <w:trHeight w:hRule="exact" w:val="1418"/>
        </w:trPr>
        <w:tc>
          <w:tcPr>
            <w:tcW w:w="6804" w:type="dxa"/>
            <w:shd w:val="clear" w:color="auto" w:fill="auto"/>
            <w:vAlign w:val="center"/>
          </w:tcPr>
          <w:p w:rsidR="00751A4A" w:rsidRPr="00683AEA" w:rsidRDefault="006008B7" w:rsidP="0010095E">
            <w:pPr>
              <w:pStyle w:val="EPName"/>
            </w:pPr>
            <w:r w:rsidRPr="00683AEA">
              <w:t>Europaparlamentet</w:t>
            </w:r>
          </w:p>
          <w:p w:rsidR="00751A4A" w:rsidRPr="00683AEA" w:rsidRDefault="00817416" w:rsidP="00756632">
            <w:pPr>
              <w:pStyle w:val="EPTerm"/>
              <w:rPr>
                <w:rStyle w:val="HideTWBExt"/>
                <w:noProof w:val="0"/>
                <w:vanish w:val="0"/>
                <w:color w:val="auto"/>
              </w:rPr>
            </w:pPr>
            <w:r w:rsidRPr="00683AEA">
              <w:t>2019-2024</w:t>
            </w:r>
          </w:p>
        </w:tc>
        <w:tc>
          <w:tcPr>
            <w:tcW w:w="2268" w:type="dxa"/>
            <w:shd w:val="clear" w:color="auto" w:fill="auto"/>
          </w:tcPr>
          <w:p w:rsidR="00751A4A" w:rsidRPr="00683AEA" w:rsidRDefault="00187494" w:rsidP="0010095E">
            <w:pPr>
              <w:pStyle w:val="EPLogo"/>
            </w:pPr>
            <w:r w:rsidRPr="00683AE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83AEA" w:rsidRDefault="00D058B8" w:rsidP="004C5D52">
      <w:pPr>
        <w:pStyle w:val="LineTop"/>
      </w:pPr>
    </w:p>
    <w:p w:rsidR="00680577" w:rsidRPr="00683AEA" w:rsidRDefault="006008B7" w:rsidP="00680577">
      <w:pPr>
        <w:pStyle w:val="EPBodyTA1"/>
      </w:pPr>
      <w:r w:rsidRPr="00683AEA">
        <w:t>ANTAGNA TEXTER</w:t>
      </w:r>
    </w:p>
    <w:p w:rsidR="00D058B8" w:rsidRPr="00683AEA" w:rsidRDefault="00D058B8" w:rsidP="00D058B8">
      <w:pPr>
        <w:pStyle w:val="LineBottom"/>
      </w:pPr>
    </w:p>
    <w:p w:rsidR="006008B7" w:rsidRPr="00683AEA" w:rsidRDefault="006008B7" w:rsidP="006008B7">
      <w:pPr>
        <w:pStyle w:val="ATHeading1"/>
      </w:pPr>
      <w:bookmarkStart w:id="0" w:name="TANumber"/>
      <w:r w:rsidRPr="00683AEA">
        <w:t>P9_TA(2024)0</w:t>
      </w:r>
      <w:bookmarkEnd w:id="0"/>
      <w:r w:rsidR="00683AEA" w:rsidRPr="00683AEA">
        <w:t>232</w:t>
      </w:r>
    </w:p>
    <w:p w:rsidR="006008B7" w:rsidRPr="00683AEA" w:rsidRDefault="006008B7" w:rsidP="006008B7">
      <w:pPr>
        <w:pStyle w:val="ATHeading2"/>
      </w:pPr>
      <w:bookmarkStart w:id="1" w:name="title"/>
      <w:r w:rsidRPr="00683AEA">
        <w:t>Ansvarsfrihet 2022: EU:s allmänna budget – Europeiska ekonomiska och sociala kommittén</w:t>
      </w:r>
      <w:bookmarkEnd w:id="1"/>
    </w:p>
    <w:p w:rsidR="006008B7" w:rsidRPr="00683AEA" w:rsidRDefault="006008B7" w:rsidP="006008B7">
      <w:pPr>
        <w:rPr>
          <w:i/>
          <w:vanish/>
        </w:rPr>
      </w:pPr>
      <w:r w:rsidRPr="00683AEA">
        <w:rPr>
          <w:i/>
        </w:rPr>
        <w:fldChar w:fldCharType="begin"/>
      </w:r>
      <w:r w:rsidRPr="00683AEA">
        <w:rPr>
          <w:i/>
        </w:rPr>
        <w:instrText xml:space="preserve"> TC"(</w:instrText>
      </w:r>
      <w:bookmarkStart w:id="2" w:name="DocNumber"/>
      <w:r w:rsidRPr="00683AEA">
        <w:rPr>
          <w:i/>
        </w:rPr>
        <w:instrText>A9-0072/2024</w:instrText>
      </w:r>
      <w:bookmarkEnd w:id="2"/>
      <w:r w:rsidRPr="00683AEA">
        <w:rPr>
          <w:i/>
        </w:rPr>
        <w:instrText xml:space="preserve"> - Föredragande: Luke Ming Flanagan)"\l3 \n&gt; \* MERGEFORMAT </w:instrText>
      </w:r>
      <w:r w:rsidRPr="00683AEA">
        <w:rPr>
          <w:i/>
        </w:rPr>
        <w:fldChar w:fldCharType="end"/>
      </w:r>
    </w:p>
    <w:p w:rsidR="006008B7" w:rsidRPr="00683AEA" w:rsidRDefault="006008B7" w:rsidP="006008B7">
      <w:pPr>
        <w:rPr>
          <w:vanish/>
        </w:rPr>
      </w:pPr>
      <w:bookmarkStart w:id="3" w:name="Commission"/>
      <w:r w:rsidRPr="00683AEA">
        <w:rPr>
          <w:vanish/>
        </w:rPr>
        <w:t>Budgetkontrollutskottet</w:t>
      </w:r>
      <w:bookmarkEnd w:id="3"/>
    </w:p>
    <w:p w:rsidR="006008B7" w:rsidRPr="00683AEA" w:rsidRDefault="006008B7" w:rsidP="006008B7">
      <w:pPr>
        <w:rPr>
          <w:vanish/>
        </w:rPr>
      </w:pPr>
      <w:bookmarkStart w:id="4" w:name="PE"/>
      <w:r w:rsidRPr="00683AEA">
        <w:rPr>
          <w:vanish/>
        </w:rPr>
        <w:t>PE753.483</w:t>
      </w:r>
      <w:bookmarkEnd w:id="4"/>
    </w:p>
    <w:p w:rsidR="006008B7" w:rsidRPr="00683AEA" w:rsidRDefault="00085E78" w:rsidP="006008B7">
      <w:pPr>
        <w:pStyle w:val="ATHeading3"/>
      </w:pPr>
      <w:bookmarkStart w:id="5" w:name="Sujet"/>
      <w:r w:rsidRPr="00683AEA">
        <w:t xml:space="preserve">1. </w:t>
      </w:r>
      <w:r w:rsidR="006008B7" w:rsidRPr="00683AEA">
        <w:t xml:space="preserve">Europaparlamentets beslut av den </w:t>
      </w:r>
      <w:r w:rsidRPr="00683AEA">
        <w:t>11</w:t>
      </w:r>
      <w:r w:rsidR="006008B7" w:rsidRPr="00683AEA">
        <w:t xml:space="preserve"> </w:t>
      </w:r>
      <w:r w:rsidR="000817EF" w:rsidRPr="00683AEA">
        <w:t>april</w:t>
      </w:r>
      <w:r w:rsidR="006008B7" w:rsidRPr="00683AEA">
        <w:t xml:space="preserve"> 2024 om ansvarsfrihet för genomförandet av Europeiska unionens allmänna budget för budgetåret 2022, avsnitt VI – Europeiska ekonomiska och sociala kommittén</w:t>
      </w:r>
      <w:bookmarkEnd w:id="5"/>
      <w:r w:rsidR="006008B7" w:rsidRPr="00683AEA">
        <w:t xml:space="preserve"> </w:t>
      </w:r>
      <w:bookmarkStart w:id="6" w:name="References"/>
      <w:r w:rsidR="006008B7" w:rsidRPr="00683AEA">
        <w:t>(2023/2135(DEC))</w:t>
      </w:r>
      <w:bookmarkEnd w:id="6"/>
    </w:p>
    <w:p w:rsidR="00C90702" w:rsidRPr="00683AEA" w:rsidRDefault="00C90702" w:rsidP="00C90702">
      <w:pPr>
        <w:pStyle w:val="EPComma"/>
        <w:rPr>
          <w:szCs w:val="24"/>
        </w:rPr>
      </w:pPr>
      <w:bookmarkStart w:id="7" w:name="TextBodyBegin"/>
      <w:bookmarkEnd w:id="7"/>
      <w:r w:rsidRPr="00683AEA">
        <w:rPr>
          <w:i/>
        </w:rPr>
        <w:t>Europaparlamentet fattar detta beslut</w:t>
      </w:r>
    </w:p>
    <w:p w:rsidR="00C90702" w:rsidRPr="00683AEA" w:rsidRDefault="00C90702" w:rsidP="00C90702">
      <w:pPr>
        <w:pStyle w:val="NormalHanging12a"/>
      </w:pPr>
      <w:r w:rsidRPr="00683AEA">
        <w:t>–</w:t>
      </w:r>
      <w:r w:rsidRPr="00683AEA">
        <w:tab/>
        <w:t>med beaktande av Europeiska unionens allmänna budget för budgetåret 2022</w:t>
      </w:r>
      <w:r w:rsidRPr="00683AEA">
        <w:rPr>
          <w:rStyle w:val="FootnoteReference"/>
        </w:rPr>
        <w:footnoteReference w:id="1"/>
      </w:r>
      <w:r w:rsidRPr="00683AEA">
        <w:t>,</w:t>
      </w:r>
    </w:p>
    <w:p w:rsidR="00C90702" w:rsidRPr="00683AEA" w:rsidRDefault="00C90702" w:rsidP="00C90702">
      <w:pPr>
        <w:pStyle w:val="NormalHanging12a"/>
      </w:pPr>
      <w:r w:rsidRPr="00683AEA">
        <w:t>–</w:t>
      </w:r>
      <w:r w:rsidRPr="00683AEA">
        <w:tab/>
        <w:t>med beaktande av Europeiska unionens konsoliderade årsredovisning för budgetåret 2022 (COM(2023)0391 – C9</w:t>
      </w:r>
      <w:r w:rsidRPr="00683AEA">
        <w:noBreakHyphen/>
        <w:t>0254/2023)</w:t>
      </w:r>
      <w:r w:rsidRPr="00683AEA">
        <w:rPr>
          <w:rStyle w:val="FootnoteReference"/>
        </w:rPr>
        <w:footnoteReference w:id="2"/>
      </w:r>
      <w:r w:rsidRPr="00683AEA">
        <w:t>,</w:t>
      </w:r>
    </w:p>
    <w:p w:rsidR="00C90702" w:rsidRPr="00683AEA" w:rsidRDefault="00C90702" w:rsidP="00C90702">
      <w:pPr>
        <w:pStyle w:val="NormalHanging12a"/>
      </w:pPr>
      <w:r w:rsidRPr="00683AEA">
        <w:t>–</w:t>
      </w:r>
      <w:r w:rsidRPr="00683AEA">
        <w:tab/>
        <w:t xml:space="preserve">med beaktande av Europeiska ekonomiska och sociala kommitténs årliga verksamhetsrapport </w:t>
      </w:r>
      <w:r w:rsidR="000524C3" w:rsidRPr="00683AEA">
        <w:t xml:space="preserve">2022 </w:t>
      </w:r>
      <w:r w:rsidRPr="00683AEA">
        <w:t>och dess årsrapport till den ansvarsfrihetsbeviljande myndigheten om de internrevisioner som genomförts under 2022,</w:t>
      </w:r>
    </w:p>
    <w:p w:rsidR="00C90702" w:rsidRPr="00683AEA" w:rsidRDefault="00C90702" w:rsidP="00C90702">
      <w:pPr>
        <w:pStyle w:val="NormalHanging12a"/>
      </w:pPr>
      <w:r w:rsidRPr="00683AEA">
        <w:t>–</w:t>
      </w:r>
      <w:r w:rsidRPr="00683AEA">
        <w:tab/>
        <w:t>med beaktande av revisionsrättens årsrapport om genomförandet av budgeten för budgetåret 2022, med institutionernas svar</w:t>
      </w:r>
      <w:r w:rsidRPr="00683AEA">
        <w:rPr>
          <w:rStyle w:val="FootnoteReference"/>
        </w:rPr>
        <w:footnoteReference w:id="3"/>
      </w:r>
      <w:r w:rsidRPr="00683AEA">
        <w:t>,</w:t>
      </w:r>
    </w:p>
    <w:p w:rsidR="00C90702" w:rsidRPr="00683AEA" w:rsidRDefault="00C90702" w:rsidP="00C90702">
      <w:pPr>
        <w:pStyle w:val="NormalHanging12a"/>
      </w:pPr>
      <w:r w:rsidRPr="00683AEA">
        <w:t>–</w:t>
      </w:r>
      <w:r w:rsidRPr="00683AEA">
        <w:tab/>
        <w:t>med beaktande av förklaringen om räkenskapernas tillförlitlighet och de underliggande transaktionernas laglighet och korrekthet</w:t>
      </w:r>
      <w:r w:rsidRPr="00683AEA">
        <w:rPr>
          <w:rStyle w:val="FootnoteReference"/>
        </w:rPr>
        <w:footnoteReference w:id="4"/>
      </w:r>
      <w:r w:rsidRPr="00683AEA">
        <w:t>, som avgetts av revisionsrätten för budgetåret 2022 i enlighet med artikel 287 i fördraget om Europeiska unionens funktionssätt,</w:t>
      </w:r>
    </w:p>
    <w:p w:rsidR="00C90702" w:rsidRPr="00683AEA" w:rsidRDefault="00C90702" w:rsidP="00C90702">
      <w:pPr>
        <w:pStyle w:val="NormalHanging12a"/>
      </w:pPr>
      <w:r w:rsidRPr="00683AEA">
        <w:t>–</w:t>
      </w:r>
      <w:r w:rsidRPr="00683AEA">
        <w:tab/>
        <w:t>med beaktande av artikel 314.10 och artiklarna 317, 318 och 319 i fördraget om Europeiska unionens funktionssätt,</w:t>
      </w:r>
    </w:p>
    <w:p w:rsidR="00C90702" w:rsidRPr="00683AEA" w:rsidRDefault="00C90702" w:rsidP="00C90702">
      <w:pPr>
        <w:pStyle w:val="NormalHanging12a"/>
      </w:pPr>
      <w:r w:rsidRPr="00683AEA">
        <w:t>–</w:t>
      </w:r>
      <w:r w:rsidRPr="00683AEA">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683AEA">
        <w:rPr>
          <w:rStyle w:val="FootnoteReference"/>
        </w:rPr>
        <w:footnoteReference w:id="5"/>
      </w:r>
      <w:r w:rsidRPr="00683AEA">
        <w:t>, särskilt artiklarna 59, 118, 260, 261 och 262,</w:t>
      </w:r>
    </w:p>
    <w:p w:rsidR="00C90702" w:rsidRPr="00683AEA" w:rsidRDefault="00C90702" w:rsidP="00C90702">
      <w:pPr>
        <w:pStyle w:val="NormalHanging12a"/>
      </w:pPr>
      <w:r w:rsidRPr="00683AEA">
        <w:lastRenderedPageBreak/>
        <w:t>–</w:t>
      </w:r>
      <w:r w:rsidRPr="00683AEA">
        <w:tab/>
        <w:t>med beaktande av artikel 100 och bilaga V i arbetsordningen,</w:t>
      </w:r>
    </w:p>
    <w:p w:rsidR="00C90702" w:rsidRPr="00683AEA" w:rsidRDefault="00C90702" w:rsidP="00C90702">
      <w:pPr>
        <w:pStyle w:val="NormalHanging12a"/>
      </w:pPr>
      <w:r w:rsidRPr="00683AEA">
        <w:t>–</w:t>
      </w:r>
      <w:r w:rsidRPr="00683AEA">
        <w:tab/>
        <w:t>med beaktande av betänkandet från budgetkontrollutskottet (A9-0072/2024).</w:t>
      </w:r>
    </w:p>
    <w:p w:rsidR="00C90702" w:rsidRPr="00683AEA" w:rsidRDefault="00C90702" w:rsidP="00C90702">
      <w:pPr>
        <w:pStyle w:val="NormalHanging12a"/>
      </w:pPr>
      <w:r w:rsidRPr="00683AEA">
        <w:t>1.</w:t>
      </w:r>
      <w:r w:rsidRPr="00683AEA">
        <w:tab/>
        <w:t>Europaparlamentet beviljar Europeiska ekonomiska och sociala kommitténs generalsekreterare ansvarsfrihet för genomförandet av Europeiska ekonomiska och sociala kommitténs budget för budgetåret 2022.</w:t>
      </w:r>
    </w:p>
    <w:p w:rsidR="00C90702" w:rsidRPr="00683AEA" w:rsidRDefault="00C90702" w:rsidP="00C90702">
      <w:pPr>
        <w:pStyle w:val="NormalHanging12a"/>
      </w:pPr>
      <w:r w:rsidRPr="00683AEA">
        <w:t>2.</w:t>
      </w:r>
      <w:r w:rsidRPr="00683AEA">
        <w:tab/>
        <w:t>Europaparlamentet redovisar sina iakttagelser i resolutionen nedan.</w:t>
      </w:r>
    </w:p>
    <w:p w:rsidR="00C90702" w:rsidRPr="00683AEA" w:rsidRDefault="00C90702" w:rsidP="00BF4D46">
      <w:pPr>
        <w:pStyle w:val="NormalHanging12a"/>
        <w:widowControl/>
        <w:sectPr w:rsidR="00C90702" w:rsidRPr="00683AEA" w:rsidSect="00327A41">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r w:rsidRPr="00683AEA">
        <w:t>3.</w:t>
      </w:r>
      <w:r w:rsidRPr="00683AEA">
        <w:tab/>
        <w:t xml:space="preserve">Europaparlamentet uppdrar åt talmannen att översända detta beslut och den resolution som utgör en del av beslutet till Europeiska ekonomiska och sociala kommitténs generalsekreterare, rådet, kommissionen och revisionsrätten, och att se till att de offentliggörs i </w:t>
      </w:r>
      <w:r w:rsidRPr="00683AEA">
        <w:rPr>
          <w:i/>
        </w:rPr>
        <w:t>Europeiska unionens officiella tidning</w:t>
      </w:r>
      <w:r w:rsidRPr="00683AEA">
        <w:t xml:space="preserve"> (L-serien). </w:t>
      </w:r>
    </w:p>
    <w:p w:rsidR="00C90702" w:rsidRPr="00683AEA" w:rsidRDefault="00085E78" w:rsidP="00085E78">
      <w:pPr>
        <w:pStyle w:val="ATHeading3"/>
      </w:pPr>
      <w:bookmarkStart w:id="8" w:name="_Toc161755396"/>
      <w:r w:rsidRPr="00683AEA">
        <w:lastRenderedPageBreak/>
        <w:t>2. Europaparlamentets resolution</w:t>
      </w:r>
      <w:bookmarkEnd w:id="8"/>
      <w:r w:rsidRPr="00683AEA">
        <w:t xml:space="preserve"> av den 11 april 2024 </w:t>
      </w:r>
      <w:r w:rsidR="00C90702" w:rsidRPr="00683AEA">
        <w:t>med de iakttagelser som utgör en del av beslutet om ansvarsfrihet för genomförandet av Europeiska unionens allmänna budget för budgetåret 2022, avsnitt VI – Europeiska ekonomiska och sociala kommittén</w:t>
      </w:r>
      <w:r w:rsidRPr="00683AEA">
        <w:t xml:space="preserve"> </w:t>
      </w:r>
      <w:r w:rsidR="00C90702" w:rsidRPr="00683AEA">
        <w:t>(2023/2135(DEC))</w:t>
      </w:r>
    </w:p>
    <w:p w:rsidR="00C90702" w:rsidRPr="00683AEA" w:rsidRDefault="00C90702" w:rsidP="00C90702">
      <w:pPr>
        <w:pStyle w:val="EPComma"/>
        <w:rPr>
          <w:szCs w:val="24"/>
        </w:rPr>
      </w:pPr>
      <w:r w:rsidRPr="00683AEA">
        <w:rPr>
          <w:i/>
        </w:rPr>
        <w:t>Europaparlamentet utfärdar denna resolution</w:t>
      </w:r>
    </w:p>
    <w:p w:rsidR="00C90702" w:rsidRPr="00683AEA" w:rsidRDefault="00C90702" w:rsidP="00C90702">
      <w:pPr>
        <w:pStyle w:val="NormalHanging12a"/>
      </w:pPr>
      <w:r w:rsidRPr="00683AEA">
        <w:t>–</w:t>
      </w:r>
      <w:r w:rsidRPr="00683AEA">
        <w:tab/>
        <w:t>med beaktande av sitt beslut om ansvarsfrihet för genomförandet av Europeiska unionens allmänna budget för budgetåret 2022, avsnitt VI – Europeiska ekonomiska och sociala kommittén,</w:t>
      </w:r>
    </w:p>
    <w:p w:rsidR="00C90702" w:rsidRPr="00683AEA" w:rsidRDefault="00C90702" w:rsidP="00C90702">
      <w:pPr>
        <w:pStyle w:val="NormalHanging12a"/>
      </w:pPr>
      <w:r w:rsidRPr="00683AEA">
        <w:t>–</w:t>
      </w:r>
      <w:r w:rsidRPr="00683AEA">
        <w:tab/>
        <w:t>med beaktande av artikel 100 och bilaga V i arbetsordningen,</w:t>
      </w:r>
    </w:p>
    <w:p w:rsidR="00C90702" w:rsidRPr="00683AEA" w:rsidRDefault="00C90702" w:rsidP="00C90702">
      <w:pPr>
        <w:pStyle w:val="NormalHanging12a"/>
      </w:pPr>
      <w:r w:rsidRPr="00683AEA">
        <w:t>–</w:t>
      </w:r>
      <w:r w:rsidRPr="00683AEA">
        <w:tab/>
        <w:t>med beaktande av betänkandet från budgetkontrollutskottet (A9-0072/2024), och av följande skäl:</w:t>
      </w:r>
    </w:p>
    <w:p w:rsidR="00C90702" w:rsidRPr="00683AEA" w:rsidRDefault="00C90702" w:rsidP="00C90702">
      <w:pPr>
        <w:pStyle w:val="NormalHanging12a"/>
      </w:pPr>
      <w:r w:rsidRPr="00683AEA">
        <w:t>A.</w:t>
      </w:r>
      <w:r w:rsidRPr="00683AEA">
        <w:tab/>
        <w:t>I samband med förfarandet för beviljande av ansvarsfrihet betonar den ansvarsfrihetsbeviljande myndigheten hur viktigt det är att man fortsätter att stärka unionsinstitutionernas demokratiska legitimitet genom att öka transparensen och ansvarsskyldigheten och genom att tillämpa en resultatbaserad budgetering och säkra en god förvaltning av personalresurserna.</w:t>
      </w:r>
    </w:p>
    <w:p w:rsidR="00C90702" w:rsidRPr="00683AEA" w:rsidRDefault="00085E78" w:rsidP="00C90702">
      <w:pPr>
        <w:pStyle w:val="NormalHanging12a"/>
      </w:pPr>
      <w:r w:rsidRPr="00683AEA">
        <w:t>B.</w:t>
      </w:r>
      <w:r w:rsidR="00C90702" w:rsidRPr="00683AEA">
        <w:tab/>
        <w:t>Europeiska ekonomiska och sociala kommittén (</w:t>
      </w:r>
      <w:r w:rsidR="00C90702" w:rsidRPr="00683AEA">
        <w:rPr>
          <w:i/>
        </w:rPr>
        <w:t>kommittén</w:t>
      </w:r>
      <w:r w:rsidR="00C90702" w:rsidRPr="00683AEA">
        <w:t>) är ett rådgivande unionsorgan som utgör ett forum för samråd, dialog och samförstånd mellan företrädare för de olika ekonomiska, sociala och civila delarna av det organiserade civila samhället i medlemsstaterna.</w:t>
      </w:r>
    </w:p>
    <w:p w:rsidR="00C90702" w:rsidRPr="00683AEA" w:rsidRDefault="00C90702" w:rsidP="00C90702">
      <w:pPr>
        <w:pStyle w:val="NormalHanging12a"/>
      </w:pPr>
      <w:r w:rsidRPr="00683AEA">
        <w:t>C.</w:t>
      </w:r>
      <w:r w:rsidRPr="00683AEA">
        <w:tab/>
        <w:t>Kommittén bidrar till unionens beslutsprocess och, genom att säkerställa kopplingar mellan unionens politik och ekonomiska, sociala och medborgerliga förhållanden, fullgör sina uppdrag att skapa bättre lagstiftning, deltagardemokrati nedifrån-och-upp och främja unionens värden.</w:t>
      </w:r>
    </w:p>
    <w:p w:rsidR="00C90702" w:rsidRPr="00683AEA" w:rsidRDefault="00C90702" w:rsidP="00C90702">
      <w:pPr>
        <w:pStyle w:val="NormalHanging12a"/>
      </w:pPr>
      <w:r w:rsidRPr="00683AEA">
        <w:t>D.</w:t>
      </w:r>
      <w:r w:rsidRPr="00683AEA">
        <w:tab/>
        <w:t>I vissa fall är kommissionen och rådet skyldiga att höra kommittén, men det är också möjligt för kommittén att anta yttranden på eget initiativ, och den har ett brett område för hänskjutande enligt fördragen, vilket gör att kommittén kan höras av parlamentet.</w:t>
      </w:r>
    </w:p>
    <w:p w:rsidR="00C90702" w:rsidRPr="00683AEA" w:rsidRDefault="00C90702" w:rsidP="00C90702">
      <w:pPr>
        <w:pStyle w:val="NormalHanging12a"/>
      </w:pPr>
      <w:r w:rsidRPr="00683AEA">
        <w:t>E.</w:t>
      </w:r>
      <w:r w:rsidRPr="00683AEA">
        <w:tab/>
        <w:t>Finans- och budgetkommittén (CAF) är kommitténs tillsynsorgan för alla budgetförfaranden och i synnerhet för upprättandet av budgetberäkningen, budgetgenomförandet, den årliga verksamhetsrapporten, ansvarsfriheten och uppföljningen av revisionsrättens årsrapport.</w:t>
      </w:r>
    </w:p>
    <w:p w:rsidR="00C90702" w:rsidRPr="00683AEA" w:rsidRDefault="00C90702" w:rsidP="00C90702">
      <w:pPr>
        <w:pStyle w:val="NormalHanging12a"/>
      </w:pPr>
      <w:r w:rsidRPr="00683AEA">
        <w:t>1.</w:t>
      </w:r>
      <w:r w:rsidRPr="00683AEA">
        <w:tab/>
        <w:t>Europaparlamentet noterar att kommitténs budget sorterar under rubrik 7 i den fleråriga budgetramen, ”Europeisk offentlig förvaltning”, som uppgick till totalt 11,6 miljarder EUR 2022 (vilket motsvarar 5,9 % av unionens budgetutgifter). Parlamentet noterar att kommitténs budget utgjorde 1,31 % av rubrik 7 i den fleråriga budgetramen.</w:t>
      </w:r>
    </w:p>
    <w:p w:rsidR="00C90702" w:rsidRPr="00683AEA" w:rsidRDefault="00C90702" w:rsidP="00BF4D46">
      <w:pPr>
        <w:pStyle w:val="NormalHanging12a"/>
        <w:widowControl/>
      </w:pPr>
      <w:r w:rsidRPr="00683AEA">
        <w:t>2.</w:t>
      </w:r>
      <w:r w:rsidRPr="00683AEA">
        <w:tab/>
        <w:t xml:space="preserve">Europaparlamentet noterar att revisionsrätten i sin årsrapport för budgetåret 2022 granskade ett urval av 60 transaktioner under ”Administration”, dvs. samma antal som granskades 2021. Parlamentet noterar vidare att revisionsrätten skriver att de administrativa utgifterna omfattar utgifter för personal, inklusive pensioner, som 2022 stod för omkring 70 % av de totala administrativa utgifterna, och för byggnader, </w:t>
      </w:r>
      <w:r w:rsidRPr="00683AEA">
        <w:lastRenderedPageBreak/>
        <w:t>utrustning, energi, kommunikation och informationsteknik, och att revisionsrättens arbete under många år visar att dessa utgifter totalt sett är förknippade med låg risk.</w:t>
      </w:r>
    </w:p>
    <w:p w:rsidR="00C90702" w:rsidRPr="00683AEA" w:rsidRDefault="00C90702" w:rsidP="00C90702">
      <w:pPr>
        <w:pStyle w:val="NormalHanging12a"/>
      </w:pPr>
      <w:r w:rsidRPr="00683AEA">
        <w:t>3.</w:t>
      </w:r>
      <w:r w:rsidRPr="00683AEA">
        <w:tab/>
        <w:t>Europaparlamentet noterar att revisionsrätten som en del av revisionen 2022 granskade kommitténs system för övervakning och kontroll, särskilt tillämpningen av normer för intern kontroll, riskhanteringen och funktionen hos nyckelkontroller som fastställs i budgetförordningen, inbegripet för- och efterhandskontroller av betalningar.</w:t>
      </w:r>
    </w:p>
    <w:p w:rsidR="00C90702" w:rsidRPr="00683AEA" w:rsidRDefault="00C90702" w:rsidP="00C90702">
      <w:pPr>
        <w:pStyle w:val="NormalHanging12a"/>
      </w:pPr>
      <w:r w:rsidRPr="00683AEA">
        <w:t>4.</w:t>
      </w:r>
      <w:r w:rsidRPr="00683AEA">
        <w:tab/>
        <w:t>Europaparlamentet noterar att 14 (23 %) av de 60 transaktionerna innehöll fel, men att revisionsrätten, på grundval av de fem fel som kvantifierades, uppskattar att felnivån ligger under väsentlighetströskeln.</w:t>
      </w:r>
    </w:p>
    <w:p w:rsidR="00C90702" w:rsidRPr="00683AEA" w:rsidRDefault="00C90702" w:rsidP="00C90702">
      <w:pPr>
        <w:pStyle w:val="NormalHanging12a"/>
      </w:pPr>
      <w:r w:rsidRPr="00683AEA">
        <w:t>5.</w:t>
      </w:r>
      <w:r w:rsidRPr="00683AEA">
        <w:tab/>
        <w:t>Europaparlamentet noterar med tillfredsställelse att revisionsrätten i sin årsrapport för budgetåret 2022 konstaterar att man inte identifierade några specifika problem när det gäller kommittén. Parlamentet noterar vidare att revisionsrätten i sin uppföljningsgranskning ansåg att rekommendationen till kommittén i årsrapporten för budgetåret 2019 om kommitténs behov av att utveckla en policy för känsliga funktioner i linje med dess normer för internkontroll hade genomförts i vissa avseenden.</w:t>
      </w:r>
    </w:p>
    <w:p w:rsidR="00C90702" w:rsidRPr="00683AEA" w:rsidRDefault="00C90702" w:rsidP="00C90702">
      <w:pPr>
        <w:pStyle w:val="NormalHanging12a"/>
        <w:rPr>
          <w:b/>
          <w:i/>
        </w:rPr>
      </w:pPr>
      <w:r w:rsidRPr="00683AEA">
        <w:rPr>
          <w:b/>
          <w:i/>
        </w:rPr>
        <w:t>Budgetförvaltningen och den ekonomiska förvaltningen</w:t>
      </w:r>
    </w:p>
    <w:p w:rsidR="00C90702" w:rsidRPr="00683AEA" w:rsidRDefault="00C90702" w:rsidP="00C90702">
      <w:pPr>
        <w:pStyle w:val="NormalHanging12a"/>
      </w:pPr>
      <w:r w:rsidRPr="00683AEA">
        <w:t>6.</w:t>
      </w:r>
      <w:r w:rsidRPr="00683AEA">
        <w:tab/>
        <w:t>Europaparlamentet noterar att kommitténs slutliga antagna budget för 2022 uppgick till 152 451 643 EUR, vilket innebär en total ökning med 5,1 % jämfört med 2021. Parlamentet noterar att budgetposten för löner och ersättningar ökade med 5 % mellan 2021 och 2022 på grund av den årliga löneindexeringen. Parlamentet noterar att budgetposten för inredning av lokaler minskade med 77 % mellan 2021 och 2022 och återgick till vanliga nivåer efter genomförandet av viktiga renoveringsarbeten 2021. Parlamentet noterar att fördelningen av anslag mellan budgetposter i 2022 års budget i övrigt förblev jämförbar med fördelningen under tidigare år.</w:t>
      </w:r>
    </w:p>
    <w:p w:rsidR="00C90702" w:rsidRPr="00683AEA" w:rsidRDefault="00C90702" w:rsidP="00C90702">
      <w:pPr>
        <w:pStyle w:val="NormalHanging12a"/>
      </w:pPr>
      <w:r w:rsidRPr="00683AEA">
        <w:t>7.</w:t>
      </w:r>
      <w:r w:rsidRPr="00683AEA">
        <w:tab/>
        <w:t>Europaparlamentet noterar att budgetgenomförandet var 96,12 % 2022, efter två års lägre budgetgenomförande på grund av covid-19-pandemin och de därmed förknippade reserestriktionerna. Parlamentet noterar att genomförandegraden för betalningar följde samma trend och nådde 88,12 % 2022.</w:t>
      </w:r>
    </w:p>
    <w:p w:rsidR="00C90702" w:rsidRPr="00683AEA" w:rsidRDefault="00C90702" w:rsidP="00C90702">
      <w:pPr>
        <w:pStyle w:val="NormalHanging12a"/>
      </w:pPr>
      <w:r w:rsidRPr="00683AEA">
        <w:t>8.</w:t>
      </w:r>
      <w:r w:rsidRPr="00683AEA">
        <w:tab/>
        <w:t>Europaparlamentet noterar att överföringen av anslag till 2022 uppgick till 20 162 518 EUR, dvs. cirka 13 % av den årliga budgeten för 2022, vilket var betydligt högre än genomsnittet under tidigare år. Parlamentet förstår att denna överföring var kopplad till uppskjutandet av byggnadsarbeten under 2020 och 2021.</w:t>
      </w:r>
    </w:p>
    <w:p w:rsidR="00C90702" w:rsidRPr="00683AEA" w:rsidRDefault="00C90702" w:rsidP="00BF4D46">
      <w:pPr>
        <w:pStyle w:val="NormalHanging12a"/>
        <w:widowControl/>
      </w:pPr>
      <w:r w:rsidRPr="00683AEA">
        <w:t>9.</w:t>
      </w:r>
      <w:r w:rsidRPr="00683AEA">
        <w:tab/>
        <w:t>Europaparlamentet noterar att den genomsnittliga betalningstiden 2022 var 18 dagar, vilket är en kraftig minskning sedan 2019, då den var 30,19 dagar. Parlamentet uppskattar samtidigt att användningen av elektronisk fakturering ökade från 58,54 % 2018 till 88,84 % 2022, vilket förmodligen bidrog till att betalningsfristen minskade under denna period. Parlamentet välkomnar att kommittén ändrade sin praxis till följd av internrevisionsrekommendationer om betalningstider, som inleddes och avslutades 2022 och bidrog till en minskning av andelen sena betalningar till omkring 10 % under 2022.</w:t>
      </w:r>
    </w:p>
    <w:p w:rsidR="00C90702" w:rsidRPr="00683AEA" w:rsidRDefault="00C90702" w:rsidP="00C90702">
      <w:pPr>
        <w:pStyle w:val="NormalHanging12a"/>
      </w:pPr>
      <w:r w:rsidRPr="00683AEA">
        <w:t>10.</w:t>
      </w:r>
      <w:r w:rsidRPr="00683AEA">
        <w:tab/>
        <w:t xml:space="preserve">Europaparlamentet noterar att kommitténs egna avdelningar under 2022 inledde 15 förhandlade upphandlingsförfaranden för mindre än 60 000 EUR, främst för expertis, </w:t>
      </w:r>
      <w:r w:rsidRPr="00683AEA">
        <w:lastRenderedPageBreak/>
        <w:t>studier och logistiskt stöd. Parlamentet noterade att upphandlingsförfaranden på logistikområdet inleddes av de samfunktioner som kommittén delar med Regionkommittén (ReK).</w:t>
      </w:r>
    </w:p>
    <w:p w:rsidR="00C90702" w:rsidRPr="00683AEA" w:rsidRDefault="00C90702" w:rsidP="00C90702">
      <w:pPr>
        <w:pStyle w:val="NormalHanging12a"/>
      </w:pPr>
      <w:r w:rsidRPr="00683AEA">
        <w:t>11.</w:t>
      </w:r>
      <w:r w:rsidRPr="00683AEA">
        <w:tab/>
        <w:t>Europaparlamentet noterar att kommittén under 2022 fortsatte att förbättra kostnadseffektiviteten i sina arbetsmetoder, särskilt tack vare hybridarbete, fullständig dematerialisering av finansiella flöden och minskad energiförbrukning. Parlamentet noterar vidare att budgetmässiga och administrativa besparingar uppnåddes genom interinstitutionellt samarbete, särskilt genom samfunktionerna med ReK och utkontraktering av särskilda tjänster till kommissionen (mot en årlig avgift) för hantering av personalfrågor och användning av olika it-plattformar för ekonomisk förvaltning och personalförvaltning samt deltagande i interinstitutionella upphandlingsförfaranden som leds av andra institutioner.</w:t>
      </w:r>
    </w:p>
    <w:p w:rsidR="00C90702" w:rsidRPr="00683AEA" w:rsidRDefault="00C90702" w:rsidP="00C90702">
      <w:pPr>
        <w:pStyle w:val="NormalHanging12a"/>
      </w:pPr>
      <w:r w:rsidRPr="00683AEA">
        <w:t>12.</w:t>
      </w:r>
      <w:r w:rsidRPr="00683AEA">
        <w:tab/>
        <w:t>Europaparlamentet är medvetet om att besluten om ledamöternas traktamenten för deltagande i sammanträden och storleken på dessa ersättningar fattas av rådet. Parlamentet beklagar att rådet, efter det gradvisa avskaffandet av reserestriktionerna i samband med covid-19-pandemin, beslutade att inte upphäva det tillfälliga beslutet från 2021 om beviljande av ett traktamente på 145 EUR för ledamöternas distansnärvaro vid sammanträden, som var i kraft fram till den 25 maj 2023, då ett nytt rådsbeslut antogs med ett schablonbelopp på 145 EUR per dag för distansnärvaro vid sammanträden. Parlamentet anser att distansnärvaro är ett viktigt instrument för moderna institutioner, med tanke på att det bland annat minskar kostnaderna för möten och möjliggör ett bredare deltagande, särskilt i krissituationer, vilket visades under covid-19-pandemin. Parlamentet anser dock att ett traktamente för distansnärvaro, trots att det är sänkt, är svårt för allmänheten att förstå, särskilt med tanke på den skillnad som betalas ut till kommitténs ledamöter och ReK:s ledamöter för distansnärvaro. Parlamentet noterar de många kontrollnivåer som genomförts för att bevisa att en ledamot deltar i ett sammanträde på distans innan traktamentet betalas ut.</w:t>
      </w:r>
    </w:p>
    <w:p w:rsidR="00C90702" w:rsidRPr="00683AEA" w:rsidRDefault="00C90702" w:rsidP="00C90702">
      <w:pPr>
        <w:pStyle w:val="NormalHanging12a"/>
      </w:pPr>
      <w:r w:rsidRPr="00683AEA">
        <w:t>13.</w:t>
      </w:r>
      <w:r w:rsidRPr="00683AEA">
        <w:tab/>
        <w:t>Europaparlamentet noterar att Rysslands anfallskrig mot Ukraina skapade ett ökat budgettryck för kommittén, bland annat genom stigande inflation och lönejusteringar, kraftigt ökande energikostnader och byggkostnader och råvarukostnader. Parlamentet noterar särskilt att energikostnaderna ökade från 726 000 EUR till 3 125 000 EUR mellan 2021 och 2022, dvs. en ökning med 330 %. Parlamentet noterar att ad hoc-verksamhet till stöd för det ukrainska civila samhället har medfört direkta och indirekta kostnader, såsom kostnader för översättning och tolkning till och från ukrainska, värdskapet för ukrainska icke-statliga organisationer samt säkerhetstjänster och utbildning för tjänsteresor till Ukraina.</w:t>
      </w:r>
    </w:p>
    <w:p w:rsidR="00C90702" w:rsidRPr="00683AEA" w:rsidRDefault="00C90702" w:rsidP="00C90702">
      <w:pPr>
        <w:pStyle w:val="NormalHanging12a"/>
        <w:rPr>
          <w:b/>
          <w:i/>
        </w:rPr>
      </w:pPr>
      <w:r w:rsidRPr="00683AEA">
        <w:t>14.</w:t>
      </w:r>
      <w:r w:rsidRPr="00683AEA">
        <w:tab/>
        <w:t>Europaparlamentet noterar att 2022 års budget för personalens tjänsteresor ökade med 25 000 EUR jämfört med 2021, som finansierades genom en budgetöverföring, för att täcka högre utgifter på grund av de ökade flyg- och hotellpriserna under 2022 och uppgick till totalt 398 974 EUR. Parlamentet noterar att kommitténs ordförande under 2022 deltog i 26 tjänsteresor till en total kostnad på 38 042 EUR jämfört med 12 tjänsteresor, med en total kostnad på 15 327 EUR under 2021, efter upphävandet av reserestriktionerna efter covid-19-pandemin.</w:t>
      </w:r>
    </w:p>
    <w:p w:rsidR="00C90702" w:rsidRPr="00683AEA" w:rsidRDefault="00C90702" w:rsidP="00C90702">
      <w:pPr>
        <w:pStyle w:val="NormalHanging12a"/>
        <w:rPr>
          <w:b/>
          <w:i/>
        </w:rPr>
      </w:pPr>
      <w:r w:rsidRPr="00683AEA">
        <w:rPr>
          <w:b/>
          <w:i/>
        </w:rPr>
        <w:t>Intern förvaltning, resultat och internkontroll</w:t>
      </w:r>
    </w:p>
    <w:p w:rsidR="00C90702" w:rsidRPr="00683AEA" w:rsidRDefault="00C90702" w:rsidP="00C90702">
      <w:pPr>
        <w:pStyle w:val="NormalHanging12a"/>
      </w:pPr>
      <w:r w:rsidRPr="00683AEA">
        <w:t>15.</w:t>
      </w:r>
      <w:r w:rsidRPr="00683AEA">
        <w:tab/>
        <w:t xml:space="preserve">Europaparlamentet noterar att kommittén fullgör sitt uppdrag genom yttranden, som </w:t>
      </w:r>
      <w:r w:rsidRPr="00683AEA">
        <w:lastRenderedPageBreak/>
        <w:t>hänför sig till lagstiftningsförslag från kommissionen (remisser), yttranden på eget initiativ, där unionens institutioner uppmanas att vidta åtgärder, och förberedande yttranden, som bidrar till kommissionens arbete med sina planerade initiativ, och att kommitténs ståndpunkter kan lyftas fram i resolutioner eller ingå i utvärderings- och informationsrapporter. Parlamentet noterar att kommittén under 2022 antog 202 yttranden och rapporter, vilket ligger i linje med dess genomsnittliga årliga prestation, med undantag för 2019 och 2020, då kommitténs verksamhet var lägre. Parlamentet noterar att kommittén också ökade sitt engagemang i den politiska cykeln och lagstiftningscykeln genom att delta i 345 möten, toppmöten och konferenser på hög nationell nivå, unionsnivå och internationell nivå, och genom att anordna 116 utfrågningar och 29 konferenser.</w:t>
      </w:r>
    </w:p>
    <w:p w:rsidR="00C90702" w:rsidRPr="00683AEA" w:rsidRDefault="00C90702" w:rsidP="00C90702">
      <w:pPr>
        <w:pStyle w:val="NormalHanging12a"/>
      </w:pPr>
      <w:r w:rsidRPr="00683AEA">
        <w:t>16.</w:t>
      </w:r>
      <w:r w:rsidRPr="00683AEA">
        <w:tab/>
        <w:t>Europaparlamentet uppskattar de projekt som inleddes 2022 med avseende på förstärkta uppföljningsyttranden i syfte att öka de utvalda yttrandenas räckvidd och genomslagskraft och förbättra kommitténs förmåga att prioritera sitt arbete och när det gäller att förbättra punktligheten när kommitténs yttranden avges. Parlamentet noterar att dessa initiativ i slutet av 2022 kompletterades med en diskussion om yttrandenas format, vars syfte är att främja en mer effektiv och ändamålsenlig användning av kommitténs yttranden i lagstiftningsprocessen.</w:t>
      </w:r>
    </w:p>
    <w:p w:rsidR="00C90702" w:rsidRPr="00683AEA" w:rsidRDefault="00C90702" w:rsidP="00C90702">
      <w:pPr>
        <w:pStyle w:val="NormalHanging12a"/>
      </w:pPr>
      <w:r w:rsidRPr="00683AEA">
        <w:t>17.</w:t>
      </w:r>
      <w:r w:rsidRPr="00683AEA">
        <w:tab/>
        <w:t>Europaparlamentet noterar att parlamentets ledamöter under 2022 deltog i sammanträden eller evenemang som anordnades av kommittén vid 68 tillfällen, vilket låg kvar på samma nivå som 2021, medan kommitténs ledamöter nästan fördubblade sitt deltagande i evenemang som anordnades av parlamentet under samma period. Parlamentet välkomnar att kommittén under 2022 fokuserade på att intensifiera sina förbindelser med parlamentet och på att främja kommitténs mervärde, och på så sätt främja ännu närmare förbindelser mellan olika sektioner i kommittén och parlamentsutskotten.</w:t>
      </w:r>
    </w:p>
    <w:p w:rsidR="00C90702" w:rsidRPr="00683AEA" w:rsidRDefault="00C90702" w:rsidP="00C90702">
      <w:pPr>
        <w:pStyle w:val="NormalHanging12a"/>
      </w:pPr>
      <w:r w:rsidRPr="00683AEA">
        <w:t>18.</w:t>
      </w:r>
      <w:r w:rsidRPr="00683AEA">
        <w:tab/>
        <w:t>Europaparlamentet noterar kommitténs breda deltagande i olika initiativ, inbegripet viktiga evenemang och årliga konferenser för att samarbeta med europeiska intressenter. Parlamentet välkomnar kommitténs insatser för att öka ungdomars deltagande i beslutsfattandet.</w:t>
      </w:r>
    </w:p>
    <w:p w:rsidR="00C90702" w:rsidRPr="00683AEA" w:rsidRDefault="00C90702" w:rsidP="00BF4D46">
      <w:pPr>
        <w:pStyle w:val="NormalHanging12a"/>
        <w:widowControl/>
      </w:pPr>
      <w:r w:rsidRPr="00683AEA">
        <w:t>19.</w:t>
      </w:r>
      <w:r w:rsidRPr="00683AEA">
        <w:tab/>
        <w:t>Europaparlamentet noterar att kommittén fortsatte att stärka sin ram för intern kontroll under 2022, genom att förenkla ekonomihanteringsprocesserna inom ramen för förfarandet för ”enkla kontroller” för vissa transaktioner av lågt värde, och att utveckla sin policy för känsliga budgetposter, i enlighet med revisionsrättens rekommendation i dess årsrapport för budgetåret 2019. Parlamentet noterar att kommittén, på grundval av uppdateringen av förteckningen över känsliga budgetposter under 2022 och vid tidpunkten för offentliggörandet av den uppdaterade förteckningen över 36 budgetposter i början av 2023, fortfarande arbetade med att se över metoden och riskhanteringssystemet, med beaktande av både institutionens storlek och dess verksamhetstyp. Parlamentet uppmanar kommittén att informera den ansvarsfrihetsbeviljande myndigheten om de framsteg som gjorts när det gäller genomförandet av metoden för känsliga budgetposter under 2023.</w:t>
      </w:r>
    </w:p>
    <w:p w:rsidR="00C90702" w:rsidRPr="00683AEA" w:rsidRDefault="00C90702" w:rsidP="00C90702">
      <w:pPr>
        <w:pStyle w:val="NormalHanging12a"/>
      </w:pPr>
      <w:r w:rsidRPr="00683AEA">
        <w:t>20.</w:t>
      </w:r>
      <w:r w:rsidRPr="00683AEA">
        <w:tab/>
        <w:t xml:space="preserve">Europaparlamentet välkomnar kommitténs insatser för att inrätta en bättre definierad och mer konsekvent revisionsram genom slutförandet av stadgan för internrevision och revisionskommitténs stadga med förfaranderegler som godkändes av revisionskommittén i december 2022 och som antogs av presidiet i början av 2023. </w:t>
      </w:r>
      <w:r w:rsidRPr="00683AEA">
        <w:lastRenderedPageBreak/>
        <w:t>Parlamentet uppskattar att kommitténs internrevisionsfunktion förstärktes 2022, särskilt genom rekryteringen av en handläggare till dess tjänst för internrevision och nära samordning med ReK:s internrevisor i alla aspekter som rör revisionen av samfunktionerna. Parlamentet noterar att fyra revisioner inleddes 2022 när det gäller sena betalningar, sammanträdestillstånd, den strategisk</w:t>
      </w:r>
      <w:r w:rsidR="00DD4426" w:rsidRPr="00683AEA">
        <w:t>a</w:t>
      </w:r>
      <w:r w:rsidRPr="00683AEA">
        <w:t xml:space="preserve"> cykeln och val av delegater till kommitténs rådgivande utskott för industriell omvandling.</w:t>
      </w:r>
    </w:p>
    <w:p w:rsidR="00C90702" w:rsidRPr="00683AEA" w:rsidRDefault="00C90702" w:rsidP="00C90702">
      <w:pPr>
        <w:pStyle w:val="NormalHanging12a"/>
        <w:rPr>
          <w:b/>
          <w:i/>
        </w:rPr>
      </w:pPr>
      <w:r w:rsidRPr="00683AEA">
        <w:rPr>
          <w:b/>
          <w:i/>
        </w:rPr>
        <w:t>Personalresurser, jämställdhet och personalens välbefinnande</w:t>
      </w:r>
    </w:p>
    <w:p w:rsidR="00C90702" w:rsidRPr="00683AEA" w:rsidRDefault="00C90702" w:rsidP="00C90702">
      <w:pPr>
        <w:pStyle w:val="NormalHanging12a"/>
      </w:pPr>
      <w:r w:rsidRPr="00683AEA">
        <w:t>21.</w:t>
      </w:r>
      <w:r w:rsidRPr="00683AEA">
        <w:tab/>
        <w:t>Europaparlamentet noterar att kommittén i slutet av 2022 hade totalt 706 anställda, jämfört med 699 under 2021. Parlamentet noterar att 50 kontraktsanställda och 128 tillfälligt anställda var anställda vid kommittén i slutet av 2022 (vilket är en ökning jämfört med 46 kontraktsanställda och 107 tillfälligt anställda 2021), däribland 19 kontraktsanställda och 3 tillfälligt anställda med tillsvidareanställning. Parlamentet noterar dessutom att kommittén sysselsatte 12 interimsanställda och 7 externa anställda som arbetar på plats, förutom externa tjänsteleverantörer på områdena logistik och it. Parlamentet noterar att tillsättningsgraden för tjänsterna i tjänsteförteckningen under 2022 var 95,1 %.</w:t>
      </w:r>
    </w:p>
    <w:p w:rsidR="00C90702" w:rsidRPr="00683AEA" w:rsidRDefault="00C90702" w:rsidP="00C90702">
      <w:pPr>
        <w:pStyle w:val="NormalHanging12a"/>
      </w:pPr>
      <w:r w:rsidRPr="00683AEA">
        <w:t>22.</w:t>
      </w:r>
      <w:r w:rsidRPr="00683AEA">
        <w:tab/>
        <w:t>Europaparlamentet välkomnar kommitténs kontinuerliga insatser för att förbättra sin personalram i syfte att bli en attraktiv arbetsgivare och en helt inkluderande arbetsplats där varje individ värdesätts och fullt ut kan utveckla sin potential. Parlamentet noterar att den integrerade personalstrategin, som antogs i juni 2022, är formulerad kring principerna om inkludering, bibehållande, kompetens och prestationer. Parlamentet uppskattar att dess första uppföljningsåtgärder var inledandet av en personalenkät i januari 2023 med fokus på personalens engagemang.</w:t>
      </w:r>
    </w:p>
    <w:p w:rsidR="00C90702" w:rsidRPr="00683AEA" w:rsidRDefault="00C90702" w:rsidP="00BF4D46">
      <w:pPr>
        <w:pStyle w:val="NormalHanging12a"/>
        <w:widowControl/>
      </w:pPr>
      <w:r w:rsidRPr="00683AEA">
        <w:t>23.</w:t>
      </w:r>
      <w:r w:rsidRPr="00683AEA">
        <w:tab/>
        <w:t>Europaparlamentet understryker att onboarding av nyanlända utgör en viktig faktor för strategisk anpassning genom att säkerställa att personalen informeras om de regler och strategier som gäller vid en institution. Parlamentet noterar att introduktionsutbildningen för kommitténs nyanställda återupptogs i april 2022. Parlamentet välkomnar att kommittén utvecklade ett mentorssystem där mentorer gavs stöd och rådgivning i form av ett utbyte av bästa praxis för att anpassa sina metoder till hybridarbetsmiljön.</w:t>
      </w:r>
    </w:p>
    <w:p w:rsidR="00C90702" w:rsidRPr="00683AEA" w:rsidRDefault="00C90702" w:rsidP="00C90702">
      <w:pPr>
        <w:pStyle w:val="NormalHanging12a"/>
      </w:pPr>
      <w:r w:rsidRPr="00683AEA">
        <w:t>24.</w:t>
      </w:r>
      <w:r w:rsidRPr="00683AEA">
        <w:tab/>
        <w:t>Europaparlamentet noterar att kommittén, i syfte att bättre fördela sina knappa resurser, under 2022 beställde en extern kartläggning av personalresurser som bekräftade den tunga arbetsbördan inom många olika avdelningar inom kommittén mot bakgrund av resursbristen efter neddragningen av tjänsteförteckningen 2013. Parlamentet noterar att kommittén, som en uppföljning av den externa revisionen av kartläggningen av personalresurser, började utarbeta en handlingsplan som omfattar åtgärder inom ramen för den integrerade personalstrategin, såsom en översyn av bedömnings- och resultatsystemet, utveckling av en intern kommunikationsstrategi, antagande av det nya beslutet om arbetsvillkor och organisering av regelbunden övervakning av personalens engagemang. Parlamentet uppmanar kommittén att tillhandahålla en uppdatering om uppföljningen av kartläggningen av de mänskliga rättigheterna under 2023.</w:t>
      </w:r>
    </w:p>
    <w:p w:rsidR="00C90702" w:rsidRPr="00683AEA" w:rsidRDefault="00C90702" w:rsidP="00C90702">
      <w:pPr>
        <w:pStyle w:val="NormalHanging12a"/>
      </w:pPr>
      <w:r w:rsidRPr="00683AEA">
        <w:t>25.</w:t>
      </w:r>
      <w:r w:rsidRPr="00683AEA">
        <w:tab/>
        <w:t xml:space="preserve">Europaparlamentet noterar med tillfredsställelse att ett nytt beslut om flexibla arbetsformer, som omfattar en flexibel och förtroendebaserad policy för hybridarbete, trädde i kraft den 1 april 2022 i form av ett pilotprojekt, som tillhandahåller ett brett </w:t>
      </w:r>
      <w:r w:rsidRPr="00683AEA">
        <w:lastRenderedPageBreak/>
        <w:t>spektrum av deltidsarbetsmönster och flexibla dagliga och veckovisa arrangemang för personalen. Parlamentet noterar att omkring 25 % av de kvinnor och 14,4 % av de män som är anställda av kommittén ansökte om icke-standardmässiga arbetsmönster 2022. Parlamentet noterar att beslutet om arbetsvillkor ger personalen möjlighet att distansarbeta upp till 60 % av sin arbetstid, förutsatt att det är förenligt med tjänsternas intresse, och att distansarbeta någon annanstans än på anställningsorten 15 dagar per kalenderår. Parlamentet noterar att kommitténs personal har den utrustning som krävs för att ha goda arbetsvillkor när de arbetar på distans. Parlamentet välkomnar att utvärderingskommittén genomförde en undersökning om personalens tillfredsställelse som inleddes i slutet av 2022. Parlamentet noterar att det slutliga beslutet om arbetsvillkor, efter den sociala dialogen med fackföreningarna och kommitténs personalkommitté och rättstjänst, borde ha antagits före utgången av 2023. Parlamentet uppmanar kommittén att i god tid informera den ansvarsfrihetsbeviljande myndigheten om utvecklingen i detta avseende.</w:t>
      </w:r>
    </w:p>
    <w:p w:rsidR="00C90702" w:rsidRPr="00683AEA" w:rsidRDefault="00C90702" w:rsidP="00C90702">
      <w:pPr>
        <w:pStyle w:val="NormalHanging12a"/>
      </w:pPr>
      <w:r w:rsidRPr="00683AEA">
        <w:t>26.</w:t>
      </w:r>
      <w:r w:rsidRPr="00683AEA">
        <w:tab/>
        <w:t>Europaparlamentet beklagar att kommittén inte heller under 2022 kunde tillhandahålla uppgifter om fall av utbrändhet inom kommittén. Parlamentet respekterar begränsningarna i uppgiftsskyddet, men påminner kommittén om vikten av anonymiserade statistiska uppgifter inom en organisation som underlag för ledningsbeslut. Parlamentet upprepar att medvetandehöjande åtgärder och god praxis när det gäller hantering av arbetsbelastning, kommunikation och konfliktlösning samt politik för återgång till arbete bör beaktas. Parlamentet förstår att antagandet av de nya arbetsformerna är ett positivt steg mot ett effektivare förebyggande av utbrändhet på organisationsnivå, vilket också bör ta hänsyn till resultaten av kartläggningen av personalresurserna.</w:t>
      </w:r>
    </w:p>
    <w:p w:rsidR="00C90702" w:rsidRPr="00683AEA" w:rsidRDefault="00C90702" w:rsidP="00C90702">
      <w:pPr>
        <w:pStyle w:val="NormalHanging12a"/>
      </w:pPr>
      <w:r w:rsidRPr="00683AEA">
        <w:t>27.</w:t>
      </w:r>
      <w:r w:rsidRPr="00683AEA">
        <w:tab/>
        <w:t>Europaparlamentet noterar att kommittén under 2022 fortsatte att anställa en hög andel kvinnor (64,6 % av all personal), även på mellanchefsnivå (59 % av alla chefer). Parlamentet noterar att andelen kvinnor i ledande befattningar fortfarande behöver förbättras, med tanke på att endast tre av sju högre chefer var kvinnor i slutet av 2022. Parlamentet uppmuntrar kommittén att fortsätta sina ansträngningar när det gäller en jämn könsfördelning, särskilt genom att öka medvetenheten om tillsättningsmyndigheten och se till att sammansättningen av olika organ, inbegripet rekryterings- och urvalskommittéer för mänskliga rättigheter, förblir könsbalanserad.</w:t>
      </w:r>
    </w:p>
    <w:p w:rsidR="00C90702" w:rsidRPr="00683AEA" w:rsidRDefault="00C90702" w:rsidP="00C90702">
      <w:pPr>
        <w:pStyle w:val="NormalHanging12a"/>
      </w:pPr>
      <w:r w:rsidRPr="00683AEA">
        <w:t>28.</w:t>
      </w:r>
      <w:r w:rsidRPr="00683AEA">
        <w:tab/>
        <w:t>Europaparlamentet välkomnar arbetet med att anta en ny politik för mångfald och inkludering från 2022 till 2023, i samråd med kommitténs ledning, kommitténs gemensamma kommitté för lika möjligheter och kommitténs personalkommitté. Parlamentet noterar att utöver de interna kommunikationsåtgärderna genomfördes en särskild informationskampanj mot homofobi i december 2022. Parlamentet välkomnar att en särskild utbildning om mångfald och inkludering gjordes obligatorisk för chefer och rekommenderades för personalen, och att en särskild kurs om mångfald och inkludering erbjöds kommitténs ledamöter som en del av deras årliga utbildningsprogram. Parlamentet uppmuntrar kommittén att fortsätta sina diskussioner med parlamentet i syfte att ansluta sig till parlamentets program för positiva åtgärder för personer med funktionsnedsättning så att kontraktsanställda med funktionsnedsättning kan anställas. Parlamentet upprepar sin uppmaning från 2021 års ansvarsfrihet för kommittén att slutföra en uppdaterad strategi och handlingsplan för mångfald och inkludering.</w:t>
      </w:r>
    </w:p>
    <w:p w:rsidR="00C90702" w:rsidRPr="00683AEA" w:rsidRDefault="00C90702" w:rsidP="00C90702">
      <w:pPr>
        <w:pStyle w:val="NormalHanging12a"/>
      </w:pPr>
      <w:r w:rsidRPr="00683AEA">
        <w:t>29.</w:t>
      </w:r>
      <w:r w:rsidRPr="00683AEA">
        <w:tab/>
        <w:t xml:space="preserve">Europaparlamentet noterar att även om alla medlemsstater är representerade bland </w:t>
      </w:r>
      <w:r w:rsidRPr="00683AEA">
        <w:lastRenderedPageBreak/>
        <w:t>kommitténs personal har en geografisk balans ännu inte uppnåtts eftersom vissa nationaliteter fortfarande är överrepresenterade jämfört med andra. Europaparlamentet noterar att kommittén under 2022 hade 21 % av sina chefer från de 13 medlemsstater som anslöt sig till unionen efter 2004, vilket är en liten ökning jämfört med 19 % under 2021. Parlamentet upprepar sin uppmaning till kommittén att fortsätta att vidta åtgärder för att nå en lämplig geografisk fördelning inom sin personal, med särskilt fokus på ledningsnivån.</w:t>
      </w:r>
    </w:p>
    <w:p w:rsidR="00C90702" w:rsidRPr="00683AEA" w:rsidRDefault="00C90702" w:rsidP="00C90702">
      <w:pPr>
        <w:pStyle w:val="NormalHanging12a"/>
      </w:pPr>
      <w:r w:rsidRPr="00683AEA">
        <w:t>30.</w:t>
      </w:r>
      <w:r w:rsidRPr="00683AEA">
        <w:tab/>
        <w:t>Europaparlamentet noterar att kommittén 2022 tog emot 52 praktikanter under en femmånadersperiod, fyra praktikanter under en tremånadersperiod och två praktikanter som fick bidrag från externa offentliga organ. Parlamentet noterar att alla praktikanter under en femmånadersperiod fick ett månatligt bidrag och traktamente, medan praktikanterna för kortare perioder inte hade rätt till något ekonomiskt bidrag. Parlamentet välkomnar att, även efter parlamentets uppmaning under ansvarsfrihetsförfarandet för 2020, en översyn av beslutet om kommitténs praktiktjänstgöring inleddes 2022 i syfte att avbryta obetalda kortvariga praktikplatser och säkerställa att alla praktikanter får en skälig ersättning. Parlamentet understryker att det nya beslutet om praktiktjänstgöring trädde i kraft i juli 2023, vilket säkerställer en månatlig inkomst samt rese- och flyttbidrag och i tillämpliga fall en handikappersättning för både lång- och korttidspraktikanter.</w:t>
      </w:r>
    </w:p>
    <w:p w:rsidR="00C90702" w:rsidRPr="00683AEA" w:rsidRDefault="00C90702" w:rsidP="00C90702">
      <w:pPr>
        <w:pStyle w:val="NormalHanging12a"/>
        <w:keepNext/>
        <w:keepLines/>
        <w:widowControl/>
        <w:rPr>
          <w:b/>
          <w:i/>
        </w:rPr>
      </w:pPr>
      <w:r w:rsidRPr="00683AEA">
        <w:rPr>
          <w:b/>
          <w:i/>
        </w:rPr>
        <w:t>Etisk ram och transparens</w:t>
      </w:r>
    </w:p>
    <w:p w:rsidR="00C90702" w:rsidRPr="00683AEA" w:rsidRDefault="00C90702" w:rsidP="00BF4D46">
      <w:pPr>
        <w:pStyle w:val="NormalHanging12a"/>
        <w:widowControl/>
      </w:pPr>
      <w:r w:rsidRPr="00683AEA">
        <w:t>31.</w:t>
      </w:r>
      <w:r w:rsidRPr="00683AEA">
        <w:tab/>
        <w:t>Europaparlamentet noterar att kommittén fortsatte sin interna reformprocess genom att anta nya förfaranderegler i mars 2022 och genomförandebestämmelser till dessa i november 2022. Parlamentet beklagar fortfarande att särskilda förbindelser mellan en ledamot och en tjänsteman inte analyseras separat i samband med trakasserier. Parlamentet noterar att arbetsordningen nu är anpassad till och förenlig med den uppförandekod som antogs 2021 efter kommitténs internrevision av etik och integritet. Parlamentet uppmanar kommittén att informera parlamentet om huruvida en utvärdering av genomförandet av handlingsplanen för etik och integritet genomfördes som planerat och om resultatet av denna utvärdering. Parlamentet välkomnar den diskussion som inleddes 2022 för att utarbeta en värdestadga för kommitténs personal, efter en inkluderande och deltagandebaserad process som slutfördes och meddelades personalen 2023. Europaparlamentet anser att endast nolltolerans mot trakasserier kommer att förhindra att kommittén blir föremål från framtida anklagelser om trakasserier och allvarliga tjänstefel.</w:t>
      </w:r>
    </w:p>
    <w:p w:rsidR="00C90702" w:rsidRPr="00683AEA" w:rsidRDefault="00C90702" w:rsidP="00C90702">
      <w:pPr>
        <w:pStyle w:val="NormalHanging12a"/>
      </w:pPr>
      <w:r w:rsidRPr="00683AEA">
        <w:t>32.</w:t>
      </w:r>
      <w:r w:rsidRPr="00683AEA">
        <w:tab/>
        <w:t>Europaparlamentet konstaterar att efter ikraftträdandet av kommitténs reviderade beslut om visselblåsning den 15 december 2021 (beslut 297/21A) och det reviderade beslutet om förfaranden för att förebygga och hantera psykiska och sexuella trakasserier på arbetsplatsen (beslut 090/22A), som antogs den 31 mars 2022, förväntades den förnyade etiska rättsliga ramen att kompletteras med ett reviderat beslut om allmänna genomförandebestämmelser för disciplinära förfaranden och administrativa utredningar, samordnat med Regionkommmittén. Parlamentet noterar att ett nytt beslut om uppdrag och extern verksamhet (beslut nr 141/22A) antogs 2022 för personal i aktiv tjänst, utstationerad personal och tidigare personal, i enlighet med de bestämmelser i tjänsteföreskrifterna som gällde när de lämnade tjänsten.</w:t>
      </w:r>
    </w:p>
    <w:p w:rsidR="00C90702" w:rsidRPr="00683AEA" w:rsidRDefault="00C90702" w:rsidP="00C90702">
      <w:pPr>
        <w:pStyle w:val="NormalHanging12a"/>
      </w:pPr>
      <w:r w:rsidRPr="00683AEA">
        <w:t>33.</w:t>
      </w:r>
      <w:r w:rsidRPr="00683AEA">
        <w:tab/>
        <w:t xml:space="preserve">Europaparlamentet noterar med tillfredsställelse att kommittén under 2022 fortsatte att utbilda personal och öka medvetenheten om den etiska ramen, särskilt när det gäller den </w:t>
      </w:r>
      <w:r w:rsidRPr="00683AEA">
        <w:lastRenderedPageBreak/>
        <w:t>nya uppförandekoden, trakasserier och visselblåsning, och den roll och det ansvar som spelas av de etiska rådgivare vars mandat inleddes i januari 2022. Parlamentet noterar att 116 anställda, däribland chefer och nyanställda, under 2022 deltog i interna kurser om etik och 26 anställda deltog i etikutbildningskurser som tillhandahölls av kommissionen och Europeiska förvaltningsskolan. Parlamentet noterar att en skräddarsydd kurs utvecklades och levererades till gruppen av etiska rådgivare. Parlamentet välkomnar att 83 % av dem som svarade på den personalnöjdhetsundersökning som inleddes 2022 visade en stark medvetenhet om etiskt beteende och kommitténs förstärkta etiska ram.</w:t>
      </w:r>
    </w:p>
    <w:p w:rsidR="00C90702" w:rsidRPr="00683AEA" w:rsidRDefault="00C90702" w:rsidP="00BF4D46">
      <w:pPr>
        <w:pStyle w:val="NormalHanging12a"/>
        <w:widowControl/>
        <w:rPr>
          <w:color w:val="000000" w:themeColor="text1"/>
        </w:rPr>
      </w:pPr>
      <w:r w:rsidRPr="00683AEA">
        <w:t>34.</w:t>
      </w:r>
      <w:r w:rsidRPr="00683AEA">
        <w:tab/>
        <w:t>Europaparlamentet noterar, när det gäller de fall av trakasserier som rapporterats under de senaste årens ansvarsfrihetsförfaranden, att det sista förlikningsavtalet avseende ärende OC/2018/0666/A1 från Europeiska byrån för bedrägeribekämpning (Olaf) ingicks den 1 oktober 2022, vilket gjorde det möjligt för kommittén att till fullo avsluta alla begäranden om bistånd som rör det ärendet. Parlamentet välkomnar att kommitténs ordförande den 13 april 2022 gjorde ett offentligt uttalande, som offentliggjordes på kommitténs webbplats, med hennes officiella ursäkt på kommitténs vägnar till alla offer, både anställda och före detta ledamöter, i det aktuella fallet.</w:t>
      </w:r>
      <w:r w:rsidRPr="00683AEA">
        <w:rPr>
          <w:color w:val="000000" w:themeColor="text1"/>
        </w:rPr>
        <w:t xml:space="preserve"> Parlamentet välkomnar att domstolen i sin dom av den 6 oktober 2022 i mål C-673/21</w:t>
      </w:r>
      <w:r w:rsidRPr="00683AEA">
        <w:rPr>
          <w:rStyle w:val="FootnoteReference"/>
          <w:color w:val="000000" w:themeColor="text1"/>
        </w:rPr>
        <w:footnoteReference w:id="6"/>
      </w:r>
      <w:r w:rsidRPr="00683AEA">
        <w:rPr>
          <w:color w:val="000000" w:themeColor="text1"/>
        </w:rPr>
        <w:t xml:space="preserve"> bekräftade lagligheten i de åtgärder som kommitténs presidium vidtagit i sitt beslut av den 9 juni 2020.</w:t>
      </w:r>
    </w:p>
    <w:p w:rsidR="00C90702" w:rsidRPr="00683AEA" w:rsidRDefault="00C90702" w:rsidP="00C90702">
      <w:pPr>
        <w:pStyle w:val="NormalHanging12a"/>
      </w:pPr>
      <w:r w:rsidRPr="00683AEA">
        <w:t>35.</w:t>
      </w:r>
      <w:r w:rsidRPr="00683AEA">
        <w:tab/>
        <w:t>Europaparlamentet upprepar sin uppmaning till kommittén om en extern och oberoende utredning att särskilt se över kommitténs personalförfaranden och effektiviteten i dessa, med fokus på att fastställa den administrativa hierarkins ansvar när det gäller att hantera påståenden om trakasserier och säkerställa personalens välbefinnande. Parlamentet förkastar, trots de åtgärder som vidtagits för att förbättra kommitténs etiska ram under de senaste åren, kommitténs ståndpunkt att en sådan utredning inte är nödvändig eftersom de åtgärder som vidtagits gjorde det möjligt att ta itu med fallet med trakasserier, och påminner om att parlamentet redan uttryckt oro över kommitténs upprepat långsamma reaktion i fallen i fråga.</w:t>
      </w:r>
    </w:p>
    <w:p w:rsidR="00C90702" w:rsidRPr="00683AEA" w:rsidRDefault="00C90702" w:rsidP="00C90702">
      <w:pPr>
        <w:pStyle w:val="NormalHanging12a"/>
      </w:pPr>
      <w:r w:rsidRPr="00683AEA">
        <w:t>36.</w:t>
      </w:r>
      <w:r w:rsidRPr="00683AEA">
        <w:tab/>
        <w:t>Europaparlamentet noterar att Europeiska ombudsmannen genomförde tre undersökningar till följd av klagomål under 2022. Parlamentet noterar att ett fall ledde till en utredning, där slutsatsen drogs att inga fall av administrativa missförhållanden hade ägt rum. Parlamentet noterar att två andra ärenden avslutades utan utredning, och ombudsmannen ansåg att båda ärendena hade lösts under tiden.</w:t>
      </w:r>
    </w:p>
    <w:p w:rsidR="00C90702" w:rsidRPr="00683AEA" w:rsidRDefault="00C90702" w:rsidP="00C90702">
      <w:pPr>
        <w:pStyle w:val="NormalHanging12a"/>
      </w:pPr>
      <w:r w:rsidRPr="00683AEA">
        <w:t>37.</w:t>
      </w:r>
      <w:r w:rsidRPr="00683AEA">
        <w:tab/>
        <w:t>Europaparlamentet noterar bekymrat att fyra pågående fall av påstådda trakasserier fortfarande var under granskning av kommittén under 2022. Parlamentet uppmanar utskottet att i god tid informera parlamentet om uppföljningen av dessa fall. Parlamentet noterar att inga nya fall av påstådda trakasserier rapporterades inom kommittén under 2022, vare sig för dess personal eller dess ledamöter, men är medvetet om att anklagelser om trakasserier som involverar en person i kommitténs personal rapporterades vid en annan institution 2022. Parlamentet uppmanar kommittén att hålla parlamentet informerat om uppföljningen av detta fall i samarbete med den andra berörda institutionen.</w:t>
      </w:r>
    </w:p>
    <w:p w:rsidR="00C90702" w:rsidRPr="00683AEA" w:rsidRDefault="00C90702" w:rsidP="00C90702">
      <w:pPr>
        <w:spacing w:after="240"/>
        <w:ind w:left="567" w:hanging="567"/>
        <w:rPr>
          <w:szCs w:val="24"/>
        </w:rPr>
      </w:pPr>
      <w:r w:rsidRPr="00683AEA">
        <w:lastRenderedPageBreak/>
        <w:t>38.</w:t>
      </w:r>
      <w:r w:rsidRPr="00683AEA">
        <w:tab/>
        <w:t>Europaparlamentet konstaterar att kommittén är civilrättslig part i de pågående rättsliga förfaranden som inletts av de belgiska nationella myndigheterna mot en före detta ledamot som anklagas för att ha begått tjänstefel och som för närvarande ligger i belgisk domstol i väntan på ett beslut. Parlamentet uppmanar kommittén att punktligt informera parlamentet om hur ärendet fortskrider.</w:t>
      </w:r>
    </w:p>
    <w:p w:rsidR="00C90702" w:rsidRPr="00683AEA" w:rsidRDefault="00C90702" w:rsidP="00BF4D46">
      <w:pPr>
        <w:widowControl/>
        <w:spacing w:after="240"/>
        <w:ind w:left="567" w:hanging="567"/>
        <w:rPr>
          <w:szCs w:val="24"/>
        </w:rPr>
      </w:pPr>
      <w:r w:rsidRPr="00683AEA">
        <w:t>39.</w:t>
      </w:r>
      <w:r w:rsidRPr="00683AEA">
        <w:tab/>
        <w:t>Europaparlamentet noterar att tre fall av visselblåsning formellt inleddes antingen av ledamöter eller av personal under 2022. Parlamentet noterar att alla tre ärendena behandlades och avslutades snabbt med vederbörlig respekt för skyddet av visselblåsare i enlighet med parlamentets beslut om visselblåsning (beslut 297/21A). Parlamentet noterar vidare att två fall av potentiell visselblåsning togs upp till de etiska rådgivarna 2022, men inget av dem bekräftades.</w:t>
      </w:r>
    </w:p>
    <w:p w:rsidR="00C90702" w:rsidRPr="00683AEA" w:rsidRDefault="00C90702" w:rsidP="00C90702">
      <w:pPr>
        <w:pStyle w:val="NormalHanging12a"/>
      </w:pPr>
      <w:r w:rsidRPr="00683AEA">
        <w:t>40.</w:t>
      </w:r>
      <w:r w:rsidRPr="00683AEA">
        <w:tab/>
        <w:t>Europaparlamentet uppskattar kommitténs vilja att samarbeta med unionens utredningsorgan (Olaf och Europeiska åklagarmyndigheten (Eppo)). Parlamentet noterar att Olaf under 2022 avslutade två fall av påstådd förskingring av EU-medel och eventuella oriktigheter och allvarliga tjänstefel avseende två ledamöter i avsaknad av bevis för bedrägerier och upptäckter. Parlamentet noterar bekymrat att Olaf inledde tre nya ärenden mot ledamöter om potentiella bedrägerier under 2023, varav två avslutades samma år och överlämnades till Eppo för granskning. Parlamentet noterar att Olaf hänsköt ett ärende om en ledamots påstådda överträdelse av uppförandekoden till kommitténs etikkommitté. Parlamentet uppmanar utskottet att i god tid informera parlamentet om uppföljningen av detta fall.</w:t>
      </w:r>
    </w:p>
    <w:p w:rsidR="00C90702" w:rsidRPr="00683AEA" w:rsidRDefault="00C90702" w:rsidP="00C90702">
      <w:pPr>
        <w:spacing w:after="240"/>
        <w:ind w:left="567" w:hanging="567"/>
        <w:rPr>
          <w:szCs w:val="24"/>
        </w:rPr>
      </w:pPr>
      <w:r w:rsidRPr="00683AEA">
        <w:t>41.</w:t>
      </w:r>
      <w:r w:rsidRPr="00683AEA">
        <w:tab/>
        <w:t>Europaparlamentet berömmer kommittén för beslutet att från och med den 1 juni 2023 formellt ansluta sig till EU:s transparensregister, som inrättades genom det interinstitutionella avtalet av den 20 maj 2021 mellan Europaparlamentet, Europeiska unionens råd och Europeiska kommissionen om ett obligatoriskt öppenhetsregister</w:t>
      </w:r>
      <w:r w:rsidRPr="00683AEA">
        <w:rPr>
          <w:szCs w:val="24"/>
          <w:vertAlign w:val="superscript"/>
        </w:rPr>
        <w:footnoteReference w:id="7"/>
      </w:r>
      <w:r w:rsidRPr="00683AEA">
        <w:t>. Parlamentet noterar att kommittén den 21 mars 2023 antog flera transparensåtgärder i enlighet med de principer som fastställts för EU:s transparensregister, såsom en rekommendation om att ledamöter med befattningar endast ska träffa registrerade intressenter, skyldigheten för ledamöter med befattningar att offentliggöra sina sammanträdesförteckningar och ett frivilligt ”lagstiftningsavtryck” för föredragande.</w:t>
      </w:r>
    </w:p>
    <w:p w:rsidR="00C90702" w:rsidRPr="00683AEA" w:rsidRDefault="00C90702" w:rsidP="00C90702">
      <w:pPr>
        <w:pStyle w:val="NormalHanging12a"/>
      </w:pPr>
      <w:r w:rsidRPr="00683AEA">
        <w:t>42.</w:t>
      </w:r>
      <w:r w:rsidRPr="00683AEA">
        <w:tab/>
        <w:t>Europaparlamentet beklagar att kommittén har infört en rad åtgärder för att förebygga bedrägerier men ännu inte har infört någon integrerad strategi för bedrägeribekämpning, trots parlamentets upprepade krav. Parlamentet välkomnar att kommittén har slutfört en inventering av de områden som är relevanta för att inleda en intern bedrägeririskanalys, såsom policyer och förfaranden, personalutbildning och samarbete med andra organ, i syfte att förbättra ramen för bedrägeribekämpning.</w:t>
      </w:r>
    </w:p>
    <w:p w:rsidR="00C90702" w:rsidRPr="00683AEA" w:rsidRDefault="00C90702" w:rsidP="00C90702">
      <w:pPr>
        <w:pStyle w:val="NormalHanging12a"/>
        <w:rPr>
          <w:b/>
          <w:i/>
        </w:rPr>
      </w:pPr>
      <w:r w:rsidRPr="00683AEA">
        <w:rPr>
          <w:b/>
          <w:i/>
        </w:rPr>
        <w:t>Digitalisering, cybersäkerhet och dataskydd</w:t>
      </w:r>
    </w:p>
    <w:p w:rsidR="00C90702" w:rsidRPr="00683AEA" w:rsidRDefault="00C90702" w:rsidP="00C90702">
      <w:pPr>
        <w:pStyle w:val="NormalHanging12a"/>
      </w:pPr>
      <w:r w:rsidRPr="00683AEA">
        <w:t>43.</w:t>
      </w:r>
      <w:r w:rsidRPr="00683AEA">
        <w:tab/>
        <w:t>Europaparlamentet noterar att kommitténs och Regionkommit</w:t>
      </w:r>
      <w:r w:rsidR="00DD4426" w:rsidRPr="00683AEA">
        <w:t>t</w:t>
      </w:r>
      <w:r w:rsidRPr="00683AEA">
        <w:t>éns sammanlagda it</w:t>
      </w:r>
      <w:r w:rsidRPr="00683AEA">
        <w:noBreakHyphen/>
        <w:t>budget uppgick till 11 712 000 EUR för 2022, inbegripet en förstärkning på 750 000 EUR genom en intern budgetöverföring under året, jämfört med 12 860 000 EUR för 2021, dvs. en minskning med 9 %.</w:t>
      </w:r>
    </w:p>
    <w:p w:rsidR="00C90702" w:rsidRPr="00683AEA" w:rsidRDefault="00C90702" w:rsidP="00BF4D46">
      <w:pPr>
        <w:pStyle w:val="NormalHanging12a"/>
        <w:widowControl/>
      </w:pPr>
      <w:r w:rsidRPr="00683AEA">
        <w:lastRenderedPageBreak/>
        <w:t>44</w:t>
      </w:r>
      <w:r w:rsidR="007402CE">
        <w:t>.</w:t>
      </w:r>
      <w:bookmarkStart w:id="9" w:name="_GoBack"/>
      <w:bookmarkEnd w:id="9"/>
      <w:r w:rsidRPr="00683AEA">
        <w:tab/>
        <w:t>Europaparlamentet noterar att kommittén har en digital strategi som syftar till att tillhandahålla it-tjänster i enlighet med bästa praxis för it-förvaltning och samtidigt optimera användningen av mänskliga och finansiella resurser. Parlamentet noterar att kommittén arbetade med anpassning och utveckling av flera strategiska it-verktyg under 2022 i syfte att öka effektiviteten och ändamålsenligheten i kommitténs politiska arbete och i dess administrativa processer och arbetsflöden. Parlamentet noterar att det viktigaste it-infrastrukturprojektet 2022 gällde en anpassning av den typ av nätverk som krävs för det nya datorrummet i Jacques Delors-byggnaden (JDE) i linje med färdplanen för hybridmoln.</w:t>
      </w:r>
    </w:p>
    <w:p w:rsidR="00C90702" w:rsidRPr="00683AEA" w:rsidRDefault="00C90702" w:rsidP="00C90702">
      <w:pPr>
        <w:pStyle w:val="NormalHanging12a"/>
      </w:pPr>
      <w:r w:rsidRPr="00683AEA">
        <w:t>45.</w:t>
      </w:r>
      <w:r w:rsidRPr="00683AEA">
        <w:tab/>
        <w:t>Europaparlamentet noterar att kommittén ökade antalet hybridsammanträden under 2022 för att anpassa sig till hybridarbetet och optimera sina arbetsmetoder, särskilt genom att minska antalet tjänsteresor. Parlamentet inser att detta nya arbetssätt har krävt en teknisk uppgradering av utrustningen för hybridsammanträdeslokaler.</w:t>
      </w:r>
    </w:p>
    <w:p w:rsidR="00C90702" w:rsidRPr="00683AEA" w:rsidRDefault="00C90702" w:rsidP="00C90702">
      <w:pPr>
        <w:pStyle w:val="NormalHanging12a"/>
      </w:pPr>
      <w:r w:rsidRPr="00683AEA">
        <w:t>46.</w:t>
      </w:r>
      <w:r w:rsidRPr="00683AEA">
        <w:tab/>
        <w:t>Europaparlamentet noterar att kommittén inte har utsatts för några cyberattacker under 2022. Parlamentet noterar att kommittén och ReK:s nya gemensamma direktorat för innovation och informationsteknik består av tre enheter, nämligen digital omvandling, digitala lösningar och digitala plattformar. Parlamentet noterar att enheten för digitala plattformar bland annat ansvarar för cybersäkerhet. Parlamentet uppmanar kommittén att informera den ansvarsfrihetsbeviljande myndigheten om hur inrättandet av denna nya struktur har bidragit till att förbättra cybersäkerhetsberedskapen hos dess personal, i linje med cybersäkerhetsramen NIST (National Institute of Standards and Technology) och i samarbete med cybersäkerhetstjänsten för unionens institutioner, organ och byråer (CERT-EU). Parlamentet uppmuntrar kommittén att öka sina ledamöters och sin personals medvetenhet om cybersäkerhet, att genomföra regelbundna riskbedömningar av sin it-infrastruktur och att säkerställa regelbundna revisioner och tester av sitt cyberförsvar.</w:t>
      </w:r>
    </w:p>
    <w:p w:rsidR="00C90702" w:rsidRPr="00683AEA" w:rsidRDefault="00C90702" w:rsidP="00C90702">
      <w:pPr>
        <w:pStyle w:val="NormalHanging12a"/>
      </w:pPr>
      <w:r w:rsidRPr="00683AEA">
        <w:t>47.</w:t>
      </w:r>
      <w:r w:rsidRPr="00683AEA">
        <w:tab/>
        <w:t>Europaparlamentet noterar att kommittén använder teknik med öppen källkod i sina egna system, särskilt de viktigaste operativa tillämpningarna, som används för att hantera kommitténs politiska arbete (Agora och Phoenix). Parlamentet noterar vidare att kommittén följer användningen av teknik med öppen källkod i sin årliga it-portfölj så att den tillämpas på nya tillämpningar.</w:t>
      </w:r>
    </w:p>
    <w:p w:rsidR="00C90702" w:rsidRPr="00683AEA" w:rsidRDefault="00C90702" w:rsidP="00C90702">
      <w:pPr>
        <w:spacing w:after="240"/>
        <w:ind w:left="567" w:hanging="567"/>
        <w:rPr>
          <w:szCs w:val="24"/>
        </w:rPr>
      </w:pPr>
      <w:r w:rsidRPr="00683AEA">
        <w:t>48.</w:t>
      </w:r>
      <w:r w:rsidRPr="00683AEA">
        <w:tab/>
        <w:t>Europaparlamentet noterar att kommittén under 2022 gjorde framsteg mot antagandet av en ny ram för dokumenthantering i syfte att öka transparensen och tillgängligheten. Parlamentet noterar med intresse att kommittén i god tid började utvärdera den tekniska genomförbarheten och de finansiella konsekvenserna av att använda kommissionens elektroniska registerhanteringssystem (Ares).</w:t>
      </w:r>
    </w:p>
    <w:p w:rsidR="00C90702" w:rsidRPr="00683AEA" w:rsidRDefault="00C90702" w:rsidP="00C90702">
      <w:pPr>
        <w:pStyle w:val="NormalHanging12a"/>
        <w:keepNext/>
        <w:keepLines/>
        <w:widowControl/>
        <w:ind w:left="0" w:firstLine="0"/>
        <w:rPr>
          <w:b/>
          <w:i/>
        </w:rPr>
      </w:pPr>
      <w:r w:rsidRPr="00683AEA">
        <w:rPr>
          <w:b/>
          <w:i/>
        </w:rPr>
        <w:t xml:space="preserve">Byggnader </w:t>
      </w:r>
    </w:p>
    <w:p w:rsidR="00C90702" w:rsidRPr="00683AEA" w:rsidRDefault="00C90702" w:rsidP="00BF4D46">
      <w:pPr>
        <w:widowControl/>
        <w:spacing w:after="240"/>
        <w:ind w:left="567" w:hanging="567"/>
        <w:rPr>
          <w:szCs w:val="24"/>
        </w:rPr>
      </w:pPr>
      <w:r w:rsidRPr="00683AEA">
        <w:t>49.</w:t>
      </w:r>
      <w:r w:rsidRPr="00683AEA">
        <w:tab/>
        <w:t xml:space="preserve">Europaparlamentet noterar att kommittén och Regionkommittén förlorade 5 000 m² i kontorsyta efter övertagandet av hyreskontraktet för utrikestjänstens tidigare byggnad vid Belliard 100, som började gälla i september 2021, samt bytet av byggnader mellan kommittén och Regionkommitténs Belliard 68 (B68) och Trèves 74 och kommissionens Van Maerlant 2 (VMA), som började gälla i september 2022. Parlamentet noterar att inredningsarbeten i de två nyförvärvade byggnaderna var nödvändiga för att möjliggöra ett tätare utnyttjande av kontorsyta. Parlamentet välkomnar att det under 2022 inrättades en gemensam arbetsgrupp för nya </w:t>
      </w:r>
      <w:r w:rsidRPr="00683AEA">
        <w:lastRenderedPageBreak/>
        <w:t>arbetssätt som ska reflektera över hur man kan optimera hur arbetet organiseras och hur kontorsyta utnyttjas, samtidigt som miljöavtrycket minskas.</w:t>
      </w:r>
    </w:p>
    <w:p w:rsidR="00C90702" w:rsidRPr="00683AEA" w:rsidRDefault="00C90702" w:rsidP="00C90702">
      <w:pPr>
        <w:pStyle w:val="NormalHanging12a"/>
      </w:pPr>
      <w:r w:rsidRPr="00683AEA">
        <w:t>50.</w:t>
      </w:r>
      <w:r w:rsidRPr="00683AEA">
        <w:tab/>
        <w:t>Europaparlamentet noterar att den totala budget som kommittén och Regionkommittén anslog 2021 och 2022 för renoveringen av VMA-byggnaden från tredje till nionde våningen uppgick till 9,54 miljoner EUR. Parlamentet konstaterar att de renoveringsarbeten som utförts av kommittén och ReK har integrerat användningen av smart energisparteknik med ett starkt miljöfokus. Parlamentet ber kommittén att tillhandahålla en uppdatering om avkastningen på investeringarna i dessa tekniska installationer.</w:t>
      </w:r>
    </w:p>
    <w:p w:rsidR="00C90702" w:rsidRPr="00683AEA" w:rsidRDefault="00C90702" w:rsidP="00C90702">
      <w:pPr>
        <w:spacing w:after="240"/>
        <w:ind w:left="567" w:hanging="567"/>
        <w:rPr>
          <w:szCs w:val="24"/>
        </w:rPr>
      </w:pPr>
      <w:r w:rsidRPr="00683AEA">
        <w:t>51.</w:t>
      </w:r>
      <w:r w:rsidRPr="00683AEA">
        <w:tab/>
        <w:t>Europaparlamentet noterar att kommitténs och ReK:s fastighetsstrategi under 2022 fokuserade på den geografiska koncentration av byggnaderna, som uppnåddes genom att alla byggnader som används av kommittéerna kopplats samman med huvudbyggnaden (JDE). Parlamentet välkomnar den nya fysiska anslutningen till parlamentets byggnader, som togs i drift i november 2022 och som erbjuder en direktare, enklare och 125 meter kortare gångväg mellan kommitténs och ReK:s byggnader och parlamentets byggnader.</w:t>
      </w:r>
    </w:p>
    <w:p w:rsidR="00C90702" w:rsidRPr="00683AEA" w:rsidRDefault="00C90702" w:rsidP="00C90702">
      <w:pPr>
        <w:pStyle w:val="NormalHanging12a"/>
      </w:pPr>
      <w:r w:rsidRPr="00683AEA">
        <w:t>52.</w:t>
      </w:r>
      <w:r w:rsidRPr="00683AEA">
        <w:tab/>
        <w:t>Europaparlamentet välkomnar kommitténs och ReK:s åtagande att systematiskt tillämpa principen om ”design för alla” på sin infrastruktur, där byggnadernas tillgänglighet säkerställs genom design. Parlamentet noterar att kommittén och ReK vidtog en rad olika åtgärder för att säkerställa tillgängligheten till sina byggnader för personer med olika typer av funktionsnedsättning.</w:t>
      </w:r>
    </w:p>
    <w:p w:rsidR="00C90702" w:rsidRPr="00683AEA" w:rsidRDefault="00C90702" w:rsidP="00C90702">
      <w:pPr>
        <w:pStyle w:val="NormalHanging12a"/>
        <w:ind w:left="0" w:firstLine="0"/>
        <w:rPr>
          <w:b/>
          <w:i/>
        </w:rPr>
      </w:pPr>
      <w:r w:rsidRPr="00683AEA">
        <w:rPr>
          <w:b/>
          <w:i/>
        </w:rPr>
        <w:t>Miljö och hållbarhet</w:t>
      </w:r>
    </w:p>
    <w:p w:rsidR="00C90702" w:rsidRPr="00683AEA" w:rsidRDefault="00C90702" w:rsidP="00C90702">
      <w:pPr>
        <w:pStyle w:val="NormalHanging12a"/>
      </w:pPr>
      <w:r w:rsidRPr="00683AEA">
        <w:t>53.</w:t>
      </w:r>
      <w:r w:rsidRPr="00683AEA">
        <w:tab/>
        <w:t>Europaparlamentet välkomnar den hållbara praxisen och i synnerhet kommitténs och ReK:s papperslösa strategi, som bidrog till att minska deras miljöavtryck i linje med deras digitala strategi. Parlamentet gratulerar kommittén till att ha överträffat Emas</w:t>
      </w:r>
      <w:r w:rsidRPr="00683AEA">
        <w:noBreakHyphen/>
        <w:t>målen för 2021–2025, med undantag för målen för gasförbrukning. Parlamentet noterar att en budget på 60 000 EUR öronmärktes för kommitténs system för kompensation för koldioxidutsläpp genom inköp av koldioxidkrediter av hög kvalitet 2023.</w:t>
      </w:r>
    </w:p>
    <w:p w:rsidR="00C90702" w:rsidRPr="00683AEA" w:rsidRDefault="00C90702" w:rsidP="00C90702">
      <w:pPr>
        <w:pStyle w:val="NormalHanging12a"/>
      </w:pPr>
      <w:r w:rsidRPr="00683AEA">
        <w:t>54.</w:t>
      </w:r>
      <w:r w:rsidRPr="00683AEA">
        <w:tab/>
        <w:t>Europaparlamentet noterar att den totala elproduktionen från solpaneler i kommitténs och ReK:s byggnader under 2022 uppgick till cirka 15,5 MWh, vilket motsvarar 0,25 % av kommitténs och ReK:s totala årliga förbrukning. Parlamentet noterar att per den 16 september 2022 var det endast JDE-byggnaden som var utrustad med solpaneler. Parlamentet är medvetet om att det på grund av administrativa förfaranden kommer att dröja innan de kan installera fler solpaneler.</w:t>
      </w:r>
    </w:p>
    <w:p w:rsidR="00C90702" w:rsidRPr="00683AEA" w:rsidRDefault="00C90702" w:rsidP="00C90702">
      <w:pPr>
        <w:pStyle w:val="NormalHanging12a"/>
      </w:pPr>
      <w:r w:rsidRPr="00683AEA">
        <w:t>55.</w:t>
      </w:r>
      <w:r w:rsidRPr="00683AEA">
        <w:tab/>
        <w:t xml:space="preserve">Europaparlamentet lovordar kommittén för upprättandet av en transportaffärsplan i samförstånd med huvudstadsregionen Bryssels mobilitetssavdelning, enligt vilken kommittén åtar sig att vart tredje år genomföra en obligatorisk undersökning av rörligheten bland sin personal. Parlamentet noterar att kommittén har infört en plan för hållbar rörlighet i syfte att uppmuntra sin personal att använda mer hållbara transportmedel, bland annat genom ett ekonomiskt bidrag till personalens kollektivtrafikabonnemang eller ett månatligt ekonomiskt bidrag till personal som cyklar till arbetet. Parlamentet noterar att kommittén undersöker ytterligare lösningar, såsom tillhandahållande av elektroniska cyklar och installation av ytterligare laddare för </w:t>
      </w:r>
      <w:r w:rsidRPr="00683AEA">
        <w:lastRenderedPageBreak/>
        <w:t>elbilar.</w:t>
      </w:r>
    </w:p>
    <w:p w:rsidR="00C90702" w:rsidRPr="00683AEA" w:rsidRDefault="00C90702" w:rsidP="00C90702">
      <w:pPr>
        <w:pStyle w:val="NormalHanging12a"/>
        <w:rPr>
          <w:b/>
          <w:i/>
        </w:rPr>
      </w:pPr>
      <w:r w:rsidRPr="00683AEA">
        <w:rPr>
          <w:b/>
          <w:i/>
        </w:rPr>
        <w:t>Interinstitutionellt samarbete</w:t>
      </w:r>
    </w:p>
    <w:p w:rsidR="00C90702" w:rsidRPr="00683AEA" w:rsidRDefault="00C90702" w:rsidP="00C90702">
      <w:pPr>
        <w:pStyle w:val="NormalHanging12a"/>
      </w:pPr>
      <w:r w:rsidRPr="00683AEA">
        <w:t>56.</w:t>
      </w:r>
      <w:r w:rsidRPr="00683AEA">
        <w:tab/>
        <w:t>Europaparlamentet välkomnar de budgetmässiga och administrativa besparingar som åstadkommits genom interinstitutionellt samarbete, särskilt det nära samarbete som inrättats på administrativ nivå med ReK, med vilken kommittén delar lokaler och samfunktioner på områdena översättning, infrastruktur, logistik och it, samtidigt som man behåller sin fulla institutionella autonomi. Parlamentet noterar att det den 1 oktober 2022 inrättades nya samfunktioner, däribland ett nytt direktorat för innovation och informationsteknik, en enhet för bevakning och förebyggande säkerhet och en enhet för offentlig upphandling och ekonomisk förvaltning, som en del av det nya samarbetsavtal som undertecknades med ReK 2022. Parlamentet noterar vidare att 470 anställda och 55 miljoner EUR poolades av kommittén och ReK under 2022, varav mer än 30 miljoner EUR kom från kommittén, exklusive lönerelaterade utgifter. Parlamentet uppmanar kommittén att fortsätta och utvidga detta samarbete på andra områden i syfte att undvika dubbelarbete och ytterligare rationalisera driftskostnaderna för de tjänster som finns i de lokaler som delas av båda kommittéerna. Parlamentet uppmanar kommittén och ReK att undersöka möjligheten att inrätta en enda förvaltning för sina samfunktioner, och behålla separata direktorat eller enheter för de funktioner som hanterar frågor som rör deras specifika och oberoende mandat.</w:t>
      </w:r>
    </w:p>
    <w:p w:rsidR="00C90702" w:rsidRPr="00683AEA" w:rsidRDefault="00C90702" w:rsidP="00C90702">
      <w:pPr>
        <w:pStyle w:val="NormalHanging12a"/>
      </w:pPr>
      <w:r w:rsidRPr="00683AEA">
        <w:t>57.</w:t>
      </w:r>
      <w:r w:rsidRPr="00683AEA">
        <w:tab/>
        <w:t>Europaparlamentet välkomnar kommitténs strävan efter synergier genom att köpa tjänster från andra institutioner genom servicenivåavtal och genom att delta i interinstitutionella samordningsorgan och interinstitutionella upphandlingsförfaranden. Parlamentet noterar att parlamentet framför allt tillhandahåller tolktjänster för kommitténs plenarsessioner som äger rum i parlamentets lokaler och för vissa sammanträden i kommitténs lokaler.</w:t>
      </w:r>
    </w:p>
    <w:p w:rsidR="00C90702" w:rsidRPr="00683AEA" w:rsidRDefault="00C90702" w:rsidP="00C90702">
      <w:pPr>
        <w:pStyle w:val="NormalHanging12a"/>
      </w:pPr>
      <w:r w:rsidRPr="00683AEA">
        <w:t>58.</w:t>
      </w:r>
      <w:r w:rsidRPr="00683AEA">
        <w:tab/>
        <w:t>Europaparlamentet välkomnar kommitténs ökade deltagande i lagstiftningscykeln och uppmanar kommittén att se till att dess yttranden delas med ledamöterna i parlamentets relevanta utskott i enlighet med samarbetsavtalet mellan parlamentet och kommittén.</w:t>
      </w:r>
    </w:p>
    <w:p w:rsidR="00C90702" w:rsidRPr="00683AEA" w:rsidRDefault="00C90702" w:rsidP="00BF4D46">
      <w:pPr>
        <w:pStyle w:val="NormalHanging12a"/>
        <w:widowControl/>
      </w:pPr>
      <w:r w:rsidRPr="00683AEA">
        <w:t>59.</w:t>
      </w:r>
      <w:r w:rsidRPr="00683AEA">
        <w:tab/>
        <w:t>Europaparlamentet noterar att kommittén fortsatte och intensifierade sitt samarbete med kommissionen under 2022 inom ramen för servicenivåavtalet med utrednings- och disciplinbyrån om stöd till administrativa utredningar och inom ramen för det samarbetsprotokoll som uppdaterades 2022 och som stärkte de politiska, lagstiftningsmässiga och kommunikationsrelaterade synergierna mellan dessa två institutioner, särskilt vid genomförandet av det europeiska medborgarinitiativet och den europeiska planeringsterminen. Parlamentet noterar att enligt det uppdaterade samarbetsprotokollet ökade användningen av kommitténs förberedande yttranden, vilket därmed stärkte kommitténs deltagande i unionens lagstiftningscykel.</w:t>
      </w:r>
    </w:p>
    <w:p w:rsidR="00C90702" w:rsidRPr="00683AEA" w:rsidRDefault="00C90702" w:rsidP="00C90702">
      <w:pPr>
        <w:pStyle w:val="NormalHanging12a"/>
      </w:pPr>
      <w:r w:rsidRPr="00683AEA">
        <w:t>60.</w:t>
      </w:r>
      <w:r w:rsidRPr="00683AEA">
        <w:tab/>
        <w:t>Europaparlamentet noterar att kommittén spelar en avgörande roll när det gäller att stärka förbindelserna med och mellan unionens nationella ekonomiska och sociala råd. Parlamentet uppmuntrar kommittén att fortsätta att främja samarbetet i frågor av gemensamt intresse och om god praxis och att belysa hur det civila samhället bidrar till unionens nuvarande utmaningar, särskilt genom personalutbyte och anordnande av gemensamma evenemang.</w:t>
      </w:r>
    </w:p>
    <w:p w:rsidR="00C90702" w:rsidRPr="00683AEA" w:rsidRDefault="00C90702" w:rsidP="00C90702">
      <w:pPr>
        <w:pStyle w:val="NormalHanging12a"/>
        <w:rPr>
          <w:b/>
          <w:i/>
        </w:rPr>
      </w:pPr>
      <w:r w:rsidRPr="00683AEA">
        <w:rPr>
          <w:b/>
          <w:i/>
        </w:rPr>
        <w:lastRenderedPageBreak/>
        <w:t>Kommunikation</w:t>
      </w:r>
    </w:p>
    <w:p w:rsidR="00C90702" w:rsidRPr="00683AEA" w:rsidRDefault="00C90702" w:rsidP="00C90702">
      <w:pPr>
        <w:pStyle w:val="NormalHanging12a"/>
      </w:pPr>
      <w:r w:rsidRPr="00683AEA">
        <w:t>61.</w:t>
      </w:r>
      <w:r w:rsidRPr="00683AEA">
        <w:tab/>
        <w:t>Europaparlamentet noterar att kommitténs totala kommunikationsbudget 2022 uppgick till 1,5 miljoner EUR, samma belopp som 2021. Parlamentet noterar att denna budget främst anslogs till att stödja utvecklingen och underhållet av kommitténs webbplats, kommunikation på sociala medier, mediebevakning, medieförbindelser och främjande av kommitténs större aktiviteter och evenemang, såsom priset till det civila samhället och den verksamhet som rör kommittén i arbetet inom ramen för konferensen om Europas framtid och kommitténs stöd till Ukraina.</w:t>
      </w:r>
    </w:p>
    <w:p w:rsidR="00C90702" w:rsidRPr="00683AEA" w:rsidRDefault="00C90702" w:rsidP="00C90702">
      <w:pPr>
        <w:pStyle w:val="NormalHanging12a"/>
      </w:pPr>
      <w:r w:rsidRPr="00683AEA">
        <w:t>62.</w:t>
      </w:r>
      <w:r w:rsidRPr="00683AEA">
        <w:tab/>
        <w:t>Europaparlamentet välkomnar kommitténs antagande av en ny datadriven kommunikationsstrategi i oktober 2022, som syftar till att öka räckvidden för kommitténs kommunikation och genomslagskraften i dess yttranden och definiera det europeiska civila samhällets organisationer och övriga EU-institutioner som sina främsta kommunikationsmål. Parlamentet noterar vidare att kommittén under 2022 uppdaterade reglerna om partnerskap i syfte att stärka sitt strategiska engagemang med det civila samhällets organisationer genom tematiska evenemang.</w:t>
      </w:r>
    </w:p>
    <w:p w:rsidR="00C90702" w:rsidRPr="00683AEA" w:rsidRDefault="00C90702" w:rsidP="00C90702">
      <w:pPr>
        <w:pStyle w:val="NormalHanging12a"/>
      </w:pPr>
      <w:r w:rsidRPr="00683AEA">
        <w:t>63.</w:t>
      </w:r>
      <w:r w:rsidRPr="00683AEA">
        <w:tab/>
        <w:t>Europaparlamentet noterar att kommittén anordnade större hybridevenemang om aktuella frågor av relevans för det civila samhället, såsom evenemanget inom ramen för konferensen om Europas framtid ”Att forma Europa tillsammans – framtiden ligger i dina händer”, det årliga ungdomsevenemanget ”Ditt Europa, din mening” för elever och lärare i unionen och kandidatländerna och den årliga ungdomsplenarsessionen ”Sanningen om lögner”. Ungdomar står upp mot desinformation” för studenter. Parlamentet noterar att kommittén också anordnade mer specialiserad verksamhet med fokus på Europaåret för ungdomar och anfallskriget mot Ukraina, riktad till journalister och kommunikationspersonal i organisationer i det civila samhället.</w:t>
      </w:r>
    </w:p>
    <w:p w:rsidR="00C90702" w:rsidRPr="00683AEA" w:rsidRDefault="00C90702" w:rsidP="00BF4D46">
      <w:pPr>
        <w:pStyle w:val="NormalHanging12a"/>
        <w:widowControl/>
      </w:pPr>
      <w:r w:rsidRPr="00683AEA">
        <w:t>64.</w:t>
      </w:r>
      <w:r w:rsidRPr="00683AEA">
        <w:tab/>
        <w:t>Europaparlamentet välkomnar att den övergripande räckvidden för kommitténs kommunikation ökade under 2022 jämfört med 2021, särskilt genom mediebevakning och närvaro på internet och sociala medier. Parlamentet noterar att antalet besök på den centrala Facebook-sidan ökade med 96,9 % (57 000 besök) och att antalet besök på Instagramkontot ökade med 97,9 % (20 000 besök), medan antalet Facebook-användare ökade med 1,1 % (6 miljoner användare), räckvidden på Instagram ökade med 33 % (över 3 miljoner användare), de inlägg som publicerades på LinkedIn genererade nästan 1,2 miljoner visningar och de tweetar som publicerades på X (tidigare Twitter) uppgick till över 6 miljoner visningar. Parlamentet välkomnar kommitténs deltagande i ett pilotprojekt 2023 som leds av datatillsynsmannen och som syftar till att föra in unionens institutioner på EU-Voice och EU-Video, som är två kostnadsfria sociala medienätverk med öppen källkod, baserade på Mastodonprogramvara, som gör det möjligt för EU:s institutioner att interagera med allmänheten genom att dela texter, bilder, videor och poddsändningar.</w:t>
      </w:r>
    </w:p>
    <w:p w:rsidR="00C90702" w:rsidRPr="00327A41" w:rsidRDefault="00C90702" w:rsidP="000817EF">
      <w:pPr>
        <w:ind w:left="567" w:hanging="567"/>
      </w:pPr>
      <w:r w:rsidRPr="00683AEA">
        <w:t>65.</w:t>
      </w:r>
      <w:r w:rsidRPr="00683AEA">
        <w:tab/>
        <w:t>Parlamentet välkomnar med tillfredsställelse att kommittén säkerställer att medborgarna har öppen tillgång till sina handlingar via ett särskilt elektroniskt register. Parlamentet noterar att kommittén bidrar till kommissionens portal för öppna data med sina egna dataset och därmed stöder ökad transparens i verksamheten genom fritt tillgängliga data i mänskligt läsbara och maskinläsbara format och stärker kopplingen till medborgarna.</w:t>
      </w:r>
    </w:p>
    <w:sectPr w:rsidR="00C90702" w:rsidRPr="00327A41" w:rsidSect="00327A41">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08B7" w:rsidRPr="00327A41" w:rsidRDefault="006008B7">
      <w:r w:rsidRPr="00327A41">
        <w:separator/>
      </w:r>
    </w:p>
  </w:endnote>
  <w:endnote w:type="continuationSeparator" w:id="0">
    <w:p w:rsidR="006008B7" w:rsidRPr="00327A41" w:rsidRDefault="006008B7">
      <w:r w:rsidRPr="00327A4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0702" w:rsidRPr="00327A41" w:rsidRDefault="00C90702" w:rsidP="00830AD8">
    <w:pPr>
      <w:pStyle w:val="EPFooter"/>
    </w:pPr>
    <w:r w:rsidRPr="00327A41">
      <w:t>PE</w:t>
    </w:r>
    <w:r w:rsidRPr="00327A41">
      <w:rPr>
        <w:rStyle w:val="HideTWBExt"/>
      </w:rPr>
      <w:t>&lt;NoPE&gt;</w:t>
    </w:r>
    <w:r w:rsidRPr="00327A41">
      <w:t>753.483</w:t>
    </w:r>
    <w:r w:rsidRPr="00327A41">
      <w:rPr>
        <w:rStyle w:val="HideTWBExt"/>
      </w:rPr>
      <w:t>&lt;/NoPE&gt;&lt;Version&gt;</w:t>
    </w:r>
    <w:r w:rsidRPr="00327A41">
      <w:t>v02-00</w:t>
    </w:r>
    <w:r w:rsidRPr="00327A41">
      <w:rPr>
        <w:rStyle w:val="HideTWBExt"/>
      </w:rPr>
      <w:t>&lt;/Version&gt;</w:t>
    </w:r>
    <w:r w:rsidRPr="00327A41">
      <w:tab/>
    </w:r>
    <w:r w:rsidRPr="00327A41">
      <w:fldChar w:fldCharType="begin"/>
    </w:r>
    <w:r w:rsidRPr="00327A41">
      <w:instrText xml:space="preserve"> PAGE  \* MERGEFORMAT </w:instrText>
    </w:r>
    <w:r w:rsidRPr="00327A41">
      <w:fldChar w:fldCharType="separate"/>
    </w:r>
    <w:r w:rsidRPr="00327A41">
      <w:rPr>
        <w:noProof/>
      </w:rPr>
      <w:t>2</w:t>
    </w:r>
    <w:r w:rsidRPr="00327A41">
      <w:fldChar w:fldCharType="end"/>
    </w:r>
    <w:r w:rsidRPr="00327A41">
      <w:t>/</w:t>
    </w:r>
    <w:fldSimple w:instr=" NUMPAGES  \* MERGEFORMAT ">
      <w:r w:rsidRPr="00327A41">
        <w:rPr>
          <w:noProof/>
        </w:rPr>
        <w:t>2</w:t>
      </w:r>
    </w:fldSimple>
    <w:r w:rsidRPr="00327A41">
      <w:tab/>
    </w:r>
    <w:r w:rsidRPr="00327A41">
      <w:rPr>
        <w:rStyle w:val="HideTWBExt"/>
      </w:rPr>
      <w:t>&lt;PathFdR&gt;</w:t>
    </w:r>
    <w:r w:rsidRPr="00327A41">
      <w:t>RR\1298480SV.docx</w:t>
    </w:r>
    <w:r w:rsidRPr="00327A41">
      <w:rPr>
        <w:rStyle w:val="HideTWBExt"/>
      </w:rPr>
      <w:t>&lt;/PathFdR&gt;</w:t>
    </w:r>
  </w:p>
  <w:p w:rsidR="00C90702" w:rsidRPr="00327A41" w:rsidRDefault="00C90702" w:rsidP="00830AD8">
    <w:pPr>
      <w:pStyle w:val="EPFooter2"/>
    </w:pPr>
    <w:r w:rsidRPr="00327A41">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0702" w:rsidRPr="00327A41" w:rsidRDefault="00C90702" w:rsidP="00830AD8">
    <w:pPr>
      <w:pStyle w:val="EPFooter"/>
    </w:pPr>
    <w:r w:rsidRPr="00327A41">
      <w:rPr>
        <w:rStyle w:val="HideTWBExt"/>
      </w:rPr>
      <w:t>&lt;PathFdR&gt;</w:t>
    </w:r>
    <w:r w:rsidRPr="00327A41">
      <w:t>RR\1298480SV.docx</w:t>
    </w:r>
    <w:r w:rsidRPr="00327A41">
      <w:rPr>
        <w:rStyle w:val="HideTWBExt"/>
      </w:rPr>
      <w:t>&lt;/PathFdR&gt;</w:t>
    </w:r>
    <w:r w:rsidRPr="00327A41">
      <w:tab/>
    </w:r>
    <w:r w:rsidRPr="00327A41">
      <w:tab/>
      <w:t>PE</w:t>
    </w:r>
    <w:r w:rsidRPr="00327A41">
      <w:rPr>
        <w:rStyle w:val="HideTWBExt"/>
      </w:rPr>
      <w:t>&lt;NoPE&gt;</w:t>
    </w:r>
    <w:r w:rsidRPr="00327A41">
      <w:t>753.483</w:t>
    </w:r>
    <w:r w:rsidRPr="00327A41">
      <w:rPr>
        <w:rStyle w:val="HideTWBExt"/>
      </w:rPr>
      <w:t>&lt;/NoPE&gt;&lt;Version&gt;</w:t>
    </w:r>
    <w:r w:rsidRPr="00327A41">
      <w:t>v02-00</w:t>
    </w:r>
    <w:r w:rsidRPr="00327A41">
      <w:rPr>
        <w:rStyle w:val="HideTWBExt"/>
      </w:rPr>
      <w:t>&lt;/Version&gt;</w:t>
    </w:r>
  </w:p>
  <w:p w:rsidR="00C90702" w:rsidRPr="00327A41" w:rsidRDefault="00C90702" w:rsidP="00830AD8">
    <w:pPr>
      <w:pStyle w:val="EPFooter2"/>
    </w:pPr>
    <w:r w:rsidRPr="00327A41">
      <w:t>SV</w:t>
    </w:r>
    <w:r w:rsidRPr="00327A41">
      <w:tab/>
    </w:r>
    <w:r w:rsidRPr="00327A41">
      <w:rPr>
        <w:b w:val="0"/>
        <w:i/>
        <w:color w:val="C0C0C0"/>
        <w:sz w:val="22"/>
      </w:rPr>
      <w:t>Förenade i mångfalden</w:t>
    </w:r>
    <w:r w:rsidRPr="00327A41">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7A41"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7A41"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7A4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08B7" w:rsidRPr="00327A41" w:rsidRDefault="006008B7">
      <w:r w:rsidRPr="00327A41">
        <w:separator/>
      </w:r>
    </w:p>
  </w:footnote>
  <w:footnote w:type="continuationSeparator" w:id="0">
    <w:p w:rsidR="006008B7" w:rsidRPr="00327A41" w:rsidRDefault="006008B7">
      <w:r w:rsidRPr="00327A41">
        <w:continuationSeparator/>
      </w:r>
    </w:p>
  </w:footnote>
  <w:footnote w:id="1">
    <w:p w:rsidR="00C90702" w:rsidRPr="00BF4D46" w:rsidRDefault="00C90702" w:rsidP="00327A41">
      <w:pPr>
        <w:pStyle w:val="FootnoteText"/>
        <w:ind w:left="567" w:hanging="567"/>
        <w:rPr>
          <w:sz w:val="24"/>
        </w:rPr>
      </w:pPr>
      <w:r w:rsidRPr="00BF4D46">
        <w:rPr>
          <w:rStyle w:val="FootnoteReference"/>
          <w:sz w:val="24"/>
          <w:lang w:val="sv-SE"/>
        </w:rPr>
        <w:footnoteRef/>
      </w:r>
      <w:r w:rsidR="00327A41" w:rsidRPr="00BF4D46">
        <w:rPr>
          <w:sz w:val="24"/>
        </w:rPr>
        <w:t xml:space="preserve"> </w:t>
      </w:r>
      <w:r w:rsidR="00327A41" w:rsidRPr="00BF4D46">
        <w:rPr>
          <w:sz w:val="24"/>
        </w:rPr>
        <w:tab/>
      </w:r>
      <w:r w:rsidRPr="00BF4D46">
        <w:rPr>
          <w:sz w:val="24"/>
        </w:rPr>
        <w:t>EUT L 45, 24.2.2022.</w:t>
      </w:r>
    </w:p>
  </w:footnote>
  <w:footnote w:id="2">
    <w:p w:rsidR="00C90702" w:rsidRPr="00BF4D46" w:rsidRDefault="00C90702" w:rsidP="00327A41">
      <w:pPr>
        <w:pStyle w:val="FootnoteText"/>
        <w:ind w:left="567" w:hanging="567"/>
        <w:rPr>
          <w:sz w:val="24"/>
        </w:rPr>
      </w:pPr>
      <w:r w:rsidRPr="00BF4D46">
        <w:rPr>
          <w:rStyle w:val="FootnoteReference"/>
          <w:sz w:val="24"/>
          <w:lang w:val="sv-SE"/>
        </w:rPr>
        <w:footnoteRef/>
      </w:r>
      <w:r w:rsidR="00327A41" w:rsidRPr="00BF4D46">
        <w:rPr>
          <w:sz w:val="24"/>
        </w:rPr>
        <w:t xml:space="preserve"> </w:t>
      </w:r>
      <w:r w:rsidR="00327A41" w:rsidRPr="00BF4D46">
        <w:rPr>
          <w:sz w:val="24"/>
        </w:rPr>
        <w:tab/>
      </w:r>
      <w:r w:rsidRPr="00BF4D46">
        <w:rPr>
          <w:sz w:val="24"/>
        </w:rPr>
        <w:t>EUT C, C/2023/2, 12.10.2023.</w:t>
      </w:r>
    </w:p>
  </w:footnote>
  <w:footnote w:id="3">
    <w:p w:rsidR="00C90702" w:rsidRPr="00BF4D46" w:rsidRDefault="00C90702" w:rsidP="00327A41">
      <w:pPr>
        <w:pStyle w:val="FootnoteText"/>
        <w:ind w:left="567" w:hanging="567"/>
        <w:rPr>
          <w:sz w:val="24"/>
        </w:rPr>
      </w:pPr>
      <w:r w:rsidRPr="00BF4D46">
        <w:rPr>
          <w:rStyle w:val="FootnoteReference"/>
          <w:sz w:val="24"/>
          <w:lang w:val="sv-SE"/>
        </w:rPr>
        <w:footnoteRef/>
      </w:r>
      <w:r w:rsidR="00327A41" w:rsidRPr="00BF4D46">
        <w:rPr>
          <w:sz w:val="24"/>
        </w:rPr>
        <w:t xml:space="preserve"> </w:t>
      </w:r>
      <w:r w:rsidR="00327A41" w:rsidRPr="00BF4D46">
        <w:rPr>
          <w:sz w:val="24"/>
        </w:rPr>
        <w:tab/>
      </w:r>
      <w:r w:rsidRPr="00BF4D46">
        <w:rPr>
          <w:sz w:val="24"/>
        </w:rPr>
        <w:t>EUT C, C/2023/103, 4.10.2023.</w:t>
      </w:r>
    </w:p>
  </w:footnote>
  <w:footnote w:id="4">
    <w:p w:rsidR="00C90702" w:rsidRPr="00BF4D46" w:rsidRDefault="00C90702" w:rsidP="00327A41">
      <w:pPr>
        <w:pStyle w:val="FootnoteText"/>
        <w:ind w:left="567" w:hanging="567"/>
        <w:rPr>
          <w:sz w:val="24"/>
        </w:rPr>
      </w:pPr>
      <w:r w:rsidRPr="00BF4D46">
        <w:rPr>
          <w:rStyle w:val="FootnoteReference"/>
          <w:sz w:val="24"/>
          <w:lang w:val="sv-SE"/>
        </w:rPr>
        <w:footnoteRef/>
      </w:r>
      <w:r w:rsidR="00327A41" w:rsidRPr="00BF4D46">
        <w:rPr>
          <w:sz w:val="24"/>
        </w:rPr>
        <w:t xml:space="preserve"> </w:t>
      </w:r>
      <w:r w:rsidR="00327A41" w:rsidRPr="00BF4D46">
        <w:rPr>
          <w:sz w:val="24"/>
        </w:rPr>
        <w:tab/>
      </w:r>
      <w:r w:rsidRPr="00BF4D46">
        <w:rPr>
          <w:sz w:val="24"/>
        </w:rPr>
        <w:t>EUT C, C/2023/112, 12.10.2023.</w:t>
      </w:r>
    </w:p>
  </w:footnote>
  <w:footnote w:id="5">
    <w:p w:rsidR="00C90702" w:rsidRPr="00BF4D46" w:rsidRDefault="00C90702" w:rsidP="00327A41">
      <w:pPr>
        <w:pStyle w:val="FootnoteText"/>
        <w:ind w:left="567" w:hanging="567"/>
        <w:rPr>
          <w:sz w:val="24"/>
        </w:rPr>
      </w:pPr>
      <w:r w:rsidRPr="00BF4D46">
        <w:rPr>
          <w:rStyle w:val="FootnoteReference"/>
          <w:sz w:val="24"/>
          <w:lang w:val="sv-SE"/>
        </w:rPr>
        <w:footnoteRef/>
      </w:r>
      <w:r w:rsidR="00327A41" w:rsidRPr="00BF4D46">
        <w:rPr>
          <w:sz w:val="24"/>
        </w:rPr>
        <w:t xml:space="preserve"> </w:t>
      </w:r>
      <w:r w:rsidR="00327A41" w:rsidRPr="00BF4D46">
        <w:rPr>
          <w:sz w:val="24"/>
        </w:rPr>
        <w:tab/>
      </w:r>
      <w:r w:rsidRPr="00BF4D46">
        <w:rPr>
          <w:sz w:val="24"/>
        </w:rPr>
        <w:t>EUT L 193, 30.7.2018, s. 1.</w:t>
      </w:r>
    </w:p>
  </w:footnote>
  <w:footnote w:id="6">
    <w:p w:rsidR="00C90702" w:rsidRPr="00BF4D46" w:rsidRDefault="00C90702" w:rsidP="00327A41">
      <w:pPr>
        <w:pStyle w:val="FootnoteText"/>
        <w:ind w:left="567" w:hanging="567"/>
        <w:rPr>
          <w:sz w:val="24"/>
          <w:lang w:val="sv-SE"/>
        </w:rPr>
      </w:pPr>
      <w:r w:rsidRPr="00BF4D46">
        <w:rPr>
          <w:rStyle w:val="FootnoteReference"/>
          <w:sz w:val="24"/>
          <w:lang w:val="sv-SE"/>
        </w:rPr>
        <w:footnoteRef/>
      </w:r>
      <w:r w:rsidR="00327A41" w:rsidRPr="00BF4D46">
        <w:rPr>
          <w:sz w:val="24"/>
          <w:lang w:val="sv-SE"/>
        </w:rPr>
        <w:t xml:space="preserve"> </w:t>
      </w:r>
      <w:r w:rsidR="00327A41" w:rsidRPr="00BF4D46">
        <w:rPr>
          <w:sz w:val="24"/>
          <w:lang w:val="sv-SE"/>
        </w:rPr>
        <w:tab/>
      </w:r>
      <w:r w:rsidRPr="00BF4D46">
        <w:rPr>
          <w:sz w:val="24"/>
          <w:lang w:val="sv-SE"/>
        </w:rPr>
        <w:t xml:space="preserve">Tribunalens dom av den 6 oktober 2022, </w:t>
      </w:r>
      <w:r w:rsidRPr="00BF4D46">
        <w:rPr>
          <w:i/>
          <w:iCs/>
          <w:sz w:val="24"/>
          <w:lang w:val="sv-SE"/>
        </w:rPr>
        <w:t>KN/Europeiska ekonomiska och sociala kommittén</w:t>
      </w:r>
      <w:r w:rsidRPr="00BF4D46">
        <w:rPr>
          <w:sz w:val="24"/>
          <w:lang w:val="sv-SE"/>
        </w:rPr>
        <w:t>, C-673/21, ECLI:EU:T:2022:759</w:t>
      </w:r>
      <w:r w:rsidR="00DD4426" w:rsidRPr="00BF4D46">
        <w:rPr>
          <w:sz w:val="24"/>
          <w:lang w:val="sv-SE"/>
        </w:rPr>
        <w:t>.</w:t>
      </w:r>
    </w:p>
  </w:footnote>
  <w:footnote w:id="7">
    <w:p w:rsidR="00C90702" w:rsidRPr="00327A41" w:rsidRDefault="00C90702" w:rsidP="00327A41">
      <w:pPr>
        <w:pStyle w:val="FootnoteText"/>
        <w:ind w:left="567" w:hanging="567"/>
        <w:rPr>
          <w:sz w:val="24"/>
          <w:lang w:val="sv-SE"/>
        </w:rPr>
      </w:pPr>
      <w:r w:rsidRPr="00BF4D46">
        <w:rPr>
          <w:rStyle w:val="FootnoteReference"/>
          <w:sz w:val="24"/>
          <w:lang w:val="sv-SE"/>
        </w:rPr>
        <w:footnoteRef/>
      </w:r>
      <w:r w:rsidR="00327A41" w:rsidRPr="00BF4D46">
        <w:rPr>
          <w:sz w:val="24"/>
          <w:lang w:val="sv-SE"/>
        </w:rPr>
        <w:t xml:space="preserve"> </w:t>
      </w:r>
      <w:r w:rsidR="00327A41" w:rsidRPr="00BF4D46">
        <w:rPr>
          <w:sz w:val="24"/>
          <w:lang w:val="sv-SE"/>
        </w:rPr>
        <w:tab/>
      </w:r>
      <w:r w:rsidRPr="00BF4D46">
        <w:rPr>
          <w:sz w:val="24"/>
          <w:lang w:val="sv-SE"/>
        </w:rPr>
        <w:t>EUT L 207, 11.6.2021,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7A4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7A4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7A4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2/2024"/>
    <w:docVar w:name="dvlangue" w:val="SV"/>
    <w:docVar w:name="dvnumam" w:val="0"/>
    <w:docVar w:name="dvpe" w:val="753.483"/>
    <w:docVar w:name="dvrapporteur" w:val="Föredragande: "/>
    <w:docVar w:name="dvtitre" w:val="Europaparlamentets beslut av den xx xx 2024 om ansvarsfrihet för genomförandet av Europeiska unionens allmänna budget för budgetåret 2022, avsnitt VI – Europeiska ekonomiska och sociala kommittén(2023/2135(DEC))"/>
  </w:docVars>
  <w:rsids>
    <w:rsidRoot w:val="006008B7"/>
    <w:rsid w:val="00002272"/>
    <w:rsid w:val="000524C3"/>
    <w:rsid w:val="00064002"/>
    <w:rsid w:val="000677B9"/>
    <w:rsid w:val="000817EF"/>
    <w:rsid w:val="000831BA"/>
    <w:rsid w:val="00085E78"/>
    <w:rsid w:val="000A42CC"/>
    <w:rsid w:val="000E7DD9"/>
    <w:rsid w:val="0010095E"/>
    <w:rsid w:val="00125B37"/>
    <w:rsid w:val="00187494"/>
    <w:rsid w:val="001F32AE"/>
    <w:rsid w:val="002767FF"/>
    <w:rsid w:val="002B18FE"/>
    <w:rsid w:val="002B5493"/>
    <w:rsid w:val="00327A41"/>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08B7"/>
    <w:rsid w:val="006037C0"/>
    <w:rsid w:val="006631B6"/>
    <w:rsid w:val="00680577"/>
    <w:rsid w:val="00683AEA"/>
    <w:rsid w:val="006C0696"/>
    <w:rsid w:val="006F74FA"/>
    <w:rsid w:val="00731ADD"/>
    <w:rsid w:val="00734777"/>
    <w:rsid w:val="007402CE"/>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4D46"/>
    <w:rsid w:val="00C05BFE"/>
    <w:rsid w:val="00C23CD4"/>
    <w:rsid w:val="00C61C0C"/>
    <w:rsid w:val="00C90702"/>
    <w:rsid w:val="00C941CB"/>
    <w:rsid w:val="00CC2357"/>
    <w:rsid w:val="00CF071A"/>
    <w:rsid w:val="00D058B8"/>
    <w:rsid w:val="00D56C11"/>
    <w:rsid w:val="00D834A0"/>
    <w:rsid w:val="00D872DF"/>
    <w:rsid w:val="00D91E21"/>
    <w:rsid w:val="00DA7FCD"/>
    <w:rsid w:val="00DD4426"/>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4326B3"/>
  <w15:chartTrackingRefBased/>
  <w15:docId w15:val="{F3AF97CA-4CDD-4A2B-83D0-6A1D5DA13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9070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90702"/>
    <w:pPr>
      <w:spacing w:before="480" w:after="240"/>
    </w:pPr>
  </w:style>
  <w:style w:type="paragraph" w:customStyle="1" w:styleId="PageHeading">
    <w:name w:val="PageHeading"/>
    <w:basedOn w:val="Normal"/>
    <w:rsid w:val="00C90702"/>
    <w:pPr>
      <w:keepNext/>
      <w:spacing w:after="480"/>
      <w:jc w:val="center"/>
    </w:pPr>
    <w:rPr>
      <w:rFonts w:ascii="Arial" w:hAnsi="Arial" w:cs="Arial"/>
      <w:b/>
    </w:rPr>
  </w:style>
  <w:style w:type="paragraph" w:customStyle="1" w:styleId="NormalBold">
    <w:name w:val="NormalBold"/>
    <w:basedOn w:val="Normal"/>
    <w:rsid w:val="00C90702"/>
    <w:rPr>
      <w:b/>
    </w:rPr>
  </w:style>
  <w:style w:type="paragraph" w:customStyle="1" w:styleId="NormalHanging12a">
    <w:name w:val="NormalHanging12a"/>
    <w:basedOn w:val="Normal"/>
    <w:link w:val="NormalHanging12aChar"/>
    <w:qFormat/>
    <w:rsid w:val="00C90702"/>
    <w:pPr>
      <w:spacing w:after="240"/>
      <w:ind w:left="567" w:hanging="567"/>
    </w:pPr>
    <w:rPr>
      <w:szCs w:val="24"/>
    </w:rPr>
  </w:style>
  <w:style w:type="paragraph" w:styleId="Header">
    <w:name w:val="header"/>
    <w:basedOn w:val="Normal"/>
    <w:link w:val="HeaderChar"/>
    <w:rsid w:val="00C90702"/>
    <w:pPr>
      <w:tabs>
        <w:tab w:val="center" w:pos="4513"/>
        <w:tab w:val="right" w:pos="9026"/>
      </w:tabs>
    </w:pPr>
  </w:style>
  <w:style w:type="character" w:customStyle="1" w:styleId="HeaderChar">
    <w:name w:val="Header Char"/>
    <w:basedOn w:val="DefaultParagraphFont"/>
    <w:link w:val="Header"/>
    <w:rsid w:val="00C90702"/>
    <w:rPr>
      <w:sz w:val="24"/>
      <w:lang w:val="sv-SE"/>
    </w:rPr>
  </w:style>
  <w:style w:type="paragraph" w:customStyle="1" w:styleId="EPFooter">
    <w:name w:val="EPFooter"/>
    <w:basedOn w:val="Normal"/>
    <w:rsid w:val="00C90702"/>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C90702"/>
    <w:rPr>
      <w:sz w:val="24"/>
      <w:szCs w:val="24"/>
      <w:lang w:val="sv-SE"/>
    </w:rPr>
  </w:style>
  <w:style w:type="paragraph" w:styleId="BalloonText">
    <w:name w:val="Balloon Text"/>
    <w:basedOn w:val="Normal"/>
    <w:link w:val="BalloonTextChar"/>
    <w:rsid w:val="006C0696"/>
    <w:rPr>
      <w:rFonts w:ascii="Segoe UI" w:hAnsi="Segoe UI" w:cs="Segoe UI"/>
      <w:sz w:val="18"/>
      <w:szCs w:val="18"/>
    </w:rPr>
  </w:style>
  <w:style w:type="character" w:customStyle="1" w:styleId="BalloonTextChar">
    <w:name w:val="Balloon Text Char"/>
    <w:basedOn w:val="DefaultParagraphFont"/>
    <w:link w:val="BalloonText"/>
    <w:rsid w:val="006C0696"/>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F4D54F-390B-4BC5-889B-08F18970A3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6160</Words>
  <Characters>40437</Characters>
  <Application>Microsoft Office Word</Application>
  <DocSecurity>0</DocSecurity>
  <Lines>336</Lines>
  <Paragraphs>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ANDERSSON Terese</cp:lastModifiedBy>
  <cp:revision>2</cp:revision>
  <cp:lastPrinted>2004-11-19T15:42:00Z</cp:lastPrinted>
  <dcterms:created xsi:type="dcterms:W3CDTF">2024-05-16T12:55:00Z</dcterms:created>
  <dcterms:modified xsi:type="dcterms:W3CDTF">2024-05-16T12:55:00Z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P9_TA(2024)0232_</vt:lpwstr>
  </property>
  <property fmtid="{D5CDD505-2E9C-101B-9397-08002B2CF9AE}" pid="4" name="&lt;Type&gt;">
    <vt:lpwstr>RR</vt:lpwstr>
  </property>
</Properties>
</file>