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38AF" w:rsidTr="0010095E">
        <w:trPr>
          <w:trHeight w:hRule="exact" w:val="1418"/>
        </w:trPr>
        <w:tc>
          <w:tcPr>
            <w:tcW w:w="6804" w:type="dxa"/>
            <w:shd w:val="clear" w:color="auto" w:fill="auto"/>
            <w:vAlign w:val="center"/>
          </w:tcPr>
          <w:p w:rsidR="00751A4A" w:rsidRPr="00E938AF" w:rsidRDefault="00711E1B" w:rsidP="0010095E">
            <w:pPr>
              <w:pStyle w:val="EPName"/>
            </w:pPr>
            <w:r w:rsidRPr="00E938AF">
              <w:t>Европейски</w:t>
            </w:r>
            <w:r w:rsidR="00F704AA" w:rsidRPr="00E938AF">
              <w:t xml:space="preserve"> парламент</w:t>
            </w:r>
          </w:p>
          <w:p w:rsidR="00751A4A" w:rsidRPr="00E938AF" w:rsidRDefault="00711E1B" w:rsidP="00756632">
            <w:pPr>
              <w:pStyle w:val="EPTerm"/>
              <w:rPr>
                <w:rStyle w:val="HideTWBExt"/>
                <w:noProof w:val="0"/>
                <w:vanish w:val="0"/>
                <w:color w:val="auto"/>
              </w:rPr>
            </w:pPr>
            <w:r>
              <w:t>2019 – </w:t>
            </w:r>
            <w:r w:rsidR="00817416" w:rsidRPr="00E938AF">
              <w:t>2024</w:t>
            </w:r>
          </w:p>
        </w:tc>
        <w:tc>
          <w:tcPr>
            <w:tcW w:w="2268" w:type="dxa"/>
            <w:shd w:val="clear" w:color="auto" w:fill="auto"/>
          </w:tcPr>
          <w:p w:rsidR="00751A4A" w:rsidRPr="00E938AF" w:rsidRDefault="00187494" w:rsidP="0010095E">
            <w:pPr>
              <w:pStyle w:val="EPLogo"/>
            </w:pPr>
            <w:r w:rsidRPr="00E938A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38AF" w:rsidRDefault="00D058B8" w:rsidP="004C5D52">
      <w:pPr>
        <w:pStyle w:val="LineTop"/>
      </w:pPr>
    </w:p>
    <w:p w:rsidR="00680577" w:rsidRPr="00E938AF" w:rsidRDefault="00F704AA" w:rsidP="00680577">
      <w:pPr>
        <w:pStyle w:val="EPBodyTA1"/>
      </w:pPr>
      <w:r w:rsidRPr="00E938AF">
        <w:t>ПРИЕТИ ТЕКСТОВЕ</w:t>
      </w:r>
    </w:p>
    <w:p w:rsidR="00D058B8" w:rsidRPr="00E938AF" w:rsidRDefault="00D058B8" w:rsidP="00D058B8">
      <w:pPr>
        <w:pStyle w:val="LineBottom"/>
      </w:pPr>
    </w:p>
    <w:p w:rsidR="00F704AA" w:rsidRPr="003E1A1E" w:rsidRDefault="00F704AA" w:rsidP="003E1A1E">
      <w:pPr>
        <w:pStyle w:val="ATHeading1"/>
        <w:rPr>
          <w:lang w:val="en-GB"/>
        </w:rPr>
      </w:pPr>
      <w:bookmarkStart w:id="0" w:name="TANumber"/>
      <w:r w:rsidRPr="00E938AF">
        <w:t>P9_TA(2024)</w:t>
      </w:r>
      <w:bookmarkEnd w:id="0"/>
      <w:r w:rsidR="003E1A1E" w:rsidRPr="00E938AF">
        <w:t>0</w:t>
      </w:r>
      <w:r w:rsidR="003E1A1E">
        <w:rPr>
          <w:lang w:val="en-GB"/>
        </w:rPr>
        <w:t>233</w:t>
      </w:r>
    </w:p>
    <w:p w:rsidR="00F704AA" w:rsidRPr="00E938AF" w:rsidRDefault="00F704AA" w:rsidP="00F704AA">
      <w:pPr>
        <w:pStyle w:val="ATHeading2"/>
      </w:pPr>
      <w:bookmarkStart w:id="1" w:name="title"/>
      <w:r w:rsidRPr="00E938AF">
        <w:t>Освобождаване от отговорност във връзка с изпълнението на бюджета за 2022 г.: Общ бюджет на ЕС – Комитет на регионите</w:t>
      </w:r>
      <w:bookmarkEnd w:id="1"/>
    </w:p>
    <w:p w:rsidR="00F704AA" w:rsidRPr="00E938AF" w:rsidRDefault="00F704AA" w:rsidP="00F704AA">
      <w:pPr>
        <w:rPr>
          <w:i/>
          <w:vanish/>
        </w:rPr>
      </w:pPr>
      <w:r w:rsidRPr="00E938AF">
        <w:rPr>
          <w:i/>
        </w:rPr>
        <w:fldChar w:fldCharType="begin"/>
      </w:r>
      <w:r w:rsidRPr="00E938AF">
        <w:rPr>
          <w:i/>
        </w:rPr>
        <w:instrText xml:space="preserve"> TC"(</w:instrText>
      </w:r>
      <w:bookmarkStart w:id="2" w:name="DocNumber"/>
      <w:r w:rsidRPr="00E938AF">
        <w:rPr>
          <w:i/>
        </w:rPr>
        <w:instrText>A9-0073/2024</w:instrText>
      </w:r>
      <w:bookmarkEnd w:id="2"/>
      <w:r w:rsidRPr="00E938AF">
        <w:rPr>
          <w:i/>
        </w:rPr>
        <w:instrText xml:space="preserve"> - Докладчик: Люк Минг Фланаган)"\l3 \n&gt; \* MERGEFORMAT </w:instrText>
      </w:r>
      <w:r w:rsidRPr="00E938AF">
        <w:rPr>
          <w:i/>
        </w:rPr>
        <w:fldChar w:fldCharType="end"/>
      </w:r>
    </w:p>
    <w:p w:rsidR="00F704AA" w:rsidRPr="00E938AF" w:rsidRDefault="00F704AA" w:rsidP="00F704AA">
      <w:pPr>
        <w:rPr>
          <w:vanish/>
        </w:rPr>
      </w:pPr>
      <w:bookmarkStart w:id="3" w:name="Commission"/>
      <w:r w:rsidRPr="00E938AF">
        <w:rPr>
          <w:vanish/>
        </w:rPr>
        <w:t>Комисия по бюджетен контрол</w:t>
      </w:r>
      <w:bookmarkEnd w:id="3"/>
    </w:p>
    <w:p w:rsidR="00F704AA" w:rsidRPr="00E938AF" w:rsidRDefault="00F704AA" w:rsidP="00F704AA">
      <w:pPr>
        <w:rPr>
          <w:vanish/>
        </w:rPr>
      </w:pPr>
      <w:bookmarkStart w:id="4" w:name="PE"/>
      <w:r w:rsidRPr="00E938AF">
        <w:rPr>
          <w:vanish/>
        </w:rPr>
        <w:t>PE753.484</w:t>
      </w:r>
      <w:bookmarkEnd w:id="4"/>
    </w:p>
    <w:p w:rsidR="00F704AA" w:rsidRPr="00E938AF" w:rsidRDefault="00B86B46" w:rsidP="00711E1B">
      <w:pPr>
        <w:pStyle w:val="ATHeading3"/>
      </w:pPr>
      <w:bookmarkStart w:id="5" w:name="Sujet"/>
      <w:r>
        <w:t xml:space="preserve">1. </w:t>
      </w:r>
      <w:r w:rsidR="00F704AA" w:rsidRPr="00E938AF">
        <w:t xml:space="preserve">Решение на Европейския парламент от </w:t>
      </w:r>
      <w:r w:rsidR="00711E1B">
        <w:t>11 април</w:t>
      </w:r>
      <w:r w:rsidR="00711E1B" w:rsidRPr="00E938AF">
        <w:t xml:space="preserve"> </w:t>
      </w:r>
      <w:r w:rsidR="00F704AA" w:rsidRPr="00E938AF">
        <w:t>2024 г. относно освобождаването от отговорност във връзка с изпълнението на общия бюджет на Европейския съюз за финансовата 2022 година, раздел VII ‒ Комитет на регионите</w:t>
      </w:r>
      <w:bookmarkEnd w:id="5"/>
      <w:r w:rsidR="00F704AA" w:rsidRPr="00E938AF">
        <w:t xml:space="preserve"> </w:t>
      </w:r>
      <w:bookmarkStart w:id="6" w:name="References"/>
      <w:r w:rsidR="00F704AA" w:rsidRPr="00E938AF">
        <w:t>(2023/2136(DEC))</w:t>
      </w:r>
      <w:bookmarkEnd w:id="6"/>
    </w:p>
    <w:p w:rsidR="00D17B61" w:rsidRPr="00E938AF" w:rsidRDefault="00D17B61" w:rsidP="00D17B61">
      <w:pPr>
        <w:pStyle w:val="EPComma"/>
      </w:pPr>
      <w:bookmarkStart w:id="7" w:name="TextBodyBegin"/>
      <w:bookmarkEnd w:id="7"/>
      <w:r w:rsidRPr="00E938AF">
        <w:rPr>
          <w:i/>
        </w:rPr>
        <w:t>Европейският парламент</w:t>
      </w:r>
      <w:r w:rsidRPr="00E938AF">
        <w:t>,</w:t>
      </w:r>
    </w:p>
    <w:p w:rsidR="00D17B61" w:rsidRPr="00E938AF" w:rsidRDefault="00D17B61" w:rsidP="00D17B61">
      <w:pPr>
        <w:pStyle w:val="NormalHanging12a"/>
      </w:pPr>
      <w:r w:rsidRPr="00E938AF">
        <w:t>–</w:t>
      </w:r>
      <w:r w:rsidRPr="00E938AF">
        <w:tab/>
        <w:t>като взе предвид общия бюджет на Европейския съюз за финансовата 2022 година</w:t>
      </w:r>
      <w:r w:rsidRPr="00E938AF">
        <w:rPr>
          <w:rStyle w:val="FootnoteReference"/>
        </w:rPr>
        <w:footnoteReference w:id="1"/>
      </w:r>
      <w:r w:rsidRPr="00E938AF">
        <w:t>,</w:t>
      </w:r>
    </w:p>
    <w:p w:rsidR="00D17B61" w:rsidRPr="00E938AF" w:rsidRDefault="00D17B61" w:rsidP="00D17B61">
      <w:pPr>
        <w:pStyle w:val="NormalHanging12a"/>
      </w:pPr>
      <w:r w:rsidRPr="00E938AF">
        <w:t>–</w:t>
      </w:r>
      <w:r w:rsidRPr="00E938AF">
        <w:tab/>
        <w:t>като взе предвид консолидираните годишни отчети на Европейския съюз за финансовата 2022 година (COM(2023)0391 – C9</w:t>
      </w:r>
      <w:r w:rsidRPr="00E938AF">
        <w:noBreakHyphen/>
        <w:t>0255/2023)</w:t>
      </w:r>
      <w:r w:rsidRPr="00E938AF">
        <w:rPr>
          <w:rStyle w:val="FootnoteReference"/>
        </w:rPr>
        <w:footnoteReference w:id="2"/>
      </w:r>
      <w:r w:rsidRPr="00E938AF">
        <w:t>,</w:t>
      </w:r>
    </w:p>
    <w:p w:rsidR="00D17B61" w:rsidRPr="00E938AF" w:rsidRDefault="00D17B61" w:rsidP="00D17B61">
      <w:pPr>
        <w:pStyle w:val="NormalHanging12a"/>
      </w:pPr>
      <w:r w:rsidRPr="00E938AF">
        <w:t>–</w:t>
      </w:r>
      <w:r w:rsidRPr="00E938AF">
        <w:tab/>
        <w:t>като взе предвид годишния отчет за дейността на Комитета на регионите за 2022 г. и доклада му за бюджетното и финансовото управление за финансовата 2022 година,</w:t>
      </w:r>
    </w:p>
    <w:p w:rsidR="00D17B61" w:rsidRPr="00E938AF" w:rsidRDefault="00D17B61" w:rsidP="00D17B61">
      <w:pPr>
        <w:pStyle w:val="NormalHanging12a"/>
      </w:pPr>
      <w:r w:rsidRPr="00E938AF">
        <w:t>–</w:t>
      </w:r>
      <w:r w:rsidRPr="00E938AF">
        <w:tab/>
        <w:t>като взе предвид годишния доклад на Сметната палата относно изпълнението на бюджета за финансовата 2022 година, придружен от отговорите на институциите</w:t>
      </w:r>
      <w:r w:rsidRPr="00E938AF">
        <w:rPr>
          <w:rStyle w:val="FootnoteReference"/>
        </w:rPr>
        <w:footnoteReference w:id="3"/>
      </w:r>
      <w:r w:rsidRPr="00E938AF">
        <w:t>,</w:t>
      </w:r>
    </w:p>
    <w:p w:rsidR="00D17B61" w:rsidRPr="00E938AF" w:rsidRDefault="00D17B61" w:rsidP="00D17B61">
      <w:pPr>
        <w:pStyle w:val="NormalHanging12a"/>
      </w:pPr>
      <w:r w:rsidRPr="00E938AF">
        <w:t>–</w:t>
      </w:r>
      <w:r w:rsidRPr="00E938AF">
        <w:tab/>
        <w:t>като взе предвид декларацията за достоверност</w:t>
      </w:r>
      <w:r w:rsidRPr="00E938AF">
        <w:rPr>
          <w:rStyle w:val="FootnoteReference"/>
        </w:rPr>
        <w:footnoteReference w:id="4"/>
      </w:r>
      <w:r w:rsidRPr="00E938AF">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D17B61" w:rsidRPr="00E938AF" w:rsidRDefault="00D17B61" w:rsidP="00D17B61">
      <w:pPr>
        <w:pStyle w:val="NormalHanging12a"/>
      </w:pPr>
      <w:r w:rsidRPr="00E938AF">
        <w:t>–</w:t>
      </w:r>
      <w:r w:rsidRPr="00E938AF">
        <w:tab/>
        <w:t>като взе предвид член 314, параграф 10 и членове 317, 318 и 319 от Договора за функционирането на Европейския съюз,</w:t>
      </w:r>
    </w:p>
    <w:p w:rsidR="00D17B61" w:rsidRPr="00E938AF" w:rsidRDefault="00D17B61" w:rsidP="00D17B61">
      <w:pPr>
        <w:pStyle w:val="NormalHanging12a"/>
      </w:pPr>
      <w:r w:rsidRPr="00E938AF">
        <w:t>–</w:t>
      </w:r>
      <w:r w:rsidRPr="00E938AF">
        <w:tab/>
        <w:t xml:space="preserve">като взе предвид Регламент (ЕС, Евратом) 2018/1046 на Европейския парламент и на Съвета от 18 юли 2018 г. за финансовите правила, приложими за общия </w:t>
      </w:r>
      <w:r w:rsidRPr="00E938AF">
        <w:lastRenderedPageBreak/>
        <w:t>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E938AF">
        <w:rPr>
          <w:rStyle w:val="FootnoteReference"/>
        </w:rPr>
        <w:footnoteReference w:id="5"/>
      </w:r>
      <w:r w:rsidRPr="00E938AF">
        <w:t>, и по-специално членове 59, 118, 260, 261 и 262 от него,</w:t>
      </w:r>
    </w:p>
    <w:p w:rsidR="00D17B61" w:rsidRPr="00E938AF" w:rsidRDefault="00D17B61" w:rsidP="00D17B61">
      <w:pPr>
        <w:pStyle w:val="NormalHanging12a"/>
      </w:pPr>
      <w:r w:rsidRPr="00E938AF">
        <w:t>–</w:t>
      </w:r>
      <w:r w:rsidRPr="00E938AF">
        <w:tab/>
        <w:t>като взе предвид член 100 и приложение V към своя Правилник за дейността,</w:t>
      </w:r>
    </w:p>
    <w:p w:rsidR="00D17B61" w:rsidRPr="00E938AF" w:rsidRDefault="00D17B61" w:rsidP="00D17B61">
      <w:pPr>
        <w:pStyle w:val="NormalHanging12a"/>
      </w:pPr>
      <w:r w:rsidRPr="00E938AF">
        <w:t>–</w:t>
      </w:r>
      <w:r w:rsidRPr="00E938AF">
        <w:tab/>
        <w:t>като взе предвид доклада на комисията по бюджетен контрол (A9-0073/2024),</w:t>
      </w:r>
    </w:p>
    <w:p w:rsidR="00D17B61" w:rsidRPr="00E938AF" w:rsidRDefault="00D17B61" w:rsidP="00D17B61">
      <w:pPr>
        <w:pStyle w:val="NormalHanging12a"/>
      </w:pPr>
      <w:r w:rsidRPr="00E938AF">
        <w:t>1.</w:t>
      </w:r>
      <w:r w:rsidRPr="00E938AF">
        <w:tab/>
        <w:t>освобождава от отговорност генералния секретар на Комитета на регионите във връзка с изпълнението на бюджета на Комитета на регионите за финансовата 2022 година;</w:t>
      </w:r>
    </w:p>
    <w:p w:rsidR="00D17B61" w:rsidRPr="00E938AF" w:rsidRDefault="00D17B61" w:rsidP="00D17B61">
      <w:pPr>
        <w:pStyle w:val="NormalHanging12a"/>
      </w:pPr>
      <w:r w:rsidRPr="00E938AF">
        <w:t>2.</w:t>
      </w:r>
      <w:r w:rsidRPr="00E938AF">
        <w:tab/>
        <w:t>представя своите забележки в резолюцията по-долу;</w:t>
      </w:r>
    </w:p>
    <w:p w:rsidR="00D17B61" w:rsidRPr="00E938AF" w:rsidRDefault="00D17B61" w:rsidP="00D17B61">
      <w:pPr>
        <w:pStyle w:val="NormalHanging12a"/>
      </w:pPr>
      <w:r w:rsidRPr="00E938AF">
        <w:t>3.</w:t>
      </w:r>
      <w:r w:rsidRPr="00E938AF">
        <w:tab/>
        <w:t xml:space="preserve">възлага на своя председател да предаде настоящото решение, както и резолюцията, която е неразделна част от него, на генералния секретар на Комитета на регионите, на Съвета, Комисията и Сметната палата и да осигури публикуването им в </w:t>
      </w:r>
      <w:r w:rsidRPr="00E938AF">
        <w:rPr>
          <w:i/>
        </w:rPr>
        <w:t>Официален вестник на Европейския съюз</w:t>
      </w:r>
      <w:r w:rsidRPr="00E938AF">
        <w:t xml:space="preserve"> (серия L).</w:t>
      </w:r>
    </w:p>
    <w:p w:rsidR="00D17B61" w:rsidRPr="00E938AF" w:rsidRDefault="00D17B61" w:rsidP="00D17B61"/>
    <w:p w:rsidR="00D17B61" w:rsidRPr="00E938AF" w:rsidRDefault="00D17B61" w:rsidP="00D17B61">
      <w:pPr>
        <w:pStyle w:val="PageHeading"/>
        <w:sectPr w:rsidR="00D17B61" w:rsidRPr="00E938AF" w:rsidSect="00E938A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17B61" w:rsidRPr="00E938AF" w:rsidRDefault="00D17B61" w:rsidP="00711E1B">
      <w:pPr>
        <w:pStyle w:val="ATHeading3"/>
      </w:pPr>
      <w:bookmarkStart w:id="8" w:name="_Toc161836589"/>
      <w:r w:rsidRPr="00E938AF">
        <w:lastRenderedPageBreak/>
        <w:t xml:space="preserve">2. </w:t>
      </w:r>
      <w:r w:rsidR="00711E1B" w:rsidRPr="00E938AF">
        <w:t>Резолюция на Европейския парламент</w:t>
      </w:r>
      <w:r w:rsidR="00711E1B">
        <w:t xml:space="preserve"> от 11 април 2024 г.</w:t>
      </w:r>
      <w:r w:rsidRPr="00E938AF">
        <w:t>,</w:t>
      </w:r>
      <w:bookmarkEnd w:id="8"/>
      <w:r w:rsidR="00711E1B">
        <w:t xml:space="preserve"> </w:t>
      </w:r>
      <w:r w:rsidRPr="00E938AF">
        <w:t>съдържащ</w:t>
      </w:r>
      <w:r w:rsidR="00711E1B">
        <w:t>а</w:t>
      </w:r>
      <w:r w:rsidRPr="00E938AF">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2022 година, раздел VII – Комитет на регионите</w:t>
      </w:r>
      <w:r w:rsidR="00711E1B">
        <w:t xml:space="preserve"> </w:t>
      </w:r>
      <w:r w:rsidRPr="00E938AF">
        <w:t>(2023/2136(DEC))</w:t>
      </w:r>
    </w:p>
    <w:p w:rsidR="00D17B61" w:rsidRPr="00E938AF" w:rsidRDefault="00D17B61" w:rsidP="00D17B61">
      <w:pPr>
        <w:pStyle w:val="EPComma"/>
      </w:pPr>
      <w:r w:rsidRPr="00E938AF">
        <w:rPr>
          <w:i/>
        </w:rPr>
        <w:t>Европейският парламент</w:t>
      </w:r>
      <w:r w:rsidRPr="00E938AF">
        <w:t>,</w:t>
      </w:r>
    </w:p>
    <w:p w:rsidR="00D17B61" w:rsidRPr="00E938AF" w:rsidRDefault="00D17B61" w:rsidP="00D17B61">
      <w:pPr>
        <w:pStyle w:val="NormalHanging12a"/>
        <w:rPr>
          <w:szCs w:val="24"/>
        </w:rPr>
      </w:pPr>
      <w:r w:rsidRPr="00E938AF">
        <w:t>–</w:t>
      </w:r>
      <w:r w:rsidRPr="00E938AF">
        <w:tab/>
        <w:t>като взе предвид своето решение за освобождаване от отговорност във връзка с изпълнението на общия бюджет на Европейския съюз за финансовата 2022 година, раздел VII ‒ Комитет на регионите,</w:t>
      </w:r>
    </w:p>
    <w:p w:rsidR="00D17B61" w:rsidRPr="00E938AF" w:rsidRDefault="00D17B61" w:rsidP="00D17B61">
      <w:pPr>
        <w:pStyle w:val="NormalHanging12a"/>
        <w:rPr>
          <w:szCs w:val="24"/>
        </w:rPr>
      </w:pPr>
      <w:r w:rsidRPr="00E938AF">
        <w:t>–</w:t>
      </w:r>
      <w:r w:rsidRPr="00E938AF">
        <w:tab/>
        <w:t>като взе предвид член 100 и приложение V към своя Правилник за дейността,</w:t>
      </w:r>
    </w:p>
    <w:p w:rsidR="00D17B61" w:rsidRPr="00E938AF" w:rsidRDefault="00D17B61" w:rsidP="00D17B61">
      <w:pPr>
        <w:pStyle w:val="NormalHanging12a"/>
        <w:rPr>
          <w:szCs w:val="24"/>
        </w:rPr>
      </w:pPr>
      <w:r w:rsidRPr="00E938AF">
        <w:t>–</w:t>
      </w:r>
      <w:r w:rsidRPr="00E938AF">
        <w:tab/>
        <w:t>като взе предвид доклада на комисията по бюджетен контрол (A9-0073/2024),</w:t>
      </w:r>
    </w:p>
    <w:p w:rsidR="00D17B61" w:rsidRPr="00E938AF" w:rsidRDefault="00D17B61" w:rsidP="00D17B61">
      <w:pPr>
        <w:pStyle w:val="NormalHanging12a"/>
        <w:rPr>
          <w:szCs w:val="24"/>
        </w:rPr>
      </w:pPr>
      <w:r w:rsidRPr="00E938AF">
        <w:t>А.</w:t>
      </w:r>
      <w:r w:rsidRPr="00E938AF">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и добро управление на човешките ресурси;</w:t>
      </w:r>
    </w:p>
    <w:p w:rsidR="00D17B61" w:rsidRPr="00E938AF" w:rsidRDefault="00D17B61" w:rsidP="00D17B61">
      <w:pPr>
        <w:pStyle w:val="NormalHanging12a"/>
        <w:rPr>
          <w:color w:val="000000"/>
          <w:szCs w:val="24"/>
        </w:rPr>
      </w:pPr>
      <w:r w:rsidRPr="00E938AF">
        <w:t>Б.</w:t>
      </w:r>
      <w:r w:rsidRPr="00E938AF">
        <w:tab/>
      </w:r>
      <w:r w:rsidRPr="00E938AF">
        <w:rPr>
          <w:color w:val="000000"/>
        </w:rPr>
        <w:t>като има предвид, че Комитетът на регионите („Комитетът“) е политическа асамблея, съставена от 329 членове, избрани в регионите, градовете, селата и общините на 27-те държави членки на Съюза, която действа като консултативен орган за институциите на Съюза и има за задача да допринася за формирането на политиките на Съюза и за процеса на вземане на решения от гледна точка на местните и регионалните власти, като същевременно допринася за повишаване на ефективността на Съюза и приближаването му до гражданите;</w:t>
      </w:r>
    </w:p>
    <w:p w:rsidR="00D17B61" w:rsidRPr="00E938AF" w:rsidRDefault="00D17B61" w:rsidP="00D17B61">
      <w:pPr>
        <w:pStyle w:val="NormalHanging12a"/>
        <w:rPr>
          <w:color w:val="000000"/>
          <w:szCs w:val="24"/>
        </w:rPr>
      </w:pPr>
      <w:r w:rsidRPr="00E938AF">
        <w:rPr>
          <w:color w:val="000000"/>
        </w:rPr>
        <w:t>В.</w:t>
      </w:r>
      <w:r w:rsidRPr="00E938AF">
        <w:rPr>
          <w:color w:val="000000"/>
        </w:rPr>
        <w:tab/>
        <w:t>като има предвид, че докато в някои случаи е задължително Комисията или Съветът да се консултират с Комитета, Комитетът може да приема и становища по собствена инициатива, и че с него може да се провеждат консултации по широк кръг от теми, както се посочва в Договорите, което позволява Парламентът да се консултира с него;</w:t>
      </w:r>
    </w:p>
    <w:p w:rsidR="00D17B61" w:rsidRPr="00E938AF" w:rsidRDefault="00D17B61" w:rsidP="00D17B61">
      <w:pPr>
        <w:pStyle w:val="NormalHanging12a"/>
        <w:rPr>
          <w:color w:val="000000"/>
          <w:szCs w:val="24"/>
        </w:rPr>
      </w:pPr>
      <w:r w:rsidRPr="00E938AF">
        <w:rPr>
          <w:color w:val="000000"/>
        </w:rPr>
        <w:t>Г.</w:t>
      </w:r>
      <w:r w:rsidRPr="00E938AF">
        <w:rPr>
          <w:color w:val="000000"/>
        </w:rPr>
        <w:tab/>
        <w:t>като има предвид, че дейностите на Комитета се определят въз основа на неговата цялостна политическа стратегия, изложена в резолюцията му от 2 юли 2020 г. относно приоритетите му за периода 2020 – 2025 г.</w:t>
      </w:r>
      <w:r w:rsidRPr="00E938AF">
        <w:rPr>
          <w:rStyle w:val="FootnoteReference"/>
          <w:color w:val="000000"/>
          <w:szCs w:val="24"/>
        </w:rPr>
        <w:footnoteReference w:id="6"/>
      </w:r>
      <w:r w:rsidRPr="00E938AF">
        <w:rPr>
          <w:color w:val="000000"/>
        </w:rPr>
        <w:t>, и като има предвид, че Комитетът прие три политически приоритета за мандата 2020 – 2025 г., придружени от три комуникационни кампании: доближаване на Европа до хората, изграждане на силни регионални и местни общности и насърчаване на сближаването като основна ценност на Съюза;</w:t>
      </w:r>
    </w:p>
    <w:p w:rsidR="00D17B61" w:rsidRPr="00E938AF" w:rsidRDefault="00D17B61" w:rsidP="00D17B61">
      <w:pPr>
        <w:pStyle w:val="NormalHanging12a"/>
        <w:rPr>
          <w:color w:val="000000"/>
          <w:szCs w:val="24"/>
        </w:rPr>
      </w:pPr>
      <w:r w:rsidRPr="00E938AF">
        <w:rPr>
          <w:color w:val="000000"/>
        </w:rPr>
        <w:t>Д.</w:t>
      </w:r>
      <w:r w:rsidRPr="00E938AF">
        <w:rPr>
          <w:color w:val="000000"/>
        </w:rPr>
        <w:tab/>
        <w:t xml:space="preserve">като има предвид, че на местните и регионалните администрации се падат една трета от публичните разходи, половината от публичните инвестиции и една четвърт от данъчните приходи, като в много държави членки те притежават правомощия в ключови области като образование, икономическо развитие и сближаване, околна среда, социална закрила, здравеопазване и услуги от общ </w:t>
      </w:r>
      <w:r w:rsidRPr="00E938AF">
        <w:rPr>
          <w:color w:val="000000"/>
        </w:rPr>
        <w:lastRenderedPageBreak/>
        <w:t>интерес, поради което координирането на местно, регионално, национално и европейско равнище увеличава легитимността на законодателството, подобрява ангажираността и работи по-ефективно в полза на гражданите;</w:t>
      </w:r>
    </w:p>
    <w:p w:rsidR="00D17B61" w:rsidRPr="00E938AF" w:rsidRDefault="00D17B61" w:rsidP="00D17B61">
      <w:pPr>
        <w:pStyle w:val="NormalHanging12a"/>
        <w:rPr>
          <w:color w:val="000000"/>
          <w:szCs w:val="24"/>
        </w:rPr>
      </w:pPr>
      <w:r w:rsidRPr="00E938AF">
        <w:rPr>
          <w:color w:val="000000"/>
        </w:rPr>
        <w:t>Е.</w:t>
      </w:r>
      <w:r w:rsidRPr="00E938AF">
        <w:rPr>
          <w:color w:val="000000"/>
        </w:rPr>
        <w:tab/>
        <w:t>като има предвид, че Комитетът следва политическата си цел да засили участието си в целия политически и законодателен цикъл на Съюза, като същевременно прави по-осезаема връзката с гражданите на Съюза, които използват членовете на Комитета като влиятелни разпространители на информация в техните общности и в техните национални сдружения на местните и регионалните власти;</w:t>
      </w:r>
    </w:p>
    <w:p w:rsidR="00D17B61" w:rsidRPr="00E938AF" w:rsidRDefault="00D17B61" w:rsidP="00D17B61">
      <w:pPr>
        <w:pStyle w:val="NormalHanging12a"/>
        <w:rPr>
          <w:color w:val="000000"/>
          <w:szCs w:val="24"/>
        </w:rPr>
      </w:pPr>
      <w:r w:rsidRPr="00E938AF">
        <w:rPr>
          <w:color w:val="000000"/>
        </w:rPr>
        <w:t>Ж.</w:t>
      </w:r>
      <w:r w:rsidRPr="00E938AF">
        <w:rPr>
          <w:color w:val="000000"/>
        </w:rPr>
        <w:tab/>
        <w:t>като има предвид, че в рамките на над 400-те национални и регионални програми, приети за изпълнението на политиката на сближаване на Съюза през програмния период 2021 – 2027 г., ще се предоставят приблизително 380 милиарда евро по линия на различни фондове за справяне с икономическите, социалните и екологичните предизвикателства, пред които са изправени регионите, градовете, селата и общините в Съюза;</w:t>
      </w:r>
    </w:p>
    <w:p w:rsidR="00D17B61" w:rsidRPr="00E938AF" w:rsidRDefault="00D17B61" w:rsidP="00D17B61">
      <w:pPr>
        <w:pStyle w:val="NormalHanging12a"/>
        <w:rPr>
          <w:color w:val="000000"/>
          <w:szCs w:val="24"/>
        </w:rPr>
      </w:pPr>
      <w:r w:rsidRPr="00E938AF">
        <w:rPr>
          <w:color w:val="000000"/>
        </w:rPr>
        <w:t>З.</w:t>
      </w:r>
      <w:r w:rsidRPr="00E938AF">
        <w:rPr>
          <w:color w:val="000000"/>
        </w:rPr>
        <w:tab/>
        <w:t>като има предвид, че като институция на Съюза по смисъла на Финансовия регламент Комитетът следва да приема свои собствени годишни отчети, изготвени в съответствие със счетоводните правила, приети от счетоводителя на Комисията (Счетоводните правила на Европейския съюз), въз основа на Международните счетоводни стандарти за публичния сектор (МССПС), които накрая се консолидират в тези на Съюза;</w:t>
      </w:r>
    </w:p>
    <w:p w:rsidR="00D17B61" w:rsidRPr="00E938AF" w:rsidRDefault="00D17B61" w:rsidP="00D17B61">
      <w:pPr>
        <w:pStyle w:val="NormalHanging12a"/>
        <w:rPr>
          <w:szCs w:val="24"/>
        </w:rPr>
      </w:pPr>
      <w:r w:rsidRPr="00E938AF">
        <w:t>1.</w:t>
      </w:r>
      <w:r w:rsidRPr="00E938AF">
        <w:tab/>
        <w:t>отбелязва, че бюджетът на Комитета попада в обхвата на функция 7 от МФР „Европейска публична администрация“, която през 2022 г. възлиза на общо 11,6 милиарда евро, т.е. 5,9% от бюджетните разходи на Съюза; отбелязва, че през 2022 г. бюджетът на Комитета представлява 0,95% от функция 7 от МФР;</w:t>
      </w:r>
    </w:p>
    <w:p w:rsidR="00D17B61" w:rsidRPr="00E938AF" w:rsidRDefault="00D17B61" w:rsidP="00D17B61">
      <w:pPr>
        <w:pStyle w:val="NormalHanging12a"/>
        <w:rPr>
          <w:szCs w:val="24"/>
        </w:rPr>
      </w:pPr>
      <w:r w:rsidRPr="00E938AF">
        <w:t>2.</w:t>
      </w:r>
      <w:r w:rsidRPr="00E938AF">
        <w:tab/>
        <w:t>отбелязва, че в своя годишен доклад за финансовата 2022 година Сметната палата („Палатата“) е проверила извадка от 60 операции в обхвата на функция „Администрация“, което е същият брой като проверените през 2021 г. операции; отбелязва освен това, че Палатата посочва, че административните разходи включват разходи за човешки ресурси, в т.ч. разходи за пенсии, които през 2022 г. съставляват около 70% от общия размер на административните разходи, и разходи за сгради, оборудване, енергия, комуникации и информационни технологии, и че дългогодишната ѝ работа показва, че като цяло разходите в тази област се характеризират с ниско ниво на риск;</w:t>
      </w:r>
    </w:p>
    <w:p w:rsidR="00D17B61" w:rsidRPr="00E938AF" w:rsidRDefault="00D17B61" w:rsidP="00D17B61">
      <w:pPr>
        <w:pStyle w:val="NormalHanging12a"/>
        <w:rPr>
          <w:szCs w:val="24"/>
        </w:rPr>
      </w:pPr>
      <w:r w:rsidRPr="00E938AF">
        <w:t>3.</w:t>
      </w:r>
      <w:r w:rsidRPr="00E938AF">
        <w:tab/>
        <w:t>отбелязва, че като част от одита си за 2022 г. Палатата е разгледала системите за наблюдение и контрол на Комитета, по-специално прилагането на стандартите за вътрешен контрол, управлението на риска и функционирането на ключови контроли, определени във Финансовия регламент, включително предварителни и последващи проверки на плащанията;</w:t>
      </w:r>
    </w:p>
    <w:p w:rsidR="00D17B61" w:rsidRPr="00E938AF" w:rsidRDefault="00D17B61" w:rsidP="00D17B61">
      <w:pPr>
        <w:pStyle w:val="NormalHanging12a"/>
        <w:rPr>
          <w:szCs w:val="24"/>
        </w:rPr>
      </w:pPr>
      <w:r w:rsidRPr="00E938AF">
        <w:t>4.</w:t>
      </w:r>
      <w:r w:rsidRPr="00E938AF">
        <w:tab/>
        <w:t>отбелязва, че 14 (23%) от 60-те операции съдържат грешки, но че въз основа на петте остойностени грешки изчисленият от Палатата процент грешки е под прага на същественост;</w:t>
      </w:r>
    </w:p>
    <w:p w:rsidR="00D17B61" w:rsidRPr="00E938AF" w:rsidRDefault="00D17B61" w:rsidP="00D17B61">
      <w:pPr>
        <w:pStyle w:val="NormalHanging12a"/>
        <w:rPr>
          <w:szCs w:val="24"/>
        </w:rPr>
      </w:pPr>
      <w:r w:rsidRPr="00E938AF">
        <w:t>5.</w:t>
      </w:r>
      <w:r w:rsidRPr="00E938AF">
        <w:tab/>
        <w:t xml:space="preserve">отбелязва със задоволство, че в годишния си доклад за финансовата 2022 година Палатата заявява, че не е установила никакви конкретни проблеми по отношение </w:t>
      </w:r>
      <w:r w:rsidRPr="00E938AF">
        <w:lastRenderedPageBreak/>
        <w:t>на Комитета;</w:t>
      </w:r>
    </w:p>
    <w:p w:rsidR="00D17B61" w:rsidRPr="00E938AF" w:rsidRDefault="00D17B61" w:rsidP="00D17B61">
      <w:pPr>
        <w:pStyle w:val="NormalHanging12a"/>
        <w:rPr>
          <w:b/>
          <w:i/>
          <w:szCs w:val="24"/>
        </w:rPr>
      </w:pPr>
      <w:r w:rsidRPr="00E938AF">
        <w:rPr>
          <w:b/>
          <w:i/>
        </w:rPr>
        <w:t>Бюджетно и финансово управление</w:t>
      </w:r>
    </w:p>
    <w:p w:rsidR="00D17B61" w:rsidRPr="00E938AF" w:rsidRDefault="00D17B61" w:rsidP="00D17B61">
      <w:pPr>
        <w:pStyle w:val="NormalHanging12a"/>
        <w:rPr>
          <w:szCs w:val="24"/>
        </w:rPr>
      </w:pPr>
      <w:r w:rsidRPr="00E938AF">
        <w:t>6.</w:t>
      </w:r>
      <w:r w:rsidRPr="00E938AF">
        <w:tab/>
        <w:t>отбелязва, че през 2022 г. окончателният приет бюджет на Комитета възлиза на 109 976 858 EUR, включително коригиращ бюджет № 5/2022, което представлява общо увеличение с 3,03% спрямо 2021 г.; отбелязва, че между 2021 г. и 2022 г. бюджетните кредити по бюджетен ред 1004 за „пътни и дневни надбавки, участие в заседания и свързани разходи“ са се увеличили от 4 244 488 EUR на 8 158 838 EUR, т.е. с 92%, поради възобновяването на пътуванията след пандемията от COVID-19; отбелязва, че останалото разпределение на бюджетните кредити по бюджетните редове в бюджета за 2022 г. остава сравнимо с разпределението от предходни години;</w:t>
      </w:r>
    </w:p>
    <w:p w:rsidR="00D17B61" w:rsidRPr="00E938AF" w:rsidRDefault="00D17B61" w:rsidP="00D17B61">
      <w:pPr>
        <w:pStyle w:val="NormalHanging12a"/>
        <w:rPr>
          <w:szCs w:val="24"/>
        </w:rPr>
      </w:pPr>
      <w:r w:rsidRPr="00E938AF">
        <w:t>7.</w:t>
      </w:r>
      <w:r w:rsidRPr="00E938AF">
        <w:tab/>
        <w:t>отбелязва, че бюджетът за командировки за 2022 г. възлиза на 419 657 EUR в сравнение със 169 856 EUR през 2021 г., т.е. увеличение със 147%, което може да се обясни с броя на онлайн заседанията през 2021 г. и в началото на 2022 г. поради ограниченията, свързани с пандемията от COVID-19, както и с увеличението на цените за пътуванията през 2022 г.; отбелязва, че между 2021 г. и 2022 г. надбавката на председателството на Комитета (председателя и първия заместник-председател) за пътни и заседателни разноски, които се финансират от общия бюджет за разходи на членовете, се е увеличила от 49 852 EUR на 71 810 EUR, т.е. увеличение с 44%; приветства насоките за по-ефективна от гледна точка на разходите, целенасочена и устойчива политика по отношение на командировките, които са разпространени през юни 2022 г. с оглед на свеждането до минимум на командировките на персонала на Комитета;</w:t>
      </w:r>
    </w:p>
    <w:p w:rsidR="00D17B61" w:rsidRPr="00E938AF" w:rsidRDefault="00D17B61" w:rsidP="00D17B61">
      <w:pPr>
        <w:pStyle w:val="NormalHanging12a"/>
        <w:rPr>
          <w:szCs w:val="24"/>
        </w:rPr>
      </w:pPr>
      <w:r w:rsidRPr="00E938AF">
        <w:t>8.</w:t>
      </w:r>
      <w:r w:rsidRPr="00E938AF">
        <w:tab/>
        <w:t>отбелязва, че степента на изпълнение на бюджета през 2022 г. е била 99,2%, което е малко по-високо, отколкото през 2021 г., когато степента на изпълнение на бюджета е била 98,9%;</w:t>
      </w:r>
    </w:p>
    <w:p w:rsidR="00D17B61" w:rsidRPr="00E938AF" w:rsidRDefault="00D17B61" w:rsidP="00D17B61">
      <w:pPr>
        <w:pStyle w:val="NormalHanging12a"/>
        <w:rPr>
          <w:szCs w:val="24"/>
        </w:rPr>
      </w:pPr>
      <w:r w:rsidRPr="00E938AF">
        <w:t>9.</w:t>
      </w:r>
      <w:r w:rsidRPr="00E938AF">
        <w:tab/>
        <w:t>отбелязва, че средният срок за плащане през 2022 г. е бил 17,87 дни, което е повече, отколкото през 2021 г., когато срокът е бил 16,11 дни; отбелязва, че същевременно процентът на електронно фактуриране се е увеличил от 32% на 68%; отбелязва, че няма взаимовръзка между двете цифри, и призовава Комитета да завърши цифровизацията на работния процес на плащанията с цел подобряване на неговата ефективност и навременност;</w:t>
      </w:r>
    </w:p>
    <w:p w:rsidR="00D17B61" w:rsidRPr="00E938AF" w:rsidRDefault="00D17B61" w:rsidP="00D17B61">
      <w:pPr>
        <w:pStyle w:val="NormalHanging12a"/>
        <w:rPr>
          <w:szCs w:val="24"/>
        </w:rPr>
      </w:pPr>
      <w:r w:rsidRPr="00E938AF">
        <w:t>10.</w:t>
      </w:r>
      <w:r w:rsidRPr="00E938AF">
        <w:tab/>
        <w:t>отбелязва, че агресивната война на Русия срещу Украйна оказва натиск върху бюджета на Комитета, включително чрез растящата инфлация и корекции на заплатите и рязко увеличаващите се цени на енергията и цени на строителните дейности и материали; отбелязва освен това, че Комитетът е мобилизирал политическата си подкрепа за украинските местни и регионални власти и е организирал дейности във връзка с войната срещу Украйна, които оказаха въздействие върху бюджета за командировки, проучвания и обучения;</w:t>
      </w:r>
    </w:p>
    <w:p w:rsidR="00D17B61" w:rsidRPr="00E938AF" w:rsidRDefault="00D17B61" w:rsidP="00D17B61">
      <w:pPr>
        <w:pStyle w:val="NormalHanging12a"/>
        <w:rPr>
          <w:szCs w:val="24"/>
        </w:rPr>
      </w:pPr>
      <w:r w:rsidRPr="00E938AF">
        <w:t>11.</w:t>
      </w:r>
      <w:r w:rsidRPr="00E938AF">
        <w:tab/>
        <w:t xml:space="preserve">отбелязва, че собствените служби на Комитета са организирали 14 тръжни процедури за възлагане на обществени поръчки през 2022 г., включително 11 процедури на договаряне за възлагане на обществени поръчки за услуги за дистанционен устен превод в държавите членки; отбелязва, че процедурите за възлагане на обществени поръчки в областта на логистиката са стартирани от </w:t>
      </w:r>
      <w:r w:rsidRPr="00E938AF">
        <w:lastRenderedPageBreak/>
        <w:t>съвместните служби, които Комитетът споделя с Европейския икономически и социален комитет („ЕИСК“);</w:t>
      </w:r>
    </w:p>
    <w:p w:rsidR="00D17B61" w:rsidRPr="00E938AF" w:rsidRDefault="00D17B61" w:rsidP="00D17B61">
      <w:pPr>
        <w:pStyle w:val="NormalHanging12a"/>
        <w:rPr>
          <w:b/>
          <w:i/>
          <w:szCs w:val="24"/>
        </w:rPr>
      </w:pPr>
      <w:r w:rsidRPr="00E938AF">
        <w:rPr>
          <w:b/>
          <w:i/>
        </w:rPr>
        <w:t>Вътрешно управление, резултати от дейността и вътрешен контрол</w:t>
      </w:r>
    </w:p>
    <w:p w:rsidR="00D17B61" w:rsidRPr="00E938AF" w:rsidRDefault="00D17B61" w:rsidP="00D17B61">
      <w:pPr>
        <w:pStyle w:val="NormalHanging12a"/>
        <w:rPr>
          <w:szCs w:val="24"/>
        </w:rPr>
      </w:pPr>
      <w:r w:rsidRPr="00E938AF">
        <w:t>12.</w:t>
      </w:r>
      <w:r w:rsidRPr="00E938AF">
        <w:tab/>
        <w:t>отбелязва, че Комитетът допринася за формирането на политиките и процеса на вземане на решения в Съюза от гледна точка на регионалните и местните власти в Съюза и предоставя рамка за засилване на сътрудничеството между местното, регионалното, националното и европейското равнище и за доближаване на Европа до нейните граждани; приветства значението на приноса на Комитета по важни теми за Съюза, като например изпълнението на Механизма за възстановяване и устойчивост, както е отразено в резолюцията на Парламента от 23 юни 2022 г. относно изпълнението във връзка с Механизма за възстановяване и устойчивост</w:t>
      </w:r>
      <w:r w:rsidRPr="00E938AF">
        <w:rPr>
          <w:vertAlign w:val="superscript"/>
        </w:rPr>
        <w:footnoteReference w:id="7"/>
      </w:r>
      <w:r w:rsidRPr="00E938AF">
        <w:t>; насърчава също така Комитета да подкрепя своите членове при участието им в местни диалози с гражданите по европейски въпроси;</w:t>
      </w:r>
    </w:p>
    <w:p w:rsidR="00D17B61" w:rsidRPr="00E938AF" w:rsidRDefault="00D17B61" w:rsidP="00D17B61">
      <w:pPr>
        <w:pStyle w:val="NormalHanging12a"/>
        <w:rPr>
          <w:szCs w:val="24"/>
        </w:rPr>
      </w:pPr>
      <w:r w:rsidRPr="00E938AF">
        <w:t>13.</w:t>
      </w:r>
      <w:r w:rsidRPr="00E938AF">
        <w:tab/>
        <w:t>отбелязва, че Комитетът изпълнява своята мисия чрез становища по законодателни предложения, внесени от Комисията (сезирания), становища по собствена инициатива, в които институциите на Съюза се призовават да предприемат действия, и резолюции, в които се излага позицията на Комитета по конкретни теми; отбелязва, че през 2022 г. Комитетът е приел 55 становища и 8 резолюции, което е малко по-малко, отколкото през 2021 г., когато Комитетът е приел 60 становища и 9 резолюции; насърчава Комитета да продължи да укрепва способността си да предоставя на основните институции на Съюза доказателства, събрани на място, като използва данни, емпирични анализи и сборници с най-добри практики;</w:t>
      </w:r>
    </w:p>
    <w:p w:rsidR="00D17B61" w:rsidRPr="00E938AF" w:rsidRDefault="00D17B61" w:rsidP="00D17B61">
      <w:pPr>
        <w:pStyle w:val="NormalHanging12a"/>
        <w:rPr>
          <w:szCs w:val="24"/>
        </w:rPr>
      </w:pPr>
      <w:r w:rsidRPr="00E938AF">
        <w:t>14.</w:t>
      </w:r>
      <w:r w:rsidRPr="00E938AF">
        <w:tab/>
        <w:t>приветства факта, че Комитетът е предприел конкретни стъпки за засилване на участието си в целия политически и законодателен цикъл на Съюза в съответствие с прерогативите си съгласно Договорите; приветства по-специално споразумението за сътрудничество между Парламента и Комитета и тясното сътрудничество между Комитета и няколко парламентарни комисии, интергрупи и генерални дирекции; отбелязва, че през 2022 г. Комитетът е организирал 56 подготвителни и последващи срещи с Парламента за докладчиците по становищата си; отбелязва освен това, че 20 докладчици на Комитета са взели участие в заседания на комисиите на Парламента през 2022 г.; поздравява Комитета за засилването на участието му в законодателните тристранни срещи, по-специално с оглед на това, че му е предоставен достъп до документите от тристранните срещи; счита, че членовете на Комитета и на ЕИСК следва да бъдат канени на съответния парламентарен обмен, включително заседания на комисиите, по въпроси, с които се занимават;</w:t>
      </w:r>
    </w:p>
    <w:p w:rsidR="00D17B61" w:rsidRPr="00E938AF" w:rsidRDefault="00D17B61" w:rsidP="00D17B61">
      <w:pPr>
        <w:pStyle w:val="NormalHanging12a"/>
        <w:rPr>
          <w:szCs w:val="24"/>
        </w:rPr>
      </w:pPr>
      <w:r w:rsidRPr="00E938AF">
        <w:t>15.</w:t>
      </w:r>
      <w:r w:rsidRPr="00E938AF">
        <w:tab/>
        <w:t xml:space="preserve">приветства мерките, които Комитетът е предприел през 2022 г. за оптимизиране на ресурсите си и за подобряване на разходната ефективност, същевременно увеличавайки въздействието на политическата си работа в контекста на програмата „Going for IMPact“, и по-специално 43-те проекта за опростяване и цифровизация, които допринасят за модернизирането на администрацията на Комитета и за цифровизацията на работните процеси като част от „Стратегията за </w:t>
      </w:r>
      <w:r w:rsidRPr="00E938AF">
        <w:lastRenderedPageBreak/>
        <w:t>опростяване на правилата и процедурите на Комитета за периода 2020 – 2025 г.“;</w:t>
      </w:r>
    </w:p>
    <w:p w:rsidR="00D17B61" w:rsidRPr="00E938AF" w:rsidRDefault="00D17B61" w:rsidP="00D17B61">
      <w:pPr>
        <w:pStyle w:val="NormalHanging12a"/>
        <w:rPr>
          <w:szCs w:val="24"/>
        </w:rPr>
      </w:pPr>
      <w:r w:rsidRPr="00E938AF">
        <w:t>16.</w:t>
      </w:r>
      <w:r w:rsidRPr="00E938AF">
        <w:tab/>
        <w:t>приветства активното участие на Комитета в работата на Конференцията за бъдещето на Европа (CoFE) с делегация от 30 членове, 12 от които представляваха европейските сдружения на местните и регионалните власти; отбелязва, че вследствие на свършената през 2021 г. работа, през 2022 г. Комитетът е организирал 14 срещи с делегати на CoFE и 9 подготвителни срещи; подчертава, че Комитетът е създал специална работна група „Конференция за бъдещето на Европа“, за да координира работата на всички участващи дирекции и отдели; отбелязва, че предложенията, съдържащи се в окончателния доклад на CoFE, който беше публикуван на 9 май 2022 г., бяха включени в проекта на Комитета „Използване на потенциала на регионалните и местните власти за укрепване на ЕС“, който беше изпълнен през цялата 2022 г.;</w:t>
      </w:r>
    </w:p>
    <w:p w:rsidR="00D17B61" w:rsidRPr="00E938AF" w:rsidRDefault="00D17B61" w:rsidP="00D17B61">
      <w:pPr>
        <w:pStyle w:val="NormalHanging12a"/>
        <w:rPr>
          <w:szCs w:val="24"/>
        </w:rPr>
      </w:pPr>
      <w:r w:rsidRPr="00E938AF">
        <w:t>17.</w:t>
      </w:r>
      <w:r w:rsidRPr="00E938AF">
        <w:tab/>
        <w:t>подчертава, че в окончателния си доклад пленарната асамблея на CoFE в своята 40-та препоръка, в рамките на мярка 3, призовава за реформиране на Комитета, така че да се включат подходящи канали за диалог за регионите, градовете, селата и общините, като му се възложи по-силна роля в институционалната архитектура, ако става въпрос за теми с въздействие върху териториите;</w:t>
      </w:r>
    </w:p>
    <w:p w:rsidR="00D17B61" w:rsidRPr="00E938AF" w:rsidRDefault="00D17B61" w:rsidP="00D17B61">
      <w:pPr>
        <w:pStyle w:val="NormalHanging12a"/>
        <w:rPr>
          <w:szCs w:val="24"/>
        </w:rPr>
      </w:pPr>
      <w:r w:rsidRPr="00E938AF">
        <w:t>18.</w:t>
      </w:r>
      <w:r w:rsidRPr="00E938AF">
        <w:tab/>
        <w:t>отбелязва, че през 2022 г. Комитетът е преразгледал и укрепил рамката си за вътрешен контрол на равнищата на планиране и докладване, системи, финансова проверка и чувствителни функции; поздравява Комитета за разработването на специален инструмент за сближаване и платформа за планиране, докладване, оценка на риска и непрекъснатост на дейността; отбелязва, че новата политика за чувствителните длъжности е влязла в сила на 1 януари 2022 г. и е съобщена на служителите на 27 януари 2022 г.;</w:t>
      </w:r>
    </w:p>
    <w:p w:rsidR="00D17B61" w:rsidRPr="00E938AF" w:rsidRDefault="00D17B61" w:rsidP="00D17B61">
      <w:pPr>
        <w:pStyle w:val="NormalHanging12a"/>
        <w:rPr>
          <w:szCs w:val="24"/>
        </w:rPr>
      </w:pPr>
      <w:r w:rsidRPr="00E938AF">
        <w:t>19.</w:t>
      </w:r>
      <w:r w:rsidRPr="00E938AF">
        <w:tab/>
        <w:t>отбелязва, че до април 2022 г. всички заседания са се провеждали онлайн, а от април 2022 г. нататък уставните заседания се организират присъствено, докато другите заседания могат да се организират дистанционно или в хибриден формат; отбелязва, че до преразглеждането на Правилника за дейността на Комитета през 2023 г. е продължила да се изплаща съгласно действащите правила от 2021 г. насам фиксирана надбавка за участие в дистанционни и хибридни заседания в размер на 200 EUR; отбелязва, че към юли 2023 г. надбавката за дистанционни заседания е определена на 50% от стандартната надбавка за участие в заседания (т.е. понастоящем 50% от 359 EUR, което се равнява на 179,50 EUR); счита, че дистанционното участие е важен инструмент за съвременните институции, като се има предвид, наред с другото, че то намалява разходите за заседанията и позволява по-широко участие, особено по време на кризисни ситуации, както стана ясно по време на пандемията от COVID-19; отбелязва със задоволство, че препоръките от вътрешния одит относно адекватността на планирането и управлението на надбавките и възстановяването на разходите на членовете за участие в заседанията са изпълнени задоволително;</w:t>
      </w:r>
    </w:p>
    <w:p w:rsidR="00D17B61" w:rsidRPr="00E938AF" w:rsidRDefault="00D17B61" w:rsidP="00D17B61">
      <w:pPr>
        <w:pStyle w:val="NormalHanging12a"/>
        <w:rPr>
          <w:b/>
          <w:i/>
          <w:szCs w:val="24"/>
        </w:rPr>
      </w:pPr>
      <w:r w:rsidRPr="00E938AF">
        <w:rPr>
          <w:b/>
          <w:i/>
        </w:rPr>
        <w:t>Човешки ресурси, равенство и благосъстояние на служителите</w:t>
      </w:r>
    </w:p>
    <w:p w:rsidR="00D17B61" w:rsidRPr="00E938AF" w:rsidRDefault="00D17B61" w:rsidP="00D17B61">
      <w:pPr>
        <w:pStyle w:val="NormalHanging12a"/>
      </w:pPr>
      <w:r w:rsidRPr="00E938AF">
        <w:t>20.</w:t>
      </w:r>
      <w:r w:rsidRPr="00E938AF">
        <w:tab/>
        <w:t xml:space="preserve">отбелязва, че в края на 2022 г. Комитетът е имал общо 533 служители в сравнение с 547 през 2021 г. и 537 през 2020 г.; отбелязва, че в края на 2022 г. в Комитета са работили 56 договорно наети служители и 89 срочно наети служители, от които 21 договорно наети служители са имали безсрочен договор, а трима срочно наети </w:t>
      </w:r>
      <w:r w:rsidRPr="00E938AF">
        <w:lastRenderedPageBreak/>
        <w:t>служители са били наети на временна длъжност, с безсрочен договор в два случая и за фиксиран срок от пет години, що се отнася до генералния секретар; отбелязва освен това, че в Комитета са работили 8 временни служители и 14 външни служители, работещи на място, без външните доставчици на услуги в областта на логистиката и информационните технологии; отбелязва, че през 2022 г. процентът на заемане на длъжностите в щатното разписание е бил 96%;</w:t>
      </w:r>
    </w:p>
    <w:p w:rsidR="00D17B61" w:rsidRPr="00E938AF" w:rsidRDefault="00D17B61" w:rsidP="00D17B61">
      <w:pPr>
        <w:pStyle w:val="NormalHanging12a"/>
        <w:rPr>
          <w:szCs w:val="24"/>
        </w:rPr>
      </w:pPr>
      <w:r w:rsidRPr="00E938AF">
        <w:t>21.</w:t>
      </w:r>
      <w:r w:rsidRPr="00E938AF">
        <w:tab/>
        <w:t>отбелязва, че през април 2022 г. е влязъл в сила нов пилотен проект за хибриден режим на работа с цел привеждане на рамката в областта на човешките ресурси в съответствие с новите начини на работа, който предоставя възможност на служителите на Комитета да организират своята седмична и ежедневна работа с висока степен на гъвкавост и да работят дистанционно до 60% от работното си време; приветства факта, че новият режим дава възможност за редица формули на непълно работно време въз основа на законоустановените права, предвидени в Правилника за длъжностните лица; отбелязва със задоволство, че 90,25% от отговорилите на проведената сред персонала анкета от декември 2022 г. са посочили, че са доволни от тези гъвкави схеми на работа;</w:t>
      </w:r>
    </w:p>
    <w:p w:rsidR="00D17B61" w:rsidRPr="00E938AF" w:rsidRDefault="00D17B61" w:rsidP="00D17B61">
      <w:pPr>
        <w:pStyle w:val="NormalHanging12a"/>
      </w:pPr>
      <w:r w:rsidRPr="00E938AF">
        <w:t>22.</w:t>
      </w:r>
      <w:r w:rsidRPr="00E938AF">
        <w:tab/>
        <w:t>отбелязва със загриженост, че през 2022 г. в Комитета са докладвани 16 случая на синдром на професионално изчерпване; отбелязва освен това, че Комитетът е успял да реинтегрира 15 служители през 2022 г. след дългосрочно отсъствие в резултат на синдром на професионално изчерпване благодарение на персонализирано проследяване на дългосрочния отпуск по болест; приветства превантивните действия, предприети от Комитета за намаляване на психосоциалните рискове и синдрома на професионалното изчерпване; във връзка с това оценява проактивния подход на медицинската служба и конференциите за повишаване на осведомеността, обученията и курсовете, организирани от Комитета;</w:t>
      </w:r>
    </w:p>
    <w:p w:rsidR="00D17B61" w:rsidRPr="00E938AF" w:rsidRDefault="00D17B61" w:rsidP="00D17B61">
      <w:pPr>
        <w:pStyle w:val="NormalHanging12a"/>
        <w:rPr>
          <w:szCs w:val="24"/>
        </w:rPr>
      </w:pPr>
      <w:r w:rsidRPr="00E938AF">
        <w:t>23.</w:t>
      </w:r>
      <w:r w:rsidRPr="00E938AF">
        <w:tab/>
        <w:t>отбелязва, че Комитетът е продължил да повишава осведомеността относно мерките, въведени за борба с тормоза на работното място, в съответствие със своето решение от 26 април 2021 г. относно защитата на достойнството на работното място, управлението на конфликти и борбата с тормоза, по-специално чрез специални насоки, вътрешна комуникация и организирането на няколко информационни сесии за служителите и ръководителите; отбелязва, че през 2022 г. Комитетът е трябвало да разгледа ново твърдение за психически тормоз от страна на служител на ЕИСК срещу служител на Комитета, което твърдение понастоящем все още се проверява от двата комитета; призовава Комитета да докладва относно последващите действия във връзка с това твърдение, като вземе предвид по-специално междуинституционалната перспектива;</w:t>
      </w:r>
    </w:p>
    <w:p w:rsidR="00D17B61" w:rsidRPr="00E938AF" w:rsidRDefault="00D17B61" w:rsidP="00D17B61">
      <w:pPr>
        <w:pStyle w:val="NormalHanging12a"/>
        <w:rPr>
          <w:szCs w:val="24"/>
        </w:rPr>
      </w:pPr>
      <w:r w:rsidRPr="00E938AF">
        <w:t>24.</w:t>
      </w:r>
      <w:r w:rsidRPr="00E938AF">
        <w:tab/>
        <w:t xml:space="preserve">отбелязва, че в края на 2022 г. в Комитета са работили 56,8% жени и 43,2% мъже в сравнение с 56,6% жени през 2021 г. и 55,5% жени през 2020 г.; отбелязва със загриженост, че разпределението на жените по степени и статус следва същата тенденция, както през предходните години, и изразява съжаление, че въпреки назначаването на нова жена директор през 2023 г. и някои усилия за привличане на повече жени на ръководни длъжности, положението остава особено небалансирано както на висше, така и на средно управленско равнище; препоръчва обявленията за свободни работни места да станат по-приобщаващи и повече жени да бъдат насърчени да кандидатстват за средни и висши ръководни длъжности, включително чрез осигуряване на балансирано представителство в </w:t>
      </w:r>
      <w:r w:rsidRPr="00E938AF">
        <w:lastRenderedPageBreak/>
        <w:t>комисиите за подбор, чрез предлагане на възможности за обучение на жените служители, които желаят да се подготвят за управленска кариера, и чрез предлагане на по-гъвкави схеми на работа;</w:t>
      </w:r>
    </w:p>
    <w:p w:rsidR="00D17B61" w:rsidRPr="00E938AF" w:rsidRDefault="00D17B61" w:rsidP="00D17B61">
      <w:pPr>
        <w:pStyle w:val="NormalHanging12a"/>
        <w:rPr>
          <w:szCs w:val="24"/>
        </w:rPr>
      </w:pPr>
      <w:r w:rsidRPr="00E938AF">
        <w:t>25.</w:t>
      </w:r>
      <w:r w:rsidRPr="00E938AF">
        <w:tab/>
        <w:t>приветства факта, че на 7 юли 2022 г. Комитетът е приел нова петгодишна стратегия и план за действие за многообразие и приобщаване за периода 2022 – 2026 г.; насърчава Комитета да продължи усилията си за постигане на целите, определени в тази стратегия и план за действие, по-специално целта за равенство между половете за 40% дял на жените на висши ръководни длъжности до 2024 г., с въвеждането на равенството като крайна цел; приветства повишаването на осведомеността и целенасочените мерки, въведени с цел насърчаване и укрепване на по-многообразно и приобщаващо работно място на равнището на представителството на персонала и звената за контакт във всички отдели на Комитета под координацията на специален координатор по въпросите на многообразието и приобщаването;</w:t>
      </w:r>
    </w:p>
    <w:p w:rsidR="00D17B61" w:rsidRPr="00E938AF" w:rsidRDefault="00D17B61" w:rsidP="00D17B61">
      <w:pPr>
        <w:pStyle w:val="NormalHanging12a"/>
      </w:pPr>
      <w:r w:rsidRPr="00E938AF">
        <w:t>26.</w:t>
      </w:r>
      <w:r w:rsidRPr="00E938AF">
        <w:tab/>
        <w:t>отбелязва, че през 2022 г. в Комитета са работили служители, представляващи всички националности на Съюза, и един служител с украинско гражданство; отбелязва, че, макар да приветства усилията на Комитета да балансира географското разпределение между служителите си, все още не е постигнат географски баланс, тъй като някои националности продължават да бъдат свръхпредставени в сравнение с други; насърчава Комитета да продължи да предприема стъпки за постигане на балансирано от географска гледна точка представителство сред своя персонал, със специален акцент върху управленското равнище; приветства участието на Комитета в междуинституционалната работна група за географски баланс, която има за цел споделяне на най-добри практики и създаване на полезни взаимодействия между институциите на Съюза;</w:t>
      </w:r>
    </w:p>
    <w:p w:rsidR="00D17B61" w:rsidRPr="00E938AF" w:rsidRDefault="00D17B61" w:rsidP="00D17B61">
      <w:pPr>
        <w:pStyle w:val="NormalHanging12a"/>
        <w:rPr>
          <w:szCs w:val="24"/>
        </w:rPr>
      </w:pPr>
      <w:r w:rsidRPr="00E938AF">
        <w:t>27.</w:t>
      </w:r>
      <w:r w:rsidRPr="00E938AF">
        <w:tab/>
        <w:t>отбелязва, че през 2022 г. Комитетът е провел за първи път пилотна междуинституционална схема за обмяна на опит чрез наблюдение на работата на колеги с участието на три институции на Съюза и 25 участници, която имаше за цел да повиши разбирането за работните методи и процеси на другите институции, да засили междуинституционалното сътрудничество, да насърчи мобилността и да осигури по-гъвкава работна сила; поздравява Комитета за стартирането на тази иновативна междуинституционална инициатива, която впоследствие беше разширена и поета от Европейското училище по администрация, считано от 2023 г.;</w:t>
      </w:r>
    </w:p>
    <w:p w:rsidR="00D17B61" w:rsidRPr="00E938AF" w:rsidRDefault="00D17B61" w:rsidP="00D17B61">
      <w:pPr>
        <w:pStyle w:val="NormalHanging12a"/>
        <w:rPr>
          <w:szCs w:val="24"/>
        </w:rPr>
      </w:pPr>
      <w:r w:rsidRPr="00E938AF">
        <w:t>28.</w:t>
      </w:r>
      <w:r w:rsidRPr="00E938AF">
        <w:tab/>
        <w:t>отбелязва, че през 2022 г. Комитетът е имал 60 стажанти, от които 48 са били платени стажанти, а 12 са били посетители с учебна цел, двама от които са получавали социална помощ; приветства одобрените през 2022 г. нови правила във връзка с възнаграждението на стажантите, съгласно които учебните посещения могат да бъдат одобрени само ако стажантът получава финансиране от друг източник или стажът е задължителен в контекста на обучението на стажанта и при условие че стажанти от всякакъв вид могат да кандидатстват за социална помощ в надлежно обосновани случаи; приветства факта, че условията на труд на стажантите са приведени в съответствие с тези на служителите съгласно новите гъвкави схеми на работа, което означава, че всички стажанти могат да работят дистанционно от чужбина по един ден месечно от стажа;</w:t>
      </w:r>
    </w:p>
    <w:p w:rsidR="00D17B61" w:rsidRPr="00E938AF" w:rsidRDefault="00D17B61" w:rsidP="00D17B61">
      <w:pPr>
        <w:pStyle w:val="NormalHanging12a"/>
        <w:rPr>
          <w:b/>
          <w:i/>
          <w:szCs w:val="24"/>
        </w:rPr>
      </w:pPr>
      <w:r w:rsidRPr="00E938AF">
        <w:rPr>
          <w:b/>
          <w:i/>
        </w:rPr>
        <w:t>Етична рамка и прозрачност</w:t>
      </w:r>
    </w:p>
    <w:p w:rsidR="00D17B61" w:rsidRPr="00E938AF" w:rsidRDefault="00D17B61" w:rsidP="00D17B61">
      <w:pPr>
        <w:pStyle w:val="NormalHanging12a"/>
        <w:rPr>
          <w:szCs w:val="24"/>
        </w:rPr>
      </w:pPr>
      <w:r w:rsidRPr="00E938AF">
        <w:lastRenderedPageBreak/>
        <w:t>29.</w:t>
      </w:r>
      <w:r w:rsidRPr="00E938AF">
        <w:tab/>
        <w:t>приветства усилията на Комитета да повиши осведомеността по етични въпроси сред персонала си и прилагането от страна на Комитета на етичните правила при различните процедури, като например набирането на персонал, както и на етичните задължения и права при различни административни ситуации, като например външни дейности, обучение и напускане на службата, като последващо действие във връзка с вътрешния одит на осведомеността на персонала относно етиката; отбелязва, че основните документи и правила, залегнали в основата на етичната рамка, са публикувани на интранет страницата на Комитета с цел повишаване на осведомеността на персонала относно етичните правила; отбелязва освен това, че през 2022 г. Комитетът е организирал 14 колективни обучителни курса по теми, конкретно свързани с етиката, които са обхванали 107 служители, и че 75% от служителите са участвали в общия обучителен курс по етика през 2022 г.;</w:t>
      </w:r>
    </w:p>
    <w:p w:rsidR="00D17B61" w:rsidRPr="00E938AF" w:rsidRDefault="00D17B61" w:rsidP="00D17B61">
      <w:pPr>
        <w:pStyle w:val="NormalHanging12a"/>
        <w:rPr>
          <w:szCs w:val="24"/>
        </w:rPr>
      </w:pPr>
      <w:r w:rsidRPr="00E938AF">
        <w:t>30.</w:t>
      </w:r>
      <w:r w:rsidRPr="00E938AF">
        <w:tab/>
        <w:t>отбелязва, че през 2022 г. Комитетът е продължил да прилага своя кодекс за поведение на членовете от 2020 г. и във връзка с това е увеличил усилията си за събиране на липсващите финансови декларации на членовете; отбелязва, че шестима заместник-членове, назначени през януари 2020 г., все още не са представили финансовите си декларации до юни 2023 г. и че въпреки че нито един от тези шестима членове не е присъствал на заседание на Комитета след назначаването си, Комитетът е започнал процедурата по прилагане, предвидена в кодекса за поведение на членовете;</w:t>
      </w:r>
    </w:p>
    <w:p w:rsidR="00D17B61" w:rsidRPr="00E938AF" w:rsidRDefault="00D17B61" w:rsidP="00D17B61">
      <w:pPr>
        <w:pStyle w:val="NormalHanging12a"/>
        <w:rPr>
          <w:szCs w:val="24"/>
        </w:rPr>
      </w:pPr>
      <w:r w:rsidRPr="00E938AF">
        <w:t>31.</w:t>
      </w:r>
      <w:r w:rsidRPr="00E938AF">
        <w:tab/>
        <w:t>отбелязва, че през 2022 г. Европейската служба за борба с измамите (OLAF) е разследвала три случая, от които един случай е нов и се отнася до външни дейности, които генерират доходи, а два случая са нерешени и са приключени през същата година, като се отнасят съответно до неправомерно изплащане на пътни надбавки и твърдения за финансови нарушения, тормоз и лошо управление в съвместна служба на Комитета и ЕИСК; отбелязва, че случаят, свързан с изплащането на неправомерни пътни надбавки, е приключен в началото на 2022 г. с искането на Комитета въпросният член да възстанови получената надбавка по етични причини при липсата на правно основание за възстановяването на тези суми; отбелязва, че в началото на 2024 г. въпросният член е съобщил за намерението си да възстанови първоначално поисканата от OLAF сума по етични причини и че финансовите служби на Комитета са били готови да предприемат всички необходими стъпки в това отношение; изисква от Комитета да информира органа по освобождаване от отговорност за последващите действия от негова страна по този случай в съответствие със законоустановените задължения на служителите съгласно Правилника за длъжностните лица, по-специално поради факта, че случаят касае член на Комитета, който по същото време е бил акредитиран парламентарен сътрудник, с място на работа по договор в Брюксел, което означава, че не са били необходими пътни разноски за заседанията на Комитета, които се провеждат в Брюксел; отбелязва, че случаят, който касае твърдения за финансови нарушения, тормоз и лошо управление в съвместна служба, е довел до процедура по управление на конфликти с участието на засегнатите лица, техните началници и съответните отдели по човешки ресурси с план за действие от пет точки, който беше изпълнен през 2021 г. и 2022 г.;</w:t>
      </w:r>
    </w:p>
    <w:p w:rsidR="00D17B61" w:rsidRPr="00E938AF" w:rsidRDefault="00D17B61" w:rsidP="00D17B61">
      <w:pPr>
        <w:pStyle w:val="NormalHanging12a"/>
        <w:rPr>
          <w:b/>
          <w:bCs/>
          <w:i/>
          <w:iCs/>
          <w:szCs w:val="24"/>
        </w:rPr>
      </w:pPr>
      <w:r w:rsidRPr="00E938AF">
        <w:t>32.</w:t>
      </w:r>
      <w:r w:rsidRPr="00E938AF">
        <w:tab/>
        <w:t xml:space="preserve">отбелязва, че през 2022 г. Комитетът е продължил да прилага мерки за прозрачност, като например публикуването на декларациите за финансови интереси на членовете на своя уебсайт, но не се е присъединил официално към </w:t>
      </w:r>
      <w:r w:rsidRPr="00E938AF">
        <w:lastRenderedPageBreak/>
        <w:t>регистъра за прозрачност на ЕС, създаден с междуинституционалното споразумение от 20 май 2021 г. между Европейския парламент, Съвета на Европейския съюз и Европейската комисия за задължителен регистър за прозрачност (МИС)</w:t>
      </w:r>
      <w:r w:rsidRPr="00E938AF">
        <w:rPr>
          <w:vertAlign w:val="superscript"/>
        </w:rPr>
        <w:t>3</w:t>
      </w:r>
      <w:r w:rsidRPr="00E938AF">
        <w:t>; наясно е, че Комитетът е приел нови мерки за прозрачност, насочени към членовете на мандатна длъжност и докладчиците, в съответствие с принципите на регистъра за прозрачност на ЕС, с решение, взето от Бюрото му през юли 2023 г., за които управителният съвет на регистъра за прозрачност на ЕС е бил уведомен; отбелязва, че на 20 ноември 2023 г. управителният съвет на регистъра за прозрачност на ЕС е разгледал мерките за прозрачност в съответствие с преследваните от МИС цели и е приветствал уредбата на Комитета като важна стъпка за по-нататъшно укрепване на съвместната рамка и насърчаване на обща култура на прозрачност на равнището на Съюза; приветства факта, че Комитетът се присъедини официално към регистъра за прозрачност на ЕС, считано от 1 януари 2024 г.;</w:t>
      </w:r>
    </w:p>
    <w:p w:rsidR="00D17B61" w:rsidRPr="00E938AF" w:rsidRDefault="00D17B61" w:rsidP="00D17B61">
      <w:pPr>
        <w:pStyle w:val="NormalHanging12a"/>
        <w:rPr>
          <w:szCs w:val="24"/>
        </w:rPr>
      </w:pPr>
      <w:r w:rsidRPr="00E938AF">
        <w:t>33.</w:t>
      </w:r>
      <w:r w:rsidRPr="00E938AF">
        <w:tab/>
        <w:t>отбелязва, че през 2022 г. Комитетът не е открил никакви конфликти на интереси, които биха изисквали последващи действия от страна на администрацията; отбелязва, че Комитетът е продължил да разчита на действащите правила за предотвратяване на конфликтите на интереси и за избягване на кадровата въртележка между публичния и частния сектор през 2022 г. и да ги популяризира чрез обучения по етика и повишаване на осведомеността;</w:t>
      </w:r>
    </w:p>
    <w:p w:rsidR="00D17B61" w:rsidRPr="00E938AF" w:rsidRDefault="00D17B61" w:rsidP="00D17B61">
      <w:pPr>
        <w:pStyle w:val="NormalHanging12a"/>
      </w:pPr>
      <w:r w:rsidRPr="00E938AF">
        <w:t>34.</w:t>
      </w:r>
      <w:r w:rsidRPr="00E938AF">
        <w:tab/>
        <w:t>отбелязва, че през 2022 г. в Комитета не са докладвани случаи на подаване на сигнали за нередности; отбелязва, че Комитетът е продължил да разчита на мерките, въведени от 2015 г. насам във връзка с подаването на сигнали за нередности, и да ги популяризира чрез обучения по етика и повишаване на осведомеността;</w:t>
      </w:r>
    </w:p>
    <w:p w:rsidR="00D17B61" w:rsidRPr="00E938AF" w:rsidRDefault="00D17B61" w:rsidP="00D17B61">
      <w:pPr>
        <w:pStyle w:val="NormalHanging12a"/>
        <w:rPr>
          <w:szCs w:val="24"/>
        </w:rPr>
      </w:pPr>
      <w:r w:rsidRPr="00E938AF">
        <w:t>35.</w:t>
      </w:r>
      <w:r w:rsidRPr="00E938AF">
        <w:tab/>
        <w:t>изразява съжаление, че Комитетът не е приел вътрешна стратегия за борба с измамите; повтаря призива си към Комитета, отправен в резолюцията за освобождаване от отговорност за 2021 г., да започне вътрешен анализ на риска от измами и да се координира с други компетентни служби на Комисията с оглед на приемането на подходяща вътрешна стратегия за борба с измамите;</w:t>
      </w:r>
    </w:p>
    <w:p w:rsidR="00D17B61" w:rsidRPr="00E938AF" w:rsidRDefault="00D17B61" w:rsidP="00D17B61">
      <w:pPr>
        <w:pStyle w:val="NormalHanging12a"/>
        <w:rPr>
          <w:b/>
          <w:i/>
          <w:szCs w:val="24"/>
        </w:rPr>
      </w:pPr>
      <w:r w:rsidRPr="00E938AF">
        <w:rPr>
          <w:b/>
          <w:i/>
        </w:rPr>
        <w:t>Цифровизация, киберсигурност и защита на данните</w:t>
      </w:r>
    </w:p>
    <w:p w:rsidR="00D17B61" w:rsidRPr="00E938AF" w:rsidRDefault="00D17B61" w:rsidP="00D17B61">
      <w:pPr>
        <w:pStyle w:val="NormalHanging12a"/>
        <w:rPr>
          <w:szCs w:val="24"/>
        </w:rPr>
      </w:pPr>
      <w:r w:rsidRPr="00E938AF">
        <w:t>36.</w:t>
      </w:r>
      <w:r w:rsidRPr="00E938AF">
        <w:tab/>
        <w:t>отбелязва, че общият бюджет за информационни технологии (ИТ) на Комитета и ЕИСК възлиза на 11 712 000 EUR през 2022 г., включително увеличение с 750 000 EUR чрез вътрешен бюджетен трансфер през годината, в сравнение с 12 860 000 EUR през 2021 г., т.е. намаление с 9%;</w:t>
      </w:r>
    </w:p>
    <w:p w:rsidR="00D17B61" w:rsidRPr="00E938AF" w:rsidRDefault="00D17B61" w:rsidP="00D17B61">
      <w:pPr>
        <w:pStyle w:val="NormalHanging12a"/>
        <w:rPr>
          <w:szCs w:val="24"/>
        </w:rPr>
      </w:pPr>
      <w:r w:rsidRPr="00E938AF">
        <w:t>37.</w:t>
      </w:r>
      <w:r w:rsidRPr="00E938AF">
        <w:tab/>
        <w:t xml:space="preserve">отбелязва, че Комитетът разполага със стратегия в областта на цифровите технологии, която има за цел да предоставя ИТ услуги в съответствие с най-добрите практики за управление на ИТ, като същевременно оптимизира използването на човешките и финансовите ресурси; отбелязва, че през цялата 2022 г. Комитетът е работил по адаптирането и разработването на няколко стратегически ИТ инструмента с цел повишаване на ефикасността и ефективността на политическата работа на Комитета и на неговите административни и работни процеси; отбелязва, че основният проект за ИТ инфраструктура през 2022 г. се отнася до адаптиране на мрежовата типология, необходима за новата компютърна зала в сградата Jacques Delors (JDE), в </w:t>
      </w:r>
      <w:r w:rsidRPr="00E938AF">
        <w:lastRenderedPageBreak/>
        <w:t>съответствие с пътната карта за хибридна инфраструктура за изчисления в облак;</w:t>
      </w:r>
    </w:p>
    <w:p w:rsidR="00D17B61" w:rsidRPr="00E938AF" w:rsidRDefault="00D17B61" w:rsidP="00D17B61">
      <w:pPr>
        <w:pStyle w:val="NormalHanging12a"/>
        <w:rPr>
          <w:szCs w:val="24"/>
        </w:rPr>
      </w:pPr>
      <w:r w:rsidRPr="00E938AF">
        <w:t>38.</w:t>
      </w:r>
      <w:r w:rsidRPr="00E938AF">
        <w:tab/>
        <w:t>отбелязва, че Комитетът е увеличил броя на хибридните заседания през 2022 г., за да се адаптира към хибридния режим на работа и да приведе практиките си в съответствие с разпространените от генералния секретар на Комитета през юни 2022 г. нови насоки за по-ефективна от гледна точка на разходите, целенасочена и устойчива политика по отношение на командировките, което изисква от Комитета да оптимизира начина си на работа и да замени възможно най-много командировки на служителите си с видеоконферентна връзка; разбира, че този нов начин на работа изисква техническа модернизация по отношение на оборудването за залите за хибридни заседания;</w:t>
      </w:r>
    </w:p>
    <w:p w:rsidR="00D17B61" w:rsidRPr="00E938AF" w:rsidRDefault="00D17B61" w:rsidP="00D17B61">
      <w:pPr>
        <w:pStyle w:val="NormalHanging12a"/>
        <w:rPr>
          <w:szCs w:val="24"/>
        </w:rPr>
      </w:pPr>
      <w:r w:rsidRPr="00E938AF">
        <w:t>39.</w:t>
      </w:r>
      <w:r w:rsidRPr="00E938AF">
        <w:tab/>
        <w:t>отбелязва, че през 2022 г. Комитетът е приел нови вътрешни правила относно защитата на данните, които съдържат ограничения на определени права на субектите на данни във връзка с обработването на лични данни в контекста на дейностите и процедурите, извършвани от Комитета; отбелязва освен това, че Европейският надзорен орган по защита на данните не е провеждал разследване или проверка във връзка с обработването на лични данни от Комитета през 2022 г.;</w:t>
      </w:r>
    </w:p>
    <w:p w:rsidR="00D17B61" w:rsidRPr="00E938AF" w:rsidRDefault="00D17B61" w:rsidP="00D17B61">
      <w:pPr>
        <w:pStyle w:val="NormalHanging12a"/>
      </w:pPr>
      <w:r w:rsidRPr="00E938AF">
        <w:t>40.</w:t>
      </w:r>
      <w:r w:rsidRPr="00E938AF">
        <w:tab/>
        <w:t>отбелязва, че Комитетът не е бил обект на кибератаки през 2022 г.; отбелязва, че новата съвместна дирекция за иновации и информационни технологии на Комитета и ЕИСК се състои от три отдела, които се занимават съответно с цифровата трансформация, цифровите решения и цифровите платформи; отбелязва, че отделът за цифрови платформи отговаря, наред с другото, за киберсигурността; изисква от Комитета да информира органа по освобождаване от отговорност за начина, по който създаването на тази нова структура е допринесло за повишаване на подготвеността на персонала му в областта на киберсигурността, в съответствие с рамката за киберсигурност на Националния институт за стандарти и технологии (NIST) и в сътрудничество със Службата за киберсигурност за институциите, органите, службите и агенциите на Съюза (CERT-EU); насърчава Комитета да повиши осведомеността на своите членове и служители относно киберсигурността, да извършва редовни оценки на риска на своята ИТ инфраструктура и да гарантира редовни одити и тестове на своята киберзащита;</w:t>
      </w:r>
    </w:p>
    <w:p w:rsidR="00D17B61" w:rsidRPr="00E938AF" w:rsidRDefault="00D17B61" w:rsidP="00D17B61">
      <w:pPr>
        <w:pStyle w:val="NormalHanging12a"/>
        <w:rPr>
          <w:szCs w:val="24"/>
        </w:rPr>
      </w:pPr>
      <w:r w:rsidRPr="00E938AF">
        <w:t>41.</w:t>
      </w:r>
      <w:r w:rsidRPr="00E938AF">
        <w:tab/>
        <w:t>приветства усилията на Комитета да насърчи технологиите с отворен код в собствените си системи, по-специално основните оперативни приложения, използвани за управление на политическата работа на Комитета („Agora“ и „Phoenix“); отбелязва освен това, че Комитетът проследява използването на технологии с отворен код в годишния си ИТ портфейл, така че те да се прилагат за нови приложения;</w:t>
      </w:r>
    </w:p>
    <w:p w:rsidR="00D17B61" w:rsidRPr="00E938AF" w:rsidRDefault="00D17B61" w:rsidP="00D17B61">
      <w:pPr>
        <w:pStyle w:val="NormalHanging12a"/>
        <w:ind w:left="0" w:firstLine="0"/>
        <w:rPr>
          <w:b/>
          <w:i/>
          <w:szCs w:val="24"/>
        </w:rPr>
      </w:pPr>
      <w:r w:rsidRPr="00E938AF">
        <w:rPr>
          <w:b/>
          <w:i/>
        </w:rPr>
        <w:t>Сгради</w:t>
      </w:r>
    </w:p>
    <w:p w:rsidR="00D17B61" w:rsidRPr="00E938AF" w:rsidRDefault="00D17B61" w:rsidP="00D17B61">
      <w:pPr>
        <w:pStyle w:val="NormalHanging12a"/>
        <w:rPr>
          <w:szCs w:val="24"/>
        </w:rPr>
      </w:pPr>
      <w:r w:rsidRPr="00E938AF">
        <w:t>42.</w:t>
      </w:r>
      <w:r w:rsidRPr="00E938AF">
        <w:tab/>
        <w:t xml:space="preserve">отбелязва, че Комитетът и ЕИСК са загубили 5 000 m² офис пространство след поемането на договора за наем на бившата сграда на ЕСВД на Belliard 100 (B100), който влезе в сила през септември 2021 г., и размяната на сградите на Belliard 68 и Trèves 74 на Комитета и ЕИСК и Van Maerlant 2 (VMA) на Комисията, която влезе в сила през септември 2022 г.; отбелязва, че в двете новопридобити сгради са били необходими дейности по оборудване, за да се даде възможност за по-плътно </w:t>
      </w:r>
      <w:r w:rsidRPr="00E938AF">
        <w:lastRenderedPageBreak/>
        <w:t>използване на офис пространството; приветства създаването през 2022 г. на съвместна работна група за новите начини на работа, която да разгледа евентуално оптимизиране на начина, по който се организира работата, и начина, по който се използва офис пространството, като същевременно се намали отпечатъкът върху околната среда;</w:t>
      </w:r>
    </w:p>
    <w:p w:rsidR="00D17B61" w:rsidRPr="00E938AF" w:rsidRDefault="00D17B61" w:rsidP="00D17B61">
      <w:pPr>
        <w:pStyle w:val="NormalHanging12a"/>
      </w:pPr>
      <w:r w:rsidRPr="00E938AF">
        <w:t>43.</w:t>
      </w:r>
      <w:r w:rsidRPr="00E938AF">
        <w:tab/>
        <w:t>отбелязва, че през 2022 г. общият бюджет на Комитета за оборудването на помещения възлиза на 883 792 EUR; отбелязва, че ремонтните работи, предприети от Комитета и ЕИСК във връзка със сградите B100 и VMA, включват използването на интелигентни технологии със силен екологичен компонент; изисква от Комитета да предостави актуална информация относно възвръщаемостта на инвестициите на тези технологични инсталации, но въпреки това препоръчва да не се поемат дългосрочни ангажименти за ново офис пространство, преди тези мерки да бъдат напълно проучени;</w:t>
      </w:r>
    </w:p>
    <w:p w:rsidR="00D17B61" w:rsidRPr="00E938AF" w:rsidRDefault="00D17B61" w:rsidP="00D17B61">
      <w:pPr>
        <w:pStyle w:val="NormalHanging12a"/>
        <w:rPr>
          <w:szCs w:val="24"/>
        </w:rPr>
      </w:pPr>
      <w:r w:rsidRPr="00E938AF">
        <w:t>44.</w:t>
      </w:r>
      <w:r w:rsidRPr="00E938AF">
        <w:tab/>
        <w:t>отбелязва, че през 2022 г. стратегията на Комитета и ЕИСК в областта на сградния фонд беше съсредоточена върху географската концентрация на сградите, която беше постигната чрез физическо свързване на всички сгради, използвани от Комитета и ЕИСК, с основната им сграда (JDE); приветства новата физическа връзка със сградите на Парламента, която започна да функционира през ноември 2022 г., предлагайки по-пряка, по-лесна и със 125 м по-кратка връзка между сградите на Комитета и ЕИСК и сградите на Парламента;</w:t>
      </w:r>
    </w:p>
    <w:p w:rsidR="00D17B61" w:rsidRPr="00E938AF" w:rsidRDefault="00D17B61" w:rsidP="00D17B61">
      <w:pPr>
        <w:pStyle w:val="NormalHanging12a"/>
        <w:rPr>
          <w:szCs w:val="24"/>
        </w:rPr>
      </w:pPr>
      <w:r w:rsidRPr="00E938AF">
        <w:t>45.</w:t>
      </w:r>
      <w:r w:rsidRPr="00E938AF">
        <w:tab/>
        <w:t>отбелязва, че Комитетът и ЕИСК са стартирали многогодишен проект, свързан с техническото модернизиране на системата за устен превод за всички конферентни зали, който е започнал през 2022 г.; отбелязва, че през 2022 г. Комитетът е заделил за този проект сума в размер на 200 000 EUR;</w:t>
      </w:r>
    </w:p>
    <w:p w:rsidR="00D17B61" w:rsidRPr="00E938AF" w:rsidRDefault="00D17B61" w:rsidP="00D17B61">
      <w:pPr>
        <w:pStyle w:val="NormalHanging12a"/>
        <w:rPr>
          <w:szCs w:val="24"/>
        </w:rPr>
      </w:pPr>
      <w:r w:rsidRPr="00E938AF">
        <w:t>46.</w:t>
      </w:r>
      <w:r w:rsidRPr="00E938AF">
        <w:tab/>
        <w:t>приветства ангажимента на Комитета и ЕИСК да прилагат систематично принципа „проектиране за всички“ по отношение на инфраструктурата си, като гарантират достъпността на своите сгради още при проектирането; отбелязва, че Комитетът и ЕИСК са предприели поредица от различни мерки, за да гарантират достъпността на своите сгради за хора с различни видове увреждания;</w:t>
      </w:r>
    </w:p>
    <w:p w:rsidR="00D17B61" w:rsidRPr="00E938AF" w:rsidRDefault="00D17B61" w:rsidP="00D17B61">
      <w:pPr>
        <w:pStyle w:val="NormalHanging12a"/>
        <w:ind w:left="0" w:firstLine="0"/>
        <w:rPr>
          <w:b/>
          <w:i/>
          <w:szCs w:val="24"/>
        </w:rPr>
      </w:pPr>
      <w:r w:rsidRPr="00E938AF">
        <w:rPr>
          <w:b/>
          <w:i/>
        </w:rPr>
        <w:t>Околна среда и устойчивост</w:t>
      </w:r>
    </w:p>
    <w:p w:rsidR="00D17B61" w:rsidRPr="00E938AF" w:rsidRDefault="00D17B61" w:rsidP="00D17B61">
      <w:pPr>
        <w:pStyle w:val="NormalHanging12a"/>
        <w:rPr>
          <w:szCs w:val="24"/>
        </w:rPr>
      </w:pPr>
      <w:r w:rsidRPr="00E938AF">
        <w:t>47.</w:t>
      </w:r>
      <w:r w:rsidRPr="00E938AF">
        <w:tab/>
        <w:t>приветства устойчивите практики, и по-специално подхода на Комитета и ЕИСК за работа без документи на хартиен носител, които допринесоха за намаляване на техния отпечатък върху околната среда в съответствие със стратегията им в областта на цифровите технологии; отбелязва, че приложението „Phoenix“, използвано за подпомагане на политическата работа на Комитета, е било адаптирано през 2022 г., за да се генерират „доклади за въглеродните емисии“ за пътуванията и да се даде възможност на Комитета и ЕИСК да изчислят въглеродния си баланс; отбелязва, че планът за действие, изготвен в резултат на одита на изпълнението съгласно Схемата за управление по околна среда и одит (EMAS), е бил изпълнен с действия в областта на документирането, прегледа на процедурите, подобряването на планирането, управлението на риска и надзора; поздравява Комитета и ЕИСК за това, че са надхвърлили целите на EMAS за периода 2021 – 20025 г., с изключение на целите, свързани с потреблението на газ;</w:t>
      </w:r>
    </w:p>
    <w:p w:rsidR="00D17B61" w:rsidRPr="00E938AF" w:rsidRDefault="00D17B61" w:rsidP="00D17B61">
      <w:pPr>
        <w:pStyle w:val="NormalHanging12a"/>
        <w:rPr>
          <w:szCs w:val="24"/>
        </w:rPr>
      </w:pPr>
      <w:r w:rsidRPr="00E938AF">
        <w:t>48.</w:t>
      </w:r>
      <w:r w:rsidRPr="00E938AF">
        <w:tab/>
        <w:t xml:space="preserve">отбелязва, че през 2022 г. общото производство на електроенергия, генерирано от </w:t>
      </w:r>
      <w:r w:rsidRPr="00E938AF">
        <w:lastRenderedPageBreak/>
        <w:t>слънчеви панели в сградите на Комитета и ЕИСК, е било приблизително 15,5 MWh, което представлява 0,25% от общото годишно потребление на Комитета и ЕИСК; отбелязва, че към 16 септември 2022 г. само сградата JDE е била оборудвана със слънчеви панели; отчита, че поради административни процедури Комитетът и ЕИСК са изправени пред забавяне в разширяването на инсталацията им от слънчеви панели;</w:t>
      </w:r>
    </w:p>
    <w:p w:rsidR="00D17B61" w:rsidRPr="00E938AF" w:rsidRDefault="00D17B61" w:rsidP="00D17B61">
      <w:pPr>
        <w:pStyle w:val="NormalHanging12a"/>
        <w:rPr>
          <w:szCs w:val="24"/>
        </w:rPr>
      </w:pPr>
      <w:r w:rsidRPr="00E938AF">
        <w:t>49.</w:t>
      </w:r>
      <w:r w:rsidRPr="00E938AF">
        <w:tab/>
        <w:t>отбелязва, че Комитетът е въвел план за устойчива мобилност, включително финансов участие в абонамента за обществен транспорт на персонала и дейности за повишаване на осведомеността; отбелязва, че през 2022 г. не е организирана нова анкета относно мобилността сред персонала, но че такава анкета е предвидена за 2024 г.; приветства факта, че 76% от служителите на Комитета използват екологосъобразни транспортни средства за придвижване до работното място;</w:t>
      </w:r>
    </w:p>
    <w:p w:rsidR="00D17B61" w:rsidRPr="00E938AF" w:rsidRDefault="00D17B61" w:rsidP="00D17B61">
      <w:pPr>
        <w:pStyle w:val="NormalHanging12a"/>
        <w:rPr>
          <w:b/>
          <w:i/>
          <w:szCs w:val="24"/>
        </w:rPr>
      </w:pPr>
      <w:r w:rsidRPr="00E938AF">
        <w:rPr>
          <w:b/>
          <w:i/>
        </w:rPr>
        <w:t>Междуинституционално сътрудничество</w:t>
      </w:r>
    </w:p>
    <w:p w:rsidR="00D17B61" w:rsidRPr="00E938AF" w:rsidRDefault="00D17B61" w:rsidP="00D17B61">
      <w:pPr>
        <w:pStyle w:val="NormalHanging12a"/>
        <w:rPr>
          <w:szCs w:val="24"/>
        </w:rPr>
      </w:pPr>
      <w:r w:rsidRPr="00E938AF">
        <w:t>50.</w:t>
      </w:r>
      <w:r w:rsidRPr="00E938AF">
        <w:tab/>
        <w:t>приветства бюджетните и административните икономии, постигнати чрез междуинституционално сътрудничество, по-специално тясното сътрудничество, установено на административно равнище с ЕИСК, с който Комитетът споделя помещения и съвместни служби в областта на писмения превод, инфраструктурата, логистиката и ИТ, като същевременно запазва пълната си институционална автономност; отбелязва, че на 1 октомври 2022 г. е създадена съвместна дирекция за иновации и информационни технологии като част от новото споразумение за сътрудничество, подписано между Комитета и ЕИСК през 2022 г.; отбелязва освен това, че през 2022 г. Комитетът и ЕИСК са споделяли 470 служители и 55 милиона евро, без да са включени разходите, свързани със заплати; призовава Комитета да продължи и да разшири това сътрудничество в други области, за да се избегне дублирането и да се рационализират в още по-голяма степен оперативните разходи за наличните служби в помещенията, споделяни от Комитета и ЕИСК; приканва Комитета и ЕИСК да проучат възможността за създаване на единна администрация за своите съвместни служби, като поддържат отделни дирекции или отдели за службите, които се занимават с въпроси, свързани с техните специфични и независими мандати;</w:t>
      </w:r>
    </w:p>
    <w:p w:rsidR="00D17B61" w:rsidRPr="00E938AF" w:rsidRDefault="00D17B61" w:rsidP="00D17B61">
      <w:pPr>
        <w:pStyle w:val="NormalHanging12a"/>
        <w:rPr>
          <w:szCs w:val="24"/>
        </w:rPr>
      </w:pPr>
      <w:r w:rsidRPr="00E938AF">
        <w:t>51.</w:t>
      </w:r>
      <w:r w:rsidRPr="00E938AF">
        <w:tab/>
        <w:t>приветства факта, че Комитетът търси полезни взаимодействия, закупувайки услуги от други институции чрез споразумения за нивото на обслужване и чрез участие в междуинституционални координационни органи и междуинституционални процедури за възлагане на обществени поръчки;</w:t>
      </w:r>
    </w:p>
    <w:p w:rsidR="00D17B61" w:rsidRPr="00E938AF" w:rsidRDefault="00D17B61" w:rsidP="00D17B61">
      <w:pPr>
        <w:pStyle w:val="NormalHanging12a"/>
        <w:rPr>
          <w:szCs w:val="24"/>
        </w:rPr>
      </w:pPr>
      <w:r w:rsidRPr="00E938AF">
        <w:t>52.</w:t>
      </w:r>
      <w:r w:rsidRPr="00E938AF">
        <w:tab/>
        <w:t>призовава Комитета да продължи да проучва възможностите за полезни взаимодействия с други институции както по отношение на логистиката, цифровите услуги, шофьорските услуги и други административни задачи, така и по отношение на някои дейности за популяризиране и комуникация, особено в държавите членки, където членовете на Комитета разполагат с разнообразни мрежи за подкрепа и разчитат единствено на собствения си местен персонал;</w:t>
      </w:r>
    </w:p>
    <w:p w:rsidR="00D17B61" w:rsidRPr="00E938AF" w:rsidRDefault="00D17B61" w:rsidP="00D17B61">
      <w:pPr>
        <w:pStyle w:val="NormalHanging12a"/>
        <w:rPr>
          <w:szCs w:val="24"/>
        </w:rPr>
      </w:pPr>
      <w:r w:rsidRPr="00E938AF">
        <w:t>53.</w:t>
      </w:r>
      <w:r w:rsidRPr="00E938AF">
        <w:tab/>
        <w:t xml:space="preserve">приветства готовността на Комитета да продължи да развива сътрудничеството си с други институции, по-специално с Парламента преди европейските избори през 2024 г. чрез пътна карта, която предвижда засилване на сътрудничеството в още </w:t>
      </w:r>
      <w:r w:rsidRPr="00E938AF">
        <w:lastRenderedPageBreak/>
        <w:t>по-голяма степен и по-голяма роля на Комитета и местните и регионалните власти в този контекст; отбелязва прегледа на споразуменията за сътрудничество с Парламента и Комисията, решението за което беше взето от Председателския съвет през ноември 2022 г.;</w:t>
      </w:r>
    </w:p>
    <w:p w:rsidR="00D17B61" w:rsidRPr="00E938AF" w:rsidRDefault="00D17B61" w:rsidP="00D17B61">
      <w:pPr>
        <w:pStyle w:val="NormalHanging12a"/>
        <w:rPr>
          <w:szCs w:val="24"/>
        </w:rPr>
      </w:pPr>
      <w:r w:rsidRPr="00E938AF">
        <w:t>54.</w:t>
      </w:r>
      <w:r w:rsidRPr="00E938AF">
        <w:tab/>
        <w:t>отбелязва, че Комитетът си сътрудничи с Комисията (срещу годишна такса) за обработването на въпроси, свързани с човешките ресурси, и използването на различни ИТ платформи за финансово управление и човешки ресурси; отбелязва, че Комитетът провежда пленарните си заседания в помещенията на Парламента и Комисията, за да компенсира липсата на капацитет на собствените си конферентни зали, и че Комитетът закупува услуги по устен превод от тези две институции; отбелязва, че Комитетът проучва възможностите за използване на услуги по дистанционен устен превод с оглед на бързото развитие на този сектор;</w:t>
      </w:r>
    </w:p>
    <w:p w:rsidR="00D17B61" w:rsidRPr="00E938AF" w:rsidRDefault="00D17B61" w:rsidP="00D17B61">
      <w:pPr>
        <w:pStyle w:val="NormalHanging12a"/>
        <w:rPr>
          <w:szCs w:val="24"/>
        </w:rPr>
      </w:pPr>
      <w:r w:rsidRPr="00E938AF">
        <w:t>55.</w:t>
      </w:r>
      <w:r w:rsidRPr="00E938AF">
        <w:tab/>
        <w:t>отбелязва, че Комитетът насърчава видимостта и въздействието на своята работа въз основа на междуинституционалното сътрудничество чрез целенасочено представяне на докладите си пред други институции, например, представяне на 11 доклада пред Парламента през 2022 г., двустранни срещи на равнище докладчици, политически обмен по време на официални прояви и конференции, целево разпространение на становища и работа в мрежи;</w:t>
      </w:r>
    </w:p>
    <w:p w:rsidR="00D17B61" w:rsidRPr="00E938AF" w:rsidRDefault="00D17B61" w:rsidP="00D17B61">
      <w:pPr>
        <w:pStyle w:val="NormalHanging12a"/>
        <w:rPr>
          <w:b/>
          <w:i/>
          <w:szCs w:val="24"/>
        </w:rPr>
      </w:pPr>
      <w:r w:rsidRPr="00E938AF">
        <w:rPr>
          <w:b/>
          <w:i/>
        </w:rPr>
        <w:t>Комуникация</w:t>
      </w:r>
    </w:p>
    <w:p w:rsidR="00D17B61" w:rsidRPr="00E938AF" w:rsidRDefault="00D17B61" w:rsidP="00D17B61">
      <w:pPr>
        <w:pStyle w:val="NormalHanging12a"/>
        <w:rPr>
          <w:szCs w:val="24"/>
        </w:rPr>
      </w:pPr>
      <w:r w:rsidRPr="00E938AF">
        <w:t>56.</w:t>
      </w:r>
      <w:r w:rsidRPr="00E938AF">
        <w:tab/>
        <w:t>отбелязва, че през 2022 г. общият бюджет на Комитета за комуникация възлиза на 2,2 милиона евро в сравнение с 2,1 милиона евро през 2021 г., т.е. увеличение с 4%; отбелязва, че в рамките на този бюджет приблизително 439 000 EUR са били използвани за прояви, 795 000 EUR – за медии и 1 099 000 EUR – за цифрова комуникация; отбелязва, че целта на съобщението на Комитета е да се повиши институционалният и политическият профил на Комитета като асамблея на регионите, градовете, селата и общините на Съюза и ролята на неговите членове;</w:t>
      </w:r>
    </w:p>
    <w:p w:rsidR="00D17B61" w:rsidRPr="00E938AF" w:rsidRDefault="00D17B61" w:rsidP="00D17B61">
      <w:pPr>
        <w:pStyle w:val="NormalHanging12a"/>
        <w:rPr>
          <w:szCs w:val="24"/>
        </w:rPr>
      </w:pPr>
      <w:r w:rsidRPr="00E938AF">
        <w:t>57</w:t>
      </w:r>
      <w:r w:rsidR="005D5172">
        <w:t>.</w:t>
      </w:r>
      <w:bookmarkStart w:id="9" w:name="_GoBack"/>
      <w:bookmarkEnd w:id="9"/>
      <w:r w:rsidRPr="00E938AF">
        <w:tab/>
        <w:t>отбелязва, че Комитетът е продължил да бъде домакин на редовните заседания на генералните директори за комуникация на всички институции на Съюза през 2022 г., съсредоточавайки се върху подготовката на координирани комуникационни действия в навечерието на европейските избори през 2024 г.; насърчава Комитета да продължи да подкрепя институционалната комуникационна кампания на Парламента за европейските избори през 2024 г. чрез своите местни и регионални мрежи;</w:t>
      </w:r>
    </w:p>
    <w:p w:rsidR="00D17B61" w:rsidRPr="00E938AF" w:rsidRDefault="00D17B61" w:rsidP="00D17B61">
      <w:pPr>
        <w:pStyle w:val="NormalHanging12a"/>
        <w:rPr>
          <w:szCs w:val="24"/>
        </w:rPr>
      </w:pPr>
      <w:r w:rsidRPr="00E938AF">
        <w:t>58.</w:t>
      </w:r>
      <w:r w:rsidRPr="00E938AF">
        <w:tab/>
        <w:t xml:space="preserve">приветства основаната на данни комуникационна стратегия, разработена от Комитета с цел преодоляване на разминаването с гражданите на Съюза на местно и регионално равнище чрез мултипликационни канали, като например европейските мрежи от регионални и местни съветници, които в края на 2022 г. имат 2 037 регистрирани членове, и програмата за млади политици на изборна длъжност със 775 участници в прояви през 2022 г., т.е. увеличение с 15% в сравнение с 2021 г.; отбелязва, че Комитетът също така е предоставил обучения и изграждане на капацитет за местните и регионалните власти относно ангажираността на гражданите и демокрацията на участието под надслов „Нова глава за демокрацията на участието“; отбелязва, че през ноември 2022 г. Бюрото на Комитета е приканило всеки член да провежда ежегодно поне един диалог в своя избирателен район; отбелязва, че Комитетът е установил полезни </w:t>
      </w:r>
      <w:r w:rsidRPr="00E938AF">
        <w:lastRenderedPageBreak/>
        <w:t>взаимодействия с мрежата от центрове Europe Direct в държавите членки във връзка с организирането на местни прояви;</w:t>
      </w:r>
    </w:p>
    <w:p w:rsidR="00D17B61" w:rsidRPr="00E938AF" w:rsidRDefault="00D17B61" w:rsidP="00D17B61">
      <w:pPr>
        <w:pStyle w:val="NormalHanging12a"/>
        <w:rPr>
          <w:szCs w:val="24"/>
        </w:rPr>
      </w:pPr>
      <w:r w:rsidRPr="00E938AF">
        <w:t>59.</w:t>
      </w:r>
      <w:r w:rsidRPr="00E938AF">
        <w:tab/>
        <w:t>отбелязва, че през 2022 г. Комитетът е продължил да провежда три комуникационни кампании в съответствие с политическите приоритети за мандата 2020 – 2025 г. за доближаване на Европа до хората, изграждане на силни регионални и местни общности и насърчаване на сближаването като основна ценност на Съюза; приветства усилията на Комитета да разшири аудиторията си чрез цифровата комуникация и медийния обхват с 18 890 споменавания в медиите през 2022 г., т.е. увеличение с 20% между 2020 и 2022 г.;</w:t>
      </w:r>
    </w:p>
    <w:p w:rsidR="00D17B61" w:rsidRPr="00E938AF" w:rsidRDefault="00D17B61" w:rsidP="00D17B61">
      <w:pPr>
        <w:pStyle w:val="NormalHanging12a"/>
        <w:rPr>
          <w:szCs w:val="24"/>
        </w:rPr>
      </w:pPr>
      <w:r w:rsidRPr="00E938AF">
        <w:t>60.</w:t>
      </w:r>
      <w:r w:rsidRPr="00E938AF">
        <w:tab/>
        <w:t>отбелязва, че в края на 2022 г. Комитетът е имал 175 000 последователи в каналите си в социалните медии, т.е. с 16% повече, отколкото през 2021 г., от които 54 800 последователи (увеличение с 8%) в X (преди Twitter), 58 100 (увеличение с 6%) във Facebook, 52 100 (увеличение с 33%) в LinkedIn и 10 500 (увеличение с 67%) в Instagram;</w:t>
      </w:r>
    </w:p>
    <w:p w:rsidR="00D17B61" w:rsidRPr="00E938AF" w:rsidRDefault="00D17B61" w:rsidP="00711E1B">
      <w:pPr>
        <w:ind w:left="567" w:hanging="567"/>
      </w:pPr>
      <w:r w:rsidRPr="00E938AF">
        <w:t>61.</w:t>
      </w:r>
      <w:r w:rsidRPr="00E938AF">
        <w:tab/>
        <w:t xml:space="preserve">отбелязва, че Комитетът допринася за портала за свободно достъпни данни на Комисията с набори от данни относно данните на членовете и техните становища, но също така използва и насърчава отворените данни сред местните и регионалните власти, като по този начин прави операциите си по-прозрачни чрез свободно достъпни данни в четими от човека и машинночетими формати и укрепва връзката си с гражданите. </w:t>
      </w:r>
    </w:p>
    <w:sectPr w:rsidR="00D17B61" w:rsidRPr="00E938AF" w:rsidSect="00E938A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4AA" w:rsidRPr="00E938AF" w:rsidRDefault="00F704AA">
      <w:r w:rsidRPr="00E938AF">
        <w:separator/>
      </w:r>
    </w:p>
  </w:endnote>
  <w:endnote w:type="continuationSeparator" w:id="0">
    <w:p w:rsidR="00F704AA" w:rsidRPr="00E938AF" w:rsidRDefault="00F704AA">
      <w:r w:rsidRPr="00E938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B61" w:rsidRPr="00E938AF" w:rsidRDefault="00D17B61" w:rsidP="00FF42CA">
    <w:pPr>
      <w:pStyle w:val="EPFooter"/>
    </w:pPr>
    <w:r w:rsidRPr="00E938AF">
      <w:t>PE</w:t>
    </w:r>
    <w:r w:rsidRPr="00E938AF">
      <w:rPr>
        <w:rStyle w:val="HideTWBExt"/>
      </w:rPr>
      <w:t>&lt;NoPE&gt;</w:t>
    </w:r>
    <w:r w:rsidRPr="00E938AF">
      <w:t>753.484</w:t>
    </w:r>
    <w:r w:rsidRPr="00E938AF">
      <w:rPr>
        <w:rStyle w:val="HideTWBExt"/>
      </w:rPr>
      <w:t>&lt;/NoPE&gt;&lt;Version&gt;</w:t>
    </w:r>
    <w:r w:rsidRPr="00E938AF">
      <w:t>v02-00</w:t>
    </w:r>
    <w:r w:rsidRPr="00E938AF">
      <w:rPr>
        <w:rStyle w:val="HideTWBExt"/>
      </w:rPr>
      <w:t>&lt;/Version&gt;</w:t>
    </w:r>
    <w:r w:rsidRPr="00E938AF">
      <w:tab/>
    </w:r>
    <w:r w:rsidRPr="00E938AF">
      <w:fldChar w:fldCharType="begin"/>
    </w:r>
    <w:r w:rsidRPr="00E938AF">
      <w:instrText xml:space="preserve"> PAGE  \* MERGEFORMAT </w:instrText>
    </w:r>
    <w:r w:rsidRPr="00E938AF">
      <w:fldChar w:fldCharType="separate"/>
    </w:r>
    <w:r w:rsidR="00E938AF" w:rsidRPr="00E938AF">
      <w:rPr>
        <w:noProof/>
      </w:rPr>
      <w:t>2</w:t>
    </w:r>
    <w:r w:rsidRPr="00E938AF">
      <w:fldChar w:fldCharType="end"/>
    </w:r>
    <w:r w:rsidRPr="00E938AF">
      <w:t>/</w:t>
    </w:r>
    <w:fldSimple w:instr=" NUMPAGES  \* MERGEFORMAT ">
      <w:r w:rsidR="00E938AF" w:rsidRPr="00E938AF">
        <w:rPr>
          <w:noProof/>
        </w:rPr>
        <w:t>3</w:t>
      </w:r>
    </w:fldSimple>
    <w:r w:rsidRPr="00E938AF">
      <w:tab/>
    </w:r>
    <w:r w:rsidRPr="00E938AF">
      <w:rPr>
        <w:rStyle w:val="HideTWBExt"/>
      </w:rPr>
      <w:t>&lt;PathFdR&gt;</w:t>
    </w:r>
    <w:r w:rsidRPr="00E938AF">
      <w:t>RR\1298489BG.docx</w:t>
    </w:r>
    <w:r w:rsidRPr="00E938AF">
      <w:rPr>
        <w:rStyle w:val="HideTWBExt"/>
      </w:rPr>
      <w:t>&lt;/PathFdR&gt;</w:t>
    </w:r>
  </w:p>
  <w:p w:rsidR="00D17B61" w:rsidRPr="00E938AF" w:rsidRDefault="00D17B61" w:rsidP="00FF42CA">
    <w:pPr>
      <w:pStyle w:val="EPFooter2"/>
    </w:pPr>
    <w:r w:rsidRPr="00E938AF">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B61" w:rsidRPr="00E938AF" w:rsidRDefault="00D17B61" w:rsidP="00FF42CA">
    <w:pPr>
      <w:pStyle w:val="EPFooter"/>
    </w:pPr>
    <w:r w:rsidRPr="00E938AF">
      <w:rPr>
        <w:rStyle w:val="HideTWBExt"/>
      </w:rPr>
      <w:t>&lt;PathFdR&gt;</w:t>
    </w:r>
    <w:r w:rsidRPr="00E938AF">
      <w:t>RR\1298489BG.docx</w:t>
    </w:r>
    <w:r w:rsidRPr="00E938AF">
      <w:rPr>
        <w:rStyle w:val="HideTWBExt"/>
      </w:rPr>
      <w:t>&lt;/PathFdR&gt;</w:t>
    </w:r>
    <w:r w:rsidRPr="00E938AF">
      <w:tab/>
    </w:r>
    <w:r w:rsidRPr="00E938AF">
      <w:tab/>
      <w:t>PE</w:t>
    </w:r>
    <w:r w:rsidRPr="00E938AF">
      <w:rPr>
        <w:rStyle w:val="HideTWBExt"/>
      </w:rPr>
      <w:t>&lt;NoPE&gt;</w:t>
    </w:r>
    <w:r w:rsidRPr="00E938AF">
      <w:t>753.484</w:t>
    </w:r>
    <w:r w:rsidRPr="00E938AF">
      <w:rPr>
        <w:rStyle w:val="HideTWBExt"/>
      </w:rPr>
      <w:t>&lt;/NoPE&gt;&lt;Version&gt;</w:t>
    </w:r>
    <w:r w:rsidRPr="00E938AF">
      <w:t>v02-00</w:t>
    </w:r>
    <w:r w:rsidRPr="00E938AF">
      <w:rPr>
        <w:rStyle w:val="HideTWBExt"/>
      </w:rPr>
      <w:t>&lt;/Version&gt;</w:t>
    </w:r>
  </w:p>
  <w:p w:rsidR="00D17B61" w:rsidRPr="00E938AF" w:rsidRDefault="00D17B61" w:rsidP="00FF42CA">
    <w:pPr>
      <w:pStyle w:val="EPFooter2"/>
    </w:pPr>
    <w:r w:rsidRPr="00E938AF">
      <w:t>BG</w:t>
    </w:r>
    <w:r w:rsidRPr="00E938AF">
      <w:tab/>
    </w:r>
    <w:r w:rsidRPr="00E938AF">
      <w:rPr>
        <w:b w:val="0"/>
        <w:i/>
        <w:color w:val="C0C0C0"/>
        <w:sz w:val="22"/>
      </w:rPr>
      <w:t>Единство в многообразието</w:t>
    </w:r>
    <w:r w:rsidRPr="00E938AF">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8A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8A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8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4AA" w:rsidRPr="00E938AF" w:rsidRDefault="00F704AA">
      <w:r w:rsidRPr="00E938AF">
        <w:separator/>
      </w:r>
    </w:p>
  </w:footnote>
  <w:footnote w:type="continuationSeparator" w:id="0">
    <w:p w:rsidR="00F704AA" w:rsidRPr="00E938AF" w:rsidRDefault="00F704AA">
      <w:r w:rsidRPr="00E938AF">
        <w:continuationSeparator/>
      </w:r>
    </w:p>
  </w:footnote>
  <w:footnote w:id="1">
    <w:p w:rsidR="00D17B61" w:rsidRPr="00E938AF" w:rsidRDefault="00D17B61" w:rsidP="00E938AF">
      <w:pPr>
        <w:pStyle w:val="FootnoteText"/>
        <w:ind w:left="567" w:hanging="567"/>
        <w:rPr>
          <w:sz w:val="24"/>
          <w:lang w:val="bg-BG"/>
        </w:rPr>
      </w:pPr>
      <w:r w:rsidRPr="00E938AF">
        <w:rPr>
          <w:rStyle w:val="FootnoteReference"/>
          <w:sz w:val="24"/>
          <w:lang w:val="bg-BG"/>
        </w:rPr>
        <w:footnoteRef/>
      </w:r>
      <w:r w:rsidR="00E938AF" w:rsidRPr="00E938AF">
        <w:rPr>
          <w:sz w:val="24"/>
          <w:lang w:val="bg-BG"/>
        </w:rPr>
        <w:t xml:space="preserve"> </w:t>
      </w:r>
      <w:r w:rsidR="00E938AF" w:rsidRPr="00E938AF">
        <w:rPr>
          <w:sz w:val="24"/>
          <w:lang w:val="bg-BG"/>
        </w:rPr>
        <w:tab/>
      </w:r>
      <w:r w:rsidRPr="00E938AF">
        <w:rPr>
          <w:sz w:val="24"/>
          <w:lang w:val="bg-BG"/>
        </w:rPr>
        <w:t>ОВ L 45, 24.2.2022 г.</w:t>
      </w:r>
    </w:p>
  </w:footnote>
  <w:footnote w:id="2">
    <w:p w:rsidR="00D17B61" w:rsidRPr="00E938AF" w:rsidRDefault="00D17B61" w:rsidP="00E938AF">
      <w:pPr>
        <w:pStyle w:val="FootnoteText"/>
        <w:ind w:left="567" w:hanging="567"/>
        <w:rPr>
          <w:sz w:val="24"/>
          <w:lang w:val="bg-BG"/>
        </w:rPr>
      </w:pPr>
      <w:r w:rsidRPr="00E938AF">
        <w:rPr>
          <w:rStyle w:val="FootnoteReference"/>
          <w:sz w:val="24"/>
          <w:lang w:val="bg-BG"/>
        </w:rPr>
        <w:footnoteRef/>
      </w:r>
      <w:r w:rsidR="00E938AF" w:rsidRPr="00E938AF">
        <w:rPr>
          <w:sz w:val="24"/>
          <w:lang w:val="bg-BG"/>
        </w:rPr>
        <w:t xml:space="preserve"> </w:t>
      </w:r>
      <w:r w:rsidR="00E938AF" w:rsidRPr="00E938AF">
        <w:rPr>
          <w:sz w:val="24"/>
          <w:lang w:val="bg-BG"/>
        </w:rPr>
        <w:tab/>
      </w:r>
      <w:r w:rsidRPr="00E938AF">
        <w:rPr>
          <w:sz w:val="24"/>
          <w:lang w:val="bg-BG"/>
        </w:rPr>
        <w:t>ОВ C, C/2023/2, 12.10.2023 г.</w:t>
      </w:r>
    </w:p>
  </w:footnote>
  <w:footnote w:id="3">
    <w:p w:rsidR="00D17B61" w:rsidRPr="00E938AF" w:rsidRDefault="00D17B61" w:rsidP="00E938AF">
      <w:pPr>
        <w:pStyle w:val="FootnoteText"/>
        <w:ind w:left="567" w:hanging="567"/>
        <w:rPr>
          <w:sz w:val="24"/>
          <w:lang w:val="bg-BG"/>
        </w:rPr>
      </w:pPr>
      <w:r w:rsidRPr="00E938AF">
        <w:rPr>
          <w:rStyle w:val="FootnoteReference"/>
          <w:sz w:val="24"/>
          <w:lang w:val="bg-BG"/>
        </w:rPr>
        <w:footnoteRef/>
      </w:r>
      <w:r w:rsidR="00E938AF" w:rsidRPr="00E938AF">
        <w:rPr>
          <w:sz w:val="24"/>
          <w:lang w:val="bg-BG"/>
        </w:rPr>
        <w:t xml:space="preserve"> </w:t>
      </w:r>
      <w:r w:rsidR="00E938AF" w:rsidRPr="00E938AF">
        <w:rPr>
          <w:sz w:val="24"/>
          <w:lang w:val="bg-BG"/>
        </w:rPr>
        <w:tab/>
      </w:r>
      <w:r w:rsidRPr="00E938AF">
        <w:rPr>
          <w:sz w:val="24"/>
          <w:lang w:val="bg-BG"/>
        </w:rPr>
        <w:t>ОВ C, C/2023/103, 4.10.2023 г.</w:t>
      </w:r>
    </w:p>
  </w:footnote>
  <w:footnote w:id="4">
    <w:p w:rsidR="00D17B61" w:rsidRPr="00E938AF" w:rsidRDefault="00D17B61" w:rsidP="00E938AF">
      <w:pPr>
        <w:pStyle w:val="FootnoteText"/>
        <w:ind w:left="567" w:hanging="567"/>
        <w:rPr>
          <w:sz w:val="24"/>
          <w:lang w:val="bg-BG"/>
        </w:rPr>
      </w:pPr>
      <w:r w:rsidRPr="00E938AF">
        <w:rPr>
          <w:rStyle w:val="FootnoteReference"/>
          <w:sz w:val="24"/>
          <w:lang w:val="bg-BG"/>
        </w:rPr>
        <w:footnoteRef/>
      </w:r>
      <w:r w:rsidR="00E938AF" w:rsidRPr="00E938AF">
        <w:rPr>
          <w:sz w:val="24"/>
          <w:lang w:val="bg-BG"/>
        </w:rPr>
        <w:t xml:space="preserve"> </w:t>
      </w:r>
      <w:r w:rsidR="00E938AF" w:rsidRPr="00E938AF">
        <w:rPr>
          <w:sz w:val="24"/>
          <w:lang w:val="bg-BG"/>
        </w:rPr>
        <w:tab/>
      </w:r>
      <w:r w:rsidRPr="00E938AF">
        <w:rPr>
          <w:sz w:val="24"/>
          <w:lang w:val="bg-BG"/>
        </w:rPr>
        <w:t>ОВ C, C/2023/112, 12.10.2023 г.</w:t>
      </w:r>
    </w:p>
  </w:footnote>
  <w:footnote w:id="5">
    <w:p w:rsidR="00D17B61" w:rsidRPr="00E938AF" w:rsidRDefault="00D17B61" w:rsidP="00E938AF">
      <w:pPr>
        <w:pStyle w:val="FootnoteText"/>
        <w:ind w:left="567" w:hanging="567"/>
        <w:rPr>
          <w:sz w:val="24"/>
          <w:lang w:val="bg-BG"/>
        </w:rPr>
      </w:pPr>
      <w:r w:rsidRPr="00E938AF">
        <w:rPr>
          <w:rStyle w:val="FootnoteReference"/>
          <w:sz w:val="24"/>
          <w:lang w:val="bg-BG"/>
        </w:rPr>
        <w:footnoteRef/>
      </w:r>
      <w:r w:rsidR="00E938AF" w:rsidRPr="00E938AF">
        <w:rPr>
          <w:sz w:val="24"/>
          <w:lang w:val="bg-BG"/>
        </w:rPr>
        <w:t xml:space="preserve"> </w:t>
      </w:r>
      <w:r w:rsidR="00E938AF" w:rsidRPr="00E938AF">
        <w:rPr>
          <w:sz w:val="24"/>
          <w:lang w:val="bg-BG"/>
        </w:rPr>
        <w:tab/>
      </w:r>
      <w:r w:rsidRPr="00E938AF">
        <w:rPr>
          <w:sz w:val="24"/>
          <w:lang w:val="bg-BG"/>
        </w:rPr>
        <w:t>ОВ L 193, 30.7.2018 г., стр. 1.</w:t>
      </w:r>
    </w:p>
  </w:footnote>
  <w:footnote w:id="6">
    <w:p w:rsidR="00D17B61" w:rsidRPr="00E938AF" w:rsidRDefault="00D17B61" w:rsidP="00E938AF">
      <w:pPr>
        <w:pStyle w:val="FootnoteText"/>
        <w:ind w:left="567" w:hanging="567"/>
        <w:rPr>
          <w:sz w:val="24"/>
          <w:lang w:val="bg-BG"/>
        </w:rPr>
      </w:pPr>
      <w:r w:rsidRPr="00E938AF">
        <w:rPr>
          <w:rStyle w:val="FootnoteReference"/>
          <w:sz w:val="24"/>
          <w:lang w:val="bg-BG"/>
        </w:rPr>
        <w:footnoteRef/>
      </w:r>
      <w:r w:rsidR="00E938AF" w:rsidRPr="00E938AF">
        <w:rPr>
          <w:sz w:val="24"/>
          <w:lang w:val="bg-BG"/>
        </w:rPr>
        <w:t xml:space="preserve"> </w:t>
      </w:r>
      <w:r w:rsidR="00E938AF" w:rsidRPr="00E938AF">
        <w:rPr>
          <w:sz w:val="24"/>
          <w:lang w:val="bg-BG"/>
        </w:rPr>
        <w:tab/>
      </w:r>
      <w:r w:rsidRPr="00E938AF">
        <w:rPr>
          <w:sz w:val="24"/>
          <w:lang w:val="bg-BG"/>
        </w:rPr>
        <w:t>ОВ C 324, 1.10.2020 г., стр. 8.</w:t>
      </w:r>
    </w:p>
  </w:footnote>
  <w:footnote w:id="7">
    <w:p w:rsidR="00D17B61" w:rsidRPr="00E938AF" w:rsidRDefault="00D17B61" w:rsidP="00E938AF">
      <w:pPr>
        <w:pStyle w:val="FootnoteText"/>
        <w:ind w:left="567" w:hanging="567"/>
        <w:rPr>
          <w:sz w:val="24"/>
          <w:lang w:val="bg-BG"/>
        </w:rPr>
      </w:pPr>
      <w:r w:rsidRPr="00E938AF">
        <w:rPr>
          <w:rStyle w:val="FootnoteReference"/>
          <w:sz w:val="24"/>
          <w:lang w:val="bg-BG"/>
        </w:rPr>
        <w:footnoteRef/>
      </w:r>
      <w:r w:rsidR="00E938AF" w:rsidRPr="00E938AF">
        <w:rPr>
          <w:sz w:val="24"/>
          <w:lang w:val="bg-BG"/>
        </w:rPr>
        <w:t xml:space="preserve"> </w:t>
      </w:r>
      <w:r w:rsidR="00E938AF" w:rsidRPr="00E938AF">
        <w:rPr>
          <w:sz w:val="24"/>
          <w:lang w:val="bg-BG"/>
        </w:rPr>
        <w:tab/>
      </w:r>
      <w:r w:rsidRPr="00E938AF">
        <w:rPr>
          <w:sz w:val="24"/>
          <w:lang w:val="bg-BG"/>
        </w:rPr>
        <w:t>ОВ C 32, 27.1.2023 г., стр.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8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8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8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BG"/>
    <w:docVar w:name="dvnumam" w:val="0"/>
    <w:docVar w:name="dvpe" w:val="753.484"/>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общия бюджет на Европейския съюз за финансовата 2022 година, раздел VII ‒ Комитет на регионите(2023/2136(DEC))"/>
  </w:docVars>
  <w:rsids>
    <w:rsidRoot w:val="00F704A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1A1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172"/>
    <w:rsid w:val="006037C0"/>
    <w:rsid w:val="006631B6"/>
    <w:rsid w:val="00680577"/>
    <w:rsid w:val="006F74FA"/>
    <w:rsid w:val="00711E1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6B46"/>
    <w:rsid w:val="00BD48FE"/>
    <w:rsid w:val="00BD7BD8"/>
    <w:rsid w:val="00BE6ADC"/>
    <w:rsid w:val="00C05BFE"/>
    <w:rsid w:val="00C23CD4"/>
    <w:rsid w:val="00C61C0C"/>
    <w:rsid w:val="00C941CB"/>
    <w:rsid w:val="00CC2357"/>
    <w:rsid w:val="00CF071A"/>
    <w:rsid w:val="00D058B8"/>
    <w:rsid w:val="00D17B61"/>
    <w:rsid w:val="00D56C11"/>
    <w:rsid w:val="00D834A0"/>
    <w:rsid w:val="00D872DF"/>
    <w:rsid w:val="00D91E21"/>
    <w:rsid w:val="00DA7FCD"/>
    <w:rsid w:val="00E365E1"/>
    <w:rsid w:val="00E820A4"/>
    <w:rsid w:val="00E938AF"/>
    <w:rsid w:val="00EB006A"/>
    <w:rsid w:val="00EB4772"/>
    <w:rsid w:val="00ED169E"/>
    <w:rsid w:val="00ED4235"/>
    <w:rsid w:val="00F04346"/>
    <w:rsid w:val="00F075DC"/>
    <w:rsid w:val="00F149E9"/>
    <w:rsid w:val="00F5134D"/>
    <w:rsid w:val="00F704A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C6932"/>
  <w15:chartTrackingRefBased/>
  <w15:docId w15:val="{40E7CB22-B6A0-4C8D-A156-A6C464D47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17B6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17B61"/>
    <w:pPr>
      <w:spacing w:before="480" w:after="240"/>
    </w:pPr>
  </w:style>
  <w:style w:type="paragraph" w:customStyle="1" w:styleId="PageHeading">
    <w:name w:val="PageHeading"/>
    <w:basedOn w:val="Normal"/>
    <w:rsid w:val="00D17B61"/>
    <w:pPr>
      <w:keepNext/>
      <w:spacing w:after="480"/>
      <w:jc w:val="center"/>
    </w:pPr>
    <w:rPr>
      <w:rFonts w:ascii="Arial" w:hAnsi="Arial" w:cs="Arial"/>
      <w:b/>
    </w:rPr>
  </w:style>
  <w:style w:type="paragraph" w:customStyle="1" w:styleId="NormalBold">
    <w:name w:val="NormalBold"/>
    <w:basedOn w:val="Normal"/>
    <w:rsid w:val="00D17B61"/>
    <w:rPr>
      <w:b/>
    </w:rPr>
  </w:style>
  <w:style w:type="paragraph" w:customStyle="1" w:styleId="NormalHanging12a">
    <w:name w:val="NormalHanging12a"/>
    <w:basedOn w:val="Normal"/>
    <w:link w:val="NormalHanging12aChar"/>
    <w:qFormat/>
    <w:rsid w:val="00D17B61"/>
    <w:pPr>
      <w:spacing w:after="240"/>
      <w:ind w:left="567" w:hanging="567"/>
    </w:pPr>
  </w:style>
  <w:style w:type="paragraph" w:styleId="Header">
    <w:name w:val="header"/>
    <w:basedOn w:val="Normal"/>
    <w:link w:val="HeaderChar"/>
    <w:rsid w:val="00D17B61"/>
    <w:pPr>
      <w:tabs>
        <w:tab w:val="center" w:pos="4513"/>
        <w:tab w:val="right" w:pos="9026"/>
      </w:tabs>
    </w:pPr>
  </w:style>
  <w:style w:type="character" w:customStyle="1" w:styleId="HeaderChar">
    <w:name w:val="Header Char"/>
    <w:basedOn w:val="DefaultParagraphFont"/>
    <w:link w:val="Header"/>
    <w:rsid w:val="00D17B61"/>
    <w:rPr>
      <w:sz w:val="24"/>
      <w:lang w:val="bg-BG"/>
    </w:rPr>
  </w:style>
  <w:style w:type="paragraph" w:customStyle="1" w:styleId="EPFooter">
    <w:name w:val="EPFooter"/>
    <w:basedOn w:val="Normal"/>
    <w:rsid w:val="00D17B6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D17B61"/>
    <w:rPr>
      <w:sz w:val="24"/>
      <w:lang w:val="bg-BG"/>
    </w:rPr>
  </w:style>
  <w:style w:type="paragraph" w:styleId="BalloonText">
    <w:name w:val="Balloon Text"/>
    <w:basedOn w:val="Normal"/>
    <w:link w:val="BalloonTextChar"/>
    <w:rsid w:val="003E1A1E"/>
    <w:rPr>
      <w:rFonts w:ascii="Segoe UI" w:hAnsi="Segoe UI" w:cs="Segoe UI"/>
      <w:sz w:val="18"/>
      <w:szCs w:val="18"/>
    </w:rPr>
  </w:style>
  <w:style w:type="character" w:customStyle="1" w:styleId="BalloonTextChar">
    <w:name w:val="Balloon Text Char"/>
    <w:basedOn w:val="DefaultParagraphFont"/>
    <w:link w:val="BalloonText"/>
    <w:rsid w:val="003E1A1E"/>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BC21F-45FA-4082-B0C2-2DC2240B3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6707</Words>
  <Characters>38233</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2024-05-21T12:11:00Z</dcterms:created>
  <dcterms:modified xsi:type="dcterms:W3CDTF">2024-05-21T12:11:00Z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P9_TA(2024)0233_</vt:lpwstr>
  </property>
  <property fmtid="{D5CDD505-2E9C-101B-9397-08002B2CF9AE}" pid="4" name="&lt;Type&gt;">
    <vt:lpwstr>RR</vt:lpwstr>
  </property>
</Properties>
</file>