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4B9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4B99" w:rsidRDefault="00D50249" w:rsidP="0010095E">
            <w:pPr>
              <w:pStyle w:val="EPName"/>
            </w:pPr>
            <w:r w:rsidRPr="00604B99">
              <w:t>Evropský parlament</w:t>
            </w:r>
          </w:p>
          <w:p w:rsidR="00751A4A" w:rsidRPr="00604B9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4B9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04B99" w:rsidRDefault="00187494" w:rsidP="0010095E">
            <w:pPr>
              <w:pStyle w:val="EPLogo"/>
            </w:pPr>
            <w:r w:rsidRPr="00604B9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4B99" w:rsidRDefault="00D058B8" w:rsidP="004C5D52">
      <w:pPr>
        <w:pStyle w:val="LineTop"/>
      </w:pPr>
    </w:p>
    <w:p w:rsidR="00680577" w:rsidRPr="00604B99" w:rsidRDefault="00D50249" w:rsidP="00680577">
      <w:pPr>
        <w:pStyle w:val="EPBodyTA1"/>
      </w:pPr>
      <w:r w:rsidRPr="00604B99">
        <w:t>PŘIJATÉ TEXTY</w:t>
      </w:r>
    </w:p>
    <w:p w:rsidR="00D058B8" w:rsidRPr="00604B99" w:rsidRDefault="00D058B8" w:rsidP="00D058B8">
      <w:pPr>
        <w:pStyle w:val="LineBottom"/>
      </w:pPr>
    </w:p>
    <w:p w:rsidR="00D50249" w:rsidRPr="00604B99" w:rsidRDefault="00D50249" w:rsidP="00D50249">
      <w:pPr>
        <w:pStyle w:val="ATHeading1"/>
      </w:pPr>
      <w:bookmarkStart w:id="0" w:name="TANumber"/>
      <w:r w:rsidRPr="00604B99">
        <w:t>P9_TA(2024)0</w:t>
      </w:r>
      <w:r w:rsidR="000F3F3A">
        <w:t>233</w:t>
      </w:r>
      <w:bookmarkEnd w:id="0"/>
    </w:p>
    <w:p w:rsidR="00D50249" w:rsidRPr="00604B99" w:rsidRDefault="00D50249" w:rsidP="00D50249">
      <w:pPr>
        <w:pStyle w:val="ATHeading2"/>
      </w:pPr>
      <w:bookmarkStart w:id="1" w:name="title"/>
      <w:r w:rsidRPr="00604B99">
        <w:t>Udělení absolutoria za rok 2022: souhrnný rozpočet EU – Výbor regionů</w:t>
      </w:r>
      <w:bookmarkEnd w:id="1"/>
    </w:p>
    <w:p w:rsidR="00D50249" w:rsidRPr="00604B99" w:rsidRDefault="00D50249" w:rsidP="00D50249">
      <w:pPr>
        <w:rPr>
          <w:i/>
          <w:vanish/>
        </w:rPr>
      </w:pPr>
      <w:r w:rsidRPr="00604B99">
        <w:rPr>
          <w:i/>
        </w:rPr>
        <w:fldChar w:fldCharType="begin"/>
      </w:r>
      <w:r w:rsidRPr="00604B99">
        <w:rPr>
          <w:i/>
        </w:rPr>
        <w:instrText xml:space="preserve"> TC"(</w:instrText>
      </w:r>
      <w:bookmarkStart w:id="2" w:name="DocNumber"/>
      <w:r w:rsidRPr="00604B99">
        <w:rPr>
          <w:i/>
        </w:rPr>
        <w:instrText>A9-0073/2024</w:instrText>
      </w:r>
      <w:bookmarkEnd w:id="2"/>
      <w:r w:rsidRPr="00604B99">
        <w:rPr>
          <w:i/>
        </w:rPr>
        <w:instrText xml:space="preserve"> - Zpravodaj: Luke Ming Flanagan)"\l3 \n&gt; \* MERGEFORMAT </w:instrText>
      </w:r>
      <w:r w:rsidRPr="00604B99">
        <w:rPr>
          <w:i/>
        </w:rPr>
        <w:fldChar w:fldCharType="end"/>
      </w:r>
    </w:p>
    <w:p w:rsidR="00D50249" w:rsidRPr="00604B99" w:rsidRDefault="00D50249" w:rsidP="00D50249">
      <w:pPr>
        <w:rPr>
          <w:vanish/>
        </w:rPr>
      </w:pPr>
      <w:bookmarkStart w:id="3" w:name="Commission"/>
      <w:r w:rsidRPr="00604B99">
        <w:rPr>
          <w:vanish/>
        </w:rPr>
        <w:t>Výbor pro rozpočtovou kontrolu</w:t>
      </w:r>
      <w:bookmarkEnd w:id="3"/>
    </w:p>
    <w:p w:rsidR="00D50249" w:rsidRPr="00604B99" w:rsidRDefault="00D50249" w:rsidP="00D50249">
      <w:pPr>
        <w:rPr>
          <w:vanish/>
        </w:rPr>
      </w:pPr>
      <w:bookmarkStart w:id="4" w:name="PE"/>
      <w:r w:rsidRPr="00604B99">
        <w:rPr>
          <w:vanish/>
        </w:rPr>
        <w:t>PE753.484</w:t>
      </w:r>
      <w:bookmarkEnd w:id="4"/>
    </w:p>
    <w:p w:rsidR="00D50249" w:rsidRPr="00604B99" w:rsidRDefault="00D50249" w:rsidP="00D50249">
      <w:pPr>
        <w:pStyle w:val="ATHeading3"/>
      </w:pPr>
      <w:bookmarkStart w:id="5" w:name="Sujet"/>
      <w:r w:rsidRPr="00604B99">
        <w:t>1. Rozhodnutí Evropského parlamentu ze dne 11. dubna 2024 o udělení absolutoria za plnění souhrnného rozpočtu Evropské unie na rozpočtový rok 2022, oddíl VII – Výbor regionů</w:t>
      </w:r>
      <w:bookmarkEnd w:id="5"/>
      <w:r w:rsidRPr="00604B99">
        <w:t xml:space="preserve"> </w:t>
      </w:r>
      <w:bookmarkStart w:id="6" w:name="References"/>
      <w:r w:rsidRPr="00604B99">
        <w:t>(2023/2136(DEC))</w:t>
      </w:r>
      <w:bookmarkEnd w:id="6"/>
    </w:p>
    <w:p w:rsidR="00366984" w:rsidRPr="00604B99" w:rsidRDefault="00366984" w:rsidP="00366984">
      <w:pPr>
        <w:pStyle w:val="EPComma"/>
      </w:pPr>
      <w:bookmarkStart w:id="7" w:name="TextBodyBegin"/>
      <w:bookmarkEnd w:id="7"/>
      <w:r w:rsidRPr="00604B99">
        <w:rPr>
          <w:i/>
        </w:rPr>
        <w:t>Evropský parlament</w:t>
      </w:r>
      <w:r w:rsidRPr="00604B99">
        <w:t>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souhrnný rozpočet Evropské unie na rozpočtový rok 2022</w:t>
      </w:r>
      <w:r w:rsidRPr="00604B99">
        <w:rPr>
          <w:rStyle w:val="FootnoteReference"/>
        </w:rPr>
        <w:footnoteReference w:id="1"/>
      </w:r>
      <w:r w:rsidRPr="00604B99">
        <w:t>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 ohledem na konsolidovanou účetní závěrku Evropské unie za rozpočtový rok 2022 (COM(2023)0391 – C9-0255/2023)</w:t>
      </w:r>
      <w:r w:rsidRPr="00604B99">
        <w:rPr>
          <w:rStyle w:val="FootnoteReference"/>
        </w:rPr>
        <w:footnoteReference w:id="2"/>
      </w:r>
      <w:r w:rsidRPr="00604B99">
        <w:t>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výroční zprávu Výboru regionů o činnosti za rok 2022 a na jeho zprávu o rozpočtovém a finančním řízení za rozpočtový rok 2022,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výroční zprávu Účetního dvora o plnění rozpočtu na rozpočtový rok 2022 spolu s odpověďmi orgánů</w:t>
      </w:r>
      <w:r w:rsidRPr="00604B99">
        <w:rPr>
          <w:rStyle w:val="FootnoteReference"/>
        </w:rPr>
        <w:footnoteReference w:id="3"/>
      </w:r>
      <w:r w:rsidRPr="00604B99">
        <w:t>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prohlášení o věrohodnosti</w:t>
      </w:r>
      <w:r w:rsidRPr="00604B99">
        <w:rPr>
          <w:rStyle w:val="FootnoteReference"/>
        </w:rPr>
        <w:footnoteReference w:id="4"/>
      </w:r>
      <w:r w:rsidRPr="00604B99">
        <w:t xml:space="preserve"> účetnictví a o legalitě a správnosti uskutečněných operací, které předložil Účetní dvůr za rozpočtový rok 2022 podle článku 287 Smlouvy o fungování Evropské unie,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čl. 314 odst. 10 a články 317, 318 a 319 Smlouvy o fungování Evropské unie,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 1304/2013, (EU) č. 1309/2013, (EU) č. 1316/2013, (EU) č. 223/2014 a (EU) č. 283/2014 a rozhodnutí č. 541/2014/EU a zrušuje nařízení (EU, Euratom) č. 966/2012</w:t>
      </w:r>
      <w:r w:rsidRPr="00604B99">
        <w:rPr>
          <w:rStyle w:val="FootnoteReference"/>
        </w:rPr>
        <w:footnoteReference w:id="5"/>
      </w:r>
      <w:r w:rsidRPr="00604B99">
        <w:t>, a zejména na články 59, 118, 260, 261 a 262 tohoto nařízení,</w:t>
      </w:r>
    </w:p>
    <w:p w:rsidR="00366984" w:rsidRPr="00604B99" w:rsidRDefault="00366984" w:rsidP="00366984">
      <w:pPr>
        <w:pStyle w:val="NormalHanging12a"/>
      </w:pPr>
      <w:r w:rsidRPr="00604B99">
        <w:t>–</w:t>
      </w:r>
      <w:r w:rsidRPr="00604B99">
        <w:tab/>
        <w:t>s ohledem na článek 100 a přílohu V jednacího řádu,</w:t>
      </w:r>
    </w:p>
    <w:p w:rsidR="00366984" w:rsidRPr="00604B99" w:rsidRDefault="00366984" w:rsidP="00366984">
      <w:pPr>
        <w:pStyle w:val="NormalHanging12a"/>
      </w:pPr>
      <w:r w:rsidRPr="00604B99">
        <w:lastRenderedPageBreak/>
        <w:t>–</w:t>
      </w:r>
      <w:r w:rsidRPr="00604B99">
        <w:tab/>
        <w:t>s ohledem na zprávu Výboru pro rozpočtovou kontrolu (A9</w:t>
      </w:r>
      <w:r w:rsidRPr="00604B99">
        <w:noBreakHyphen/>
        <w:t>0073/2024),</w:t>
      </w:r>
    </w:p>
    <w:p w:rsidR="00366984" w:rsidRPr="00604B99" w:rsidRDefault="00366984" w:rsidP="00366984">
      <w:pPr>
        <w:pStyle w:val="NormalHanging12a"/>
      </w:pPr>
      <w:r w:rsidRPr="00604B99">
        <w:t>1.</w:t>
      </w:r>
      <w:r w:rsidRPr="00604B99">
        <w:tab/>
        <w:t>uděluje absolutorium generálnímu tajemníkovi Výboru regionů za plnění rozpočtu Výboru regionů na rozpočtový rok 2022;</w:t>
      </w:r>
    </w:p>
    <w:p w:rsidR="00366984" w:rsidRPr="00604B99" w:rsidRDefault="00366984" w:rsidP="00366984">
      <w:pPr>
        <w:pStyle w:val="NormalHanging12a"/>
      </w:pPr>
      <w:r w:rsidRPr="00604B99">
        <w:t>2.</w:t>
      </w:r>
      <w:r w:rsidRPr="00604B99">
        <w:tab/>
        <w:t>předkládá své připomínky v dále uvedeném usnesení;</w:t>
      </w:r>
    </w:p>
    <w:p w:rsidR="00366984" w:rsidRPr="00604B99" w:rsidRDefault="00366984" w:rsidP="00366984">
      <w:pPr>
        <w:pStyle w:val="NormalHanging12a"/>
      </w:pPr>
      <w:r w:rsidRPr="00604B99">
        <w:t>3.</w:t>
      </w:r>
      <w:r w:rsidRPr="00604B99">
        <w:tab/>
        <w:t>pověřuje svou předsedkyni, aby předala toto rozhodnutí a usnesení, které je jeho nedílnou součástí, generálnímu tajemníkovi Výboru regionů, Radě, Komisi a Účetnímu dvoru a aby zajistila jejich zveřejnění v </w:t>
      </w:r>
      <w:r w:rsidRPr="00604B99">
        <w:rPr>
          <w:i/>
        </w:rPr>
        <w:t>Úředním věstníku Evropské unie</w:t>
      </w:r>
      <w:r w:rsidRPr="00604B99">
        <w:t xml:space="preserve"> (řada L).</w:t>
      </w:r>
    </w:p>
    <w:p w:rsidR="00366984" w:rsidRPr="00604B99" w:rsidRDefault="00366984" w:rsidP="00366984"/>
    <w:p w:rsidR="00366984" w:rsidRPr="00604B99" w:rsidRDefault="00366984" w:rsidP="00366984">
      <w:pPr>
        <w:pStyle w:val="PageHeading"/>
        <w:sectPr w:rsidR="00366984" w:rsidRPr="00604B99" w:rsidSect="00604B99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66984" w:rsidRPr="00604B99" w:rsidRDefault="00366984" w:rsidP="005515AD">
      <w:pPr>
        <w:pStyle w:val="ATHeading3"/>
      </w:pPr>
      <w:bookmarkStart w:id="9" w:name="_Toc161828224"/>
      <w:r w:rsidRPr="00604B99">
        <w:lastRenderedPageBreak/>
        <w:t xml:space="preserve">2. </w:t>
      </w:r>
      <w:r w:rsidR="005515AD" w:rsidRPr="00604B99">
        <w:t>Usnesení Evropského parlamentu</w:t>
      </w:r>
      <w:bookmarkEnd w:id="9"/>
      <w:r w:rsidR="005515AD">
        <w:t xml:space="preserve"> </w:t>
      </w:r>
      <w:r w:rsidR="005515AD" w:rsidRPr="00604B99">
        <w:t xml:space="preserve">ze dne 11. dubna 2024 </w:t>
      </w:r>
      <w:r w:rsidRPr="00604B99">
        <w:t>obsahující připomínky, které jsou nedílnou součástí rozhodnutí o plnění souhrnného rozpočtu Evropské unie na rozpočtový rok 2022, oddíl VII – Výbor regionů</w:t>
      </w:r>
      <w:r w:rsidR="005515AD">
        <w:t xml:space="preserve"> </w:t>
      </w:r>
      <w:r w:rsidRPr="00604B99">
        <w:t>(2023/2136(DEC))</w:t>
      </w:r>
    </w:p>
    <w:p w:rsidR="00366984" w:rsidRPr="00604B99" w:rsidRDefault="00366984" w:rsidP="00366984">
      <w:pPr>
        <w:pStyle w:val="EPComma"/>
      </w:pPr>
      <w:r w:rsidRPr="00604B99">
        <w:rPr>
          <w:i/>
        </w:rPr>
        <w:t>Evropský parlament</w:t>
      </w:r>
      <w:r w:rsidRPr="00604B99">
        <w:t>,</w:t>
      </w:r>
    </w:p>
    <w:p w:rsidR="00366984" w:rsidRPr="00604B99" w:rsidRDefault="00366984" w:rsidP="0098083A">
      <w:pPr>
        <w:pStyle w:val="NormalHanging12a"/>
      </w:pPr>
      <w:r w:rsidRPr="00604B99">
        <w:t>–</w:t>
      </w:r>
      <w:r w:rsidRPr="00604B99">
        <w:tab/>
        <w:t>s ohledem na své rozhodnutí o udělení absolutoria za plnění souhrnného rozpočtu Evropské unie na rozpočtový rok 2022, oddíl VII – Výbor regionů,</w:t>
      </w:r>
    </w:p>
    <w:p w:rsidR="00366984" w:rsidRPr="00604B99" w:rsidRDefault="00366984" w:rsidP="0098083A">
      <w:pPr>
        <w:pStyle w:val="NormalHanging12a"/>
      </w:pPr>
      <w:r w:rsidRPr="00604B99">
        <w:t>–</w:t>
      </w:r>
      <w:r w:rsidRPr="00604B99">
        <w:tab/>
        <w:t>s ohledem na článek 100 a přílohu V jednacího řádu,</w:t>
      </w:r>
    </w:p>
    <w:p w:rsidR="00366984" w:rsidRPr="00604B99" w:rsidRDefault="00366984" w:rsidP="0098083A">
      <w:pPr>
        <w:pStyle w:val="NormalHanging12a"/>
      </w:pPr>
      <w:r w:rsidRPr="00604B99">
        <w:t>–</w:t>
      </w:r>
      <w:r w:rsidRPr="00604B99">
        <w:tab/>
        <w:t>s ohledem na zprávu Výboru pro rozpočtovou kontrolu (A9</w:t>
      </w:r>
      <w:r w:rsidRPr="00604B99">
        <w:noBreakHyphen/>
        <w:t>0073/2024),</w:t>
      </w:r>
    </w:p>
    <w:p w:rsidR="00366984" w:rsidRPr="00604B99" w:rsidRDefault="00366984" w:rsidP="0098083A">
      <w:pPr>
        <w:pStyle w:val="NormalHanging12a"/>
      </w:pPr>
      <w:r w:rsidRPr="00604B99">
        <w:t>A.</w:t>
      </w:r>
      <w:r w:rsidRPr="00604B99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:rsidR="00366984" w:rsidRPr="00604B99" w:rsidRDefault="00366984" w:rsidP="0098083A">
      <w:pPr>
        <w:pStyle w:val="NormalHanging12a"/>
        <w:rPr>
          <w:color w:val="000000"/>
        </w:rPr>
      </w:pPr>
      <w:r w:rsidRPr="00604B99">
        <w:t>B.</w:t>
      </w:r>
      <w:r w:rsidRPr="00604B99">
        <w:tab/>
      </w:r>
      <w:r w:rsidRPr="00604B99">
        <w:rPr>
          <w:color w:val="000000"/>
        </w:rPr>
        <w:t>vzhledem k tomu, že Výbor regionů (dále jen „Výbor“) je politickým shromážděním 329 členů zvolených v regionech, městech, vesnicích a obcích 27 členských států Unie a slouží jako poradní subjekt orgánů Unie, jehož posláním je přispívat k formování politik Unie a procesu rozhodování z hlediska místních a regionálních orgánů a současně přispívat k tomu, aby byla Unie efektivnější a blíže občanům;</w:t>
      </w:r>
    </w:p>
    <w:p w:rsidR="00366984" w:rsidRPr="00604B99" w:rsidRDefault="00366984" w:rsidP="0098083A">
      <w:pPr>
        <w:pStyle w:val="NormalHanging12a"/>
        <w:rPr>
          <w:color w:val="000000"/>
          <w:szCs w:val="24"/>
        </w:rPr>
      </w:pPr>
      <w:r w:rsidRPr="00604B99">
        <w:rPr>
          <w:color w:val="000000"/>
        </w:rPr>
        <w:t>C.</w:t>
      </w:r>
      <w:r w:rsidRPr="00604B99">
        <w:rPr>
          <w:color w:val="000000"/>
        </w:rPr>
        <w:tab/>
        <w:t>vzhledem k tomu, že ač jsou konzultace s Výborem ze strany Komise nebo Rady v určitých případech povinné, může Výbor přijímat stanoviska i z vlastního podnětu a má široký prostor pro postoupení, jak je stanoveno ve Smlouvách, přičemž konzultovat jej může i Parlament;</w:t>
      </w:r>
    </w:p>
    <w:p w:rsidR="00366984" w:rsidRPr="00604B99" w:rsidRDefault="00366984" w:rsidP="0098083A">
      <w:pPr>
        <w:pStyle w:val="NormalHanging12a"/>
        <w:rPr>
          <w:color w:val="000000"/>
          <w:szCs w:val="24"/>
        </w:rPr>
      </w:pPr>
      <w:r w:rsidRPr="00604B99">
        <w:rPr>
          <w:color w:val="000000"/>
        </w:rPr>
        <w:t>D.</w:t>
      </w:r>
      <w:r w:rsidRPr="00604B99">
        <w:rPr>
          <w:color w:val="000000"/>
        </w:rPr>
        <w:tab/>
        <w:t>vzhledem k tomu, že činnosti Výboru jsou definovány na základě jeho celkové politické strategie, která je stanovena v usnesení ze dne 2. července 2020 o jeho prioritách na období 2020–2025</w:t>
      </w:r>
      <w:r w:rsidRPr="00604B99">
        <w:rPr>
          <w:rStyle w:val="FootnoteReference"/>
          <w:color w:val="000000"/>
          <w:szCs w:val="24"/>
        </w:rPr>
        <w:footnoteReference w:id="6"/>
      </w:r>
      <w:r w:rsidRPr="00604B99">
        <w:rPr>
          <w:color w:val="000000"/>
        </w:rPr>
        <w:t>, a vzhledem k tomu, že Výbor přijal pro svůj mandát na období 2020–2025 tři politické priority doprovázené třemi komunikačními kampaněmi: Přiblížení Evropy občanům, Budování odolných regionálních a místních komunit a Podpora soudržnosti coby základní hodnoty Unie;</w:t>
      </w:r>
    </w:p>
    <w:p w:rsidR="00366984" w:rsidRPr="00604B99" w:rsidRDefault="00366984" w:rsidP="0098083A">
      <w:pPr>
        <w:pStyle w:val="NormalHanging12a"/>
        <w:rPr>
          <w:color w:val="000000"/>
          <w:szCs w:val="24"/>
        </w:rPr>
      </w:pPr>
      <w:r w:rsidRPr="00604B99">
        <w:rPr>
          <w:color w:val="000000"/>
        </w:rPr>
        <w:t>E.</w:t>
      </w:r>
      <w:r w:rsidRPr="00604B99">
        <w:rPr>
          <w:color w:val="000000"/>
        </w:rPr>
        <w:tab/>
        <w:t>vzhledem k tomu, že místní a regionální správy jsou zodpovědné za třetinu veřejných výdajů, polovinu veřejných investic a čtvrtinu daňových příjmů a v řadě členských států mají pravomoci v klíčových oblastech, jako je vzdělávání, ekonomický rozvoj a soudržnost, životní prostředí, sociální ochrana, zdravotnictví a služby veřejného zájmu, a koordinace na místní, regionální, celostátní a evropské úrovni tudíž zvyšuje legitimitu právních předpisů, zlepšuje odpovědnost a účinněji zajišťuje přínosy pro občany;</w:t>
      </w:r>
    </w:p>
    <w:p w:rsidR="00366984" w:rsidRPr="00604B99" w:rsidRDefault="00366984" w:rsidP="0098083A">
      <w:pPr>
        <w:pStyle w:val="NormalHanging12a"/>
        <w:rPr>
          <w:color w:val="000000"/>
          <w:szCs w:val="24"/>
        </w:rPr>
      </w:pPr>
      <w:r w:rsidRPr="00604B99">
        <w:rPr>
          <w:color w:val="000000"/>
        </w:rPr>
        <w:t>F.</w:t>
      </w:r>
      <w:r w:rsidRPr="00604B99">
        <w:rPr>
          <w:color w:val="000000"/>
        </w:rPr>
        <w:tab/>
        <w:t>vzhledem k tomu, že Výbor usiluje o splnění svého politického cíle, jímž je posílit své zapojení do celého unijního politického a legislativního cyklu a současně navázat hmatatelnější spojení s občany Unie prostřednictvím členů Výboru jako účinných multiplikátorů v komunitách a vnitrostátních sdruženích místních a regionálních orgánů;</w:t>
      </w:r>
    </w:p>
    <w:p w:rsidR="00366984" w:rsidRPr="00604B99" w:rsidRDefault="00366984" w:rsidP="0098083A">
      <w:pPr>
        <w:pStyle w:val="NormalHanging12a"/>
        <w:rPr>
          <w:color w:val="000000"/>
          <w:szCs w:val="24"/>
        </w:rPr>
      </w:pPr>
      <w:r w:rsidRPr="00604B99">
        <w:rPr>
          <w:color w:val="000000"/>
        </w:rPr>
        <w:lastRenderedPageBreak/>
        <w:t>G.</w:t>
      </w:r>
      <w:r w:rsidRPr="00604B99">
        <w:rPr>
          <w:color w:val="000000"/>
        </w:rPr>
        <w:tab/>
        <w:t>vzhledem k tomu, že prostřednictvím více než 400 vnitrostátních a regionálních programů, které byly zavedeny za účelem plnění cílů politiky soudržnosti v programovém období 2021–2027, bude v rámci různých fondů uvolněno přibližně 380 miliard EUR, které jsou určeny na to, aby se řešily hospodářské, sociální a environmentální výzvy, jimž regiony, města, vesnice a obce v Unii čelí;</w:t>
      </w:r>
    </w:p>
    <w:p w:rsidR="00366984" w:rsidRPr="00604B99" w:rsidRDefault="00366984" w:rsidP="0098083A">
      <w:pPr>
        <w:pStyle w:val="NormalHanging12a"/>
        <w:rPr>
          <w:color w:val="000000"/>
          <w:szCs w:val="24"/>
        </w:rPr>
      </w:pPr>
      <w:r w:rsidRPr="00604B99">
        <w:rPr>
          <w:color w:val="000000"/>
        </w:rPr>
        <w:t>H.</w:t>
      </w:r>
      <w:r w:rsidRPr="00604B99">
        <w:rPr>
          <w:color w:val="000000"/>
        </w:rPr>
        <w:tab/>
        <w:t>vzhledem k tomu, že jakožto orgán Unie ve smyslu finančního nařízení je Výbor povinen schvalovat vlastní roční účetní závěrky, které jsou vypracovány v souladu s účetními pravidly přijatými účetním Komise (účetní pravidla Evropské unie) na základě mezinárodních účetních standardů pro veřejný sektor (IPSAS) a následně jsou konsolidovány do účetní závěrky Unie;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1.</w:t>
      </w:r>
      <w:r w:rsidRPr="00604B99">
        <w:tab/>
        <w:t>konstatuje, že rozpočet Výboru spadá do okruhu 7 VFR „Evropská veřejná správa“, který v roce 2022 činil celkem 11,6 miliardy EUR, tj. 5,9 % rozpočtových výdajů Unie; konstatuje, že v roce 2022 představoval rozpočet Výboru 0,95 % prostředků okruhu 7 VFR;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2.</w:t>
      </w:r>
      <w:r w:rsidRPr="00604B99">
        <w:tab/>
        <w:t>konstatuje, že Evropský účetní dvůr (dále jen „Účetní dvůr“) ve výroční zprávě za rozpočtový rok 2022 zkoumal vzorek 60 transakcí v oddílu Správa, což je stejný počet jako v roce 2021; dále uvádí, že Účetní dvůr píše, že správní výdaje zahrnují výdaje na lidské zdroje, včetně výdajů na důchody, které v roce 2022 představovaly přibližně 70 % celkových správních výdajů, a výdaje na budovy, vybavení, energie a komunikační a informační technologie a že z jeho dlouholeté práce vyplývá, že tyto výdaje celkově vykazují nízké riziko;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3.</w:t>
      </w:r>
      <w:r w:rsidRPr="00604B99">
        <w:tab/>
        <w:t xml:space="preserve">konstatuje, že Účetní dvůr v rámci svého auditu za rok 2022 prověřil systémy dohledu a kontroly Výboru, zejména provádění norem vnitřní kontroly, řízení rizik a fungování klíčových kontrol definovaných ve finančním nařízení, včetně kontrol </w:t>
      </w:r>
      <w:r w:rsidRPr="00604B99">
        <w:rPr>
          <w:i/>
          <w:iCs/>
        </w:rPr>
        <w:t>ex ante</w:t>
      </w:r>
      <w:r w:rsidRPr="00604B99">
        <w:t xml:space="preserve"> a </w:t>
      </w:r>
      <w:r w:rsidRPr="00604B99">
        <w:rPr>
          <w:i/>
          <w:iCs/>
        </w:rPr>
        <w:t>ex post</w:t>
      </w:r>
      <w:r w:rsidRPr="00604B99">
        <w:t xml:space="preserve"> u plateb;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4.</w:t>
      </w:r>
      <w:r w:rsidRPr="00604B99">
        <w:tab/>
        <w:t>konstatuje, že 14 z 60 transakcí (23 %) obsahovalo chyby, ale že Účetní dvůr na základě pěti vyčíslených chyb odhaduje míru chyb pod prahem významnosti;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5.</w:t>
      </w:r>
      <w:r w:rsidRPr="00604B99">
        <w:tab/>
        <w:t>s uspokojením konstatuje, že Účetní dvůr ve výroční zprávě za rozpočtový rok 2022 uvádí, že nezjistil žádné konkrétní problémy týkající se Výboru;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t>Rozpočtové a finanční řízení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6.</w:t>
      </w:r>
      <w:r w:rsidRPr="00604B99">
        <w:tab/>
        <w:t>konstatuje, že v roce 2022 činil konečný schválený rozpočet Výboru 109 976 858 EUR, včetně opravného rozpočtu 5/2022, což představuje celkové zvýšení o 3,03 % oproti roku 2021; konstatuje, že prostředky v rozpočtové položce 1004 „cestovní výdaje a denní příspěvky, účast na zasedáních a související výdaje“ se v letech 2021–2022 zvýšily ze 4 244 488 EUR na 8 158 838 EUR, tj. o 92 %, a to z důvodu obnovení cestování po pandemii COVID-19; konstatuje, že jinak zůstalo rozdělení prostředků v rozpočtových položkách v rozpočtu na rok 2022 srovnatelné s rozdělením v předchozích letech;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7.</w:t>
      </w:r>
      <w:r w:rsidRPr="00604B99">
        <w:tab/>
        <w:t xml:space="preserve">konstatuje, že rozpočet na pracovní cesty pro rok 2022 činil 419 657 EUR oproti 169 856 EUR v roce 2021, tj. nárůst o 147 %, což lze vysvětlit počtem online schůzí v roce 2021 a na začátku roku 2022 v důsledku omezení souvisejících s pandemií COVID-19, jakož i nárůstem cen cestovného v roce 2022; konstatuje, že příspěvek pro </w:t>
      </w:r>
      <w:r w:rsidRPr="00604B99">
        <w:lastRenderedPageBreak/>
        <w:t>předsednictví Výboru (předsedu a prvního místopředsedu) na cestovní výdaje a výdaje na schůze, které jsou financovány ze souhrnného rozpočtu na výdaje poslanců, se v letech 2021–2022 zvýšil ze 49 852 EUR na 71 810 EUR, tj. o 44 %; vítá pokyny k nákladově efektivnější, účelnější a udržitelnější politice pracovních cest, které byly rozeslány v červnu 2022 s cílem snížit počet pracovních cest zaměstnanců Výboru na minimum;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8.</w:t>
      </w:r>
      <w:r w:rsidRPr="00604B99">
        <w:tab/>
        <w:t>konstatuje, že míra plnění rozpočtu v roce 2022 činila 99,2 %, což je o něco více než v roce 2021, kdy míra plnění rozpočtu činila 98,9 %;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9.</w:t>
      </w:r>
      <w:r w:rsidRPr="00604B99">
        <w:tab/>
        <w:t>konstatuje, že průměrná doba pro provedení platby v roce 2022 činila 17,87 dne, což je více než v roce 2021, kdy činila 16,11 dne; konstatuje, že se zároveň zvýšil podíl elektronické fakturace z 32 % na 68 %; konstatuje, že mezi těmito dvěma údaji není žádná souvislost, a vyzývá Výbor, aby dokončil digitalizaci pracovního postupu plateb s cílem zlepšit jeho účinnost a včasnost;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10.</w:t>
      </w:r>
      <w:r w:rsidRPr="00604B99">
        <w:tab/>
        <w:t>konstatuje, že ruská útočná válka proti Ukrajině vytvořila na Výbor rozpočtový tlak, mimo jiné v důsledku rostoucí inflace a úprav platů, silně rostoucích nákladů na energie a nákladů na stavební práce a suroviny; dále konstatuje, že Výbor poskytl svou politickou podporu ukrajinským místním a regionálním orgánům a organizoval aktivity v souvislosti s válkou proti Ukrajině, což mělo dopad na rozpočet na pracovní cesty, studie a školení;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11.</w:t>
      </w:r>
      <w:r w:rsidRPr="00604B99">
        <w:tab/>
        <w:t>konstatuje, že vlastní útvary Výboru v roce 2022 uspořádaly 14 výběrových řízení, včetně 11 vyjednaných zadávacích řízení na služby tlumočení na dálku v členských státech; konstatuje, že zadávací řízení v oblasti logistiky byla zahájena společnými útvary, které Výbor sdílí s Evropským hospodářským a sociálním výborem (EHSV);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t>Vnitřní řízení, výkonnost a vnitřní kontrola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12.</w:t>
      </w:r>
      <w:r w:rsidRPr="00604B99">
        <w:tab/>
        <w:t>konstatuje, že Výbor přispívá k politickému a rozhodovacímu procesu Unie z pohledu regionálních a místních orgánů v rámci Unie a poskytuje rámec pro posílení spolupráce mezi místní, regionální, vnitrostátní a evropskou úrovní a pro přiblížení Evropy jejím občanům; vítá význam příspěvku Výboru k důležitým tématům Unie, jako je provádění Nástroje pro oživení a odolnost, jak se odráží v usnesení Parlamentu ze dne 23. června 2022 o provádění Nástroje pro oživení a odolnost</w:t>
      </w:r>
      <w:r w:rsidRPr="00604B99">
        <w:rPr>
          <w:vertAlign w:val="superscript"/>
        </w:rPr>
        <w:footnoteReference w:id="7"/>
      </w:r>
      <w:r w:rsidRPr="00604B99">
        <w:t>; vybízí Výbor, aby pomáhal svým členům účastnit se místních dialogů s občany o evropských záležitostech;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13.</w:t>
      </w:r>
      <w:r w:rsidRPr="00604B99">
        <w:tab/>
        <w:t>konstatuje, že Výbor plní své poslání formou stanovisek, která se týkají legislativních návrhů předložených Komisí (žádosti o vypracování stanoviska), stanovisek vypracovaných z vlastního podnětu, ve kterých vyzývá orgány Unie, aby přijaly opatření, a usnesení, která upozorňují na postoje Výboru ke konkrétním tématům; konstatuje, že v roce 2022 přijal Výbor 55 stanovisek a 8 usnesení, což je o něco méně než v roce 2021, kdy přijal 60 stanovisek a 9 usnesení; vybízí Výbor, aby i nadále posiloval svou schopnost poskytovat důkazy z praxe hlavním orgánům EU za pomoci údajů, empirických analýz a kompilací osvědčených postupů;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14.</w:t>
      </w:r>
      <w:r w:rsidRPr="00604B99">
        <w:tab/>
        <w:t xml:space="preserve">vítá, že Výbor přijal konkrétní kroky k posílení svého zapojení do celého politického a legislativního cyklu Unie v souladu se svými výsadami vyplývajícími ze Smluv; vítá </w:t>
      </w:r>
      <w:r w:rsidRPr="00604B99">
        <w:lastRenderedPageBreak/>
        <w:t xml:space="preserve">zejména dohodu o spolupráci mezi Parlamentem a Výborem a úzkou spolupráci mezi Výborem a několika parlamentními výbory, </w:t>
      </w:r>
      <w:proofErr w:type="spellStart"/>
      <w:r w:rsidRPr="00604B99">
        <w:t>meziskupinami</w:t>
      </w:r>
      <w:proofErr w:type="spellEnd"/>
      <w:r w:rsidRPr="00604B99">
        <w:t xml:space="preserve"> a generálními ředitelstvími; konstatuje, že v roce 2022 uspořádal Výbor 56 přípravných a následných schůzí s Parlamentem pro zpravodaje svých stanovisek; dále konstatuje, že na schůzích výborů Parlamentu v roce 2022 vystoupilo 20 zpravodajů Výboru; blahopřeje Výboru k posílení jeho zapojení do legislativních trialogů, zejména k tomu, že mu byl umožněn přístup k dokumentům z trialogů; domnívá se, že by členové Výboru a EHSV měli být zváni na příslušné parlamentní výměny názorů, včetně schůzí výborů, týkající se otázek, kterými se zabývají;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15.</w:t>
      </w:r>
      <w:r w:rsidRPr="00604B99">
        <w:tab/>
        <w:t>vítá opatření, která Výbor přijal v průběhu roku 2022 s cílem optimalizovat své zdroje a zvýšit efektivitu nákladů a zároveň zvýšit dopad své politické činnosti v rámci programu „</w:t>
      </w:r>
      <w:proofErr w:type="spellStart"/>
      <w:r w:rsidRPr="00604B99">
        <w:t>Going</w:t>
      </w:r>
      <w:proofErr w:type="spellEnd"/>
      <w:r w:rsidRPr="00604B99">
        <w:t xml:space="preserve"> </w:t>
      </w:r>
      <w:proofErr w:type="spellStart"/>
      <w:r w:rsidRPr="00604B99">
        <w:t>for</w:t>
      </w:r>
      <w:proofErr w:type="spellEnd"/>
      <w:r w:rsidRPr="00604B99">
        <w:t xml:space="preserve"> </w:t>
      </w:r>
      <w:proofErr w:type="spellStart"/>
      <w:r w:rsidRPr="00604B99">
        <w:t>IMPact</w:t>
      </w:r>
      <w:proofErr w:type="spellEnd"/>
      <w:r w:rsidRPr="00604B99">
        <w:t>“, a zejména 43 projektů zjednodušení a digitalizace, které přispívají k modernizaci správy Výboru a k digitalizaci pracovních postupů v rámci „Strategie zjednodušení pravidel a postupů Výboru na období 2020–2025“;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16.</w:t>
      </w:r>
      <w:r w:rsidRPr="00604B99">
        <w:tab/>
        <w:t>vítá aktivní zapojení Výboru do práce Konference o budoucnosti Evropy s delegací 30 členů, z nichž 12 zastupovalo evropská sdružení místních a regionálních orgánů; konstatuje, že v návaznosti na práci vykonanou v roce 2021 uspořádal Výbor v roce 2022 14 schůzí s delegáty Konference o budoucnosti Evropy a 9 přípravných schůzí; zdůrazňuje, že Výbor vytvořil zvláštní pracovní skupinu „Konference o budoucnosti Evropy“, která koordinuje práci všech zúčastněných ředitelství a oddělení; konstatuje, že návrhy obsažené v závěrečné zprávě Konference o budoucnosti Evropy vydané dne 9. května 2022 byly převzaty do projektu Výboru „Využití potenciálu regionálních a místních orgánů k posílení EU“, který byl realizován v průběhu roku 2022;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17.</w:t>
      </w:r>
      <w:r w:rsidRPr="00604B99">
        <w:tab/>
        <w:t>zdůrazňuje, že plenární shromáždění Konference o budoucnosti Evropy ve své závěrečné zprávě požaduje ve svém 40. doporučení v rámci opatření č. 3, aby byla provedena reforma Výboru s cílem zavést odpovídající způsoby dialogu s regiony, městy a obcemi, čímž by se posílila jeho úloha v institucionální struktuře, pokud jde o záležitosti s územním dopadem;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18.</w:t>
      </w:r>
      <w:r w:rsidRPr="00604B99">
        <w:tab/>
        <w:t>konstatuje, že v roce 2022 Výbor přezkoumal a posílil svůj rámec vnitřní kontroly na úrovni plánování a podávání zpráv, systémů, finančního ověřování a citlivých funkcí; blahopřeje Výboru k vytvoření specializovaného konvergenčního nástroje a platformy pro plánování, podávání zpráv, hodnocení rizik a kontinuitu činností; konstatuje, že nová politika týkající se citlivých pracovních míst vstoupila v platnost dne 1. ledna 2022 a zaměstnancům byla oznámena dne 27. ledna 2022;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19.</w:t>
      </w:r>
      <w:r w:rsidRPr="00604B99">
        <w:tab/>
        <w:t>konstatuje, že do dubna 2022 se všechny schůze konaly online, ale od dubna 2022 se statutární schůze pořádají za fyzické přítomnosti, zatímco ostatní schůze mohou být organizovány na dálku nebo v hybridním formátu; konstatuje, že až do revize jednacího řádu Výboru v roce 2023 se nadále vyplácel paušální příspěvek ve výši 200 EUR na schůze na dálku a hybridní schůze podle pravidel platných od roku 2021; upozorňuje, že od července 2023 je příspěvek na schůzi na dálku stanoven na 50 % standardního příspěvku na schůzi (tj. v současné době 50 % z 359 EUR, což činí 179,50 EUR); má za to, že účast na dálku je pro moderní instituce důležitým nástrojem, neboť mimo jiné snižuje náklady na schůze a umožňuje širší účast, zejména v krizových situacích, jak se ukázalo během pandemie COVID-19; s uspokojením konstatuje, že doporučení interního auditu týkající se přiměřenosti plánování a řízení příspěvků a náhrad členům za účast na schůzích byla uspokojivě provedena;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lastRenderedPageBreak/>
        <w:t>Lidské zdroje, rovnost a pracovní podmínky zaměstnanců</w:t>
      </w:r>
    </w:p>
    <w:p w:rsidR="00366984" w:rsidRPr="00604B99" w:rsidRDefault="00366984" w:rsidP="0098083A">
      <w:pPr>
        <w:pStyle w:val="NormalHanging12a"/>
      </w:pPr>
      <w:r w:rsidRPr="00604B99">
        <w:t>20.</w:t>
      </w:r>
      <w:r w:rsidRPr="00604B99">
        <w:tab/>
        <w:t>konstatuje, že na konci roku 2022 měl Výbor celkem 533 zaměstnanců, zatímco v roce 2021 jich bylo 547 a v roce 2020 537; konstatuje, že na konci roku 2022 bylo ve Výboru zaměstnáno 56 smluvních zaměstnanců a 89 dočasných zaměstnanců, z toho 21 smluvních zaměstnanců mělo smlouvu na dobu neurčitou a tři dočasní zaměstnanci byli zaměstnáni na dočasné pozici, přičemž ve dvou případech se smlouvou na dobu neurčitou a v případě generálního tajemníka na pevně stanovenou dobu pěti let; dále konstatuje, že Výbor zaměstnával 8 dočasných pracovníků a 14 externích pracovníků, kteří pracovali na místě, a to kromě externích poskytovatelů služeb v oblasti logistiky a IT; konstatuje, že v roce 2022 byla míra obsazenosti pracovních míst v plánu pracovních míst 96 %;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21.</w:t>
      </w:r>
      <w:r w:rsidRPr="00604B99">
        <w:tab/>
        <w:t>konstatuje, že v dubnu 2022 vstoupil v platnost nový pilotní projekt hybridního pracovního režimu, jehož cílem je přizpůsobit rámec lidských zdrojů novým způsobům práce a který poskytuje zaměstnancům Výboru možnost organizovat svou týdenní a denní práci s vysokou mírou flexibility a pracovat distančně až 60 % pracovní doby; vítá, že nový režim nabízí řadu možností práce na částečný úvazek na základě statutárních práv stanovených ve služebním řádu; s uspokojením konstatuje, že 90,25 % zaměstnanců, kteří se zúčastnili průzkumu mezi zaměstnanci v prosinci 2022, uvedlo, že jsou s těmito flexibilními opatřeními spokojeni;</w:t>
      </w:r>
    </w:p>
    <w:p w:rsidR="00366984" w:rsidRPr="00604B99" w:rsidRDefault="00366984" w:rsidP="0098083A">
      <w:pPr>
        <w:pStyle w:val="NormalHanging12a"/>
      </w:pPr>
      <w:r w:rsidRPr="00604B99">
        <w:t>22.</w:t>
      </w:r>
      <w:r w:rsidRPr="00604B99">
        <w:tab/>
        <w:t>se znepokojením konstatuje, že v roce 2022 bylo ve Výboru nahlášeno 16 případů vyhoření; dále konstatuje, že se Výboru podařilo v roce 2022 znovu začlenit 15 zaměstnanců po dlouhodobé nepřítomnosti v důsledku vyhoření, a to díky individuálním opatřením v návaznosti na dlouhodobou pracovní neschopnost; vítá preventivní opatření přijatá Výborem ke snížení psychosociálních rizik a syndromu vyhoření; v této souvislosti oceňuje proaktivní přístup lékařské služby a osvětové konference, školení a kurzy pořádané Výborem;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23.</w:t>
      </w:r>
      <w:r w:rsidRPr="00604B99">
        <w:tab/>
        <w:t>konstatuje, že Výbor pokračoval ve zvyšování povědomí o opatřeních zavedených k boji proti obtěžování na pracovišti v souladu se svým rozhodnutím ze dne 26. dubna 2021 o ochraně důstojnosti v práci, zvládání konfliktů a boji proti obtěžování, zejména prostřednictvím zvláštních pokynů, interní komunikace a uspořádáním několika informačních schůzek pro zaměstnance a vedoucí pracovníky; konstatuje, že v roce 2022 se Výbor musel zabývat novým obviněním z psychického obtěžování ze strany zaměstnance EHSV vůči zaměstnanci Výboru, které oba výbory stále prověřují; vyzývá Výbor, aby podal zprávu o opatřeních přijatých v návaznosti na toto obvinění, zejména s přihlédnutím k interinstitucionálnímu hledisku;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24.</w:t>
      </w:r>
      <w:r w:rsidRPr="00604B99">
        <w:tab/>
        <w:t>konstatuje, že na konci roku 2022 bylo ve Výboru zaměstnáno 56,8 % žen a 43,2 % mužů ve srovnání s 56,6 % žen v roce 2021 a 55,5 % žen v roce 2020; se znepokojením konstatuje, že podíl žen v jednotlivých platových třídách a jejich postavení má stejný trend jako v předchozích letech, a vyjadřuje politování nad tím, že navzdory jmenování nové ředitelky v roce 2023 a určitému úsilí o přilákání většího počtu žen do vedoucích pozic zůstává situace na úrovni vyššího i středního managementu obzvláště nevyvážená; doporučuje, aby oznámení o volných pracovních místech byla více inkluzivní a aby bylo více žen povzbuzováno k tomu, aby se ucházely o pozice vyššího i středního managementu, mimo jiné zajištěním vyváženého zastoupení ve výběrových komisích, nabídkou příležitostí ke školení pro ženy, které se chtějí připravit na manažerskou kariéru, a navržením pružnějších pracovních ujednání;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lastRenderedPageBreak/>
        <w:t>25.</w:t>
      </w:r>
      <w:r w:rsidRPr="00604B99">
        <w:tab/>
        <w:t>vítá, že dne 7. července 2022 přijal Výbor novou pětiletou strategii a akční plán v oblasti rozmanitosti a začleňování na období 2022–2026; vybízí Výbor, aby pokračoval v úsilí o dosažení cílů stanovených v této strategii a akčním plánu, zejména cíle rovnosti žen a mužů, kterým je 40 % žen na vedoucích pozicích do roku 2024 a zavedení parity jakožto konečný cíl; vítá zvyšování povědomí a cílená opatření zavedená na podporu a posílení rozmanitějšího a inkluzivnějšího pracoviště na úrovni zastoupení zaměstnanců a kontaktních míst ve všech odděleních Výboru za koordinace specializovaného koordinátora pro rozmanitost a inkluzi;</w:t>
      </w:r>
    </w:p>
    <w:p w:rsidR="00366984" w:rsidRPr="00604B99" w:rsidRDefault="00366984" w:rsidP="0098083A">
      <w:pPr>
        <w:pStyle w:val="NormalHanging12a"/>
      </w:pPr>
      <w:r w:rsidRPr="00604B99">
        <w:t>26.</w:t>
      </w:r>
      <w:r w:rsidRPr="00604B99">
        <w:tab/>
        <w:t>konstatuje, že v roce 2022 Výbor zaměstnával státní příslušníky ze všech zemí Unie a jednoho zaměstnance s ukrajinskou státní příslušností; poznamenává, že ačkoli vítá úsilí Výboru o vyváženost zeměpisného rozložení zaměstnanců, zeměpisné vyváženosti ještě nebylo dosaženo, neboť státní příslušníci některých zemí jsou ve srovnání s jinými stále zastoupeni nadměrně; vybízí Výbor, aby pokračoval v přijímání opatření k dosažení náležité zeměpisné vyváženosti svých zaměstnanců, se zvláštním důrazem na vedoucí pozice; vítá účast Výboru v interinstitucionální pracovní skupině pro zeměpisnou vyváženost, jejímž cílem je sdílení osvědčených postupů a vytváření synergií mezi orgány Unie;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27.</w:t>
      </w:r>
      <w:r w:rsidRPr="00604B99">
        <w:tab/>
        <w:t>konstatuje, že v roce 2022 Výbor poprvé uskutečnil pilotní interinstitucionální program stínování na pracovišti, do něhož se zapojily 3 orgány Unie a 25 účastníků, jehož cílem bylo zlepšit porozumění pracovním metodám a postupům jiných orgánů, posílit interinstitucionální spolupráci, podpořit mobilitu a zajistit flexibilnější pracovní sílu; blahopřeje Výboru k zahájení této inovativní interinstitucionální iniciativy, která byla následně rozšířena a od roku 2023 převzata Evropskou správní školou;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28.</w:t>
      </w:r>
      <w:r w:rsidRPr="00604B99">
        <w:tab/>
        <w:t>konstatuje, že v roce 2022 měl Výbor 60 stážistů, z nichž 48 bylo placených stážistů a 12 bylo na studijním pobytu, přičemž dva z nich dostávali sociální příspěvek; vítá nová pravidla schválená v roce 2022 týkající se odměňování stážistů, podle nichž mohou být studijní pobyty schváleny pouze v případě, že stážista buď dostává finanční prostředky z jiného zdroje, nebo je stáž povinná v rámci studia stážisty, a podle nichž mohou všechny typy stážistů v řádně odůvodněných případech požádat o sociální příspěvek; vítá, že pracovní podmínky stážistů jsou sladěny s pracovními podmínkami zaměstnanců v rámci nového flexibilního uspořádání pracovní doby, podle kterého mohou všichni stážisté jeden den v měsíci stáže pracovat distančně ze zahraničí;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t>Etický rámec a transparentnost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29.</w:t>
      </w:r>
      <w:r w:rsidRPr="00604B99">
        <w:tab/>
        <w:t>vítá úsilí Výboru zvýšit informovanost zaměstnanců o etice v návaznosti na interní audit týkající se povědomí zaměstnanců o etice a prosazovat etická pravidla v různých postupech, jako je přijímání zaměstnanců, a povinnosti a práva související s etikou na různých administrativních pozicích, při externích činnostech, školeních a odchodu ze služby; konstatuje, že základní dokumenty a pravidla, z nichž vychází etický rámec, jsou zveřejněny na intranetu Výboru s cílem zvýšit povědomí zaměstnanců o etických pravidlech; dále konstatuje, že v roce 2022 uspořádal Výbor 14 kolektivních školení zaměřených konkrétně na etická témata, kterých se zúčastnilo 107 zaměstnanců, a že 75 % zaměstnanců se v průběhu roku 2022 zúčastnilo obecného školení o etice;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30.</w:t>
      </w:r>
      <w:r w:rsidRPr="00604B99">
        <w:tab/>
        <w:t xml:space="preserve">konstatuje, že v roce 2022 Výbor pokračoval v provádění svého kodexu chování pro členy na rok 2020 a v této souvislosti zintenzivnil své úsilí o shromažďování chybějících finančních prohlášení členů; konstatuje, že šest náhradníků jmenovaných </w:t>
      </w:r>
      <w:r w:rsidRPr="00604B99">
        <w:lastRenderedPageBreak/>
        <w:t>v lednu 2020 nepředložilo ani do června 2023 svá finanční prohlášení a že ačkoli se žádný z těchto šesti členů od svého jmenování nezúčastnil žádné schůze Výboru, zahájil Výbor postup vymáhání stanovený v kodexu chování členů;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31.</w:t>
      </w:r>
      <w:r w:rsidRPr="00604B99">
        <w:tab/>
        <w:t>konstatuje, že Evropský úřad pro boj proti podvodům (OLAF) v roce 2022 vyšetřoval tři případy, z nichž nový případ se týkal placené vedlejší činnosti a dva probíhající případy, uzavřené v témže roce, se týkaly neoprávněného vyplácení cestovních náhrad a obvinění z finančních pochybení, obtěžování a špatného řízení ve společném útvaru Výboru a EHSV; konstatuje, že případ týkající se vyplácení neoprávněných cestovních náhrad byl uzavřen na začátku roku 2022 s tím, že Výbor požádal dotčeného člena o vrácení obdržené náhrady z etických důvodů, jelikož pro vymáhání těchto částek neexistuje právní základ; konstatuje, že na začátku roku 2024 dotyčný člen sdělil svůj záměr uhradit částku, kterou OLAF původně požadoval z etických důvodů, a že finanční útvary Výboru jsou připraveny podniknout v tomto ohledu všechny nezbytné kroky; žádá Výbor, aby informoval orgán příslušný k udělení absolutoria o následných opatřeních, která přijal v tomto případě v souladu se statutárními povinnostmi zaměstnanců podle služebního řádu, zejména proto, že se jednalo o člena Výboru, který byl současně akreditovaným parlamentním asistentem, přičemž Brusel byl smluvním místem výkonu práce, a proto nebylo nutné hradit cestovní výdaje na schůze Výboru, které se konaly v Bruselu; konstatuje, že případ týkající se obvinění z finančních pochybení, obtěžování a špatného řízení ve společném útvaru vedl k řešení konfliktů, do něhož byly zapojeny dotčené osoby, jejich nadřízení a příslušná oddělení lidských zdrojů na základě pětibodového akčního plánu, který byl prováděn v letech 2021 a 2022;</w:t>
      </w:r>
    </w:p>
    <w:p w:rsidR="00366984" w:rsidRPr="00604B99" w:rsidRDefault="00366984" w:rsidP="0098083A">
      <w:pPr>
        <w:pStyle w:val="NormalHanging12a"/>
        <w:rPr>
          <w:b/>
          <w:bCs/>
          <w:i/>
          <w:iCs/>
          <w:szCs w:val="24"/>
        </w:rPr>
      </w:pPr>
      <w:r w:rsidRPr="00604B99">
        <w:t>32.</w:t>
      </w:r>
      <w:r w:rsidRPr="00604B99">
        <w:tab/>
        <w:t>konstatuje, že v roce 2022 Výbor pokračoval v provádění opatření v oblasti transparentnosti, jako je zveřejňování prohlášení členů o finančních zájmech na svých internetových stránkách, ale formálně se nepřipojil k rejstříku transparentnosti EU, který byl zřízen na základě interinstitucionální dohody ze dne 20. května 2021 mezi Evropským parlamentem, Radou Evropské unie a Evropskou komisí o povinném rejstříku transparentnosti; je si vědom toho, že rozhodnutím svého předsednictva z července 2023 přijal Výbor v souladu se zásadami rejstříku transparentnosti EU nová opatření týkající se transparentnosti zaměřená na členy zastávající funkce a zpravodaje a informoval o tom správní radu rejstříku transparentnosti EU; bere na vědomí, že správní rada rejstříku transparentnosti EU dne 20. listopadu 2023 shledala opatření v oblasti transparentnosti v souladu s cíli, které sleduje interinstitucionální dohoda, a uvítala nařízení Výboru jako důležitý krok k dalšímu posílení společného rámce a podpoře společné kultury transparentnosti na úrovni Unie; vítá, že se Výbor od 1. ledna 2024 formálně připojil k rejstříku transparentnosti EU;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33.</w:t>
      </w:r>
      <w:r w:rsidRPr="00604B99">
        <w:tab/>
        <w:t>konstatuje, že v roce 2022 Výbor nezjistil žádný střet zájmů, který by vyžadoval následné správní opatření; konstatuje, že Výbor se nadále opíral o platná pravidla k zamezení střetu zájmů a zamezení efektu otáčivých dveří mezi veřejným a soukromým sektorem a propagoval je prostřednictvím školení o etice a zvyšování povědomí;</w:t>
      </w:r>
    </w:p>
    <w:p w:rsidR="00366984" w:rsidRPr="00604B99" w:rsidRDefault="00366984" w:rsidP="0098083A">
      <w:pPr>
        <w:pStyle w:val="NormalHanging12a"/>
      </w:pPr>
      <w:r w:rsidRPr="00604B99">
        <w:t>34.</w:t>
      </w:r>
      <w:r w:rsidRPr="00604B99">
        <w:tab/>
        <w:t xml:space="preserve">konstatuje, že v roce 2022 nebyly Výboru hlášeny žádné případy </w:t>
      </w:r>
      <w:proofErr w:type="spellStart"/>
      <w:r w:rsidRPr="00604B99">
        <w:t>whistleblowingu</w:t>
      </w:r>
      <w:proofErr w:type="spellEnd"/>
      <w:r w:rsidRPr="00604B99">
        <w:t xml:space="preserve">; konstatuje, že Výbor se nadále opíral o opatření zavedená od roku 2015 týkající se </w:t>
      </w:r>
      <w:proofErr w:type="spellStart"/>
      <w:r w:rsidRPr="00604B99">
        <w:t>whistleblowingu</w:t>
      </w:r>
      <w:proofErr w:type="spellEnd"/>
      <w:r w:rsidRPr="00604B99">
        <w:t xml:space="preserve"> a propagoval je prostřednictvím etických školení a zvyšování povědomí;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lastRenderedPageBreak/>
        <w:t>35.</w:t>
      </w:r>
      <w:r w:rsidRPr="00604B99">
        <w:tab/>
        <w:t>lituje, že Výbor nepřijal žádnou interní strategii boje proti podvodům; opakuje svou výzvu z usnesení o udělení absolutoria za rok 2021, aby Výbor zahájil interní analýzu rizika podvodů a koordinoval ji s příslušnými útvary Komise s cílem přijmout odpovídající interní strategii boje proti podvodům;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t>Digitalizace, kybernetická bezpečnost a ochrana údajů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36.</w:t>
      </w:r>
      <w:r w:rsidRPr="00604B99">
        <w:tab/>
        <w:t>konstatuje, že společný rozpočet Výboru a EHSV na IT činil v roce 2022 11 712 000 EUR, včetně posílení ve výši 750 000 EUR vnitřním rozpočtovým převodem v průběhu roku, ve srovnání s 12 860 000 EUR v roce 2021, což představuje pokles o 9 %;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37.</w:t>
      </w:r>
      <w:r w:rsidRPr="00604B99">
        <w:tab/>
        <w:t xml:space="preserve">konstatuje, že Výbor má digitální strategii zaměřenou na poskytování služeb v oblasti IT v souladu s osvědčenými postupy řízení IT a zároveň na optimalizaci využívání lidských a finančních zdrojů; konstatuje, že Výbor v průběhu roku 2022 pracoval na úpravě a vývoji několika strategických IT nástrojů s cílem zvýšit účinnost a efektivitu politické práce Výboru a jeho administrativních procesů a pracovních postupů; konstatuje, že hlavní projekt IT infrastruktury v roce 2022 se týkal úpravy typologie sítě potřebné pro novou počítačovou místnost v budově Jacques Delors (JDE) v souladu s plánem hybridního </w:t>
      </w:r>
      <w:proofErr w:type="spellStart"/>
      <w:r w:rsidRPr="00604B99">
        <w:t>cloudu</w:t>
      </w:r>
      <w:proofErr w:type="spellEnd"/>
      <w:r w:rsidRPr="00604B99">
        <w:t>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38.</w:t>
      </w:r>
      <w:r w:rsidRPr="00604B99">
        <w:tab/>
        <w:t>konstatuje, že Výbor v roce 2022 zvýšil počet hybridních schůzí, aby se přizpůsobil hybridní práci a sladil své postupy s novými pokyny k nákladově efektivnější, účelnější a udržitelnější politice pracovních cest, kterou v červnu 2022 oznámil generální tajemník Výboru a která vyžaduje, aby Výbor optimalizoval svůj způsob práce a nahradil co nejvíce pracovních cest zaměstnanců videokonferencemi; chápe, že tento nový způsob práce vyžadoval technickou modernizaci vybavení hybridních zasedacích místností;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39.</w:t>
      </w:r>
      <w:r w:rsidRPr="00604B99">
        <w:tab/>
        <w:t>konstatuje, že Výbor přijal v roce 2022 nová vnitřní pravidla pro ochranu údajů, která obsahují omezení některých práv subjektů údajů v souvislosti se zpracováním osobních údajů v rámci činností a postupů prováděných Výborem; dále konstatuje, že evropský inspektor ochrany údajů v roce 2022 neprovedl žádné šetření ani dotazování týkající se zpracování osobních údajů Výborem;</w:t>
      </w:r>
    </w:p>
    <w:p w:rsidR="00366984" w:rsidRPr="00604B99" w:rsidRDefault="00366984" w:rsidP="0098083A">
      <w:pPr>
        <w:pStyle w:val="NormalHanging12a"/>
      </w:pPr>
      <w:r w:rsidRPr="00604B99">
        <w:t>40.</w:t>
      </w:r>
      <w:r w:rsidRPr="00604B99">
        <w:tab/>
        <w:t>konstatuje, že v roce 2022 se Výbor nesetkal s žádnými kybernetickými útoky; konstatuje, že nové společné ředitelství Výboru a EHSV pro inovace a informační technologie tvoří tři oddělení, konkrétně pro digitální transformaci, digitální řešení a digitální platformy; konstatuje, že oddělení pro digitální platformy je mimo jiné odpovědné za kybernetickou bezpečnost; žádá Výbor, aby informoval orgán udělující absolutorium o tom, jak vytvoření této nové struktury přispělo ke zvýšení připravenosti jeho zaměstnanců v oblasti kybernetické bezpečnosti v souladu s rámcem kybernetické bezpečnosti NIST (</w:t>
      </w:r>
      <w:proofErr w:type="spellStart"/>
      <w:r w:rsidRPr="00604B99">
        <w:t>National</w:t>
      </w:r>
      <w:proofErr w:type="spellEnd"/>
      <w:r w:rsidRPr="00604B99">
        <w:t xml:space="preserve"> Institute </w:t>
      </w:r>
      <w:proofErr w:type="spellStart"/>
      <w:r w:rsidRPr="00604B99">
        <w:t>of</w:t>
      </w:r>
      <w:proofErr w:type="spellEnd"/>
      <w:r w:rsidRPr="00604B99">
        <w:t xml:space="preserve"> </w:t>
      </w:r>
      <w:proofErr w:type="spellStart"/>
      <w:r w:rsidRPr="00604B99">
        <w:t>Standards</w:t>
      </w:r>
      <w:proofErr w:type="spellEnd"/>
      <w:r w:rsidRPr="00604B99">
        <w:t xml:space="preserve"> and Technology) a ve spolupráci se Službou kybernetické bezpečnosti pro orgány, instituce a jiné subjekty Unie (CERT-EU); vybízí Výbor, aby zvyšoval informovanost svých členů a zaměstnanců o kybernetické bezpečnosti, aby prováděl pravidelné hodnocení rizik své IT infrastruktury a aby zajišťoval pravidelné audity a testy své kybernetické obrany;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41.</w:t>
      </w:r>
      <w:r w:rsidRPr="00604B99">
        <w:tab/>
        <w:t xml:space="preserve">vítá úsilí Výboru o podporu technologií s otevřeným zdrojovým kódem v jeho vlastních systémech, zejména v hlavních provozních aplikacích používaných pro řízení politické činnosti Výboru (Agora a Phoenix); dále konstatuje, že Výbor sleduje využívání </w:t>
      </w:r>
      <w:r w:rsidRPr="00604B99">
        <w:lastRenderedPageBreak/>
        <w:t>technologií s otevřeným zdrojovým kódem ve svém ročním portfoliu informačních technologií tak, aby byly použity v nových aplikacích;</w:t>
      </w:r>
    </w:p>
    <w:p w:rsidR="00366984" w:rsidRPr="00604B99" w:rsidRDefault="00366984" w:rsidP="0098083A">
      <w:pPr>
        <w:pStyle w:val="NormalHanging12a"/>
        <w:ind w:left="0" w:firstLine="0"/>
        <w:rPr>
          <w:b/>
          <w:i/>
          <w:szCs w:val="24"/>
        </w:rPr>
      </w:pPr>
      <w:r w:rsidRPr="00604B99">
        <w:rPr>
          <w:b/>
          <w:i/>
        </w:rPr>
        <w:t>Budovy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42.</w:t>
      </w:r>
      <w:r w:rsidRPr="00604B99">
        <w:tab/>
        <w:t xml:space="preserve">konstatuje, že Výbor a EHSV přišly o 5 000 m² kancelářských prostor v důsledku převzetí nájemní smlouvy bývalé budovy ESVČ na adrese </w:t>
      </w:r>
      <w:proofErr w:type="spellStart"/>
      <w:r w:rsidRPr="00604B99">
        <w:t>Belliard</w:t>
      </w:r>
      <w:proofErr w:type="spellEnd"/>
      <w:r w:rsidRPr="00604B99">
        <w:t xml:space="preserve"> 100 (B100), které vstoupilo v platnost v září 2021, a výměny budov Výboru a EHSV na adrese </w:t>
      </w:r>
      <w:proofErr w:type="spellStart"/>
      <w:r w:rsidRPr="00604B99">
        <w:t>Belliard</w:t>
      </w:r>
      <w:proofErr w:type="spellEnd"/>
      <w:r w:rsidRPr="00604B99">
        <w:t xml:space="preserve"> 68 (B68) a </w:t>
      </w:r>
      <w:proofErr w:type="spellStart"/>
      <w:r w:rsidRPr="00604B99">
        <w:t>Trèves</w:t>
      </w:r>
      <w:proofErr w:type="spellEnd"/>
      <w:r w:rsidRPr="00604B99">
        <w:t xml:space="preserve"> 74 (TRE74) a budovy Komise Van </w:t>
      </w:r>
      <w:proofErr w:type="spellStart"/>
      <w:r w:rsidRPr="00604B99">
        <w:t>Maerlant</w:t>
      </w:r>
      <w:proofErr w:type="spellEnd"/>
      <w:r w:rsidRPr="00604B99">
        <w:t xml:space="preserve"> 2 (VMA), která vstoupila v platnost v září 2022; konstatuje, že v obou nově získaných budovách byly nezbytné úpravy, aby bylo možné hustěji využívat kancelářské prostory; vítá zřízení společné pracovní skupiny pro nové způsoby práce v roce 2022, která se bude zabývat možnou optimalizací způsobu organizace práce a využívání kancelářských prostor při současném snižování ekologické stopy;</w:t>
      </w:r>
    </w:p>
    <w:p w:rsidR="00366984" w:rsidRPr="00604B99" w:rsidRDefault="00366984" w:rsidP="0098083A">
      <w:pPr>
        <w:pStyle w:val="NormalHanging12a"/>
      </w:pPr>
      <w:r w:rsidRPr="00604B99">
        <w:t>43.</w:t>
      </w:r>
      <w:r w:rsidRPr="00604B99">
        <w:tab/>
        <w:t>konstatuje, že v roce 2022 činil celkový rozpočet Výboru na vybavení prostor 883 792 EUR; konstatuje, že rekonstrukce, které Výbor a EHSV provedly v budovách B100 a VMA, zahrnovaly využití inteligentních technologií s výrazným ekologickým prvkem; žádá Výbor, aby poskytl aktuální informace o návratnosti investic do těchto technologických zařízení, ale přesto doporučuje opatrnost a nepřijímat dlouhodobé závazky týkající se nových kancelářských prostor, dokud tato opatření nebudou plně prozkoumána;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44.</w:t>
      </w:r>
      <w:r w:rsidRPr="00604B99">
        <w:tab/>
        <w:t>konstatuje, že v roce 2022 se strategie Výboru a EHSV v oblasti budov zaměřila na geografickou koncentraci budov, které bylo dosaženo fyzickým propojením všech budov využívaných Výborem a EHSV s jejich hlavní budovou (JDE); vítá nové fyzické propojení s budovami Parlamentu, které bylo uvedeno do provozu v listopadu 2022 a které nabízí přímější, jednodušší a o 125 m kratší cestu mezi budovami Výboru a EHSV a budovami Parlamentu;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45.</w:t>
      </w:r>
      <w:r w:rsidRPr="00604B99">
        <w:tab/>
        <w:t>konstatuje, že v roce 2022 zahájily Výbor a EHSV víceletý projekt týkající se technické modernizace tlumočnického systému pro všechny konferenční místnosti; konstatuje, že Výbor na tento projekt v roce 2022 vyčlenil částku 200 000 EUR;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46.</w:t>
      </w:r>
      <w:r w:rsidRPr="00604B99">
        <w:tab/>
        <w:t>vítá závazek Výboru a EHSV systematicky uplatňovat ve své infrastruktuře zásadu „design pro všechny“ a zajistit přístupnost svých budov již od návrhu; konstatuje, že Výbor a EHSV přijaly řadu různých opatření, aby zajistily přístupnost svých budov pro osoby s různými druhy zdravotního postižení;</w:t>
      </w:r>
    </w:p>
    <w:p w:rsidR="00366984" w:rsidRPr="00604B99" w:rsidRDefault="00366984" w:rsidP="0098083A">
      <w:pPr>
        <w:pStyle w:val="NormalHanging12a"/>
        <w:ind w:left="0" w:firstLine="0"/>
        <w:rPr>
          <w:b/>
          <w:i/>
          <w:szCs w:val="24"/>
        </w:rPr>
      </w:pPr>
      <w:r w:rsidRPr="00604B99">
        <w:rPr>
          <w:b/>
          <w:i/>
        </w:rPr>
        <w:t>Životní prostředí a udržitelnost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47.</w:t>
      </w:r>
      <w:r w:rsidRPr="00604B99">
        <w:tab/>
        <w:t>vítá udržitelné postupy a zejména bezpapírový přístup Výboru a EHSV, které přispěly ke snížení jejich ekologické stopy v souladu s jejich digitální strategií; konstatuje, že aplikace Phoenix používaná pro podporu politické činnosti Výboru byla v roce 2022 upravena tak, aby generovala tzv. zprávy o uhlíku v souvislosti s cestami a aby umožňovala Výboru a EHSV vypočítat jejich uhlíkovou bilanci; konstatuje, že akční plán vyplývající z auditu výkonnosti v rámci systému pro environmentální řízení podniků a audit (EMAS) byl proveden s opatřeními v oblasti dokumentace, přezkumu postupů, zlepšení plánování, řízení rizik a dohledu; blahopřeje Výboru a EHSV k překročení cílů systému EMAS na období 2021–2025, s výjimkou cílů týkajících se spotřeby plynu;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lastRenderedPageBreak/>
        <w:t>48.</w:t>
      </w:r>
      <w:r w:rsidRPr="00604B99">
        <w:tab/>
        <w:t xml:space="preserve">konstatuje, že v roce 2022 činila celková výroba elektřiny ze solárních panelů na budovách Výboru a EHSV přibližně 15,5 </w:t>
      </w:r>
      <w:proofErr w:type="spellStart"/>
      <w:r w:rsidRPr="00604B99">
        <w:t>MWh</w:t>
      </w:r>
      <w:proofErr w:type="spellEnd"/>
      <w:r w:rsidRPr="00604B99">
        <w:t>, což představuje 0,25 % celkové roční spotřeby Výboru a EHSV; konstatuje, že ke dni 16. září 2022 byla solárními panely vybavena pouze budova JDE; je si vědom toho, že kvůli administrativním postupům budou Výbor a EHSV čelit zpoždění, než budou moci rozšířit instalaci solárních panelů;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49.</w:t>
      </w:r>
      <w:r w:rsidRPr="00604B99">
        <w:tab/>
        <w:t>konstatuje, že Výbor zavedl plán udržitelné mobility, včetně finančního příspěvku na předplatné veřejné dopravy pro zaměstnance a na osvětovou činnost; konstatuje, že v roce 2022 nebyl uspořádán žádný nový průzkum mobility zaměstnanců, ale jeden je plánován na rok 2024; vítá skutečnost, že 76 % zaměstnanců Výboru používá pro dojíždění do práce ekologické dopravní prostředky;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t>Interinstitucionální spolupráce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50.</w:t>
      </w:r>
      <w:r w:rsidRPr="00604B99">
        <w:tab/>
        <w:t>vítá rozpočtové a administrativní úspory dosažené díky interinstitucionální spolupráci, zejména úzkou spolupráci na administrativní úrovni s EHSV, s nímž Výbor sdílí prostory a společné služby v oblasti překladu, infrastruktury, logistiky a IT, přičemž si zachovává plnou institucionální autonomii; konstatuje, že dne 1. října 2022 bylo v rámci nové dohody o spolupráci, kterou Výbor a EHSV podepsaly v roce 2022, vytvořeno společné ředitelství pro inovace a informační technologie; dále konstatuje, že Výbor a EHSV v roce 2022 spojily 470 zaměstnanců a 55 milionů EUR, s výjimkou výdajů souvisejících s platy; vyzývá Výbor, aby v této spolupráci pokračoval a rozšířil ji do dalších oblastí s cílem zabránit zdvojování a dále racionalizovat provozní náklady na služby poskytované v prostorách sdílených Výborem a EHSV; vyzývá Výbor a EHSV, aby přezkoumaly možnost zřízení jednotné správy pro společné útvary a ponechaly si samostatná ředitelství nebo oddělení pro útvary, které se zabývají záležitostmi souvisejícími s jejich specifickými a nezávislými mandáty;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51.</w:t>
      </w:r>
      <w:r w:rsidRPr="00604B99">
        <w:tab/>
        <w:t>vítá úsilí Výboru o dosažení synergií nákupem služeb od jiných orgánů na základě dohod o úrovni služeb a účastí v interinstitucionálních koordinačních orgánech a interinstitucionálních zadávacích řízeních;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52.</w:t>
      </w:r>
      <w:r w:rsidRPr="00604B99">
        <w:tab/>
        <w:t>vyzývá Výbor, aby nadále zkoumal synergie s dalšími institucemi, a to jak z hlediska logistiky, digitálních služeb, služeb řidičů a dalších administrativních úkolů, tak i určitých informačních a komunikačních činností, zejména v členských státech, kde mají členové Výboru různé podpůrné sítě a spoléhají se pouze na své místní zaměstnance;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53.</w:t>
      </w:r>
      <w:r w:rsidRPr="00604B99">
        <w:tab/>
        <w:t>vítá ochotu Výboru dále rozvíjet spolupráci s ostatními orgány, zejména s Parlamentem, před volbami do Evropského parlamentu v roce 2024 prostřednictvím plánu, v němž se v této souvislosti předpokládá další zintenzivnění spolupráce a větší úloha Výboru a místních a regionálních orgánů; bere na vědomí přezkum dohod o spolupráci s Parlamentem a Komisí, o němž rozhodla Konference předsedů v listopadu 2022;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54.</w:t>
      </w:r>
      <w:r w:rsidRPr="00604B99">
        <w:tab/>
        <w:t>konstatuje, že Výbor spolupracuje s Komisí (za roční poplatek) při řešení otázek lidských zdrojů a využívání různých IT platforem pro finanční řízení a lidské zdroje; konstatuje, že Výbor pořádá svá plenární zasedání v prostorách Parlamentu a Komise, aby nahradil nedostatek kapacity svých vlastních konferenčních místností, a že si od těchto dvou institucí kupuje tlumočnické služby; konstatuje, že s ohledem na rychlý rozvoj tohoto odvětví Výbor zkoumá možnosti využití zařízení pro tlumočení na dálku;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lastRenderedPageBreak/>
        <w:t>55.</w:t>
      </w:r>
      <w:r w:rsidRPr="00604B99">
        <w:tab/>
        <w:t>konstatuje, že Výbor podporuje viditelnost a dopad své práce na základě interinstitucionální spolupráce prostřednictvím cílené prezentace svých zpráv jiným orgánům, např. prezentací 11 zpráv Parlamentu v roce 2022, dvoustranných setkání na úrovni zpravodajů, politických výměn během oficiálních akcí a konferencí, cíleného šíření stanovisek a práce v sítích;</w:t>
      </w:r>
    </w:p>
    <w:p w:rsidR="00366984" w:rsidRPr="00604B99" w:rsidRDefault="00366984" w:rsidP="0098083A">
      <w:pPr>
        <w:pStyle w:val="NormalHanging12a"/>
        <w:rPr>
          <w:b/>
          <w:i/>
          <w:szCs w:val="24"/>
        </w:rPr>
      </w:pPr>
      <w:r w:rsidRPr="00604B99">
        <w:rPr>
          <w:b/>
          <w:i/>
        </w:rPr>
        <w:t>Komunikační činnost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56.</w:t>
      </w:r>
      <w:r w:rsidRPr="00604B99">
        <w:tab/>
        <w:t>konstatuje, že v roce 2022 činil celkový rozpočet Výboru na komunikaci 2,2 milionu EUR oproti 2,1 milionu EUR v roce 2021, což představuje nárůst o 4 %; konstatuje, že v rámci tohoto rozpočtu bylo přibližně 439 000 EUR použito na akce, 795 000 EUR na média a 1 099 000 EUR na digitální komunikaci; konstatuje, že cílem sdělení Výboru je zvýšit institucionální a politický profil Výboru jako shromáždění regionů, měst, vesnic a obcí Unie a úlohu jeho členů;</w:t>
      </w:r>
    </w:p>
    <w:p w:rsidR="00366984" w:rsidRPr="00604B99" w:rsidRDefault="00366984" w:rsidP="0098083A">
      <w:pPr>
        <w:pStyle w:val="NormalHanging12a"/>
        <w:rPr>
          <w:szCs w:val="24"/>
        </w:rPr>
      </w:pPr>
      <w:r w:rsidRPr="00604B99">
        <w:t>57.</w:t>
      </w:r>
      <w:r w:rsidRPr="00604B99">
        <w:tab/>
        <w:t>konstatuje, že Výbor v roce 2022 pokračoval v pořádání pravidelných schůzí generálních ředitelů pro komunikaci všech orgánů Unie a zaměřil se na přípravu koordinovaných komunikačních akcí v období před volbami do Evropského parlamentu v roce 2024; vybízí Výbor, aby prostřednictvím svých místních a regionálních sítí nadále podporoval institucionální komunikační kampaň Parlamentu pro volby do Evropského parlamentu v roce 2024;</w:t>
      </w:r>
    </w:p>
    <w:p w:rsidR="00366984" w:rsidRPr="00604B99" w:rsidRDefault="00366984" w:rsidP="005515AD">
      <w:pPr>
        <w:pStyle w:val="NormalHanging12a"/>
        <w:rPr>
          <w:szCs w:val="24"/>
        </w:rPr>
      </w:pPr>
      <w:r w:rsidRPr="00604B99">
        <w:t>58.</w:t>
      </w:r>
      <w:r w:rsidRPr="00604B99">
        <w:tab/>
        <w:t xml:space="preserve">vítá komunikační strategii založenou na datech, kterou Výbor vypracoval s cílem překlenout propast mezi občany Unie na místní a regionální úrovni pomocí multiplikačních kanálů, jako jsou evropské sítě regionálních a místních poradců, které na konci roku 2022 měly 2 037 registrovaných členů, a program pro mladé zvolené politiky se 775 účastníky akcí v roce 2022, což ve srovnání s rokem 2021 představuje nárůst o 15 %; konstatuje, že Výbor rovněž zajistil školení a budování kapacit pro místní a regionální orgány v oblasti zapojení občanů a participativní demokracie s názvem „Nová kapitola participativní demokracie“; konstatuje, že v listopadu 2022 předsednictvo Výboru vyzvalo každého člena, aby každý rok ve svém volebním obvodu uspořádal alespoň jeden dialog; konstatuje, že Výbor navázal součinnost se sítí středisek </w:t>
      </w:r>
      <w:proofErr w:type="spellStart"/>
      <w:r w:rsidRPr="00604B99">
        <w:t>Europe</w:t>
      </w:r>
      <w:proofErr w:type="spellEnd"/>
      <w:r w:rsidRPr="00604B99">
        <w:t xml:space="preserve"> Direct v členských státech při organizaci místních akcí;</w:t>
      </w:r>
    </w:p>
    <w:p w:rsidR="00366984" w:rsidRPr="00604B99" w:rsidRDefault="00366984">
      <w:pPr>
        <w:pStyle w:val="NormalHanging12a"/>
        <w:rPr>
          <w:szCs w:val="24"/>
        </w:rPr>
      </w:pPr>
      <w:r w:rsidRPr="00604B99">
        <w:t>59.</w:t>
      </w:r>
      <w:r w:rsidRPr="00604B99">
        <w:tab/>
        <w:t>konstatuje, že Výbor v roce 2022 pokračoval v realizaci tří komunikačních kampaní v souladu s politickými prioritami pro mandát na období 2020–2025: Přiblížení Evropy občanům, Budování odolných regionálních a místních komunit a Podpora soudržnosti coby základní hodnoty EU; vítá snahu Výboru rozšířit své publikum prostřednictvím digitální komunikace a mediálního dosahu s 18 890 zmínkami v médiích v roce 2022, což představuje nárůst o 20 % v letech 2020 až 2022;</w:t>
      </w:r>
    </w:p>
    <w:p w:rsidR="00366984" w:rsidRPr="00604B99" w:rsidRDefault="00366984">
      <w:pPr>
        <w:pStyle w:val="NormalHanging12a"/>
        <w:rPr>
          <w:szCs w:val="24"/>
        </w:rPr>
      </w:pPr>
      <w:r w:rsidRPr="00604B99">
        <w:t>60.</w:t>
      </w:r>
      <w:r w:rsidRPr="00604B99">
        <w:tab/>
        <w:t xml:space="preserve">konstatuje, že na konci roku 2022 měl Výbor na svých kanálech sociálních médií 175 000 sledujících, tj. o 16 % více než v roce 2021, z toho 54 800 sledujících (nárůst o 8 %) na síti X (dříve </w:t>
      </w:r>
      <w:proofErr w:type="spellStart"/>
      <w:r w:rsidRPr="00604B99">
        <w:t>Twitter</w:t>
      </w:r>
      <w:proofErr w:type="spellEnd"/>
      <w:r w:rsidRPr="00604B99">
        <w:t xml:space="preserve">), 58 100 (nárůst o 6 %) na </w:t>
      </w:r>
      <w:proofErr w:type="spellStart"/>
      <w:r w:rsidRPr="00604B99">
        <w:t>Facebooku</w:t>
      </w:r>
      <w:proofErr w:type="spellEnd"/>
      <w:r w:rsidRPr="00604B99">
        <w:t xml:space="preserve">, 52 100 (nárůst o 33 %) na </w:t>
      </w:r>
      <w:proofErr w:type="spellStart"/>
      <w:r w:rsidRPr="00604B99">
        <w:t>LinkedIn</w:t>
      </w:r>
      <w:proofErr w:type="spellEnd"/>
      <w:r w:rsidRPr="00604B99">
        <w:t xml:space="preserve"> a 10 500 (nárůst o 67 %) na </w:t>
      </w:r>
      <w:proofErr w:type="spellStart"/>
      <w:r w:rsidRPr="00604B99">
        <w:t>Instagramu</w:t>
      </w:r>
      <w:proofErr w:type="spellEnd"/>
      <w:r w:rsidRPr="00604B99">
        <w:t>;</w:t>
      </w:r>
    </w:p>
    <w:p w:rsidR="00366984" w:rsidRPr="00604B99" w:rsidRDefault="00366984" w:rsidP="008E5CEB">
      <w:pPr>
        <w:spacing w:after="240"/>
        <w:ind w:left="567" w:hanging="567"/>
      </w:pPr>
      <w:r w:rsidRPr="00604B99">
        <w:t>61.</w:t>
      </w:r>
      <w:r w:rsidRPr="00604B99">
        <w:tab/>
        <w:t>konstatuje, že Výbor přispívá do portálu veřejně přístupných dat Komise soubory údajů o členech a údajů o stanoviscích, ale využívá a podporuje také otevřená data mezi místními a regionálními orgány, čímž podporuje větší transparentnost své činnosti prostřednictvím volně přístupných údajů v lidsky i strojově čitelných formátech a posiluje své spojení s občany.</w:t>
      </w:r>
    </w:p>
    <w:sectPr w:rsidR="00366984" w:rsidRPr="00604B99" w:rsidSect="00604B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249" w:rsidRPr="00604B99" w:rsidRDefault="00D50249">
      <w:r w:rsidRPr="00604B99">
        <w:separator/>
      </w:r>
    </w:p>
  </w:endnote>
  <w:endnote w:type="continuationSeparator" w:id="0">
    <w:p w:rsidR="00D50249" w:rsidRPr="00604B99" w:rsidRDefault="00D50249">
      <w:r w:rsidRPr="00604B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984" w:rsidRPr="00604B99" w:rsidRDefault="00366984" w:rsidP="00DB0153">
    <w:pPr>
      <w:pStyle w:val="EPFooter"/>
    </w:pPr>
    <w:r w:rsidRPr="00604B99">
      <w:t>PE</w:t>
    </w:r>
    <w:r w:rsidRPr="00604B99">
      <w:rPr>
        <w:rStyle w:val="HideTWBExt"/>
      </w:rPr>
      <w:t>&lt;NoPE&gt;</w:t>
    </w:r>
    <w:r w:rsidRPr="00604B99">
      <w:t>753.484</w:t>
    </w:r>
    <w:r w:rsidRPr="00604B99">
      <w:rPr>
        <w:rStyle w:val="HideTWBExt"/>
      </w:rPr>
      <w:t>&lt;/NoPE&gt;&lt;Version&gt;</w:t>
    </w:r>
    <w:r w:rsidRPr="00604B99">
      <w:t>v02-00</w:t>
    </w:r>
    <w:r w:rsidRPr="00604B99">
      <w:rPr>
        <w:rStyle w:val="HideTWBExt"/>
      </w:rPr>
      <w:t>&lt;/Version&gt;</w:t>
    </w:r>
    <w:r w:rsidRPr="00604B99">
      <w:tab/>
    </w:r>
    <w:r w:rsidRPr="00604B99">
      <w:fldChar w:fldCharType="begin"/>
    </w:r>
    <w:r w:rsidRPr="00604B99">
      <w:instrText xml:space="preserve"> PAGE  \* MERGEFORMAT </w:instrText>
    </w:r>
    <w:r w:rsidRPr="00604B99">
      <w:fldChar w:fldCharType="separate"/>
    </w:r>
    <w:r w:rsidR="00604B99" w:rsidRPr="00604B99">
      <w:rPr>
        <w:noProof/>
      </w:rPr>
      <w:t>2</w:t>
    </w:r>
    <w:r w:rsidRPr="00604B99">
      <w:fldChar w:fldCharType="end"/>
    </w:r>
    <w:r w:rsidRPr="00604B99">
      <w:t>/</w:t>
    </w:r>
    <w:r w:rsidR="00406413">
      <w:fldChar w:fldCharType="begin"/>
    </w:r>
    <w:r w:rsidR="00406413">
      <w:instrText xml:space="preserve"> NUMPAGES  \* MERGEFORMAT </w:instrText>
    </w:r>
    <w:r w:rsidR="00406413">
      <w:fldChar w:fldCharType="separate"/>
    </w:r>
    <w:r w:rsidR="00604B99" w:rsidRPr="00604B99">
      <w:rPr>
        <w:noProof/>
      </w:rPr>
      <w:t>4</w:t>
    </w:r>
    <w:r w:rsidR="00406413">
      <w:rPr>
        <w:noProof/>
      </w:rPr>
      <w:fldChar w:fldCharType="end"/>
    </w:r>
    <w:r w:rsidRPr="00604B99">
      <w:tab/>
    </w:r>
    <w:r w:rsidRPr="00604B99">
      <w:rPr>
        <w:rStyle w:val="HideTWBExt"/>
      </w:rPr>
      <w:t>&lt;PathFdR&gt;</w:t>
    </w:r>
    <w:r w:rsidRPr="00604B99">
      <w:t>RR\1298489CS.docx</w:t>
    </w:r>
    <w:r w:rsidRPr="00604B99">
      <w:rPr>
        <w:rStyle w:val="HideTWBExt"/>
      </w:rPr>
      <w:t>&lt;/PathFdR&gt;</w:t>
    </w:r>
  </w:p>
  <w:p w:rsidR="00366984" w:rsidRPr="00604B99" w:rsidRDefault="00366984" w:rsidP="00DB0153">
    <w:pPr>
      <w:pStyle w:val="EPFooter2"/>
    </w:pPr>
    <w:r w:rsidRPr="00604B99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984" w:rsidRPr="00604B99" w:rsidRDefault="00366984" w:rsidP="00DB0153">
    <w:pPr>
      <w:pStyle w:val="EPFooter"/>
    </w:pPr>
    <w:r w:rsidRPr="00604B99">
      <w:rPr>
        <w:rStyle w:val="HideTWBExt"/>
      </w:rPr>
      <w:t>&lt;PathFdR&gt;</w:t>
    </w:r>
    <w:r w:rsidRPr="00604B99">
      <w:t>RR\1298489CS.docx</w:t>
    </w:r>
    <w:r w:rsidRPr="00604B99">
      <w:rPr>
        <w:rStyle w:val="HideTWBExt"/>
      </w:rPr>
      <w:t>&lt;/PathFdR&gt;</w:t>
    </w:r>
    <w:r w:rsidRPr="00604B99">
      <w:tab/>
    </w:r>
    <w:r w:rsidRPr="00604B99">
      <w:tab/>
      <w:t>PE</w:t>
    </w:r>
    <w:r w:rsidRPr="00604B99">
      <w:rPr>
        <w:rStyle w:val="HideTWBExt"/>
      </w:rPr>
      <w:t>&lt;NoPE&gt;</w:t>
    </w:r>
    <w:r w:rsidRPr="00604B99">
      <w:t>753.484</w:t>
    </w:r>
    <w:r w:rsidRPr="00604B99">
      <w:rPr>
        <w:rStyle w:val="HideTWBExt"/>
      </w:rPr>
      <w:t>&lt;/NoPE&gt;&lt;Version&gt;</w:t>
    </w:r>
    <w:r w:rsidRPr="00604B99">
      <w:t>v02-00</w:t>
    </w:r>
    <w:r w:rsidRPr="00604B99">
      <w:rPr>
        <w:rStyle w:val="HideTWBExt"/>
      </w:rPr>
      <w:t>&lt;/Version&gt;</w:t>
    </w:r>
  </w:p>
  <w:p w:rsidR="00366984" w:rsidRPr="00604B99" w:rsidRDefault="00366984" w:rsidP="00DB0153">
    <w:pPr>
      <w:pStyle w:val="EPFooter2"/>
    </w:pPr>
    <w:r w:rsidRPr="00604B99">
      <w:t>CS</w:t>
    </w:r>
    <w:r w:rsidRPr="00604B99">
      <w:tab/>
    </w:r>
    <w:r w:rsidRPr="00604B99">
      <w:rPr>
        <w:b w:val="0"/>
        <w:i/>
        <w:color w:val="C0C0C0"/>
        <w:sz w:val="22"/>
      </w:rPr>
      <w:t>Jednotná v rozmanitosti</w:t>
    </w:r>
    <w:r w:rsidRPr="00604B99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B9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B9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B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249" w:rsidRPr="00604B99" w:rsidRDefault="00D50249">
      <w:r w:rsidRPr="00604B99">
        <w:separator/>
      </w:r>
    </w:p>
  </w:footnote>
  <w:footnote w:type="continuationSeparator" w:id="0">
    <w:p w:rsidR="00D50249" w:rsidRPr="00604B99" w:rsidRDefault="00D50249">
      <w:r w:rsidRPr="00604B99">
        <w:continuationSeparator/>
      </w:r>
    </w:p>
  </w:footnote>
  <w:footnote w:id="1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>. L 45, 24.2.2022.</w:t>
      </w:r>
    </w:p>
  </w:footnote>
  <w:footnote w:id="2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 xml:space="preserve">. </w:t>
      </w:r>
      <w:r w:rsidR="00406413">
        <w:rPr>
          <w:sz w:val="24"/>
          <w:lang w:val="cs-CZ"/>
        </w:rPr>
        <w:t xml:space="preserve">C, </w:t>
      </w:r>
      <w:bookmarkStart w:id="8" w:name="_GoBack"/>
      <w:bookmarkEnd w:id="8"/>
      <w:r w:rsidRPr="00604B99">
        <w:rPr>
          <w:sz w:val="24"/>
          <w:lang w:val="cs-CZ"/>
        </w:rPr>
        <w:t>C/2023/2, 12.10.2023.</w:t>
      </w:r>
    </w:p>
  </w:footnote>
  <w:footnote w:id="3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>. C, C/2023/103, 4.10.2023.</w:t>
      </w:r>
    </w:p>
  </w:footnote>
  <w:footnote w:id="4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>. C, C/2023/112, 12.10.2023.</w:t>
      </w:r>
    </w:p>
  </w:footnote>
  <w:footnote w:id="5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>. L 193, 30.7.2018, s. 1.</w:t>
      </w:r>
    </w:p>
  </w:footnote>
  <w:footnote w:id="6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>. C 324, 1.10.2020, s. 8.</w:t>
      </w:r>
    </w:p>
  </w:footnote>
  <w:footnote w:id="7">
    <w:p w:rsidR="00366984" w:rsidRPr="00604B99" w:rsidRDefault="00366984" w:rsidP="00604B99">
      <w:pPr>
        <w:pStyle w:val="FootnoteText"/>
        <w:ind w:left="567" w:hanging="567"/>
        <w:rPr>
          <w:sz w:val="24"/>
          <w:lang w:val="cs-CZ"/>
        </w:rPr>
      </w:pPr>
      <w:r w:rsidRPr="00604B99">
        <w:rPr>
          <w:rStyle w:val="FootnoteReference"/>
          <w:sz w:val="24"/>
          <w:lang w:val="cs-CZ"/>
        </w:rPr>
        <w:footnoteRef/>
      </w:r>
      <w:r w:rsidR="00604B99" w:rsidRPr="00604B99">
        <w:rPr>
          <w:sz w:val="24"/>
          <w:lang w:val="cs-CZ"/>
        </w:rPr>
        <w:t xml:space="preserve"> </w:t>
      </w:r>
      <w:r w:rsidR="00604B99" w:rsidRPr="00604B99">
        <w:rPr>
          <w:sz w:val="24"/>
          <w:lang w:val="cs-CZ"/>
        </w:rPr>
        <w:tab/>
      </w:r>
      <w:proofErr w:type="spellStart"/>
      <w:r w:rsidRPr="00604B99">
        <w:rPr>
          <w:sz w:val="24"/>
          <w:lang w:val="cs-CZ"/>
        </w:rPr>
        <w:t>Úř</w:t>
      </w:r>
      <w:proofErr w:type="spellEnd"/>
      <w:r w:rsidRPr="00604B99">
        <w:rPr>
          <w:sz w:val="24"/>
          <w:lang w:val="cs-CZ"/>
        </w:rPr>
        <w:t xml:space="preserve">. </w:t>
      </w:r>
      <w:proofErr w:type="spellStart"/>
      <w:r w:rsidRPr="00604B99">
        <w:rPr>
          <w:sz w:val="24"/>
          <w:lang w:val="cs-CZ"/>
        </w:rPr>
        <w:t>věst</w:t>
      </w:r>
      <w:proofErr w:type="spellEnd"/>
      <w:r w:rsidRPr="00604B99">
        <w:rPr>
          <w:sz w:val="24"/>
          <w:lang w:val="cs-CZ"/>
        </w:rPr>
        <w:t>. C 32, 27.1.2023, s. 42.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B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B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B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3/2024"/>
    <w:docVar w:name="dvlangue" w:val="CS"/>
    <w:docVar w:name="dvnumam" w:val="0"/>
    <w:docVar w:name="dvpe" w:val="753.484"/>
    <w:docVar w:name="dvrapporteur" w:val="Zpravodaj: "/>
    <w:docVar w:name="dvtitre" w:val="1. Rozhodnutí Evropského parlamentu ze dne 11. dubna 2024 o udělení absolutoria za plnění souhrnného rozpočtu Evropské unie na rozpočtový rok 2022, oddíl VII – Výbor regionů(2023/2136(DEC))"/>
  </w:docVars>
  <w:rsids>
    <w:rsidRoot w:val="00D50249"/>
    <w:rsid w:val="00002272"/>
    <w:rsid w:val="00064002"/>
    <w:rsid w:val="000677B9"/>
    <w:rsid w:val="000831BA"/>
    <w:rsid w:val="000A42CC"/>
    <w:rsid w:val="000E7DD9"/>
    <w:rsid w:val="000F3F3A"/>
    <w:rsid w:val="0010095E"/>
    <w:rsid w:val="00125B37"/>
    <w:rsid w:val="00187494"/>
    <w:rsid w:val="001B4E80"/>
    <w:rsid w:val="001F32AE"/>
    <w:rsid w:val="002767FF"/>
    <w:rsid w:val="002B18FE"/>
    <w:rsid w:val="002B5493"/>
    <w:rsid w:val="00343214"/>
    <w:rsid w:val="00361C00"/>
    <w:rsid w:val="00366984"/>
    <w:rsid w:val="00395FA1"/>
    <w:rsid w:val="003E15D4"/>
    <w:rsid w:val="0040641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5AD"/>
    <w:rsid w:val="00560270"/>
    <w:rsid w:val="005C2568"/>
    <w:rsid w:val="006037C0"/>
    <w:rsid w:val="00604B9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CEB"/>
    <w:rsid w:val="00930C23"/>
    <w:rsid w:val="0093193B"/>
    <w:rsid w:val="009509D8"/>
    <w:rsid w:val="00950B64"/>
    <w:rsid w:val="0098083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24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9681E"/>
  <w15:chartTrackingRefBased/>
  <w15:docId w15:val="{3108DFA0-67E7-4D09-9B8A-F72397B2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6698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66984"/>
    <w:pPr>
      <w:spacing w:before="480" w:after="240"/>
    </w:pPr>
  </w:style>
  <w:style w:type="paragraph" w:customStyle="1" w:styleId="PageHeading">
    <w:name w:val="PageHeading"/>
    <w:basedOn w:val="Normal"/>
    <w:rsid w:val="003669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66984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36698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669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6984"/>
    <w:rPr>
      <w:sz w:val="24"/>
      <w:lang w:val="cs-CZ"/>
    </w:rPr>
  </w:style>
  <w:style w:type="paragraph" w:customStyle="1" w:styleId="EPFooter">
    <w:name w:val="EPFooter"/>
    <w:basedOn w:val="Normal"/>
    <w:rsid w:val="0036698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366984"/>
    <w:rPr>
      <w:sz w:val="24"/>
      <w:lang w:val="cs-CZ"/>
    </w:rPr>
  </w:style>
  <w:style w:type="paragraph" w:styleId="Footer">
    <w:name w:val="footer"/>
    <w:basedOn w:val="Normal"/>
    <w:link w:val="FooterChar"/>
    <w:rsid w:val="009808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8083A"/>
    <w:rPr>
      <w:sz w:val="24"/>
      <w:lang w:val="cs-CZ"/>
    </w:rPr>
  </w:style>
  <w:style w:type="paragraph" w:styleId="BalloonText">
    <w:name w:val="Balloon Text"/>
    <w:basedOn w:val="Normal"/>
    <w:link w:val="BalloonTextChar"/>
    <w:rsid w:val="005515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15A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24814-9BC3-42AB-A6C1-F349CEA59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5791</Words>
  <Characters>33012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Karina Pesa</cp:lastModifiedBy>
  <cp:revision>3</cp:revision>
  <cp:lastPrinted>2004-11-19T15:42:00Z</cp:lastPrinted>
  <dcterms:created xsi:type="dcterms:W3CDTF">2024-04-11T10:47:00Z</dcterms:created>
  <dcterms:modified xsi:type="dcterms:W3CDTF">2024-10-30T19:05:00Z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A9-0073/2024</vt:lpwstr>
  </property>
  <property fmtid="{D5CDD505-2E9C-101B-9397-08002B2CF9AE}" pid="4" name="&lt;Type&gt;">
    <vt:lpwstr>RR</vt:lpwstr>
  </property>
</Properties>
</file>