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6A8F" w:rsidTr="0010095E">
        <w:trPr>
          <w:trHeight w:hRule="exact" w:val="1418"/>
        </w:trPr>
        <w:tc>
          <w:tcPr>
            <w:tcW w:w="6804" w:type="dxa"/>
            <w:shd w:val="clear" w:color="auto" w:fill="auto"/>
            <w:vAlign w:val="center"/>
          </w:tcPr>
          <w:p w:rsidR="00751A4A" w:rsidRPr="00C86A8F" w:rsidRDefault="0092573B" w:rsidP="0010095E">
            <w:pPr>
              <w:pStyle w:val="EPName"/>
            </w:pPr>
            <w:r w:rsidRPr="00C86A8F">
              <w:t>Europa-Parlamentet</w:t>
            </w:r>
          </w:p>
          <w:p w:rsidR="00751A4A" w:rsidRPr="00C86A8F" w:rsidRDefault="00817416" w:rsidP="00756632">
            <w:pPr>
              <w:pStyle w:val="EPTerm"/>
              <w:rPr>
                <w:rStyle w:val="HideTWBExt"/>
                <w:noProof w:val="0"/>
                <w:vanish w:val="0"/>
                <w:color w:val="auto"/>
              </w:rPr>
            </w:pPr>
            <w:r w:rsidRPr="00C86A8F">
              <w:t>2019-2024</w:t>
            </w:r>
          </w:p>
        </w:tc>
        <w:tc>
          <w:tcPr>
            <w:tcW w:w="2268" w:type="dxa"/>
            <w:shd w:val="clear" w:color="auto" w:fill="auto"/>
          </w:tcPr>
          <w:p w:rsidR="00751A4A" w:rsidRPr="00C86A8F" w:rsidRDefault="00187494" w:rsidP="0010095E">
            <w:pPr>
              <w:pStyle w:val="EPLogo"/>
            </w:pPr>
            <w:r w:rsidRPr="00C86A8F">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6A8F" w:rsidRDefault="00D058B8" w:rsidP="004C5D52">
      <w:pPr>
        <w:pStyle w:val="LineTop"/>
      </w:pPr>
    </w:p>
    <w:p w:rsidR="00680577" w:rsidRPr="00C86A8F" w:rsidRDefault="0092573B" w:rsidP="00680577">
      <w:pPr>
        <w:pStyle w:val="EPBodyTA1"/>
      </w:pPr>
      <w:r w:rsidRPr="00C86A8F">
        <w:t>VEDTAGNE TEKSTER</w:t>
      </w:r>
    </w:p>
    <w:p w:rsidR="00D058B8" w:rsidRPr="00C86A8F" w:rsidRDefault="00D058B8" w:rsidP="00D058B8">
      <w:pPr>
        <w:pStyle w:val="LineBottom"/>
      </w:pPr>
    </w:p>
    <w:p w:rsidR="0092573B" w:rsidRPr="00C86A8F" w:rsidRDefault="0092573B" w:rsidP="0092573B">
      <w:pPr>
        <w:pStyle w:val="ATHeading1"/>
      </w:pPr>
      <w:bookmarkStart w:id="0" w:name="TANumber"/>
      <w:r w:rsidRPr="00C86A8F">
        <w:t>P9_TA(2024)0</w:t>
      </w:r>
      <w:bookmarkEnd w:id="0"/>
      <w:r w:rsidR="00491EC7">
        <w:t>233</w:t>
      </w:r>
    </w:p>
    <w:p w:rsidR="0092573B" w:rsidRPr="00C86A8F" w:rsidRDefault="00A75455" w:rsidP="0092573B">
      <w:pPr>
        <w:pStyle w:val="ATHeading2"/>
      </w:pPr>
      <w:r w:rsidRPr="00A75455">
        <w:t>Decharge 2022: EU's almindelige budget – Regionsudvalget</w:t>
      </w:r>
    </w:p>
    <w:p w:rsidR="0092573B" w:rsidRPr="00C86A8F" w:rsidRDefault="0092573B" w:rsidP="0092573B">
      <w:pPr>
        <w:rPr>
          <w:i/>
          <w:vanish/>
        </w:rPr>
      </w:pPr>
      <w:r w:rsidRPr="00C86A8F">
        <w:rPr>
          <w:i/>
        </w:rPr>
        <w:fldChar w:fldCharType="begin"/>
      </w:r>
      <w:r w:rsidRPr="00C86A8F">
        <w:rPr>
          <w:i/>
        </w:rPr>
        <w:instrText xml:space="preserve"> TC"(</w:instrText>
      </w:r>
      <w:bookmarkStart w:id="1" w:name="DocNumber"/>
      <w:r w:rsidRPr="00C86A8F">
        <w:rPr>
          <w:i/>
        </w:rPr>
        <w:instrText>A9-0073/2024</w:instrText>
      </w:r>
      <w:bookmarkEnd w:id="1"/>
      <w:r w:rsidRPr="00C86A8F">
        <w:rPr>
          <w:i/>
        </w:rPr>
        <w:instrText xml:space="preserve"> - Ordfører: Luke Ming Flanagan)"\l3 \n&gt; \* MERGEFORMAT </w:instrText>
      </w:r>
      <w:r w:rsidRPr="00C86A8F">
        <w:rPr>
          <w:i/>
        </w:rPr>
        <w:fldChar w:fldCharType="end"/>
      </w:r>
    </w:p>
    <w:p w:rsidR="0092573B" w:rsidRPr="00C86A8F" w:rsidRDefault="0092573B" w:rsidP="0092573B">
      <w:pPr>
        <w:rPr>
          <w:vanish/>
        </w:rPr>
      </w:pPr>
      <w:bookmarkStart w:id="2" w:name="Commission"/>
      <w:r w:rsidRPr="00C86A8F">
        <w:rPr>
          <w:vanish/>
        </w:rPr>
        <w:t>Budgetkontroludvalget</w:t>
      </w:r>
      <w:bookmarkEnd w:id="2"/>
    </w:p>
    <w:p w:rsidR="0092573B" w:rsidRPr="00C86A8F" w:rsidRDefault="0092573B" w:rsidP="0092573B">
      <w:pPr>
        <w:rPr>
          <w:vanish/>
        </w:rPr>
      </w:pPr>
      <w:bookmarkStart w:id="3" w:name="PE"/>
      <w:r w:rsidRPr="00C86A8F">
        <w:rPr>
          <w:vanish/>
        </w:rPr>
        <w:t>PE753.484</w:t>
      </w:r>
      <w:bookmarkEnd w:id="3"/>
    </w:p>
    <w:p w:rsidR="0092573B" w:rsidRPr="00C86A8F" w:rsidRDefault="00366462" w:rsidP="0092573B">
      <w:pPr>
        <w:pStyle w:val="ATHeading3"/>
      </w:pPr>
      <w:bookmarkStart w:id="4" w:name="Sujet"/>
      <w:r>
        <w:t xml:space="preserve">1. </w:t>
      </w:r>
      <w:r w:rsidRPr="009574E6">
        <w:t xml:space="preserve">Europa-Parlamentets </w:t>
      </w:r>
      <w:r>
        <w:t xml:space="preserve">afgørelse af 11. april 2024 </w:t>
      </w:r>
      <w:r w:rsidRPr="009574E6">
        <w:t>om decharge</w:t>
      </w:r>
      <w:r w:rsidR="0092573B" w:rsidRPr="00C86A8F">
        <w:t xml:space="preserve"> for gennemførelsen af Den Europæiske Unions almindelige budget for regnskabsåret 2022, Sektion VII - Regionsudvalget</w:t>
      </w:r>
      <w:bookmarkEnd w:id="4"/>
      <w:r w:rsidR="0092573B" w:rsidRPr="00C86A8F">
        <w:t xml:space="preserve"> </w:t>
      </w:r>
      <w:bookmarkStart w:id="5" w:name="References"/>
      <w:r w:rsidR="0092573B" w:rsidRPr="00C86A8F">
        <w:t>(2023/2136(DEC))</w:t>
      </w:r>
      <w:bookmarkEnd w:id="5"/>
    </w:p>
    <w:p w:rsidR="0015434E" w:rsidRPr="00C86A8F" w:rsidRDefault="0015434E" w:rsidP="0015434E">
      <w:pPr>
        <w:pStyle w:val="EPComma"/>
      </w:pPr>
      <w:bookmarkStart w:id="6" w:name="TextBodyBegin"/>
      <w:bookmarkEnd w:id="6"/>
      <w:r w:rsidRPr="00C86A8F">
        <w:rPr>
          <w:i/>
        </w:rPr>
        <w:t>Europa-Parlamentet,</w:t>
      </w:r>
    </w:p>
    <w:p w:rsidR="0015434E" w:rsidRPr="00C86A8F" w:rsidRDefault="0015434E" w:rsidP="0015434E">
      <w:pPr>
        <w:pStyle w:val="NormalHanging12a"/>
      </w:pPr>
      <w:r w:rsidRPr="00C86A8F">
        <w:t>–</w:t>
      </w:r>
      <w:r w:rsidRPr="00C86A8F">
        <w:tab/>
        <w:t>der henviser til Den Europæiske Unions almindelige budget for regnskabsåret 2022</w:t>
      </w:r>
      <w:r w:rsidRPr="00C86A8F">
        <w:rPr>
          <w:rStyle w:val="FootnoteReference"/>
        </w:rPr>
        <w:footnoteReference w:id="1"/>
      </w:r>
      <w:r w:rsidRPr="00C86A8F">
        <w:t>,</w:t>
      </w:r>
    </w:p>
    <w:p w:rsidR="0015434E" w:rsidRPr="00C86A8F" w:rsidRDefault="0015434E" w:rsidP="0015434E">
      <w:pPr>
        <w:pStyle w:val="NormalHanging12a"/>
      </w:pPr>
      <w:r w:rsidRPr="00C86A8F">
        <w:t>–</w:t>
      </w:r>
      <w:r w:rsidRPr="00C86A8F">
        <w:tab/>
        <w:t>der henviser til Den Europæiske Unions konsoliderede årsregnskab for regnskabsåret 2022 (COM(2023)0391 – C9</w:t>
      </w:r>
      <w:r w:rsidRPr="00C86A8F">
        <w:noBreakHyphen/>
        <w:t>0255/2023)</w:t>
      </w:r>
      <w:r w:rsidRPr="00C86A8F">
        <w:rPr>
          <w:rStyle w:val="FootnoteReference"/>
        </w:rPr>
        <w:footnoteReference w:id="2"/>
      </w:r>
      <w:r w:rsidRPr="00C86A8F">
        <w:t>,</w:t>
      </w:r>
    </w:p>
    <w:p w:rsidR="0015434E" w:rsidRPr="00C86A8F" w:rsidRDefault="0015434E" w:rsidP="0015434E">
      <w:pPr>
        <w:pStyle w:val="NormalHanging12a"/>
      </w:pPr>
      <w:r w:rsidRPr="00C86A8F">
        <w:t>–</w:t>
      </w:r>
      <w:r w:rsidRPr="00C86A8F">
        <w:tab/>
        <w:t>der henviser til Regionsudvalgets årlige aktivitetsrapport for 2022 og dets beretning om den budgetmæssige og økonomiske forvaltning for regnskabsåret 2022,</w:t>
      </w:r>
    </w:p>
    <w:p w:rsidR="0015434E" w:rsidRPr="00C86A8F" w:rsidRDefault="0015434E" w:rsidP="0015434E">
      <w:pPr>
        <w:pStyle w:val="NormalHanging12a"/>
      </w:pPr>
      <w:r w:rsidRPr="00C86A8F">
        <w:t>–</w:t>
      </w:r>
      <w:r w:rsidRPr="00C86A8F">
        <w:tab/>
        <w:t>der henviser til Revisionsrettens årsberetning om budgetgennemførelsen i regnskabsåret 2022, med institutionernes svar</w:t>
      </w:r>
      <w:r w:rsidRPr="00C86A8F">
        <w:rPr>
          <w:rStyle w:val="FootnoteReference"/>
        </w:rPr>
        <w:footnoteReference w:id="3"/>
      </w:r>
      <w:r w:rsidRPr="00C86A8F">
        <w:t>,</w:t>
      </w:r>
    </w:p>
    <w:p w:rsidR="0015434E" w:rsidRPr="00C86A8F" w:rsidRDefault="0015434E" w:rsidP="0015434E">
      <w:pPr>
        <w:pStyle w:val="NormalHanging12a"/>
      </w:pPr>
      <w:r w:rsidRPr="00C86A8F">
        <w:t>–</w:t>
      </w:r>
      <w:r w:rsidRPr="00C86A8F">
        <w:tab/>
        <w:t>der henviser til Revisionsrettens erklæring</w:t>
      </w:r>
      <w:r w:rsidRPr="00C86A8F">
        <w:rPr>
          <w:rStyle w:val="FootnoteReference"/>
        </w:rPr>
        <w:footnoteReference w:id="4"/>
      </w:r>
      <w:r w:rsidRPr="00C86A8F">
        <w:t xml:space="preserve"> for regnskabsåret 2022 om regnskabernes rigtighed og de underliggende transaktioners lovlighed og formelle rigtighed, jf. artikel 287 i traktaten om Den Europæiske Unions funktionsmåde,</w:t>
      </w:r>
    </w:p>
    <w:p w:rsidR="0015434E" w:rsidRPr="00C86A8F" w:rsidRDefault="0015434E" w:rsidP="0015434E">
      <w:pPr>
        <w:pStyle w:val="NormalHanging12a"/>
      </w:pPr>
      <w:r w:rsidRPr="00C86A8F">
        <w:t>–</w:t>
      </w:r>
      <w:r w:rsidRPr="00C86A8F">
        <w:tab/>
        <w:t>der henviser til artikel 314, stk. 10, og artikel 317, 318 og 319 i traktaten om Den Europæiske Unions funktionsmåde,</w:t>
      </w:r>
    </w:p>
    <w:p w:rsidR="0015434E" w:rsidRPr="00C86A8F" w:rsidRDefault="0015434E" w:rsidP="0015434E">
      <w:pPr>
        <w:pStyle w:val="NormalHanging12a"/>
      </w:pPr>
      <w:r w:rsidRPr="00C86A8F">
        <w:t>–</w:t>
      </w:r>
      <w:r w:rsidRPr="00C86A8F">
        <w:tab/>
        <w:t xml:space="preserve">der henviser til Europa-Parlamentets og Rådets forordning (EU, </w:t>
      </w:r>
      <w:proofErr w:type="spellStart"/>
      <w:r w:rsidRPr="00C86A8F">
        <w:t>Euratom</w:t>
      </w:r>
      <w:proofErr w:type="spellEnd"/>
      <w:r w:rsidRPr="00C86A8F">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C86A8F">
        <w:lastRenderedPageBreak/>
        <w:t>Euratom</w:t>
      </w:r>
      <w:proofErr w:type="spellEnd"/>
      <w:r w:rsidRPr="00C86A8F">
        <w:t>) nr. 966/2012</w:t>
      </w:r>
      <w:r w:rsidRPr="00C86A8F">
        <w:rPr>
          <w:rStyle w:val="FootnoteReference"/>
        </w:rPr>
        <w:footnoteReference w:id="5"/>
      </w:r>
      <w:r w:rsidRPr="00C86A8F">
        <w:t>, særlig artikel 59, 118, 260, 261 og 262,</w:t>
      </w:r>
    </w:p>
    <w:p w:rsidR="0015434E" w:rsidRPr="00C86A8F" w:rsidRDefault="0015434E" w:rsidP="0015434E">
      <w:pPr>
        <w:pStyle w:val="NormalHanging12a"/>
      </w:pPr>
      <w:r w:rsidRPr="00C86A8F">
        <w:t>–</w:t>
      </w:r>
      <w:r w:rsidRPr="00C86A8F">
        <w:tab/>
        <w:t>der henviser til forretningsordenens artikel 100 og bilag V,</w:t>
      </w:r>
    </w:p>
    <w:p w:rsidR="0015434E" w:rsidRPr="00C86A8F" w:rsidRDefault="0015434E" w:rsidP="0015434E">
      <w:pPr>
        <w:pStyle w:val="NormalHanging12a"/>
      </w:pPr>
      <w:r w:rsidRPr="00C86A8F">
        <w:t>–</w:t>
      </w:r>
      <w:r w:rsidRPr="00C86A8F">
        <w:tab/>
        <w:t>der henviser til betænkning fra Budgetkontroludvalget (A9-0073/2024),</w:t>
      </w:r>
    </w:p>
    <w:p w:rsidR="0015434E" w:rsidRPr="00C86A8F" w:rsidRDefault="0015434E" w:rsidP="0015434E">
      <w:pPr>
        <w:pStyle w:val="NormalHanging12a"/>
      </w:pPr>
      <w:r w:rsidRPr="00C86A8F">
        <w:t>1.</w:t>
      </w:r>
      <w:r w:rsidRPr="00C86A8F">
        <w:tab/>
        <w:t>meddeler Regionsudvalgets generalsekretær decharge for gennemførelsen af Regionsudvalgets budget for regnskabsåret 2022;</w:t>
      </w:r>
    </w:p>
    <w:p w:rsidR="0015434E" w:rsidRPr="00C86A8F" w:rsidRDefault="0015434E" w:rsidP="0015434E">
      <w:pPr>
        <w:pStyle w:val="NormalHanging12a"/>
      </w:pPr>
      <w:r w:rsidRPr="00C86A8F">
        <w:t>2.</w:t>
      </w:r>
      <w:r w:rsidRPr="00C86A8F">
        <w:tab/>
        <w:t>fremsætter sine bemærkninger i nedenstående beslutning;</w:t>
      </w:r>
    </w:p>
    <w:p w:rsidR="0015434E" w:rsidRPr="00C86A8F" w:rsidRDefault="0015434E" w:rsidP="0015434E">
      <w:pPr>
        <w:pStyle w:val="NormalHanging12a"/>
      </w:pPr>
      <w:r w:rsidRPr="00C86A8F">
        <w:t>3.</w:t>
      </w:r>
      <w:r w:rsidRPr="00C86A8F">
        <w:tab/>
        <w:t xml:space="preserve">pålægger sin formand at sende denne afgørelse og beslutningen, der er en integrerende del heraf, til generalsekretæren for Regionsudvalget, Rådet, Kommissionen og Revisionsretten og drage omsorg for, at de offentliggøres i </w:t>
      </w:r>
      <w:r w:rsidRPr="00C86A8F">
        <w:rPr>
          <w:i/>
          <w:iCs/>
        </w:rPr>
        <w:t>Den Europæiske Unions Tidende</w:t>
      </w:r>
      <w:r w:rsidRPr="00C86A8F">
        <w:t xml:space="preserve"> (L-udgaven).</w:t>
      </w:r>
    </w:p>
    <w:p w:rsidR="0015434E" w:rsidRPr="00C86A8F" w:rsidRDefault="0015434E" w:rsidP="0015434E"/>
    <w:p w:rsidR="0015434E" w:rsidRPr="00C86A8F" w:rsidRDefault="0015434E" w:rsidP="0015434E">
      <w:pPr>
        <w:pStyle w:val="NormalHanging12a"/>
        <w:sectPr w:rsidR="0015434E" w:rsidRPr="00C86A8F" w:rsidSect="00C86A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66462" w:rsidRPr="009574E6" w:rsidRDefault="00366462" w:rsidP="00366462">
      <w:pPr>
        <w:pStyle w:val="ATHeading3"/>
      </w:pPr>
      <w:r>
        <w:lastRenderedPageBreak/>
        <w:t xml:space="preserve">2. </w:t>
      </w:r>
      <w:r w:rsidRPr="009574E6">
        <w:t xml:space="preserve">Europa-Parlamentets beslutning </w:t>
      </w:r>
      <w:r w:rsidRPr="009366E9">
        <w:t xml:space="preserve">af </w:t>
      </w:r>
      <w:r>
        <w:t>11. april 2024</w:t>
      </w:r>
      <w:r w:rsidRPr="009574E6">
        <w:t xml:space="preserve"> </w:t>
      </w:r>
      <w:r w:rsidRPr="00C86A8F">
        <w:t>med bemærkningerne, der er en integrerende del af afgørelsen om decharge for gennemførelsen af Den Europæiske Unions almindelige budget for regnskabsåret 2022, Sektion VII - Regionsudvalget</w:t>
      </w:r>
      <w:r>
        <w:t xml:space="preserve"> </w:t>
      </w:r>
      <w:r w:rsidRPr="00C86A8F">
        <w:t>(2023/2136(DEC))</w:t>
      </w:r>
    </w:p>
    <w:p w:rsidR="0015434E" w:rsidRPr="00C86A8F" w:rsidRDefault="0015434E" w:rsidP="0015434E">
      <w:pPr>
        <w:pStyle w:val="EPComma"/>
      </w:pPr>
      <w:r w:rsidRPr="00C86A8F">
        <w:rPr>
          <w:i/>
        </w:rPr>
        <w:t>Europa-Parlamentet,</w:t>
      </w:r>
    </w:p>
    <w:p w:rsidR="0015434E" w:rsidRPr="00C86A8F" w:rsidRDefault="0015434E" w:rsidP="0015434E">
      <w:pPr>
        <w:pStyle w:val="NormalHanging12a"/>
        <w:rPr>
          <w:szCs w:val="24"/>
        </w:rPr>
      </w:pPr>
      <w:r w:rsidRPr="00C86A8F">
        <w:t>–</w:t>
      </w:r>
      <w:r w:rsidRPr="00C86A8F">
        <w:tab/>
        <w:t>der henviser til sin afgørelse om decharge for gennemførelsen af Den Europæiske Unions almindelige budget for regnskabsåret 2022, Sektion VII – Regionsudvalget,</w:t>
      </w:r>
    </w:p>
    <w:p w:rsidR="0015434E" w:rsidRPr="00C86A8F" w:rsidRDefault="0015434E" w:rsidP="0015434E">
      <w:pPr>
        <w:pStyle w:val="NormalHanging12a"/>
        <w:rPr>
          <w:szCs w:val="24"/>
        </w:rPr>
      </w:pPr>
      <w:r w:rsidRPr="00C86A8F">
        <w:t>–</w:t>
      </w:r>
      <w:r w:rsidRPr="00C86A8F">
        <w:tab/>
        <w:t>der henviser til forretningsordenens artikel 100 og bilag V,</w:t>
      </w:r>
    </w:p>
    <w:p w:rsidR="0015434E" w:rsidRPr="00C86A8F" w:rsidRDefault="0015434E" w:rsidP="0015434E">
      <w:pPr>
        <w:pStyle w:val="NormalHanging12a"/>
        <w:rPr>
          <w:szCs w:val="24"/>
        </w:rPr>
      </w:pPr>
      <w:r w:rsidRPr="00C86A8F">
        <w:t>–</w:t>
      </w:r>
      <w:r w:rsidRPr="00C86A8F">
        <w:tab/>
        <w:t>der henviser til betænkning fra Budgetkontroludvalget (A9-0073/2024),</w:t>
      </w:r>
    </w:p>
    <w:p w:rsidR="0015434E" w:rsidRPr="00C86A8F" w:rsidRDefault="0015434E" w:rsidP="0015434E">
      <w:pPr>
        <w:pStyle w:val="NormalHanging12a"/>
        <w:rPr>
          <w:szCs w:val="24"/>
        </w:rPr>
      </w:pPr>
      <w:r w:rsidRPr="00C86A8F">
        <w:t>A.</w:t>
      </w:r>
      <w:r w:rsidRPr="00C86A8F">
        <w:tab/>
        <w:t>der henviser til, at dechargemyndigheden inden for rammerne af dechargeproceduren gerne vil understrege, at det er særlig vigtigt at styrke EU-institutionernes demokratiske legitimitet yderligere ved at forbedre gennemsigtigheden og ansvarligheden, gennemføre begrebet resultatbaseret budgettering og sørge for god forvaltning af de menneskelige ressourcer;</w:t>
      </w:r>
    </w:p>
    <w:p w:rsidR="0015434E" w:rsidRPr="00C86A8F" w:rsidRDefault="0015434E" w:rsidP="0015434E">
      <w:pPr>
        <w:pStyle w:val="NormalHanging12a"/>
        <w:rPr>
          <w:color w:val="000000"/>
          <w:szCs w:val="24"/>
        </w:rPr>
      </w:pPr>
      <w:r w:rsidRPr="00C86A8F">
        <w:t>B.</w:t>
      </w:r>
      <w:r w:rsidRPr="00C86A8F">
        <w:tab/>
      </w:r>
      <w:r w:rsidRPr="00C86A8F">
        <w:rPr>
          <w:color w:val="000000"/>
        </w:rPr>
        <w:t>der henviser til, at Regionsudvalget ("udvalget") er en politisk forsamling med 329 medlemmer, der er valgt i regioner, byer, landsbyer og kommuner i Unionens 27 medlemsstater og fungerer som et rådgivende organ for EU-institutionerne, og som har til opgave at bidrage til Unionens politikudformning og beslutningsproces set fra de lokale og regionale myndigheders synspunkt og samtidig bidrage til at gøre Unionen mere effektiv og bringe den tættere på borgerne;</w:t>
      </w:r>
    </w:p>
    <w:p w:rsidR="0015434E" w:rsidRPr="00C86A8F" w:rsidRDefault="0015434E" w:rsidP="0015434E">
      <w:pPr>
        <w:pStyle w:val="NormalHanging12a"/>
        <w:rPr>
          <w:color w:val="000000"/>
          <w:szCs w:val="24"/>
        </w:rPr>
      </w:pPr>
      <w:r w:rsidRPr="00C86A8F">
        <w:rPr>
          <w:color w:val="000000"/>
        </w:rPr>
        <w:t>C.</w:t>
      </w:r>
      <w:r w:rsidRPr="00C86A8F">
        <w:rPr>
          <w:color w:val="000000"/>
        </w:rPr>
        <w:tab/>
        <w:t>der henviser til, at hvor det i visse tilfælde er obligatorisk for Kommissionen eller Rådet at høre udvalget, så kan udvalget også vedtage udtalelser på eget initiativ, samtidig med at det har et bredt høringsområde som fastlagt i traktaterne, der gør det muligt for det at bliver hørt af Parlamentet;</w:t>
      </w:r>
    </w:p>
    <w:p w:rsidR="0015434E" w:rsidRPr="00C86A8F" w:rsidRDefault="0015434E" w:rsidP="0015434E">
      <w:pPr>
        <w:pStyle w:val="NormalHanging12a"/>
        <w:rPr>
          <w:color w:val="000000"/>
          <w:szCs w:val="24"/>
        </w:rPr>
      </w:pPr>
      <w:r w:rsidRPr="00C86A8F">
        <w:rPr>
          <w:color w:val="000000"/>
        </w:rPr>
        <w:t>D.</w:t>
      </w:r>
      <w:r w:rsidRPr="00C86A8F">
        <w:rPr>
          <w:color w:val="000000"/>
        </w:rPr>
        <w:tab/>
        <w:t>der henviser til, at udvalgets aktiviteter er fastlagt på grundlag af dets overordnede politiske strategi som beskrevet i dets beslutning af 2. juli 2020 om dets prioriteter for 2020-2025</w:t>
      </w:r>
      <w:r w:rsidRPr="00C86A8F">
        <w:rPr>
          <w:rStyle w:val="FootnoteReference"/>
          <w:color w:val="000000"/>
          <w:szCs w:val="24"/>
        </w:rPr>
        <w:footnoteReference w:id="6"/>
      </w:r>
      <w:r w:rsidRPr="00C86A8F">
        <w:rPr>
          <w:color w:val="000000"/>
        </w:rPr>
        <w:t>, og at udvalget vedtog tre politiske prioriteter for sin 2020-2025-mandatperiode, ledsaget af tre kommunikationskampagner: at bringe Europa tættere på borgerne, at opbygge modstandsdygtige regional- og lokalsamfund og at fremme samhørighed som en grundlæggende værdi for EU;</w:t>
      </w:r>
    </w:p>
    <w:p w:rsidR="0015434E" w:rsidRPr="00C86A8F" w:rsidRDefault="0015434E" w:rsidP="0015434E">
      <w:pPr>
        <w:pStyle w:val="NormalHanging12a"/>
        <w:rPr>
          <w:color w:val="000000"/>
          <w:szCs w:val="24"/>
        </w:rPr>
      </w:pPr>
      <w:r w:rsidRPr="00C86A8F">
        <w:rPr>
          <w:color w:val="000000"/>
        </w:rPr>
        <w:t>E.</w:t>
      </w:r>
      <w:r w:rsidRPr="00C86A8F">
        <w:rPr>
          <w:color w:val="000000"/>
        </w:rPr>
        <w:tab/>
        <w:t>der henviser til, at de lokale og regionale myndigheder tegner sig for en tredjedel af de offentlige udgifter, halvdelen af de offentlige investeringer og en fjerdedel af skatteindtægterne, og at de i mange medlemsstater har kompetencer på nøgleområder såsom uddannelse, økonomisk udvikling og samhørighed, miljø, social beskyttelse, sundhed og tjenesteydelser af almen interesse, og at koordinering af det lokale, regionale, nationale og europæiske niveau derfor øger legitimiteten af lovgivningen, forbedrer ansvarsfølelsen og tjener borgernes interesser mere effektivt;</w:t>
      </w:r>
    </w:p>
    <w:p w:rsidR="0015434E" w:rsidRPr="00C86A8F" w:rsidRDefault="0015434E" w:rsidP="0015434E">
      <w:pPr>
        <w:pStyle w:val="NormalHanging12a"/>
        <w:rPr>
          <w:color w:val="000000"/>
          <w:szCs w:val="24"/>
        </w:rPr>
      </w:pPr>
      <w:r w:rsidRPr="00C86A8F">
        <w:rPr>
          <w:color w:val="000000"/>
        </w:rPr>
        <w:t>F.</w:t>
      </w:r>
      <w:r w:rsidRPr="00C86A8F">
        <w:rPr>
          <w:color w:val="000000"/>
        </w:rPr>
        <w:tab/>
        <w:t xml:space="preserve">der henviser til, at udvalget forfølger sit politiske mål om at styrke sin deltagelse i hele Unionens politiske og lovgivningsmæssige proces, samtidig med at det skaber en mere </w:t>
      </w:r>
      <w:r w:rsidRPr="00C86A8F">
        <w:rPr>
          <w:color w:val="000000"/>
        </w:rPr>
        <w:lastRenderedPageBreak/>
        <w:t>håndgribelig forbindelse til EU-borgerne, idet det bruger udvalgets medlemmer som stærke opinionsdannere i deres lokalsamfund og i deres nationale sammenslutninger af lokale og regionale myndigheder;</w:t>
      </w:r>
    </w:p>
    <w:p w:rsidR="0015434E" w:rsidRPr="00C86A8F" w:rsidRDefault="0015434E" w:rsidP="0015434E">
      <w:pPr>
        <w:pStyle w:val="NormalHanging12a"/>
        <w:rPr>
          <w:color w:val="000000"/>
          <w:szCs w:val="24"/>
        </w:rPr>
      </w:pPr>
      <w:r w:rsidRPr="00C86A8F">
        <w:rPr>
          <w:color w:val="000000"/>
        </w:rPr>
        <w:t>G.</w:t>
      </w:r>
      <w:r w:rsidRPr="00C86A8F">
        <w:rPr>
          <w:color w:val="000000"/>
        </w:rPr>
        <w:tab/>
        <w:t>der henviser til, at 400 nationale og regionale programmer, der er indført som led i gennemførelsen af Unionens samhørighedspolitik i programmeringsperioden 2021-2027, vil stille ca. 380 mia. EUR til rådighed under forskellige fonde til at tackle de økonomiske, sociale og miljømæssige udfordringer, som regioner, byer, landsbyer og kommuner i Unionen står over for;</w:t>
      </w:r>
    </w:p>
    <w:p w:rsidR="0015434E" w:rsidRPr="00C86A8F" w:rsidRDefault="0015434E" w:rsidP="0015434E">
      <w:pPr>
        <w:pStyle w:val="NormalHanging12a"/>
        <w:rPr>
          <w:color w:val="000000"/>
          <w:szCs w:val="24"/>
        </w:rPr>
      </w:pPr>
      <w:r w:rsidRPr="00C86A8F">
        <w:rPr>
          <w:color w:val="000000"/>
        </w:rPr>
        <w:t>H.</w:t>
      </w:r>
      <w:r w:rsidRPr="00C86A8F">
        <w:rPr>
          <w:color w:val="000000"/>
        </w:rPr>
        <w:tab/>
        <w:t>der henviser til, at udvalget som en EU-institution i henhold til finansforordningen skal vedtage sit eget årsregnskab, der er udarbejdet i overensstemmelse med de regnskabsregler, som Kommissionens regnskabsfører har fastlagt (Unionens regnskabsregler) og på grundlag af de internationale regnskabsstandarder for den offentlige sektor, som i sidste ende er blevet konsolideret til Unionens regnskabsregler;</w:t>
      </w:r>
    </w:p>
    <w:p w:rsidR="0015434E" w:rsidRPr="00C86A8F" w:rsidRDefault="0015434E" w:rsidP="0015434E">
      <w:pPr>
        <w:pStyle w:val="NormalHanging12a"/>
        <w:rPr>
          <w:szCs w:val="24"/>
        </w:rPr>
      </w:pPr>
      <w:r w:rsidRPr="00C86A8F">
        <w:t>1.</w:t>
      </w:r>
      <w:r w:rsidRPr="00C86A8F">
        <w:tab/>
        <w:t>bemærker, at udvalgets budget falder ind under FFR-udgiftsområde 7, "Europæisk offentlig forvaltning", som i 2022 beløb sig til i alt 11,6 mia. EUR eller 5,9 % af Unionens udgifter); bemærker, at udvalgets budget i 2022 udgjorde 0,95 % af FFR-udgiftsområde 7;</w:t>
      </w:r>
    </w:p>
    <w:p w:rsidR="0015434E" w:rsidRPr="00C86A8F" w:rsidRDefault="0015434E" w:rsidP="0015434E">
      <w:pPr>
        <w:pStyle w:val="NormalHanging12a"/>
        <w:rPr>
          <w:szCs w:val="24"/>
        </w:rPr>
      </w:pPr>
      <w:r w:rsidRPr="00C86A8F">
        <w:t>2.</w:t>
      </w:r>
      <w:r w:rsidRPr="00C86A8F">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udgifter til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rsidR="0015434E" w:rsidRPr="00C86A8F" w:rsidRDefault="0015434E" w:rsidP="0015434E">
      <w:pPr>
        <w:pStyle w:val="NormalHanging12a"/>
        <w:rPr>
          <w:szCs w:val="24"/>
        </w:rPr>
      </w:pPr>
      <w:r w:rsidRPr="00C86A8F">
        <w:t>3.</w:t>
      </w:r>
      <w:r w:rsidRPr="00C86A8F">
        <w:tab/>
        <w:t>noterer sig, at Revisionsretten som led i sin revision for 2022 undersøgte udvalgets overvågnings- og kontrolsystemer, navnlig gennemførelsen af interne kontrolstandarder, risikostyring og centrale kontrollers funktion som defineret i finansforordningen, herunder forudgående og efterfølgende kontrol af betalinger;</w:t>
      </w:r>
    </w:p>
    <w:p w:rsidR="0015434E" w:rsidRPr="00C86A8F" w:rsidRDefault="0015434E" w:rsidP="0015434E">
      <w:pPr>
        <w:pStyle w:val="NormalHanging12a"/>
        <w:rPr>
          <w:szCs w:val="24"/>
        </w:rPr>
      </w:pPr>
      <w:r w:rsidRPr="00C86A8F">
        <w:t>4.</w:t>
      </w:r>
      <w:r w:rsidRPr="00C86A8F">
        <w:tab/>
        <w:t>bemærker, at 14 (23 %) af de 60 transaktioner var behæftet med fejl, men at Revisionsretten på grundlag af de fem fejl, der blev kvantificeret, anslår, at fejlforekomsten er under væsentlighedstærsklen;</w:t>
      </w:r>
    </w:p>
    <w:p w:rsidR="0015434E" w:rsidRPr="00C86A8F" w:rsidRDefault="0015434E" w:rsidP="0015434E">
      <w:pPr>
        <w:pStyle w:val="NormalHanging12a"/>
        <w:rPr>
          <w:szCs w:val="24"/>
        </w:rPr>
      </w:pPr>
      <w:r w:rsidRPr="00C86A8F">
        <w:t>5.</w:t>
      </w:r>
      <w:r w:rsidRPr="00C86A8F">
        <w:tab/>
        <w:t>noterer med tilfredshed, at Revisionsretten i årsberetningen for regnskabsåret 2022 anfører, at den ikke havde konstateret nogen specifikke forhold vedrørende udvalget;</w:t>
      </w:r>
    </w:p>
    <w:p w:rsidR="0015434E" w:rsidRPr="00C86A8F" w:rsidRDefault="0015434E" w:rsidP="0015434E">
      <w:pPr>
        <w:pStyle w:val="NormalHanging12a"/>
        <w:rPr>
          <w:b/>
          <w:i/>
          <w:szCs w:val="24"/>
        </w:rPr>
      </w:pPr>
      <w:r w:rsidRPr="00C86A8F">
        <w:rPr>
          <w:b/>
          <w:i/>
        </w:rPr>
        <w:t>Budgetmæssig og økonomisk forvaltning</w:t>
      </w:r>
    </w:p>
    <w:p w:rsidR="0015434E" w:rsidRPr="00C86A8F" w:rsidRDefault="0015434E" w:rsidP="0015434E">
      <w:pPr>
        <w:pStyle w:val="NormalHanging12a"/>
        <w:rPr>
          <w:szCs w:val="24"/>
        </w:rPr>
      </w:pPr>
      <w:r w:rsidRPr="00C86A8F">
        <w:t>6.</w:t>
      </w:r>
      <w:r w:rsidRPr="00C86A8F">
        <w:tab/>
        <w:t xml:space="preserve">bemærker, at udvalgets endeligt vedtagne budget for 2022 var på 109 976 858 EUR, herunder ændringsbudget 5/2022, hvilket svarer til en samlet stigning på 3,03 % sammenlignet med 2021; bemærker, at bevillingerne på budgetpost 1004 til "rejse- og opholdsudgifter i forbindelse med møder, mødeindkaldelser og dermed forbundne udgifter" steg fra 4 244 488 EUR til 8 158 838 EUR, dvs. med 92 %, mellem 2021 og 2022 som følge af genoptagelsen af rejseaktiviteter efter covid-19-pandemien; bemærker, at fordelingen af bevillinger på budgetposterne i 2022-budgettet ellers fortsat </w:t>
      </w:r>
      <w:r w:rsidRPr="00C86A8F">
        <w:lastRenderedPageBreak/>
        <w:t>var sammenlignelig med fordelingen i de foregående år;</w:t>
      </w:r>
    </w:p>
    <w:p w:rsidR="0015434E" w:rsidRPr="00C86A8F" w:rsidRDefault="0015434E" w:rsidP="0015434E">
      <w:pPr>
        <w:pStyle w:val="NormalHanging12a"/>
        <w:rPr>
          <w:szCs w:val="24"/>
        </w:rPr>
      </w:pPr>
      <w:r w:rsidRPr="00C86A8F">
        <w:t>7.</w:t>
      </w:r>
      <w:r w:rsidRPr="00C86A8F">
        <w:tab/>
        <w:t>bemærker, at budgettet for tjenesterejser for 2022 beløb sig til 419 657 EUR sammenlignet med 169 856 EUR i 2021, dvs. en stigning på 147 %, hvilket kan forklares med antallet af onlinemøder i 2021 og i begyndelsen af 2022 på grund af restriktionerne i forbindelse med covid-19-pandemien samt stigningen i rejsepriserne i 2022; bemærker, at godtgørelsen af rejse- og mødeudgifter, der finansieres over det almindelig budget for medlemmernes udgifter, til udvalgets formandskab (formand og første næstformand) steg fra 49 852 EUR til 71 810 EUR, dvs. en stigning på 44 %, mellem 2021 og 2022; glæder sig over retningslinjerne for en mere omkostningseffektiv, formålstjenlig og bæredygtig politik for tjenesterejser, der blev udsendt i juni 2022 med henblik på at reducere udvalgets tjenesterejser til et minimum;</w:t>
      </w:r>
    </w:p>
    <w:p w:rsidR="0015434E" w:rsidRPr="00C86A8F" w:rsidRDefault="0015434E" w:rsidP="0015434E">
      <w:pPr>
        <w:pStyle w:val="NormalHanging12a"/>
        <w:rPr>
          <w:szCs w:val="24"/>
        </w:rPr>
      </w:pPr>
      <w:r w:rsidRPr="00C86A8F">
        <w:t>8.</w:t>
      </w:r>
      <w:r w:rsidRPr="00C86A8F">
        <w:tab/>
        <w:t>bemærker, at budgetgennemførelsesgraden var på 99,2 % i 2022, hvilket er en smule højere end i 2021, hvor budgetgennemførelsesgraden var på 98,9 %;</w:t>
      </w:r>
    </w:p>
    <w:p w:rsidR="0015434E" w:rsidRPr="00C86A8F" w:rsidRDefault="0015434E" w:rsidP="0015434E">
      <w:pPr>
        <w:pStyle w:val="NormalHanging12a"/>
        <w:rPr>
          <w:szCs w:val="24"/>
        </w:rPr>
      </w:pPr>
      <w:r w:rsidRPr="00C86A8F">
        <w:t>9.</w:t>
      </w:r>
      <w:r w:rsidRPr="00C86A8F">
        <w:tab/>
        <w:t>bemærker, at den gennemsnitlige betalingstid i 2022 var 17,87 dage, hvilket er højere end i 2021, hvor den var 16,11 dage; bemærker, at procentdelen af elektronisk fakturering samtidig steg fra 32 % til 68 %; bemærker, at der ikke er nogen sammenhæng mellem de to tal, og opfordrer udvalget til at fuldende digitaliseringen af betalingsprocessen med henblik på at forbedre dens effektivitet og rettidighed;</w:t>
      </w:r>
    </w:p>
    <w:p w:rsidR="0015434E" w:rsidRPr="00C86A8F" w:rsidRDefault="0015434E" w:rsidP="0015434E">
      <w:pPr>
        <w:pStyle w:val="NormalHanging12a"/>
        <w:rPr>
          <w:szCs w:val="24"/>
        </w:rPr>
      </w:pPr>
      <w:r w:rsidRPr="00C86A8F">
        <w:t>10.</w:t>
      </w:r>
      <w:r w:rsidRPr="00C86A8F">
        <w:tab/>
        <w:t>bemærker, at Ruslands angrebskrig mod Ukraine skabte et budgetpres på udvalget, herunder gennem stigende inflation og løntilpasninger, stærkt stigende energiomkostninger og byggeomkostninger og omkostninger til råvarer; bemærker endvidere, at udvalget mobiliserede sin politiske støtte til ukrainske lokale og regionale myndigheder og tilrettelagde aktiviteter i forbindelse med krigen mod Ukraine, hvilket havde en indvirkning på budgettet for tjenesterejser, undersøgelser og kurser;</w:t>
      </w:r>
    </w:p>
    <w:p w:rsidR="0015434E" w:rsidRPr="00C86A8F" w:rsidRDefault="0015434E" w:rsidP="0015434E">
      <w:pPr>
        <w:pStyle w:val="NormalHanging12a"/>
        <w:rPr>
          <w:szCs w:val="24"/>
        </w:rPr>
      </w:pPr>
      <w:r w:rsidRPr="00C86A8F">
        <w:t>11.</w:t>
      </w:r>
      <w:r w:rsidRPr="00C86A8F">
        <w:tab/>
        <w:t>bemærker, at udvalgets egne tjenestegrene iværksatte 14 udbudsprocedurer i 2022, herunder 11 udbud med forhandling i forbindelse med fjerntolketjenester i medlemsstaterne; noterer sig, at der blev iværksat udbudsprocedurer på logistikområdet af de fælles tjenestegrene, som udvalget deler med Det Europæiske Økonomiske og Sociale Udvalg (EØSU);</w:t>
      </w:r>
    </w:p>
    <w:p w:rsidR="0015434E" w:rsidRPr="00C86A8F" w:rsidRDefault="0015434E" w:rsidP="0015434E">
      <w:pPr>
        <w:pStyle w:val="NormalHanging12a"/>
        <w:rPr>
          <w:b/>
          <w:i/>
          <w:szCs w:val="24"/>
        </w:rPr>
      </w:pPr>
      <w:r w:rsidRPr="00C86A8F">
        <w:rPr>
          <w:b/>
          <w:i/>
        </w:rPr>
        <w:t>Intern forvaltning, performance og intern kontrol</w:t>
      </w:r>
    </w:p>
    <w:p w:rsidR="0015434E" w:rsidRPr="00C86A8F" w:rsidRDefault="0015434E" w:rsidP="0015434E">
      <w:pPr>
        <w:pStyle w:val="NormalHanging12a"/>
        <w:rPr>
          <w:szCs w:val="24"/>
        </w:rPr>
      </w:pPr>
      <w:r w:rsidRPr="00C86A8F">
        <w:t>12.</w:t>
      </w:r>
      <w:r w:rsidRPr="00C86A8F">
        <w:tab/>
        <w:t xml:space="preserve">bemærker, at udvalget bidrager til Unionens politik og beslutningsproces set fra Unionens regionale og lokale myndigheders perspektiv, og at det udgør en ramme for at styrke samarbejdet mellem aktører på lokalt, regionalt, nationalt og europæisk plan og bringe Europa tættere på borgerne; glæder sig over relevansen af udvalgets bidrag til vigtige EU-emner, som f.eks. gennemførelsen af genopretnings- og </w:t>
      </w:r>
      <w:proofErr w:type="spellStart"/>
      <w:r w:rsidRPr="00C86A8F">
        <w:t>resiliensfaciliteten</w:t>
      </w:r>
      <w:proofErr w:type="spellEnd"/>
      <w:r w:rsidRPr="00C86A8F">
        <w:t xml:space="preserve"> som afspejlet i Parlamentets beslutning af 23. juni 2022 om gennemførelsen af genopretnings- og </w:t>
      </w:r>
      <w:proofErr w:type="spellStart"/>
      <w:r w:rsidRPr="00C86A8F">
        <w:t>resiliensfaciliteten</w:t>
      </w:r>
      <w:proofErr w:type="spellEnd"/>
      <w:r w:rsidRPr="00C86A8F">
        <w:rPr>
          <w:vertAlign w:val="superscript"/>
        </w:rPr>
        <w:footnoteReference w:id="7"/>
      </w:r>
      <w:r w:rsidRPr="00C86A8F">
        <w:t>; opfordrer endvidere udvalget til at bistå sine medlemmer med at deltage i lokale dialoger med borgerne om europæiske anliggender;</w:t>
      </w:r>
    </w:p>
    <w:p w:rsidR="0015434E" w:rsidRPr="00C86A8F" w:rsidRDefault="0015434E" w:rsidP="0015434E">
      <w:pPr>
        <w:pStyle w:val="NormalHanging12a"/>
        <w:rPr>
          <w:szCs w:val="24"/>
        </w:rPr>
      </w:pPr>
      <w:r w:rsidRPr="00C86A8F">
        <w:t>13.</w:t>
      </w:r>
      <w:r w:rsidRPr="00C86A8F">
        <w:tab/>
        <w:t xml:space="preserve">bemærker, at udvalget varetager sin opgave gennem udtalelser, der henviser til lovgivningsforslag fra Kommissionen (anmodninger om udtalelser), initiativudtalelser, som opfordrer EU-institutionerne til at træffe foranstaltninger, og resolutioner, der </w:t>
      </w:r>
      <w:r w:rsidRPr="00C86A8F">
        <w:lastRenderedPageBreak/>
        <w:t>fremhæver udvalgets holdning til specifikke emner; bemærker, at udvalget i 2022 vedtog 55 udtalelser og otte resolutioner, hvilket er lidt lavere end i 2021, hvor udvalget vedtog 60 udtalelser og ni resolutioner; opfordrer udvalget til fortsat at styrke sin evne til at fremlægge dokumentation fra marken til de vigtigste EU-institutioner ved hjælp af data, empiriske analyser og indsamling af bedste praksis;</w:t>
      </w:r>
    </w:p>
    <w:p w:rsidR="0015434E" w:rsidRPr="00C86A8F" w:rsidRDefault="0015434E" w:rsidP="0015434E">
      <w:pPr>
        <w:pStyle w:val="NormalHanging12a"/>
        <w:rPr>
          <w:szCs w:val="24"/>
        </w:rPr>
      </w:pPr>
      <w:r w:rsidRPr="00C86A8F">
        <w:t>14.</w:t>
      </w:r>
      <w:r w:rsidRPr="00C86A8F">
        <w:tab/>
        <w:t xml:space="preserve">noterer sig med tilfredshed, at udvalget tog konkrete skridt til at styrke sin deltagelse i hele Unionens politiske og lovgivningsmæssige cyklus i overensstemmelse med sine beføjelser i henhold til traktaterne; glæder sig navnlig over samarbejdsaftalen mellem Parlamentet og udvalget og det tætte samarbejde mellem udvalget og flere parlamentariske udvalg, tværpolitiske grupper og generaldirektorater; bemærker, at udvalget i 2022 tilrettelagde 56 forberedende og </w:t>
      </w:r>
      <w:proofErr w:type="spellStart"/>
      <w:r w:rsidRPr="00C86A8F">
        <w:t>opfølgende</w:t>
      </w:r>
      <w:proofErr w:type="spellEnd"/>
      <w:r w:rsidRPr="00C86A8F">
        <w:t xml:space="preserve"> møder med Parlamentet for ordførerne for sine udtalelser; bemærker endvidere, at 20 udvalgsordførere deltog i Parlamentets udvalgsmøder i 2022; lykønsker udvalget for at have styrket sin deltagelse i lovgivningsmæssige triloger, navnlig ved at have opnået adgang til </w:t>
      </w:r>
      <w:proofErr w:type="spellStart"/>
      <w:r w:rsidRPr="00C86A8F">
        <w:t>trilogdokumenter</w:t>
      </w:r>
      <w:proofErr w:type="spellEnd"/>
      <w:r w:rsidRPr="00C86A8F">
        <w:t xml:space="preserve">; mener, at udvalgets og </w:t>
      </w:r>
      <w:proofErr w:type="spellStart"/>
      <w:r w:rsidRPr="00C86A8F">
        <w:t>EØSU's</w:t>
      </w:r>
      <w:proofErr w:type="spellEnd"/>
      <w:r w:rsidRPr="00C86A8F">
        <w:t xml:space="preserve"> medlemmer bør indbydes til relevante parlamentariske udvekslinger, herunder udvalgsmøder, om spørgsmål, de beskæftiger sig med;</w:t>
      </w:r>
    </w:p>
    <w:p w:rsidR="0015434E" w:rsidRPr="00C86A8F" w:rsidRDefault="0015434E" w:rsidP="0015434E">
      <w:pPr>
        <w:pStyle w:val="NormalHanging12a"/>
        <w:rPr>
          <w:szCs w:val="24"/>
        </w:rPr>
      </w:pPr>
      <w:r w:rsidRPr="00C86A8F">
        <w:t>15.</w:t>
      </w:r>
      <w:r w:rsidRPr="00C86A8F">
        <w:tab/>
        <w:t>glæder sig over de foranstaltninger, som udvalget har truffet i løbet af 2022 for at optimere sine ressourcer og forbedre omkostningseffektiviteten og samtidig øge virkningen af sit politiske arbejde inden for rammerne af "</w:t>
      </w:r>
      <w:proofErr w:type="spellStart"/>
      <w:r w:rsidRPr="00C86A8F">
        <w:t>Going</w:t>
      </w:r>
      <w:proofErr w:type="spellEnd"/>
      <w:r w:rsidRPr="00C86A8F">
        <w:t xml:space="preserve"> for </w:t>
      </w:r>
      <w:proofErr w:type="spellStart"/>
      <w:r w:rsidRPr="00C86A8F">
        <w:t>IMPact</w:t>
      </w:r>
      <w:proofErr w:type="spellEnd"/>
      <w:r w:rsidRPr="00C86A8F">
        <w:t>"-programmet, herunder navnlig de 43 forenklings- og digitaliseringsprojekter, der bidrager til moderniseringen af udvalgets administration og til digitaliseringen af arbejdsgange som led i strategien for forenkling af udvalgets regler og procedurer for perioden 2020-2025;</w:t>
      </w:r>
    </w:p>
    <w:p w:rsidR="0015434E" w:rsidRPr="00C86A8F" w:rsidRDefault="0015434E" w:rsidP="0015434E">
      <w:pPr>
        <w:pStyle w:val="NormalHanging12a"/>
        <w:rPr>
          <w:szCs w:val="24"/>
        </w:rPr>
      </w:pPr>
      <w:r w:rsidRPr="00C86A8F">
        <w:t>16.</w:t>
      </w:r>
      <w:r w:rsidRPr="00C86A8F">
        <w:tab/>
        <w:t xml:space="preserve">glæder sig over udvalgets aktive deltagelse i arbejdet i konferencen om Europas fremtid med en delegation på 30 medlemmer, hvoraf 12 repræsenterede de europæiske sammenslutninger af lokale og regionale myndigheder; bemærker, at udvalget efter det arbejde, der blev udført i 2021, tilrettelagde 14 møder i 2022 med delegerede fra konferencen om Europas fremtid og ni forberedende møder; fremhæver, at udvalget oprettede en særlig </w:t>
      </w:r>
      <w:proofErr w:type="spellStart"/>
      <w:r w:rsidRPr="00C86A8F">
        <w:t>taskforce</w:t>
      </w:r>
      <w:proofErr w:type="spellEnd"/>
      <w:r w:rsidRPr="00C86A8F">
        <w:t>, "Konferencen om Europas fremtid" for at koordinere arbejdet i alle involverede direktorater og enheder; bemærker, at forslagene i den endelige rapport fra konferencen om Europas fremtid, der blev offentliggjort den 9. maj 2022, blev taget op i udvalgets projekt "Udnyttelse af de regionale og lokale myndigheders potentiale til at styrke EU", som blev gennemført i løbet af 2022;</w:t>
      </w:r>
    </w:p>
    <w:p w:rsidR="0015434E" w:rsidRPr="00C86A8F" w:rsidRDefault="0015434E" w:rsidP="0015434E">
      <w:pPr>
        <w:pStyle w:val="NormalHanging12a"/>
        <w:rPr>
          <w:szCs w:val="24"/>
        </w:rPr>
      </w:pPr>
      <w:r w:rsidRPr="00C86A8F">
        <w:t>17.</w:t>
      </w:r>
      <w:r w:rsidRPr="00C86A8F">
        <w:tab/>
        <w:t>understreger, at plenarforsamlingen for konferencen om Europas fremtid i sin 40. henstilling under foranstaltning 3 i sin endelige rapport, opfordrer til, at udvalget reformeres, så det kommer til at omfatte passende dialogkanaler for regioner samt byer, landsbyer og kommuner og får en styrket rolle i den institutionelle arkitektur, hvis der er tale om spørgsmål med territorial indvirkning;</w:t>
      </w:r>
    </w:p>
    <w:p w:rsidR="0015434E" w:rsidRPr="00C86A8F" w:rsidRDefault="0015434E" w:rsidP="0015434E">
      <w:pPr>
        <w:pStyle w:val="NormalHanging12a"/>
        <w:rPr>
          <w:szCs w:val="24"/>
        </w:rPr>
      </w:pPr>
      <w:r w:rsidRPr="00C86A8F">
        <w:t>18.</w:t>
      </w:r>
      <w:r w:rsidRPr="00C86A8F">
        <w:tab/>
        <w:t>bemærker, at udvalget i 2022 gennemgik og styrkede sin ramme for intern kontrol med hensyn til planlægning og rapportering, systemer, finansiel kontrol og følsomme funktioner; lykønsker udvalget med udviklingen af det særlige konvergensværktøj og platformen for planlægning, rapportering, risikovurdering og forretningskontinuitet; bemærker, at den nye politik for følsomme stillinger trådte i kraft den 1. januar 2022 og blev meddelt personalet den 27. januar 2022;</w:t>
      </w:r>
    </w:p>
    <w:p w:rsidR="0015434E" w:rsidRPr="00C86A8F" w:rsidRDefault="0015434E" w:rsidP="0015434E">
      <w:pPr>
        <w:pStyle w:val="NormalHanging12a"/>
        <w:rPr>
          <w:szCs w:val="24"/>
        </w:rPr>
      </w:pPr>
      <w:r w:rsidRPr="00C86A8F">
        <w:t>19.</w:t>
      </w:r>
      <w:r w:rsidRPr="00C86A8F">
        <w:tab/>
        <w:t xml:space="preserve">bemærker, at alle møder indtil april 2022 blev afholdt online, mens vedtægtsbestemte </w:t>
      </w:r>
      <w:r w:rsidRPr="00C86A8F">
        <w:lastRenderedPageBreak/>
        <w:t>møder pr. april 2022 afholdes med fysisk tilstedeværelse, og andre møder kan afholdes som fjernmøder eller i et hybridformat; bemærker, at der indtil revisionen af udvalgets forretningsorden i 2023 fortsat blev udbetalt faste dagpenge på 200 EUR for fjernmøder og hybridmøder i henhold til regler, der har været gældende siden 2021; bemærker, at dagpengesatsen for fjernmøder pr. juli 2023 er sat til 50 % af standardsatsen for møder (dvs. i øjeblikket 50 % af 359 EUR, hvilket svarer til 179,50 EUR); mener, at fjerndeltagelse er et vigtigt instrument for moderne institutioner, eftersom det bl.a. reducerer omkostningerne til møder og giver mulighed for bredere deltagelse, navnlig i krisesituationer, som det blev demonstreret under covid-19-pandemien; bemærker med tilfredshed, at anbefalingerne fra den interne revision om tilstrækkeligheden af planlægningen og forvaltningen af godtgørelser og refusioner til medlemmer for deltagelse i møder blev gennemført på tilfredsstillende vis;</w:t>
      </w:r>
    </w:p>
    <w:p w:rsidR="0015434E" w:rsidRPr="00C86A8F" w:rsidRDefault="0015434E" w:rsidP="0015434E">
      <w:pPr>
        <w:pStyle w:val="NormalHanging12a"/>
        <w:rPr>
          <w:b/>
          <w:i/>
          <w:szCs w:val="24"/>
        </w:rPr>
      </w:pPr>
      <w:r w:rsidRPr="00C86A8F">
        <w:rPr>
          <w:b/>
          <w:i/>
        </w:rPr>
        <w:t>Menneskelige ressourcer, ligestilling og personalets trivsel</w:t>
      </w:r>
    </w:p>
    <w:p w:rsidR="0015434E" w:rsidRPr="00C86A8F" w:rsidRDefault="0015434E" w:rsidP="0015434E">
      <w:pPr>
        <w:pStyle w:val="NormalHanging12a"/>
      </w:pPr>
      <w:r w:rsidRPr="00C86A8F">
        <w:t>20.</w:t>
      </w:r>
      <w:r w:rsidRPr="00C86A8F">
        <w:tab/>
        <w:t>bemærker, at udvalget ved udgangen af 2022 havde i alt 533 medarbejdere sammenlignet med 547 i 2021 og 537 i 2020; bemærker, at der i udvalget ved udgangen af 2022 var ansat 56 kontraktansatte og 89 midlertidigt ansatte, hvoraf 21 kontraktansatte havde en tidsubegrænset kontrakt, og tre midlertidigt ansatte var ansat i midlertidige stillinger, med en tidsubegrænset kontrakt i to tilfælde og i generalsekretærens tilfælde for en periode på fem år; bemærker endvidere, at udvalget havde 8 vikarer ansat og 14 eksterne medarbejdere, der arbejdede på stedet, eksklusive eksterne tjenesteydere inden for logistik og IT; bemærker, at besættelsesgraden for stillingerne i stillingsfortegnelsen i 2022 var på 96 %;</w:t>
      </w:r>
    </w:p>
    <w:p w:rsidR="0015434E" w:rsidRPr="00C86A8F" w:rsidRDefault="0015434E" w:rsidP="0015434E">
      <w:pPr>
        <w:pStyle w:val="NormalHanging12a"/>
        <w:rPr>
          <w:szCs w:val="24"/>
        </w:rPr>
      </w:pPr>
      <w:r w:rsidRPr="00C86A8F">
        <w:t>21.</w:t>
      </w:r>
      <w:r w:rsidRPr="00C86A8F">
        <w:tab/>
        <w:t>bemærker, at et nyt pilotprojekt om en hybrid arbejdsordning, der har til formål at tilpasse HR-rammen til nye arbejdsmetoder, trådte i kraft i april 2022 og gav udvalgets medarbejdere mulighed for at tilrettelægge deres ugentlige og daglige arbejde med en høj grad af fleksibilitet og at telearbejde op til 60 % af deres arbejdstid; glæder sig over, at den nye ordning giver mulighed for en række deltidsordninger, der er baseret på de vedtægtsmæssige rettigheder, som er fastsat i personalevedtægten; bemærker med tilfredshed, at 90,25 % af dem, der besvarede personaleundersøgelsen fra december 2022, gav udtryk for deres tilfredshed med disse fleksible ordninger;</w:t>
      </w:r>
    </w:p>
    <w:p w:rsidR="0015434E" w:rsidRPr="00C86A8F" w:rsidRDefault="0015434E" w:rsidP="0015434E">
      <w:pPr>
        <w:pStyle w:val="NormalHanging12a"/>
      </w:pPr>
      <w:r w:rsidRPr="00C86A8F">
        <w:t>22.</w:t>
      </w:r>
      <w:r w:rsidRPr="00C86A8F">
        <w:tab/>
        <w:t xml:space="preserve">bemærker med bekymring, at der i 2022 blev indberettet 16 tilfælde af </w:t>
      </w:r>
      <w:proofErr w:type="spellStart"/>
      <w:r w:rsidRPr="00C86A8F">
        <w:t>udbrændthed</w:t>
      </w:r>
      <w:proofErr w:type="spellEnd"/>
      <w:r w:rsidRPr="00C86A8F">
        <w:t xml:space="preserve">; bemærker endvidere, at det i 2022 lykkedes udvalget at reintegrere 15 medarbejdere efter et langvarigt fravær som følge af </w:t>
      </w:r>
      <w:proofErr w:type="spellStart"/>
      <w:r w:rsidRPr="00C86A8F">
        <w:t>udbrændthed</w:t>
      </w:r>
      <w:proofErr w:type="spellEnd"/>
      <w:r w:rsidRPr="00C86A8F">
        <w:t xml:space="preserve"> takket være en individualiseret opfølgning på langtidssygemeldinger; hilser de forebyggende foranstaltninger, som udvalget har truffet for at mindske psykosociale risici og </w:t>
      </w:r>
      <w:proofErr w:type="spellStart"/>
      <w:r w:rsidRPr="00C86A8F">
        <w:t>udbrændthed</w:t>
      </w:r>
      <w:proofErr w:type="spellEnd"/>
      <w:r w:rsidRPr="00C86A8F">
        <w:t>, velkommen; påskønner i denne forbindelse lægetjenestens proaktive tilgang og de bevidstgørelseskonferencer, -undervisningsforløb og -kurser, som udvalget har tilrettelagt;</w:t>
      </w:r>
    </w:p>
    <w:p w:rsidR="0015434E" w:rsidRPr="00C86A8F" w:rsidRDefault="0015434E" w:rsidP="0015434E">
      <w:pPr>
        <w:pStyle w:val="NormalHanging12a"/>
        <w:rPr>
          <w:szCs w:val="24"/>
        </w:rPr>
      </w:pPr>
      <w:r w:rsidRPr="00C86A8F">
        <w:t>23.</w:t>
      </w:r>
      <w:r w:rsidRPr="00C86A8F">
        <w:tab/>
        <w:t xml:space="preserve">bemærker, at udvalget i overensstemmelse med sin afgørelse af 26. april 2021 om beskyttelse af værdigheden på arbejdspladsen, håndtering af konflikter og bekæmpelse af chikane fortsatte med at øge bevidstheden om de foranstaltninger, der er truffet for at bekæmpe chikane på arbejdspladsen, navnlig gennem særlig vejledning, intern kommunikation og afholdelsen af flere informationsmøder for medarbejdere og ledere; noterer sig, at udvalget i 2022 måtte behandle en ny sag om påstået psykisk chikane begået af et medlem af </w:t>
      </w:r>
      <w:proofErr w:type="spellStart"/>
      <w:r w:rsidRPr="00C86A8F">
        <w:t>EØSU's</w:t>
      </w:r>
      <w:proofErr w:type="spellEnd"/>
      <w:r w:rsidRPr="00C86A8F">
        <w:t xml:space="preserve"> personale mod et medlem af udvalgets personale, og at denne sag stadig er under behandling i begge udvalg; opfordrer udvalget til at rapportere </w:t>
      </w:r>
      <w:r w:rsidRPr="00C86A8F">
        <w:lastRenderedPageBreak/>
        <w:t xml:space="preserve">om opfølgningen på denne påstand om chikane, navnlig under hensyntagen til det </w:t>
      </w:r>
      <w:proofErr w:type="spellStart"/>
      <w:r w:rsidRPr="00C86A8F">
        <w:t>interinstitutionelle</w:t>
      </w:r>
      <w:proofErr w:type="spellEnd"/>
      <w:r w:rsidRPr="00C86A8F">
        <w:t xml:space="preserve"> perspektiv;</w:t>
      </w:r>
    </w:p>
    <w:p w:rsidR="0015434E" w:rsidRPr="00C86A8F" w:rsidRDefault="0015434E" w:rsidP="0015434E">
      <w:pPr>
        <w:pStyle w:val="NormalHanging12a"/>
        <w:rPr>
          <w:szCs w:val="24"/>
        </w:rPr>
      </w:pPr>
      <w:r w:rsidRPr="00C86A8F">
        <w:t>24.</w:t>
      </w:r>
      <w:r w:rsidRPr="00C86A8F">
        <w:tab/>
        <w:t>bemærker, at udvalgets personale ved udgangen af 2022 bestod af 56,8 % kvinder og 43,2 % mænd sammenlignet med 56,6 % kvinder i 2021 og 55,5 % kvinder i 2020; bemærker med bekymring, at fordelingen af kvinder på tværs af lønklasser og status følger samme tendens som i de foregående år, og beklager, at situationen på trods af udnævnelsen af en ny kvindelig direktør i 2023 og visse bestræbelser på at tiltrække flere kvinder til lederstillinger fortsat er særligt skæv både på top‑ og mellemlederniveau; opfordrer til, at stillingsopslag gøres mere inklusive og til, at flere kvinder tilskyndes til at søge ledende stillinger og mellemlederstillinger, herunder ved at der sikres en afbalanceret repræsentation i udvælgelseskomitéerne, tilbydes uddannelsesmuligheder for kvindelige medarbejdere, der ønsker at forberede sig på en lederkarriere, og foreslås mere fleksible ordninger;</w:t>
      </w:r>
    </w:p>
    <w:p w:rsidR="0015434E" w:rsidRPr="00C86A8F" w:rsidRDefault="0015434E" w:rsidP="0015434E">
      <w:pPr>
        <w:pStyle w:val="NormalHanging12a"/>
        <w:rPr>
          <w:szCs w:val="24"/>
        </w:rPr>
      </w:pPr>
      <w:r w:rsidRPr="00C86A8F">
        <w:t>25.</w:t>
      </w:r>
      <w:r w:rsidRPr="00C86A8F">
        <w:tab/>
        <w:t>ser med tilfredshed på, at udvalget den 7. juli 2022 vedtog en ny femårig strategi og handlingsplan for mangfoldighed og inklusion for 2022-2026; tilskynder udvalget til at fortsætte sine bestræbelser på at nå de mål, der er fastsat i denne strategi og handlingsplan, navnlig ligestillingsmålet om, at kvinder skal udgøre 40 % af medlemmerne af den øverste ledelse senest i 2024 med opnåelse af ligestilling mellem kønnene som det ultimative mål; glæder sig over de bevidstgørelsesforanstaltninger og de målrettede foranstaltninger, der er truffet for at fremme og styrke en mere mangfoldig og inklusiv arbejdsplads, når det gælder personalerepræsentation og kontaktpunkter i alle udvalgets tjenestegrene, og som er koordineret af en særlig koordinator for mangfoldighed og inklusion;</w:t>
      </w:r>
    </w:p>
    <w:p w:rsidR="0015434E" w:rsidRPr="00C86A8F" w:rsidRDefault="0015434E" w:rsidP="0015434E">
      <w:pPr>
        <w:pStyle w:val="NormalHanging12a"/>
      </w:pPr>
      <w:r w:rsidRPr="00C86A8F">
        <w:t>26.</w:t>
      </w:r>
      <w:r w:rsidRPr="00C86A8F">
        <w:tab/>
        <w:t xml:space="preserve">bemærker, at udvalget i 2022 beskæftigede medarbejdere, der repræsenterede alle EU-nationaliteter, og én medarbejder med ukrainsk statsborgerskab; bemærker, at der, selv om Parlamentet glæder sig over den indsats, som udvalget har ydet for at skabe balance i den geografiske fordeling blandt sit personale, stadig ikke er opnået geografisk balance, da nogle nationaliteter fortsat er overrepræsenteret i forhold til andre; tilskynder udvalget til fortsat at tage skridt til at opnå en reelt afbalanceret geografisk fordeling blandt sit personale med særligt fokus på ledelsen; glæder sig over udvalgets deltagelse i den </w:t>
      </w:r>
      <w:proofErr w:type="spellStart"/>
      <w:r w:rsidRPr="00C86A8F">
        <w:t>interinstitutionelle</w:t>
      </w:r>
      <w:proofErr w:type="spellEnd"/>
      <w:r w:rsidRPr="00C86A8F">
        <w:t xml:space="preserve"> </w:t>
      </w:r>
      <w:proofErr w:type="spellStart"/>
      <w:r w:rsidRPr="00C86A8F">
        <w:t>taskforce</w:t>
      </w:r>
      <w:proofErr w:type="spellEnd"/>
      <w:r w:rsidRPr="00C86A8F">
        <w:t xml:space="preserve"> om geografisk fordeling, der har til formål at udveksle bedste praksis og skabe </w:t>
      </w:r>
      <w:proofErr w:type="spellStart"/>
      <w:r w:rsidRPr="00C86A8F">
        <w:t>synergier</w:t>
      </w:r>
      <w:proofErr w:type="spellEnd"/>
      <w:r w:rsidRPr="00C86A8F">
        <w:t xml:space="preserve"> mellem EU-institutionerne;</w:t>
      </w:r>
    </w:p>
    <w:p w:rsidR="0015434E" w:rsidRPr="00C86A8F" w:rsidRDefault="0015434E" w:rsidP="0015434E">
      <w:pPr>
        <w:pStyle w:val="NormalHanging12a"/>
        <w:rPr>
          <w:szCs w:val="24"/>
        </w:rPr>
      </w:pPr>
      <w:r w:rsidRPr="00C86A8F">
        <w:t>27.</w:t>
      </w:r>
      <w:r w:rsidRPr="00C86A8F">
        <w:tab/>
        <w:t xml:space="preserve">bemærker, at udvalget i 2022 for første gang på pilotbasis gennemførte en </w:t>
      </w:r>
      <w:proofErr w:type="spellStart"/>
      <w:r w:rsidRPr="00C86A8F">
        <w:t>interinstitutionel</w:t>
      </w:r>
      <w:proofErr w:type="spellEnd"/>
      <w:r w:rsidRPr="00C86A8F">
        <w:t xml:space="preserve"> ordning for job-</w:t>
      </w:r>
      <w:proofErr w:type="spellStart"/>
      <w:r w:rsidRPr="00C86A8F">
        <w:t>shadowing</w:t>
      </w:r>
      <w:proofErr w:type="spellEnd"/>
      <w:r w:rsidRPr="00C86A8F">
        <w:t xml:space="preserve"> med deltagelse af tre EU-institutioner og 25 deltagere med det formål at øge forståelsen af andre institutioners arbejdsmetoder og processer, styrke det </w:t>
      </w:r>
      <w:proofErr w:type="spellStart"/>
      <w:r w:rsidRPr="00C86A8F">
        <w:t>interinstitutionelle</w:t>
      </w:r>
      <w:proofErr w:type="spellEnd"/>
      <w:r w:rsidRPr="00C86A8F">
        <w:t xml:space="preserve"> samarbejde, fremme mobiliteten og sikre en mere fleksibel arbejdsstyrke; lykønsker udvalget med iværksættelsen af dette innovative </w:t>
      </w:r>
      <w:proofErr w:type="spellStart"/>
      <w:r w:rsidRPr="00C86A8F">
        <w:t>interinstitutionelle</w:t>
      </w:r>
      <w:proofErr w:type="spellEnd"/>
      <w:r w:rsidRPr="00C86A8F">
        <w:t xml:space="preserve"> initiativ, som efterfølgende blev </w:t>
      </w:r>
      <w:proofErr w:type="spellStart"/>
      <w:r w:rsidRPr="00C86A8F">
        <w:t>opskaleret</w:t>
      </w:r>
      <w:proofErr w:type="spellEnd"/>
      <w:r w:rsidRPr="00C86A8F">
        <w:t xml:space="preserve"> og overtaget af Den Europæiske Forvaltningsskole fra og med 2023;</w:t>
      </w:r>
    </w:p>
    <w:p w:rsidR="0015434E" w:rsidRPr="00C86A8F" w:rsidRDefault="0015434E" w:rsidP="0015434E">
      <w:pPr>
        <w:pStyle w:val="NormalHanging12a"/>
        <w:rPr>
          <w:szCs w:val="24"/>
        </w:rPr>
      </w:pPr>
      <w:r w:rsidRPr="00C86A8F">
        <w:t>28.</w:t>
      </w:r>
      <w:r w:rsidRPr="00C86A8F">
        <w:tab/>
        <w:t xml:space="preserve">bemærker, at udvalget havde 60 praktikanter i 2022, hvoraf 48 var lønnede praktikanter, og 12 var personer på studiebesøg, der i to tilfælde modtog en social godtgørelse; glæder sig over de nye regler, der blev vedtaget i 2022 vedrørende aflønning af praktikanter, hvorefter studiebesøg kun kan godkendes, hvis praktikanten enten modtager støtte fra en anden kilde, eller hvis praktikopholdet er obligatorisk i forbindelse med praktikantens studier, og hvorefter alle typer praktikanter i behørigt begrundede tilfælde kan anmode om en social godtgørelse; glæder sig over, at </w:t>
      </w:r>
      <w:r w:rsidRPr="00C86A8F">
        <w:lastRenderedPageBreak/>
        <w:t>praktikanternes arbejdsvilkår under de nye fleksible arbejdsordninger er tilpasset personalets arbejdsvilkår, hvilket betyder, at praktikanter kan telearbejde fra udlandet én dag om måneden i deres praktikperiode;</w:t>
      </w:r>
    </w:p>
    <w:p w:rsidR="0015434E" w:rsidRPr="00C86A8F" w:rsidRDefault="0015434E" w:rsidP="0015434E">
      <w:pPr>
        <w:pStyle w:val="NormalHanging12a"/>
        <w:rPr>
          <w:b/>
          <w:i/>
          <w:szCs w:val="24"/>
        </w:rPr>
      </w:pPr>
      <w:r w:rsidRPr="00C86A8F">
        <w:rPr>
          <w:b/>
          <w:i/>
        </w:rPr>
        <w:t>Etiske rammer og gennemsigtighed</w:t>
      </w:r>
    </w:p>
    <w:p w:rsidR="0015434E" w:rsidRPr="00C86A8F" w:rsidRDefault="0015434E" w:rsidP="0015434E">
      <w:pPr>
        <w:pStyle w:val="NormalHanging12a"/>
        <w:rPr>
          <w:szCs w:val="24"/>
        </w:rPr>
      </w:pPr>
      <w:r w:rsidRPr="00C86A8F">
        <w:t>29.</w:t>
      </w:r>
      <w:r w:rsidRPr="00C86A8F">
        <w:tab/>
        <w:t>glæder sig over udvalgets bestræbelser på at øge den etiske bevidsthed blandt sit personale og udvalgets håndhævelse af etiske regler i forskellige procedurer, f.eks. ansættelse, og af etiske forpligtelser og rettigheder i forskellige administrative situationer, som f.eks. eksterne aktiviteter, uddannelse og udtræden af tjenesten, som opfølgning på den interne revision af personalets bevidsthed om etik; bemærker, at de grundlæggende dokumenter og regler, der ligger til grund for den etiske ramme, offentliggøres på udvalgets intranet for at øge personalets bevidsthed om etiske regler; bemærker endvidere, at udvalget afholdt 14 kollektive uddannelseskurser specifikt om etiske emner i 2022, som 107 ansatte deltog i, og at 75 % af personalet deltog i uddannelseskurset om generelle etiske spørgsmål i løbet af 2022;</w:t>
      </w:r>
    </w:p>
    <w:p w:rsidR="0015434E" w:rsidRPr="00C86A8F" w:rsidRDefault="0015434E" w:rsidP="0015434E">
      <w:pPr>
        <w:pStyle w:val="NormalHanging12a"/>
        <w:rPr>
          <w:szCs w:val="24"/>
        </w:rPr>
      </w:pPr>
      <w:r w:rsidRPr="00C86A8F">
        <w:t>30.</w:t>
      </w:r>
      <w:r w:rsidRPr="00C86A8F">
        <w:tab/>
        <w:t>bemærker, at udvalget i 2022 fortsatte gennemførelsen af sin adfærdskodeks for medlemmer fra 2020 og i den forbindelse intensiverede sin indsats for at indsamle manglende finansielle erklæringer fra medlemmerne; bemærker, at seks suppleanter, der blev udnævnt i januar 2020, stadig ikke havde indgivet deres finansielle erklæringer i juni 2023, og at udvalget, selv om ingen af disse seks medlemmer havde deltaget i et møde i udvalget siden deres udnævnelse, indledte den håndhævelsesprocedure, der er fastsat i medlemmernes adfærdskodeks;</w:t>
      </w:r>
    </w:p>
    <w:p w:rsidR="0015434E" w:rsidRPr="00C86A8F" w:rsidRDefault="0015434E" w:rsidP="0015434E">
      <w:pPr>
        <w:pStyle w:val="NormalHanging12a"/>
        <w:rPr>
          <w:szCs w:val="24"/>
        </w:rPr>
      </w:pPr>
      <w:r w:rsidRPr="00C86A8F">
        <w:t>31.</w:t>
      </w:r>
      <w:r w:rsidRPr="00C86A8F">
        <w:tab/>
        <w:t>bemærker, at Det Europæiske Kontor for Bekæmpelse af Svig (OLAF) undersøgte tre sager i 2022, hvoraf en var ny og vedrørte eksterne erhvervsmæssige aktiviteter, og to var igangværende sager, som blev afsluttet samme år, og som vedrørte henholdsvis uberettiget udbetaling af rejsegodtgørelser og påstande om økonomiske forseelser, chikane og dårlig forvaltning i en fælles tjeneste for udvalget og EØSU; bemærker, at sagen vedrørende uberettiget udbetaling af rejsegodtgørelser blev afsluttet i begyndelsen af 2022 med en anmodning fra udvalget til det pågældende medlem om at tilbagebetale den modtagne godtgørelse af etiske grunde i mangel af et retsgrundlag for inddrivelse af sådanne beløb; bemærker, at det pågældende medlem i begyndelsen af 2024 meddelte, at han havde til hensigt at tilbagebetale det beløb, som OLAF oprindelig havde anmodet om af etiske grunde, og at udvalgets finansielle tjenester var parat til at træffe alle nødvendige foranstaltninger i denne henseende; anmoder udvalget om at underrette dechargemyndigheden om udvalgets opfølgning på denne sag i overensstemmelse med personalets vedtægtsmæssige forpligtelser i henhold til personalevedtægten, navnlig fordi sagen vedrørte et medlem af udvalget, som samtidig var en akkrediteret parlamentarisk assistent, hvis kontraktlige arbejdssted var Bruxelles, og at der derfor ikke var behov for afholdelse af rejseudgifter til udvalgets møder, som fandt sted i Bruxelles; bemærker, at sagen vedrørende påstande om økonomiske forseelser, chikane og dårlig forvaltning i en fælles tjeneste gav anledning til en konflikthåndteringsøvelse, der involverede de berørte personer, deres hierarki og de respektive HR-afdelinger med en fempunktshandlingsplan, som blev gennemført i løbet af 2021 og 2022;</w:t>
      </w:r>
    </w:p>
    <w:p w:rsidR="0015434E" w:rsidRPr="00C86A8F" w:rsidRDefault="0015434E" w:rsidP="0015434E">
      <w:pPr>
        <w:pStyle w:val="NormalHanging12a"/>
        <w:rPr>
          <w:b/>
          <w:bCs/>
          <w:i/>
          <w:iCs/>
          <w:szCs w:val="24"/>
        </w:rPr>
      </w:pPr>
      <w:r w:rsidRPr="00C86A8F">
        <w:t>32.</w:t>
      </w:r>
      <w:r w:rsidRPr="00C86A8F">
        <w:tab/>
        <w:t xml:space="preserve">bemærker, at udvalget i 2022 fortsatte med at gennemføre gennemsigtighedsforanstaltninger såsom offentliggørelse af medlemmernes erklæringer om økonomiske interesser på sit websted, men ikke formelt sluttede sig til EU's åbenhedsregister, der blev oprettet ved den </w:t>
      </w:r>
      <w:proofErr w:type="spellStart"/>
      <w:r w:rsidRPr="00C86A8F">
        <w:t>interinstitutionelle</w:t>
      </w:r>
      <w:proofErr w:type="spellEnd"/>
      <w:r w:rsidRPr="00C86A8F">
        <w:t xml:space="preserve"> aftale af 20. maj 2021 </w:t>
      </w:r>
      <w:r w:rsidRPr="00C86A8F">
        <w:lastRenderedPageBreak/>
        <w:t>mellem Europa-Parlamentet, Rådet for Den Europæiske Union og Europa-Kommissionen om et obligatorisk åbenhedsregister (IIA)</w:t>
      </w:r>
      <w:r w:rsidRPr="00C86A8F">
        <w:rPr>
          <w:vertAlign w:val="superscript"/>
        </w:rPr>
        <w:t>3</w:t>
      </w:r>
      <w:r w:rsidRPr="00C86A8F">
        <w:t xml:space="preserve">; er bekendt med, at nye gennemsigtighedsforanstaltninger, der fokuserer på medlemmer, som varetager formandskab, og ordførere, i overensstemmelse med principperne i EU's åbenhedsregister blev vedtaget af udvalget gennem en præsidieafgørelse i juli 2023 og meddelt bestyrelsen for EU's åbenhedsregister; bemærker, at bestyrelsen for EU's åbenhedsregister den 20. november 2023 anså gennemsigtighedsforanstaltningerne for at være i overensstemmelse med de mål, der forfølges med </w:t>
      </w:r>
      <w:proofErr w:type="spellStart"/>
      <w:r w:rsidRPr="00C86A8F">
        <w:t>IIA'en</w:t>
      </w:r>
      <w:proofErr w:type="spellEnd"/>
      <w:r w:rsidRPr="00C86A8F">
        <w:t>, og hilste udvalgets regler velkommen som et vigtigt skridt i retning af at styrke den fælles ramme yderligere og fremme en fælles gennemsigtighedskultur på EU-plan; glæder sig over, at udvalget formelt tilsluttede sig EU's åbenhedsregister pr. 1. januar 2024;</w:t>
      </w:r>
    </w:p>
    <w:p w:rsidR="0015434E" w:rsidRPr="00C86A8F" w:rsidRDefault="0015434E" w:rsidP="0015434E">
      <w:pPr>
        <w:pStyle w:val="NormalHanging12a"/>
        <w:rPr>
          <w:szCs w:val="24"/>
        </w:rPr>
      </w:pPr>
      <w:r w:rsidRPr="00C86A8F">
        <w:t>33.</w:t>
      </w:r>
      <w:r w:rsidRPr="00C86A8F">
        <w:tab/>
        <w:t>bemærker, at udvalget i 2022 ikke opdagede nogen interessekonflikter, som ville have krævet en opfølgning fra administrationens side; bemærker, at udvalget fortsatte med at forlade sig på de gældende regler for at forebygge interessekonflikter og undgå svingdørssituationer mellem den offentlige og den private sektor og fremme dem gennem kurser i etiske anliggender og bevidstgørelse;</w:t>
      </w:r>
    </w:p>
    <w:p w:rsidR="0015434E" w:rsidRPr="00C86A8F" w:rsidRDefault="0015434E" w:rsidP="0015434E">
      <w:pPr>
        <w:pStyle w:val="NormalHanging12a"/>
      </w:pPr>
      <w:r w:rsidRPr="00C86A8F">
        <w:t>34.</w:t>
      </w:r>
      <w:r w:rsidRPr="00C86A8F">
        <w:tab/>
        <w:t xml:space="preserve">bemærker, at der ikke blev indberettet nogen tilfælde af </w:t>
      </w:r>
      <w:proofErr w:type="spellStart"/>
      <w:r w:rsidRPr="00C86A8F">
        <w:t>whistleblowing</w:t>
      </w:r>
      <w:proofErr w:type="spellEnd"/>
      <w:r w:rsidRPr="00C86A8F">
        <w:t xml:space="preserve"> til udvalget i 2022; bemærker, at udvalget fortsatte med at forlade sig på de foranstaltninger, der har været på plads siden 2015 i forbindelse med </w:t>
      </w:r>
      <w:proofErr w:type="spellStart"/>
      <w:r w:rsidRPr="00C86A8F">
        <w:t>whistleblowing</w:t>
      </w:r>
      <w:proofErr w:type="spellEnd"/>
      <w:r w:rsidRPr="00C86A8F">
        <w:t>, og fremme dem gennem kurser i etiske anliggender og bevidstgørelse;</w:t>
      </w:r>
    </w:p>
    <w:p w:rsidR="0015434E" w:rsidRPr="00C86A8F" w:rsidRDefault="0015434E" w:rsidP="0015434E">
      <w:pPr>
        <w:pStyle w:val="NormalHanging12a"/>
        <w:rPr>
          <w:szCs w:val="24"/>
        </w:rPr>
      </w:pPr>
      <w:r w:rsidRPr="00C86A8F">
        <w:t>35.</w:t>
      </w:r>
      <w:r w:rsidRPr="00C86A8F">
        <w:tab/>
        <w:t>beklager, at udvalget ikke har vedtaget en intern strategi for bekæmpelse af svig; gentager sin opfordring til udvalget i dechargebeslutningen fra 2021 om at iværksætte en intern analyse af risikoen for svig og koordinere med de kompetente tjenestegrene i Kommissionen med henblik på at vedtage en passende intern strategi for bekæmpelse af svig;</w:t>
      </w:r>
    </w:p>
    <w:p w:rsidR="0015434E" w:rsidRPr="00C86A8F" w:rsidRDefault="0015434E" w:rsidP="0015434E">
      <w:pPr>
        <w:pStyle w:val="NormalHanging12a"/>
        <w:rPr>
          <w:b/>
          <w:i/>
          <w:szCs w:val="24"/>
        </w:rPr>
      </w:pPr>
      <w:r w:rsidRPr="00C86A8F">
        <w:rPr>
          <w:b/>
          <w:i/>
        </w:rPr>
        <w:t xml:space="preserve">Digitalisering, </w:t>
      </w:r>
      <w:proofErr w:type="spellStart"/>
      <w:r w:rsidRPr="00C86A8F">
        <w:rPr>
          <w:b/>
          <w:i/>
        </w:rPr>
        <w:t>cybersikkerhed</w:t>
      </w:r>
      <w:proofErr w:type="spellEnd"/>
      <w:r w:rsidRPr="00C86A8F">
        <w:rPr>
          <w:b/>
          <w:i/>
        </w:rPr>
        <w:t xml:space="preserve"> og databeskyttelse</w:t>
      </w:r>
    </w:p>
    <w:p w:rsidR="0015434E" w:rsidRPr="00C86A8F" w:rsidRDefault="0015434E" w:rsidP="0015434E">
      <w:pPr>
        <w:pStyle w:val="NormalHanging12a"/>
        <w:rPr>
          <w:szCs w:val="24"/>
        </w:rPr>
      </w:pPr>
      <w:r w:rsidRPr="00C86A8F">
        <w:t>36.</w:t>
      </w:r>
      <w:r w:rsidRPr="00C86A8F">
        <w:tab/>
        <w:t xml:space="preserve">bemærker, at udvalgets og </w:t>
      </w:r>
      <w:proofErr w:type="spellStart"/>
      <w:r w:rsidRPr="00C86A8F">
        <w:t>EØSU's</w:t>
      </w:r>
      <w:proofErr w:type="spellEnd"/>
      <w:r w:rsidRPr="00C86A8F">
        <w:t xml:space="preserve"> samlede IT-budget beløb sig til 11 712 000 EUR i 2022, herunder en forhøjelse på 750 000 EUR gennem en intern budgetoverførsel i løbet af året sammenlignet med 12 860 000 EUR i 2021, dvs. et fald på 9 %;</w:t>
      </w:r>
    </w:p>
    <w:p w:rsidR="0015434E" w:rsidRPr="00C86A8F" w:rsidRDefault="0015434E" w:rsidP="0015434E">
      <w:pPr>
        <w:pStyle w:val="NormalHanging12a"/>
        <w:rPr>
          <w:szCs w:val="24"/>
        </w:rPr>
      </w:pPr>
      <w:r w:rsidRPr="00C86A8F">
        <w:t>37.</w:t>
      </w:r>
      <w:r w:rsidRPr="00C86A8F">
        <w:tab/>
        <w:t xml:space="preserve">bemærker, at udvalget har en digital strategi, der har til formål at levere IT-tjenester i overensstemmelse med bedste praksis inden for IT-forvaltning, samtidig med at anvendelsen af menneskelige og finansielle ressourcer optimeres; bemærker, at udvalget arbejdede med tilpasning og udvikling af flere strategiske IT-værktøjer i løbet af 2022 med henblik på at øge effektiviteten af udvalgets politiske arbejde og af dets administrative processer og arbejdsgange; bemærker, at det vigtigste IT-infrastrukturprojekt i 2022 vedrørte en tilpasning af den netværkstypologi, der var nødvendig for det nye computerrum i Jacques Delors-bygningen (JDE) i overensstemmelse med den hybride </w:t>
      </w:r>
      <w:proofErr w:type="spellStart"/>
      <w:r w:rsidRPr="00C86A8F">
        <w:t>cloudkøreplan</w:t>
      </w:r>
      <w:proofErr w:type="spellEnd"/>
      <w:r w:rsidRPr="00C86A8F">
        <w:t>;</w:t>
      </w:r>
    </w:p>
    <w:p w:rsidR="0015434E" w:rsidRPr="00C86A8F" w:rsidRDefault="0015434E" w:rsidP="0015434E">
      <w:pPr>
        <w:pStyle w:val="NormalHanging12a"/>
        <w:rPr>
          <w:szCs w:val="24"/>
        </w:rPr>
      </w:pPr>
      <w:r w:rsidRPr="00C86A8F">
        <w:t>38.</w:t>
      </w:r>
      <w:r w:rsidRPr="00C86A8F">
        <w:tab/>
        <w:t xml:space="preserve">bemærker, at udvalget øgede antallet af hybridmøder i 2022 for at tilpasse sig hybridarbejde og bringe sin praksis i overensstemmelse med den nye vejledning i retning af en mere omkostningseffektiv, målrettet og bæredygtig politik for tjenesterejser, som udvalgets generalsekretariat udsendte i juni 2022, hvilket kræver, at udvalget optimerer sin arbejdsmåde og erstatter så mange tjenesterejser som muligt med videokonferencer; forstår, at denne nye måde at arbejde på krævede en teknisk </w:t>
      </w:r>
      <w:r w:rsidRPr="00C86A8F">
        <w:lastRenderedPageBreak/>
        <w:t>opgradering med hensyn til udstyr til hybridmødelokaler;</w:t>
      </w:r>
    </w:p>
    <w:p w:rsidR="0015434E" w:rsidRPr="00C86A8F" w:rsidRDefault="0015434E" w:rsidP="0015434E">
      <w:pPr>
        <w:pStyle w:val="NormalHanging12a"/>
        <w:rPr>
          <w:szCs w:val="24"/>
        </w:rPr>
      </w:pPr>
      <w:r w:rsidRPr="00C86A8F">
        <w:t>39.</w:t>
      </w:r>
      <w:r w:rsidRPr="00C86A8F">
        <w:tab/>
        <w:t>bemærker, at udvalget i 2022 vedtog nye interne regler om databeskyttelse, der indeholder begrænsninger af visse rettigheder for registrerede i forbindelse med behandling af personoplysninger inden for rammerne af udvalgets aktiviteter og procedurer; bemærker endvidere, at Den Europæiske Tilsynsførende for Databeskyttelse ikke foretog nogen undersøgelse vedrørende udvalgets behandling af personoplysninger i 2022;</w:t>
      </w:r>
    </w:p>
    <w:p w:rsidR="0015434E" w:rsidRPr="00C86A8F" w:rsidRDefault="0015434E" w:rsidP="0015434E">
      <w:pPr>
        <w:pStyle w:val="NormalHanging12a"/>
      </w:pPr>
      <w:r w:rsidRPr="00C86A8F">
        <w:t>40.</w:t>
      </w:r>
      <w:r w:rsidRPr="00C86A8F">
        <w:tab/>
        <w:t xml:space="preserve">bemærker, at udvalget ikke blev udsat for </w:t>
      </w:r>
      <w:proofErr w:type="spellStart"/>
      <w:r w:rsidRPr="00C86A8F">
        <w:t>cyberangreb</w:t>
      </w:r>
      <w:proofErr w:type="spellEnd"/>
      <w:r w:rsidRPr="00C86A8F">
        <w:t xml:space="preserve"> i 2022; bemærker, at udvalgets og </w:t>
      </w:r>
      <w:proofErr w:type="spellStart"/>
      <w:r w:rsidRPr="00C86A8F">
        <w:t>EØSU's</w:t>
      </w:r>
      <w:proofErr w:type="spellEnd"/>
      <w:r w:rsidRPr="00C86A8F">
        <w:t xml:space="preserve"> nye fælles direktorat for innovation og informationsteknologi består af tre enheder, én for digital omstilling, én for digitale løsninger og én for digitale platforme; bemærker, at enheden for digitale platforme bl.a. er ansvarlig for </w:t>
      </w:r>
      <w:proofErr w:type="spellStart"/>
      <w:r w:rsidRPr="00C86A8F">
        <w:t>cybersikkerhed</w:t>
      </w:r>
      <w:proofErr w:type="spellEnd"/>
      <w:r w:rsidRPr="00C86A8F">
        <w:t xml:space="preserve">; anmoder udvalget om at underrette dechargemyndigheden om, hvordan oprettelsen af denne nye struktur bidrog til at forbedre dets personales </w:t>
      </w:r>
      <w:proofErr w:type="spellStart"/>
      <w:r w:rsidRPr="00C86A8F">
        <w:t>cybersikkerhedsberedskab</w:t>
      </w:r>
      <w:proofErr w:type="spellEnd"/>
      <w:r w:rsidRPr="00C86A8F">
        <w:t xml:space="preserve"> i overensstemmelse med </w:t>
      </w:r>
      <w:proofErr w:type="spellStart"/>
      <w:r w:rsidRPr="00C86A8F">
        <w:t>cybersikkerhedsrammen</w:t>
      </w:r>
      <w:proofErr w:type="spellEnd"/>
      <w:r w:rsidRPr="00C86A8F">
        <w:t xml:space="preserve"> fra National </w:t>
      </w:r>
      <w:proofErr w:type="spellStart"/>
      <w:r w:rsidRPr="00C86A8F">
        <w:t>Institute</w:t>
      </w:r>
      <w:proofErr w:type="spellEnd"/>
      <w:r w:rsidRPr="00C86A8F">
        <w:t xml:space="preserve"> of Standards and Technology (NIST) og i samarbejde med </w:t>
      </w:r>
      <w:proofErr w:type="spellStart"/>
      <w:r w:rsidRPr="00C86A8F">
        <w:t>Cybersikkerhedstjenesten</w:t>
      </w:r>
      <w:proofErr w:type="spellEnd"/>
      <w:r w:rsidRPr="00C86A8F">
        <w:t xml:space="preserve"> for Unionens Institutioner, Organer og Agenturer (CERT-EU); tilskynder udvalget til at øge bevidstheden om </w:t>
      </w:r>
      <w:proofErr w:type="spellStart"/>
      <w:r w:rsidRPr="00C86A8F">
        <w:t>cybersikkerhed</w:t>
      </w:r>
      <w:proofErr w:type="spellEnd"/>
      <w:r w:rsidRPr="00C86A8F">
        <w:t xml:space="preserve"> blandt sine medlemmer og sit personale, til at foretage regelmæssige risikovurderinger af sin IT-infrastruktur og til at sikre regelmæssige revisioner og test af sit </w:t>
      </w:r>
      <w:proofErr w:type="spellStart"/>
      <w:r w:rsidRPr="00C86A8F">
        <w:t>cyberforsvar</w:t>
      </w:r>
      <w:proofErr w:type="spellEnd"/>
      <w:r w:rsidRPr="00C86A8F">
        <w:t>;</w:t>
      </w:r>
    </w:p>
    <w:p w:rsidR="0015434E" w:rsidRPr="00C86A8F" w:rsidRDefault="0015434E" w:rsidP="0015434E">
      <w:pPr>
        <w:pStyle w:val="NormalHanging12a"/>
        <w:rPr>
          <w:szCs w:val="24"/>
        </w:rPr>
      </w:pPr>
      <w:r w:rsidRPr="00C86A8F">
        <w:t>41.</w:t>
      </w:r>
      <w:r w:rsidRPr="00C86A8F">
        <w:tab/>
        <w:t>glæder sig over udvalgets bestræbelser på at fremme open source-teknologi i sine egne systemer, navnlig de vigtigste operationelle applikationer, der anvendes til at forvalte udvalgets politiske arbejde ("Agora" og "Phoenix"); bemærker endvidere, at udvalget følger anvendelsen af open source-teknologier i sin årlige IT-portefølje, således at de anvendes på nye applikationer;</w:t>
      </w:r>
    </w:p>
    <w:p w:rsidR="0015434E" w:rsidRPr="00C86A8F" w:rsidRDefault="0015434E" w:rsidP="0015434E">
      <w:pPr>
        <w:pStyle w:val="NormalHanging12a"/>
        <w:ind w:left="0" w:firstLine="0"/>
        <w:rPr>
          <w:b/>
          <w:i/>
          <w:szCs w:val="24"/>
        </w:rPr>
      </w:pPr>
      <w:r w:rsidRPr="00C86A8F">
        <w:rPr>
          <w:b/>
          <w:i/>
        </w:rPr>
        <w:t>Bygninger</w:t>
      </w:r>
    </w:p>
    <w:p w:rsidR="0015434E" w:rsidRPr="00C86A8F" w:rsidRDefault="0015434E" w:rsidP="0015434E">
      <w:pPr>
        <w:pStyle w:val="NormalHanging12a"/>
        <w:rPr>
          <w:szCs w:val="24"/>
        </w:rPr>
      </w:pPr>
      <w:r w:rsidRPr="00C86A8F">
        <w:t>42.</w:t>
      </w:r>
      <w:r w:rsidRPr="00C86A8F">
        <w:tab/>
        <w:t xml:space="preserve">bemærker, at udvalget og EØSU mistede 5 000 m² i kontorarealer efter overtagelsen af lejekontrakten for EU-Udenrigstjenestens tidligere bygning i Belliard 100 (B100), som trådte i kraft i september 2021, og udvekslingen af bygninger mellem udvalgets og </w:t>
      </w:r>
      <w:proofErr w:type="spellStart"/>
      <w:r w:rsidRPr="00C86A8F">
        <w:t>EØSU's</w:t>
      </w:r>
      <w:proofErr w:type="spellEnd"/>
      <w:r w:rsidRPr="00C86A8F">
        <w:t xml:space="preserve"> Belliard 68 og </w:t>
      </w:r>
      <w:proofErr w:type="spellStart"/>
      <w:r w:rsidRPr="00C86A8F">
        <w:t>Trèves</w:t>
      </w:r>
      <w:proofErr w:type="spellEnd"/>
      <w:r w:rsidRPr="00C86A8F">
        <w:t xml:space="preserve"> 74 og Kommissionens Van </w:t>
      </w:r>
      <w:proofErr w:type="spellStart"/>
      <w:r w:rsidRPr="00C86A8F">
        <w:t>Maerlant</w:t>
      </w:r>
      <w:proofErr w:type="spellEnd"/>
      <w:r w:rsidRPr="00C86A8F">
        <w:t xml:space="preserve"> 2 (VMA), som trådte i kraft i september 2022; bemærker, at indretningsarbejder i de to nyerhvervede bygninger var nødvendige for at muliggøre en tættere anvendelse af kontorlokalerne; glæder sig over oprettelsen i 2022 af en fælles </w:t>
      </w:r>
      <w:proofErr w:type="spellStart"/>
      <w:r w:rsidRPr="00C86A8F">
        <w:t>taskforce</w:t>
      </w:r>
      <w:proofErr w:type="spellEnd"/>
      <w:r w:rsidRPr="00C86A8F">
        <w:t xml:space="preserve"> om nye arbejdsmetoder med henblik på at overveje en mulig optimering af den måde, hvorpå arbejdet tilrettelægges, og hvordan kontorlokalerne anvendes, samtidig med at miljøaftrykket reduceres;</w:t>
      </w:r>
    </w:p>
    <w:p w:rsidR="0015434E" w:rsidRPr="00C86A8F" w:rsidRDefault="0015434E" w:rsidP="0015434E">
      <w:pPr>
        <w:pStyle w:val="NormalHanging12a"/>
      </w:pPr>
      <w:r w:rsidRPr="00C86A8F">
        <w:t>43.</w:t>
      </w:r>
      <w:r w:rsidRPr="00C86A8F">
        <w:tab/>
        <w:t xml:space="preserve">bemærker, at udvalgets samlede budget for indretning af lokaler i 2022 beløb sig til 883 792 EUR; bemærker, at udvalgets og </w:t>
      </w:r>
      <w:proofErr w:type="spellStart"/>
      <w:r w:rsidRPr="00C86A8F">
        <w:t>EØSU's</w:t>
      </w:r>
      <w:proofErr w:type="spellEnd"/>
      <w:r w:rsidRPr="00C86A8F">
        <w:t xml:space="preserve"> renoveringsarbejde vedrørende B100- og VMA-bygningerne integrerede anvendelsen af intelligente teknologier med en stærk miljøkomponent; anmoder udvalget om at give en opdatering om afkastet af investeringerne i disse tekniske installationer, men maner ikke desto mindre forsigtighed med hensyn til indgå langsigtede forpligtelser vedrørende nye kontorarealer, før disse foranstaltninger er blevet undersøgt fuldt ud;</w:t>
      </w:r>
    </w:p>
    <w:p w:rsidR="0015434E" w:rsidRPr="00C86A8F" w:rsidRDefault="0015434E" w:rsidP="0015434E">
      <w:pPr>
        <w:pStyle w:val="NormalHanging12a"/>
        <w:rPr>
          <w:szCs w:val="24"/>
        </w:rPr>
      </w:pPr>
      <w:r w:rsidRPr="00C86A8F">
        <w:t>44.</w:t>
      </w:r>
      <w:r w:rsidRPr="00C86A8F">
        <w:tab/>
        <w:t xml:space="preserve">bemærker, at udvalgets og </w:t>
      </w:r>
      <w:proofErr w:type="spellStart"/>
      <w:r w:rsidRPr="00C86A8F">
        <w:t>EØSU's</w:t>
      </w:r>
      <w:proofErr w:type="spellEnd"/>
      <w:r w:rsidRPr="00C86A8F">
        <w:t xml:space="preserve"> bygningsstrategi i 2022 fokuserede på den geografiske koncentration af bygningerne, som blev opnået ved fysisk at forbinde alle de bygninger, der anvendes af udvalget og EØSU, med deres hovedbygning (JDE); </w:t>
      </w:r>
      <w:r w:rsidRPr="00C86A8F">
        <w:lastRenderedPageBreak/>
        <w:t xml:space="preserve">glæder sig over den nye fysiske forbindelse til Parlamentets bygninger, som blev taget i brug i november 2022, og som giver en mere direkte, lettere og 125 m kortere vej mellem udvalgets og </w:t>
      </w:r>
      <w:proofErr w:type="spellStart"/>
      <w:r w:rsidRPr="00C86A8F">
        <w:t>EØSU's</w:t>
      </w:r>
      <w:proofErr w:type="spellEnd"/>
      <w:r w:rsidRPr="00C86A8F">
        <w:t xml:space="preserve"> bygninger og Parlamentets bygninger;</w:t>
      </w:r>
    </w:p>
    <w:p w:rsidR="0015434E" w:rsidRPr="00C86A8F" w:rsidRDefault="0015434E" w:rsidP="0015434E">
      <w:pPr>
        <w:pStyle w:val="NormalHanging12a"/>
        <w:rPr>
          <w:szCs w:val="24"/>
        </w:rPr>
      </w:pPr>
      <w:r w:rsidRPr="00C86A8F">
        <w:t>45.</w:t>
      </w:r>
      <w:r w:rsidRPr="00C86A8F">
        <w:tab/>
        <w:t>bemærker, at udvalget og EØSU iværksatte et flerårigt projekt vedrørende den tekniske opgradering af tolkningssystemet for alle konferencelokaler fra 2022; bemærker, at udvalget i 2022 øremærkede et beløb på 200 000 EUR til dette projekt;</w:t>
      </w:r>
    </w:p>
    <w:p w:rsidR="0015434E" w:rsidRPr="00C86A8F" w:rsidRDefault="0015434E" w:rsidP="0015434E">
      <w:pPr>
        <w:pStyle w:val="NormalHanging12a"/>
        <w:rPr>
          <w:szCs w:val="24"/>
        </w:rPr>
      </w:pPr>
      <w:r w:rsidRPr="00C86A8F">
        <w:t>46.</w:t>
      </w:r>
      <w:r w:rsidRPr="00C86A8F">
        <w:tab/>
        <w:t xml:space="preserve">glæder sig over udvalgets og </w:t>
      </w:r>
      <w:proofErr w:type="spellStart"/>
      <w:r w:rsidRPr="00C86A8F">
        <w:t>EØSU's</w:t>
      </w:r>
      <w:proofErr w:type="spellEnd"/>
      <w:r w:rsidRPr="00C86A8F">
        <w:t xml:space="preserve"> tilsagn om systematisk at anvende princippet om "design for alle" på deres infrastruktur og sikre adgang til deres bygninger gennem design; bemærker, at udvalget og EØSU traf en række forskellige foranstaltninger for at sikre adgangen til deres bygninger for personer med forskellige former for handicap;</w:t>
      </w:r>
    </w:p>
    <w:p w:rsidR="0015434E" w:rsidRPr="00C86A8F" w:rsidRDefault="0015434E" w:rsidP="0015434E">
      <w:pPr>
        <w:pStyle w:val="NormalHanging12a"/>
        <w:ind w:left="0" w:firstLine="0"/>
        <w:rPr>
          <w:b/>
          <w:i/>
          <w:szCs w:val="24"/>
        </w:rPr>
      </w:pPr>
      <w:r w:rsidRPr="00C86A8F">
        <w:rPr>
          <w:b/>
          <w:i/>
        </w:rPr>
        <w:t>Miljø og bæredygtighed</w:t>
      </w:r>
    </w:p>
    <w:p w:rsidR="0015434E" w:rsidRPr="00C86A8F" w:rsidRDefault="0015434E" w:rsidP="0015434E">
      <w:pPr>
        <w:pStyle w:val="NormalHanging12a"/>
        <w:rPr>
          <w:szCs w:val="24"/>
        </w:rPr>
      </w:pPr>
      <w:r w:rsidRPr="00C86A8F">
        <w:t>47.</w:t>
      </w:r>
      <w:r w:rsidRPr="00C86A8F">
        <w:tab/>
        <w:t xml:space="preserve">glæder sig over den bæredygtige praksis og navnlig udvalgets og </w:t>
      </w:r>
      <w:proofErr w:type="spellStart"/>
      <w:r w:rsidRPr="00C86A8F">
        <w:t>EØSU's</w:t>
      </w:r>
      <w:proofErr w:type="spellEnd"/>
      <w:r w:rsidRPr="00C86A8F">
        <w:t xml:space="preserve"> papirløse tilgang, som bidrog til at reducere deres miljøaftryk i overensstemmelse med deres digitale strategi; bemærker, at "Phoenix"-applikationen, som anvendes til at støtte udvalgets politiske arbejde, blev tilpasset i 2022 med henblik på at generere "kulstofrapporter" for rejser og gøre det muligt for udvalget og EØSU at beregne deres kulstofbalance; bemærker, at den handlingsplan, der var resultatet af forvaltningsrevisionen under ordningen for miljøledelse og miljørevision (EMAS), blev gennemført med foranstaltninger inden for dokumentation, gennemgang af procedurer, forbedring af planlægning, risikostyring og tilsyn; lykønsker udvalget og EØSU med at have overgået EMAS-målene for 2021-2025, bortset fra målene vedrørende gasforbrug;</w:t>
      </w:r>
    </w:p>
    <w:p w:rsidR="0015434E" w:rsidRPr="00C86A8F" w:rsidRDefault="0015434E" w:rsidP="0015434E">
      <w:pPr>
        <w:pStyle w:val="NormalHanging12a"/>
        <w:rPr>
          <w:szCs w:val="24"/>
        </w:rPr>
      </w:pPr>
      <w:r w:rsidRPr="00C86A8F">
        <w:t>48.</w:t>
      </w:r>
      <w:r w:rsidRPr="00C86A8F">
        <w:tab/>
        <w:t xml:space="preserve">bemærker, at den samlede </w:t>
      </w:r>
      <w:proofErr w:type="spellStart"/>
      <w:r w:rsidRPr="00C86A8F">
        <w:t>elproduktion</w:t>
      </w:r>
      <w:proofErr w:type="spellEnd"/>
      <w:r w:rsidRPr="00C86A8F">
        <w:t xml:space="preserve"> fra solpaneler i udvalgets og </w:t>
      </w:r>
      <w:proofErr w:type="spellStart"/>
      <w:r w:rsidRPr="00C86A8F">
        <w:t>EØSU's</w:t>
      </w:r>
      <w:proofErr w:type="spellEnd"/>
      <w:r w:rsidRPr="00C86A8F">
        <w:t xml:space="preserve"> bygninger i 2022 var på ca. 15,5 MWh, hvilket svarer til 0,25 % af udvalgets og </w:t>
      </w:r>
      <w:proofErr w:type="spellStart"/>
      <w:r w:rsidRPr="00C86A8F">
        <w:t>EØSU's</w:t>
      </w:r>
      <w:proofErr w:type="spellEnd"/>
      <w:r w:rsidRPr="00C86A8F">
        <w:t xml:space="preserve"> samlede årlige forbrug; bemærker, at kun JDE-bygningen var udstyret med solpaneler pr. 16. september 2022; er klar over, at udvalget og EØSU på grund af de administrative procedurer vil blive ramt af en forsinkelse, inden de kan udvide deres installation af solcellepaneler;</w:t>
      </w:r>
    </w:p>
    <w:p w:rsidR="0015434E" w:rsidRPr="00C86A8F" w:rsidRDefault="0015434E" w:rsidP="0015434E">
      <w:pPr>
        <w:pStyle w:val="NormalHanging12a"/>
        <w:rPr>
          <w:szCs w:val="24"/>
        </w:rPr>
      </w:pPr>
      <w:r w:rsidRPr="00C86A8F">
        <w:t>49.</w:t>
      </w:r>
      <w:r w:rsidRPr="00C86A8F">
        <w:tab/>
        <w:t>bemærker, at udvalget har indført en plan for bæredygtig mobilitet, herunder et finansielt bidrag til personalets abonnementer på offentlig transport og oplysningsaktiviteter; bemærker, at der ikke blev gennemført nogen ny personaleundersøgelse vedrørende mobilitet i 2022, men der planlægges en i 2024; glæder sig over, at 76 % af udvalgets ansatte anvender miljøvenlige transportmidler i forbindelse med pendling mellem hjem og arbejde;</w:t>
      </w:r>
    </w:p>
    <w:p w:rsidR="0015434E" w:rsidRPr="00C86A8F" w:rsidRDefault="0015434E" w:rsidP="0015434E">
      <w:pPr>
        <w:pStyle w:val="NormalHanging12a"/>
        <w:rPr>
          <w:b/>
          <w:i/>
          <w:szCs w:val="24"/>
        </w:rPr>
      </w:pPr>
      <w:proofErr w:type="spellStart"/>
      <w:r w:rsidRPr="00C86A8F">
        <w:rPr>
          <w:b/>
          <w:i/>
        </w:rPr>
        <w:t>Interinstitutionelt</w:t>
      </w:r>
      <w:proofErr w:type="spellEnd"/>
      <w:r w:rsidRPr="00C86A8F">
        <w:rPr>
          <w:b/>
          <w:i/>
        </w:rPr>
        <w:t xml:space="preserve"> samarbejde</w:t>
      </w:r>
    </w:p>
    <w:p w:rsidR="0015434E" w:rsidRPr="00C86A8F" w:rsidRDefault="0015434E" w:rsidP="0015434E">
      <w:pPr>
        <w:pStyle w:val="NormalHanging12a"/>
        <w:rPr>
          <w:szCs w:val="24"/>
        </w:rPr>
      </w:pPr>
      <w:r w:rsidRPr="00C86A8F">
        <w:t>50.</w:t>
      </w:r>
      <w:r w:rsidRPr="00C86A8F">
        <w:tab/>
        <w:t xml:space="preserve">glæder sig over de budgetmæssige og administrative besparelser, der er opnået gennem det </w:t>
      </w:r>
      <w:proofErr w:type="spellStart"/>
      <w:r w:rsidRPr="00C86A8F">
        <w:t>interinstitutionelle</w:t>
      </w:r>
      <w:proofErr w:type="spellEnd"/>
      <w:r w:rsidRPr="00C86A8F">
        <w:t xml:space="preserve"> samarbejde, navnlig det tætte samarbejde, der er etableret på administrativt plan med EØSU, som udvalget deler lokaler og fælles tjenester med inden for oversættelse, infrastruktur, logistik og IT, samtidig med at det bevarer sin fulde institutionelle autonomi; bemærker, at der den 1. oktober 2022 blev oprettet et fælles direktorat for innovation og informationsteknologi som led i den nye samarbejdsaftale, der blev indgået mellem udvalget og EØSU i 2022; bemærker endvidere, at 470 ansatte og 55 mio. EUR blev samlet af udvalget og EØSU i 2022, eksklusive lønrelaterede udgifter; opfordrer udvalget til at fortsætte og udvide dette </w:t>
      </w:r>
      <w:r w:rsidRPr="00C86A8F">
        <w:lastRenderedPageBreak/>
        <w:t>samarbejde på andre områder med henblik på at undgå dobbeltarbejde og yderligere at rationalisere driftsomkostningerne for de tjenester, der er til rådighed i de lokaler, som udvalget og EØSU deler; opfordrer udvalget og EØSU til at undersøge muligheden for at oprette en fælles administration for deres fælles tjenester og beholde separate direktorater eller enheder for de tjenester, der beskæftiger sig med spørgsmål vedrørende deres specifikke og uafhængige mandater;</w:t>
      </w:r>
    </w:p>
    <w:p w:rsidR="0015434E" w:rsidRPr="00C86A8F" w:rsidRDefault="0015434E" w:rsidP="0015434E">
      <w:pPr>
        <w:pStyle w:val="NormalHanging12a"/>
        <w:rPr>
          <w:szCs w:val="24"/>
        </w:rPr>
      </w:pPr>
      <w:r w:rsidRPr="00C86A8F">
        <w:t>51.</w:t>
      </w:r>
      <w:r w:rsidRPr="00C86A8F">
        <w:tab/>
        <w:t xml:space="preserve">glæder sig over udvalgets søgen efter </w:t>
      </w:r>
      <w:proofErr w:type="spellStart"/>
      <w:r w:rsidRPr="00C86A8F">
        <w:t>synergier</w:t>
      </w:r>
      <w:proofErr w:type="spellEnd"/>
      <w:r w:rsidRPr="00C86A8F">
        <w:t xml:space="preserve"> ved at købe tjenester fra andre institutioner gennem serviceleveranceaftaler og ved at deltage i </w:t>
      </w:r>
      <w:proofErr w:type="spellStart"/>
      <w:r w:rsidRPr="00C86A8F">
        <w:t>interinstitutionelle</w:t>
      </w:r>
      <w:proofErr w:type="spellEnd"/>
      <w:r w:rsidRPr="00C86A8F">
        <w:t xml:space="preserve"> koordineringsorganer og </w:t>
      </w:r>
      <w:proofErr w:type="spellStart"/>
      <w:r w:rsidRPr="00C86A8F">
        <w:t>interinstitutionelle</w:t>
      </w:r>
      <w:proofErr w:type="spellEnd"/>
      <w:r w:rsidRPr="00C86A8F">
        <w:t xml:space="preserve"> udbudsprocedurer;</w:t>
      </w:r>
    </w:p>
    <w:p w:rsidR="0015434E" w:rsidRPr="00C86A8F" w:rsidRDefault="0015434E" w:rsidP="0015434E">
      <w:pPr>
        <w:pStyle w:val="NormalHanging12a"/>
        <w:rPr>
          <w:szCs w:val="24"/>
        </w:rPr>
      </w:pPr>
      <w:r w:rsidRPr="00C86A8F">
        <w:t>52.</w:t>
      </w:r>
      <w:r w:rsidRPr="00C86A8F">
        <w:tab/>
        <w:t xml:space="preserve">opfordrer udvalget til at undersøge </w:t>
      </w:r>
      <w:proofErr w:type="spellStart"/>
      <w:r w:rsidRPr="00C86A8F">
        <w:t>synergier</w:t>
      </w:r>
      <w:proofErr w:type="spellEnd"/>
      <w:r w:rsidRPr="00C86A8F">
        <w:t xml:space="preserve"> med andre institutioner med hensyn til både logistik, digitale tjenester, chaufførtjenester og andre administrative opgaver samt visse opsøgende aktiviteter og kommunikationsaktiviteter, navnlig i medlemsstater, hvor udvalgets medlemmer har forskellige støttenetværk og udelukkende er afhængige af deres eget lokale personale;</w:t>
      </w:r>
    </w:p>
    <w:p w:rsidR="0015434E" w:rsidRPr="00C86A8F" w:rsidRDefault="0015434E" w:rsidP="0015434E">
      <w:pPr>
        <w:pStyle w:val="NormalHanging12a"/>
        <w:rPr>
          <w:szCs w:val="24"/>
        </w:rPr>
      </w:pPr>
      <w:r w:rsidRPr="00C86A8F">
        <w:t>53.</w:t>
      </w:r>
      <w:r w:rsidRPr="00C86A8F">
        <w:tab/>
        <w:t>glæder sig over udvalgets vilje til at videreudvikle sit samarbejde med andre institutioner, navnlig Parlamentet, forud for valget til Europa-Parlamentet i 2024 ved hjælp af en køreplan, der forudser en yderligere intensivering af samarbejdet og en større rolle for udvalget og de lokale og regionale myndigheder i den forbindelse; noterer sig revisionen af samarbejdsaftalerne med Parlamentet og Kommissionen som vedtaget af Formandskonferencen i november 2022;</w:t>
      </w:r>
    </w:p>
    <w:p w:rsidR="0015434E" w:rsidRPr="00C86A8F" w:rsidRDefault="0015434E" w:rsidP="0015434E">
      <w:pPr>
        <w:pStyle w:val="NormalHanging12a"/>
        <w:rPr>
          <w:szCs w:val="24"/>
        </w:rPr>
      </w:pPr>
      <w:r w:rsidRPr="00C86A8F">
        <w:t>54.</w:t>
      </w:r>
      <w:r w:rsidRPr="00C86A8F">
        <w:tab/>
        <w:t>bemærker, at udvalget samarbejder med Kommissionen (mod et årligt gebyr) om håndtering af HR-spørgsmål og anvendelsen af forskellige IT-platforme til økonomisk forvaltning og HR; bemærker, at udvalget afholder sine plenarmøder i Parlamentets og Kommissionens lokaler for at kompensere for den manglende kapacitet i sine egne konferencelokaler, og at udvalget køber tolketjenester fra disse to institutioner; bemærker, at udvalget har undersøgt mulighederne for at anvende fjerntolkning i lyset af den hurtige udvikling i denne sektor;</w:t>
      </w:r>
    </w:p>
    <w:p w:rsidR="0015434E" w:rsidRPr="00C86A8F" w:rsidRDefault="0015434E" w:rsidP="0015434E">
      <w:pPr>
        <w:pStyle w:val="NormalHanging12a"/>
        <w:rPr>
          <w:szCs w:val="24"/>
        </w:rPr>
      </w:pPr>
      <w:r w:rsidRPr="00C86A8F">
        <w:t>55.</w:t>
      </w:r>
      <w:r w:rsidRPr="00C86A8F">
        <w:tab/>
        <w:t xml:space="preserve">bemærker, at udvalget fremmer synligheden og virkningen af sit arbejde baseret på </w:t>
      </w:r>
      <w:proofErr w:type="spellStart"/>
      <w:r w:rsidRPr="00C86A8F">
        <w:t>interinstitutionelt</w:t>
      </w:r>
      <w:proofErr w:type="spellEnd"/>
      <w:r w:rsidRPr="00C86A8F">
        <w:t xml:space="preserve"> samarbejde gennem målrettet forelæggelse af sine rapporter for andre institutioner, f.eks. præsentationer af 11 rapporter for Parlamentet i 2022, bilaterale møder på ordførerniveau, politisk dialog under formelle arrangementer og konferencer, målrettet formidling af udtalelser og arbejde i netværk;</w:t>
      </w:r>
    </w:p>
    <w:p w:rsidR="0015434E" w:rsidRPr="00C86A8F" w:rsidRDefault="0015434E" w:rsidP="0015434E">
      <w:pPr>
        <w:pStyle w:val="NormalHanging12a"/>
        <w:rPr>
          <w:b/>
          <w:i/>
          <w:szCs w:val="24"/>
        </w:rPr>
      </w:pPr>
      <w:r w:rsidRPr="00C86A8F">
        <w:rPr>
          <w:b/>
          <w:i/>
        </w:rPr>
        <w:t>Kommunikation</w:t>
      </w:r>
    </w:p>
    <w:p w:rsidR="0015434E" w:rsidRPr="00C86A8F" w:rsidRDefault="0015434E" w:rsidP="0015434E">
      <w:pPr>
        <w:pStyle w:val="NormalHanging12a"/>
        <w:rPr>
          <w:szCs w:val="24"/>
        </w:rPr>
      </w:pPr>
      <w:r w:rsidRPr="00C86A8F">
        <w:t>56.</w:t>
      </w:r>
      <w:r w:rsidRPr="00C86A8F">
        <w:tab/>
        <w:t>bemærker, at udvalgets samlede budget for kommunikation i 2022 var på 2,2 mio. EUR sammenlignet med 2,1 mio. EUR i 2021, dvs. en stigning på 4 %; noterer sig, at der inden for dette budget blev anvendt ca. 439 000 EUR til arrangementer, 795 000 EUR til medier og 1 099 000 EUR til digital kommunikation; bemærker, at udvalgets kommunikation sigter mod at øge udvalgets institutionelle og politiske profil som forsamling for Unionens regioner, byer, landsbyer og kommuner samt dets medlemmers rolle;</w:t>
      </w:r>
    </w:p>
    <w:p w:rsidR="0015434E" w:rsidRPr="00C86A8F" w:rsidRDefault="0015434E" w:rsidP="0015434E">
      <w:pPr>
        <w:pStyle w:val="NormalHanging12a"/>
        <w:rPr>
          <w:szCs w:val="24"/>
        </w:rPr>
      </w:pPr>
      <w:r w:rsidRPr="00C86A8F">
        <w:t>57</w:t>
      </w:r>
      <w:r w:rsidR="00AC67D1">
        <w:t>.</w:t>
      </w:r>
      <w:bookmarkStart w:id="7" w:name="_GoBack"/>
      <w:bookmarkEnd w:id="7"/>
      <w:r w:rsidRPr="00C86A8F">
        <w:tab/>
        <w:t>bemærker, at udvalget fortsatte med at være vært for de regelmæssige møder mellem generaldirektørerne for kommunikation fra alle EU-institutioner i 2022 med fokus på udarbejdelsen af koordinerede kommunikationstiltag forud for valget til Europa-</w:t>
      </w:r>
      <w:r w:rsidRPr="00C86A8F">
        <w:lastRenderedPageBreak/>
        <w:t>Parlamentet i 2024; opfordrer udvalget til at fortsætte sin støtte til Parlamentets institutionelle kommunikationskampagne i forbindelse med valget til Europa-Parlamentet i 2024 gennem sine lokale og regionale netværk;</w:t>
      </w:r>
    </w:p>
    <w:p w:rsidR="0015434E" w:rsidRPr="00C86A8F" w:rsidRDefault="0015434E" w:rsidP="0015434E">
      <w:pPr>
        <w:pStyle w:val="NormalHanging12a"/>
        <w:rPr>
          <w:szCs w:val="24"/>
        </w:rPr>
      </w:pPr>
      <w:r w:rsidRPr="00C86A8F">
        <w:t>58.</w:t>
      </w:r>
      <w:r w:rsidRPr="00C86A8F">
        <w:tab/>
        <w:t xml:space="preserve">glæder sig over den datadrevne kommunikationsstrategi, som udvalget har udviklet for at lukke kløften i forhold til EU-borgerne på lokalt og regionalt plan ved hjælp af kanaler med multiplikatoreffekt, som f.eks. de europæiske netværk af regionale og lokale "EU-rådgivere", der havde 2 037 registrerede medlemmer ved udgangen af 2022, og programmet for unge folkevalgte politikere med 775 deltagere i arrangementer i 2022, dvs. en stigning på 15 % sammenlignet med 2021; bemærker, at udvalget også sørgede for uddannelse og kapacitetsopbygning for lokale og regionale myndigheder vedrørende borgerinddragelse og deltagelsesdemokrati kaldet "Et nyt kapitel for deltagelsesdemokratiet"; bemærker, at udvalgets præsidium i november 2022 opfordrede hvert medlem til at afholde mindst én dialog i deres valgkreds hvert år; bemærker, at udvalget skabte </w:t>
      </w:r>
      <w:proofErr w:type="spellStart"/>
      <w:r w:rsidRPr="00C86A8F">
        <w:t>synergier</w:t>
      </w:r>
      <w:proofErr w:type="spellEnd"/>
      <w:r w:rsidRPr="00C86A8F">
        <w:t xml:space="preserve"> med netværket af Europe Direct-centre i medlemsstaterne med henblik på tilrettelæggelse af lokale arrangementer;</w:t>
      </w:r>
    </w:p>
    <w:p w:rsidR="0015434E" w:rsidRPr="00C86A8F" w:rsidRDefault="0015434E" w:rsidP="0015434E">
      <w:pPr>
        <w:pStyle w:val="NormalHanging12a"/>
        <w:rPr>
          <w:szCs w:val="24"/>
        </w:rPr>
      </w:pPr>
      <w:r w:rsidRPr="00C86A8F">
        <w:t>59.</w:t>
      </w:r>
      <w:r w:rsidRPr="00C86A8F">
        <w:tab/>
        <w:t>bemærker, at udvalget fortsatte gennemførelsen af tre kommunikationskampagner i 2022 i overensstemmelse med de politiske prioriteter for mandatperioden 2020-2025 om at bringe Europa tættere på borgerne, opbygge modstandsdygtige regionale og lokale samfund og fremme samhørighed som en grundlæggende værdi i Unionen; glæder sig over udvalgets bestræbelser på at udvide sit publikum gennem digital kommunikation og mediedækning med 18 890 medieomtaler i 2022, dvs. en stigning på 20 % mellem 2020 og 2022;</w:t>
      </w:r>
    </w:p>
    <w:p w:rsidR="0015434E" w:rsidRPr="00C86A8F" w:rsidRDefault="0015434E" w:rsidP="0015434E">
      <w:pPr>
        <w:pStyle w:val="NormalHanging12a"/>
        <w:rPr>
          <w:szCs w:val="24"/>
        </w:rPr>
      </w:pPr>
      <w:r w:rsidRPr="00C86A8F">
        <w:t>60.</w:t>
      </w:r>
      <w:r w:rsidRPr="00C86A8F">
        <w:tab/>
        <w:t xml:space="preserve">bemærker, at udvalget ved udgangen af 2022 havde 175 000 følgere på sine sociale mediekanaler, dvs. 16 % mere end i 2021, hvoraf 54 800 følgere (en stigning på 8 %) på X (tidligere Twitter), 58 100 (en stigning på 6 %) på Facebook, 52 100 (en stigning på 33 %) på LinkedIn og 10 500 (en stigning på 67 %) på </w:t>
      </w:r>
      <w:proofErr w:type="spellStart"/>
      <w:r w:rsidRPr="00C86A8F">
        <w:t>Instagram</w:t>
      </w:r>
      <w:proofErr w:type="spellEnd"/>
      <w:r w:rsidRPr="00C86A8F">
        <w:t>;</w:t>
      </w:r>
    </w:p>
    <w:p w:rsidR="00E365E1" w:rsidRPr="00C86A8F" w:rsidRDefault="0015434E" w:rsidP="0067391F">
      <w:pPr>
        <w:ind w:left="567" w:hanging="567"/>
      </w:pPr>
      <w:r w:rsidRPr="00C86A8F">
        <w:t>61.</w:t>
      </w:r>
      <w:r w:rsidRPr="00C86A8F">
        <w:tab/>
        <w:t xml:space="preserve">bemærker, at udvalget bidrager til Kommissionens åbne dataportal med datasæt om medlemmernes data og meningsdata, men også anvender og fremmer åbne data blandt lokale og regionale myndigheder og dermed støtter større gennemsigtighed i sine aktiviteter gennem frit tilgængelige data i menneskeligt læsbart og maskinlæsbart format og styrker sin forbindelse til borgerne. </w:t>
      </w:r>
      <w:bookmarkStart w:id="8" w:name="TextBodyEnd"/>
      <w:bookmarkEnd w:id="8"/>
    </w:p>
    <w:sectPr w:rsidR="00E365E1" w:rsidRPr="00C86A8F" w:rsidSect="00C86A8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73B" w:rsidRPr="00C86A8F" w:rsidRDefault="0092573B">
      <w:r w:rsidRPr="00C86A8F">
        <w:separator/>
      </w:r>
    </w:p>
  </w:endnote>
  <w:endnote w:type="continuationSeparator" w:id="0">
    <w:p w:rsidR="0092573B" w:rsidRPr="00C86A8F" w:rsidRDefault="0092573B">
      <w:r w:rsidRPr="00C86A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rsidP="006165CC">
    <w:pPr>
      <w:pStyle w:val="EPFooter"/>
    </w:pPr>
    <w:r w:rsidRPr="00C86A8F">
      <w:t>PE</w:t>
    </w:r>
    <w:r w:rsidRPr="00C86A8F">
      <w:rPr>
        <w:rStyle w:val="HideTWBExt"/>
      </w:rPr>
      <w:t>&lt;</w:t>
    </w:r>
    <w:proofErr w:type="spellStart"/>
    <w:r w:rsidRPr="00C86A8F">
      <w:rPr>
        <w:rStyle w:val="HideTWBExt"/>
      </w:rPr>
      <w:t>NoPE</w:t>
    </w:r>
    <w:proofErr w:type="spellEnd"/>
    <w:r w:rsidRPr="00C86A8F">
      <w:rPr>
        <w:rStyle w:val="HideTWBExt"/>
      </w:rPr>
      <w:t>&gt;</w:t>
    </w:r>
    <w:r w:rsidRPr="00C86A8F">
      <w:t>753.484</w:t>
    </w:r>
    <w:r w:rsidRPr="00C86A8F">
      <w:rPr>
        <w:rStyle w:val="HideTWBExt"/>
      </w:rPr>
      <w:t>&lt;/</w:t>
    </w:r>
    <w:proofErr w:type="spellStart"/>
    <w:r w:rsidRPr="00C86A8F">
      <w:rPr>
        <w:rStyle w:val="HideTWBExt"/>
      </w:rPr>
      <w:t>NoPE</w:t>
    </w:r>
    <w:proofErr w:type="spellEnd"/>
    <w:r w:rsidRPr="00C86A8F">
      <w:rPr>
        <w:rStyle w:val="HideTWBExt"/>
      </w:rPr>
      <w:t>&gt;&lt;Version&gt;</w:t>
    </w:r>
    <w:r w:rsidRPr="00C86A8F">
      <w:t>v02-00</w:t>
    </w:r>
    <w:r w:rsidRPr="00C86A8F">
      <w:rPr>
        <w:rStyle w:val="HideTWBExt"/>
      </w:rPr>
      <w:t>&lt;/Version&gt;</w:t>
    </w:r>
    <w:r w:rsidRPr="00C86A8F">
      <w:tab/>
    </w:r>
    <w:r w:rsidRPr="00C86A8F">
      <w:fldChar w:fldCharType="begin"/>
    </w:r>
    <w:r w:rsidRPr="00C86A8F">
      <w:instrText xml:space="preserve"> PAGE  \* MERGEFORMAT </w:instrText>
    </w:r>
    <w:r w:rsidRPr="00C86A8F">
      <w:fldChar w:fldCharType="separate"/>
    </w:r>
    <w:r w:rsidR="00C86A8F" w:rsidRPr="00C86A8F">
      <w:rPr>
        <w:noProof/>
      </w:rPr>
      <w:t>2</w:t>
    </w:r>
    <w:r w:rsidRPr="00C86A8F">
      <w:fldChar w:fldCharType="end"/>
    </w:r>
    <w:r w:rsidRPr="00C86A8F">
      <w:t>/</w:t>
    </w:r>
    <w:fldSimple w:instr=" NUMPAGES  \* MERGEFORMAT ">
      <w:r w:rsidR="00C86A8F" w:rsidRPr="00C86A8F">
        <w:rPr>
          <w:noProof/>
        </w:rPr>
        <w:t>4</w:t>
      </w:r>
    </w:fldSimple>
    <w:r w:rsidRPr="00C86A8F">
      <w:tab/>
    </w:r>
    <w:r w:rsidRPr="00C86A8F">
      <w:rPr>
        <w:rStyle w:val="HideTWBExt"/>
      </w:rPr>
      <w:t>&lt;PathFdR&gt;</w:t>
    </w:r>
    <w:r w:rsidRPr="00C86A8F">
      <w:t>RR\1298489DA.docx</w:t>
    </w:r>
    <w:r w:rsidRPr="00C86A8F">
      <w:rPr>
        <w:rStyle w:val="HideTWBExt"/>
      </w:rPr>
      <w:t>&lt;/</w:t>
    </w:r>
    <w:proofErr w:type="spellStart"/>
    <w:r w:rsidRPr="00C86A8F">
      <w:rPr>
        <w:rStyle w:val="HideTWBExt"/>
      </w:rPr>
      <w:t>PathFdR</w:t>
    </w:r>
    <w:proofErr w:type="spellEnd"/>
    <w:r w:rsidRPr="00C86A8F">
      <w:rPr>
        <w:rStyle w:val="HideTWBExt"/>
      </w:rPr>
      <w:t>&gt;</w:t>
    </w:r>
  </w:p>
  <w:p w:rsidR="0015434E" w:rsidRPr="00C86A8F" w:rsidRDefault="0015434E" w:rsidP="006165CC">
    <w:pPr>
      <w:pStyle w:val="EPFooter2"/>
    </w:pPr>
    <w:r w:rsidRPr="00C86A8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rsidP="006165C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rsidP="006165CC">
    <w:pPr>
      <w:pStyle w:val="EPFooter"/>
    </w:pPr>
    <w:r w:rsidRPr="00C86A8F">
      <w:rPr>
        <w:rStyle w:val="HideTWBExt"/>
      </w:rPr>
      <w:t>&lt;PathFdR&gt;</w:t>
    </w:r>
    <w:r w:rsidRPr="00C86A8F">
      <w:t>RR\1298489DA.docx</w:t>
    </w:r>
    <w:r w:rsidRPr="00C86A8F">
      <w:rPr>
        <w:rStyle w:val="HideTWBExt"/>
      </w:rPr>
      <w:t>&lt;/</w:t>
    </w:r>
    <w:proofErr w:type="spellStart"/>
    <w:r w:rsidRPr="00C86A8F">
      <w:rPr>
        <w:rStyle w:val="HideTWBExt"/>
      </w:rPr>
      <w:t>PathFdR</w:t>
    </w:r>
    <w:proofErr w:type="spellEnd"/>
    <w:r w:rsidRPr="00C86A8F">
      <w:rPr>
        <w:rStyle w:val="HideTWBExt"/>
      </w:rPr>
      <w:t>&gt;</w:t>
    </w:r>
    <w:r w:rsidRPr="00C86A8F">
      <w:tab/>
    </w:r>
    <w:r w:rsidRPr="00C86A8F">
      <w:tab/>
      <w:t>PE</w:t>
    </w:r>
    <w:r w:rsidRPr="00C86A8F">
      <w:rPr>
        <w:rStyle w:val="HideTWBExt"/>
      </w:rPr>
      <w:t>&lt;</w:t>
    </w:r>
    <w:proofErr w:type="spellStart"/>
    <w:r w:rsidRPr="00C86A8F">
      <w:rPr>
        <w:rStyle w:val="HideTWBExt"/>
      </w:rPr>
      <w:t>NoPE</w:t>
    </w:r>
    <w:proofErr w:type="spellEnd"/>
    <w:r w:rsidRPr="00C86A8F">
      <w:rPr>
        <w:rStyle w:val="HideTWBExt"/>
      </w:rPr>
      <w:t>&gt;</w:t>
    </w:r>
    <w:r w:rsidRPr="00C86A8F">
      <w:t>753.484</w:t>
    </w:r>
    <w:r w:rsidRPr="00C86A8F">
      <w:rPr>
        <w:rStyle w:val="HideTWBExt"/>
      </w:rPr>
      <w:t>&lt;/</w:t>
    </w:r>
    <w:proofErr w:type="spellStart"/>
    <w:r w:rsidRPr="00C86A8F">
      <w:rPr>
        <w:rStyle w:val="HideTWBExt"/>
      </w:rPr>
      <w:t>NoPE</w:t>
    </w:r>
    <w:proofErr w:type="spellEnd"/>
    <w:r w:rsidRPr="00C86A8F">
      <w:rPr>
        <w:rStyle w:val="HideTWBExt"/>
      </w:rPr>
      <w:t>&gt;&lt;Version&gt;</w:t>
    </w:r>
    <w:r w:rsidRPr="00C86A8F">
      <w:t>v02-00</w:t>
    </w:r>
    <w:r w:rsidRPr="00C86A8F">
      <w:rPr>
        <w:rStyle w:val="HideTWBExt"/>
      </w:rPr>
      <w:t>&lt;/Version&gt;</w:t>
    </w:r>
  </w:p>
  <w:p w:rsidR="0015434E" w:rsidRPr="00C86A8F" w:rsidRDefault="0015434E" w:rsidP="006165CC">
    <w:pPr>
      <w:pStyle w:val="EPFooter2"/>
    </w:pPr>
    <w:r w:rsidRPr="00C86A8F">
      <w:t>DA</w:t>
    </w:r>
    <w:r w:rsidRPr="00C86A8F">
      <w:tab/>
    </w:r>
    <w:r w:rsidRPr="00C86A8F">
      <w:rPr>
        <w:b w:val="0"/>
        <w:i/>
        <w:color w:val="C0C0C0"/>
        <w:sz w:val="22"/>
      </w:rPr>
      <w:t>Forenet i mangfoldighed</w:t>
    </w:r>
    <w:r w:rsidRPr="00C86A8F">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73B" w:rsidRPr="00C86A8F" w:rsidRDefault="0092573B">
      <w:r w:rsidRPr="00C86A8F">
        <w:separator/>
      </w:r>
    </w:p>
  </w:footnote>
  <w:footnote w:type="continuationSeparator" w:id="0">
    <w:p w:rsidR="0092573B" w:rsidRPr="00C86A8F" w:rsidRDefault="0092573B">
      <w:r w:rsidRPr="00C86A8F">
        <w:continuationSeparator/>
      </w:r>
    </w:p>
  </w:footnote>
  <w:footnote w:id="1">
    <w:p w:rsidR="0015434E" w:rsidRPr="00C86A8F" w:rsidRDefault="0015434E" w:rsidP="00C86A8F">
      <w:pPr>
        <w:pStyle w:val="FootnoteText"/>
        <w:ind w:left="567" w:hanging="567"/>
        <w:rPr>
          <w:sz w:val="24"/>
          <w:lang w:val="da-DK"/>
        </w:rPr>
      </w:pPr>
      <w:r w:rsidRPr="00C86A8F">
        <w:rPr>
          <w:rStyle w:val="FootnoteReference"/>
          <w:sz w:val="24"/>
          <w:lang w:val="da-DK"/>
        </w:rPr>
        <w:footnoteRef/>
      </w:r>
      <w:r w:rsidR="00C86A8F" w:rsidRPr="00C86A8F">
        <w:rPr>
          <w:sz w:val="24"/>
          <w:lang w:val="da-DK"/>
        </w:rPr>
        <w:t xml:space="preserve"> </w:t>
      </w:r>
      <w:r w:rsidR="00C86A8F" w:rsidRPr="00C86A8F">
        <w:rPr>
          <w:sz w:val="24"/>
          <w:lang w:val="da-DK"/>
        </w:rPr>
        <w:tab/>
      </w:r>
      <w:r w:rsidRPr="00C86A8F">
        <w:rPr>
          <w:sz w:val="24"/>
          <w:lang w:val="da-DK"/>
        </w:rPr>
        <w:t>EUT L 45 af 24.2.2022.</w:t>
      </w:r>
    </w:p>
  </w:footnote>
  <w:footnote w:id="2">
    <w:p w:rsidR="0015434E" w:rsidRPr="00C86A8F" w:rsidRDefault="0015434E" w:rsidP="00C86A8F">
      <w:pPr>
        <w:pStyle w:val="FootnoteText"/>
        <w:ind w:left="567" w:hanging="567"/>
        <w:rPr>
          <w:sz w:val="24"/>
          <w:lang w:val="da-DK"/>
        </w:rPr>
      </w:pPr>
      <w:r w:rsidRPr="00C86A8F">
        <w:rPr>
          <w:rStyle w:val="FootnoteReference"/>
          <w:sz w:val="24"/>
          <w:lang w:val="da-DK"/>
        </w:rPr>
        <w:footnoteRef/>
      </w:r>
      <w:r w:rsidR="00C86A8F" w:rsidRPr="00C86A8F">
        <w:rPr>
          <w:sz w:val="24"/>
          <w:lang w:val="da-DK"/>
        </w:rPr>
        <w:t xml:space="preserve"> </w:t>
      </w:r>
      <w:r w:rsidR="00C86A8F" w:rsidRPr="00C86A8F">
        <w:rPr>
          <w:sz w:val="24"/>
          <w:lang w:val="da-DK"/>
        </w:rPr>
        <w:tab/>
      </w:r>
      <w:r w:rsidRPr="00C86A8F">
        <w:rPr>
          <w:sz w:val="24"/>
          <w:lang w:val="da-DK"/>
        </w:rPr>
        <w:t>EUT C, C/2023/2, 12.10.2023.</w:t>
      </w:r>
    </w:p>
  </w:footnote>
  <w:footnote w:id="3">
    <w:p w:rsidR="0015434E" w:rsidRPr="00F40A32" w:rsidRDefault="0015434E" w:rsidP="00C86A8F">
      <w:pPr>
        <w:pStyle w:val="FootnoteText"/>
        <w:ind w:left="567" w:hanging="567"/>
        <w:rPr>
          <w:sz w:val="24"/>
        </w:rPr>
      </w:pPr>
      <w:r w:rsidRPr="00C86A8F">
        <w:rPr>
          <w:rStyle w:val="FootnoteReference"/>
          <w:sz w:val="24"/>
          <w:lang w:val="da-DK"/>
        </w:rPr>
        <w:footnoteRef/>
      </w:r>
      <w:r w:rsidR="00C86A8F" w:rsidRPr="00F40A32">
        <w:rPr>
          <w:sz w:val="24"/>
        </w:rPr>
        <w:t xml:space="preserve"> </w:t>
      </w:r>
      <w:r w:rsidR="00C86A8F" w:rsidRPr="00F40A32">
        <w:rPr>
          <w:sz w:val="24"/>
        </w:rPr>
        <w:tab/>
      </w:r>
      <w:r w:rsidRPr="00F40A32">
        <w:rPr>
          <w:sz w:val="24"/>
        </w:rPr>
        <w:t>EUT C, C/2023/103, 4.10.2023.</w:t>
      </w:r>
    </w:p>
  </w:footnote>
  <w:footnote w:id="4">
    <w:p w:rsidR="0015434E" w:rsidRPr="00F40A32" w:rsidRDefault="0015434E" w:rsidP="00C86A8F">
      <w:pPr>
        <w:pStyle w:val="FootnoteText"/>
        <w:ind w:left="567" w:hanging="567"/>
        <w:rPr>
          <w:sz w:val="24"/>
        </w:rPr>
      </w:pPr>
      <w:r w:rsidRPr="00C86A8F">
        <w:rPr>
          <w:rStyle w:val="FootnoteReference"/>
          <w:sz w:val="24"/>
          <w:lang w:val="da-DK"/>
        </w:rPr>
        <w:footnoteRef/>
      </w:r>
      <w:r w:rsidR="00C86A8F" w:rsidRPr="00F40A32">
        <w:rPr>
          <w:sz w:val="24"/>
        </w:rPr>
        <w:t xml:space="preserve"> </w:t>
      </w:r>
      <w:r w:rsidR="00C86A8F" w:rsidRPr="00F40A32">
        <w:rPr>
          <w:sz w:val="24"/>
        </w:rPr>
        <w:tab/>
      </w:r>
      <w:r w:rsidRPr="00F40A32">
        <w:rPr>
          <w:sz w:val="24"/>
        </w:rPr>
        <w:t>EUT C, C/2023/112, 12.10.2023.</w:t>
      </w:r>
    </w:p>
  </w:footnote>
  <w:footnote w:id="5">
    <w:p w:rsidR="0015434E" w:rsidRPr="00C86A8F" w:rsidRDefault="0015434E" w:rsidP="00C86A8F">
      <w:pPr>
        <w:pStyle w:val="FootnoteText"/>
        <w:ind w:left="567" w:hanging="567"/>
        <w:rPr>
          <w:sz w:val="24"/>
          <w:lang w:val="da-DK"/>
        </w:rPr>
      </w:pPr>
      <w:r w:rsidRPr="00C86A8F">
        <w:rPr>
          <w:rStyle w:val="FootnoteReference"/>
          <w:sz w:val="24"/>
          <w:lang w:val="da-DK"/>
        </w:rPr>
        <w:footnoteRef/>
      </w:r>
      <w:r w:rsidR="00C86A8F" w:rsidRPr="00C86A8F">
        <w:rPr>
          <w:sz w:val="24"/>
          <w:lang w:val="da-DK"/>
        </w:rPr>
        <w:t xml:space="preserve"> </w:t>
      </w:r>
      <w:r w:rsidR="00C86A8F" w:rsidRPr="00C86A8F">
        <w:rPr>
          <w:sz w:val="24"/>
          <w:lang w:val="da-DK"/>
        </w:rPr>
        <w:tab/>
      </w:r>
      <w:r w:rsidRPr="00C86A8F">
        <w:rPr>
          <w:sz w:val="24"/>
          <w:lang w:val="da-DK"/>
        </w:rPr>
        <w:t>EUT L 193 af 30.7.2018, s. 1.</w:t>
      </w:r>
    </w:p>
  </w:footnote>
  <w:footnote w:id="6">
    <w:p w:rsidR="0015434E" w:rsidRPr="00C86A8F" w:rsidRDefault="0015434E" w:rsidP="00C86A8F">
      <w:pPr>
        <w:pStyle w:val="FootnoteText"/>
        <w:ind w:left="567" w:hanging="567"/>
        <w:rPr>
          <w:sz w:val="24"/>
          <w:lang w:val="da-DK"/>
        </w:rPr>
      </w:pPr>
      <w:r w:rsidRPr="00C86A8F">
        <w:rPr>
          <w:rStyle w:val="FootnoteReference"/>
          <w:sz w:val="24"/>
          <w:lang w:val="da-DK"/>
        </w:rPr>
        <w:footnoteRef/>
      </w:r>
      <w:r w:rsidR="00C86A8F" w:rsidRPr="00C86A8F">
        <w:rPr>
          <w:sz w:val="24"/>
          <w:lang w:val="da-DK"/>
        </w:rPr>
        <w:t xml:space="preserve"> </w:t>
      </w:r>
      <w:r w:rsidR="00C86A8F" w:rsidRPr="00C86A8F">
        <w:rPr>
          <w:sz w:val="24"/>
          <w:lang w:val="da-DK"/>
        </w:rPr>
        <w:tab/>
      </w:r>
      <w:r w:rsidRPr="00C86A8F">
        <w:rPr>
          <w:sz w:val="24"/>
          <w:lang w:val="da-DK"/>
        </w:rPr>
        <w:t>EUT C 324 af 1.10.2020, s. 8.</w:t>
      </w:r>
    </w:p>
  </w:footnote>
  <w:footnote w:id="7">
    <w:p w:rsidR="0015434E" w:rsidRPr="00C86A8F" w:rsidRDefault="0015434E" w:rsidP="00C86A8F">
      <w:pPr>
        <w:pStyle w:val="FootnoteText"/>
        <w:ind w:left="567" w:hanging="567"/>
        <w:rPr>
          <w:sz w:val="24"/>
          <w:lang w:val="da-DK"/>
        </w:rPr>
      </w:pPr>
      <w:r w:rsidRPr="00C86A8F">
        <w:rPr>
          <w:rStyle w:val="FootnoteReference"/>
          <w:sz w:val="24"/>
          <w:lang w:val="da-DK"/>
        </w:rPr>
        <w:footnoteRef/>
      </w:r>
      <w:r w:rsidR="00C86A8F" w:rsidRPr="00C86A8F">
        <w:rPr>
          <w:sz w:val="24"/>
          <w:lang w:val="da-DK"/>
        </w:rPr>
        <w:t xml:space="preserve"> </w:t>
      </w:r>
      <w:r w:rsidR="00C86A8F" w:rsidRPr="00C86A8F">
        <w:rPr>
          <w:sz w:val="24"/>
          <w:lang w:val="da-DK"/>
        </w:rPr>
        <w:tab/>
      </w:r>
      <w:r w:rsidRPr="00C86A8F">
        <w:rPr>
          <w:sz w:val="24"/>
          <w:lang w:val="da-DK"/>
        </w:rPr>
        <w:t>EUT C 32 af 27.1.2023, s.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34E" w:rsidRPr="00C86A8F" w:rsidRDefault="001543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6A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DA"/>
    <w:docVar w:name="dvnumam" w:val="0"/>
    <w:docVar w:name="dvpe" w:val="753.484"/>
    <w:docVar w:name="dvrapporteur" w:val="Ordfører: "/>
    <w:docVar w:name="dvtitre" w:val="Europa-Parlamentets afgørelse af xx.xx 2024 om decharge for gennemførelsen af Den Europæiske Unions almindelige budget for regnskabsåret 2022, Sektion VII - Regionsudvalget(2023/2136(DEC))"/>
  </w:docVars>
  <w:rsids>
    <w:rsidRoot w:val="0092573B"/>
    <w:rsid w:val="00002272"/>
    <w:rsid w:val="00064002"/>
    <w:rsid w:val="000677B9"/>
    <w:rsid w:val="000831BA"/>
    <w:rsid w:val="000A42CC"/>
    <w:rsid w:val="000E7DD9"/>
    <w:rsid w:val="0010095E"/>
    <w:rsid w:val="00125B37"/>
    <w:rsid w:val="0015434E"/>
    <w:rsid w:val="00187494"/>
    <w:rsid w:val="001F32AE"/>
    <w:rsid w:val="002767FF"/>
    <w:rsid w:val="002B18FE"/>
    <w:rsid w:val="002B5493"/>
    <w:rsid w:val="00343214"/>
    <w:rsid w:val="00361C00"/>
    <w:rsid w:val="00366462"/>
    <w:rsid w:val="00395FA1"/>
    <w:rsid w:val="003E15D4"/>
    <w:rsid w:val="00411CCE"/>
    <w:rsid w:val="0041666E"/>
    <w:rsid w:val="00421060"/>
    <w:rsid w:val="00471C19"/>
    <w:rsid w:val="004867E3"/>
    <w:rsid w:val="00491EC7"/>
    <w:rsid w:val="00494A28"/>
    <w:rsid w:val="004C0004"/>
    <w:rsid w:val="004C5D52"/>
    <w:rsid w:val="0050519A"/>
    <w:rsid w:val="005072A1"/>
    <w:rsid w:val="00514517"/>
    <w:rsid w:val="00545827"/>
    <w:rsid w:val="00560270"/>
    <w:rsid w:val="005C2568"/>
    <w:rsid w:val="006037C0"/>
    <w:rsid w:val="006631B6"/>
    <w:rsid w:val="0067391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73B"/>
    <w:rsid w:val="00930C23"/>
    <w:rsid w:val="0093193B"/>
    <w:rsid w:val="009509D8"/>
    <w:rsid w:val="00950B64"/>
    <w:rsid w:val="00981893"/>
    <w:rsid w:val="00A1687D"/>
    <w:rsid w:val="00A43E52"/>
    <w:rsid w:val="00A4678D"/>
    <w:rsid w:val="00A75455"/>
    <w:rsid w:val="00A778C7"/>
    <w:rsid w:val="00AB441E"/>
    <w:rsid w:val="00AB6293"/>
    <w:rsid w:val="00AC67D1"/>
    <w:rsid w:val="00AE0928"/>
    <w:rsid w:val="00AF3B82"/>
    <w:rsid w:val="00B12E95"/>
    <w:rsid w:val="00B22876"/>
    <w:rsid w:val="00B558F0"/>
    <w:rsid w:val="00BD48FE"/>
    <w:rsid w:val="00BD7BD8"/>
    <w:rsid w:val="00BE6ADC"/>
    <w:rsid w:val="00C05BFE"/>
    <w:rsid w:val="00C23CD4"/>
    <w:rsid w:val="00C61C0C"/>
    <w:rsid w:val="00C86A8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A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F8F08"/>
  <w15:chartTrackingRefBased/>
  <w15:docId w15:val="{3A12F0D7-A952-4CDA-8307-373F5A3F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43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434E"/>
    <w:pPr>
      <w:spacing w:before="480" w:after="240"/>
    </w:pPr>
  </w:style>
  <w:style w:type="paragraph" w:customStyle="1" w:styleId="PageHeading">
    <w:name w:val="PageHeading"/>
    <w:basedOn w:val="Normal"/>
    <w:rsid w:val="0015434E"/>
    <w:pPr>
      <w:keepNext/>
      <w:spacing w:after="480"/>
      <w:jc w:val="center"/>
    </w:pPr>
    <w:rPr>
      <w:rFonts w:ascii="Arial" w:hAnsi="Arial" w:cs="Arial"/>
      <w:b/>
    </w:rPr>
  </w:style>
  <w:style w:type="paragraph" w:customStyle="1" w:styleId="NormalBold">
    <w:name w:val="NormalBold"/>
    <w:basedOn w:val="Normal"/>
    <w:rsid w:val="0015434E"/>
    <w:rPr>
      <w:b/>
    </w:rPr>
  </w:style>
  <w:style w:type="paragraph" w:customStyle="1" w:styleId="NormalHanging12a">
    <w:name w:val="NormalHanging12a"/>
    <w:basedOn w:val="Normal"/>
    <w:link w:val="NormalHanging12aChar"/>
    <w:qFormat/>
    <w:rsid w:val="0015434E"/>
    <w:pPr>
      <w:spacing w:after="240"/>
      <w:ind w:left="567" w:hanging="567"/>
    </w:pPr>
  </w:style>
  <w:style w:type="paragraph" w:styleId="Header">
    <w:name w:val="header"/>
    <w:basedOn w:val="Normal"/>
    <w:link w:val="HeaderChar"/>
    <w:rsid w:val="0015434E"/>
    <w:pPr>
      <w:tabs>
        <w:tab w:val="center" w:pos="4513"/>
        <w:tab w:val="right" w:pos="9026"/>
      </w:tabs>
    </w:pPr>
  </w:style>
  <w:style w:type="character" w:customStyle="1" w:styleId="HeaderChar">
    <w:name w:val="Header Char"/>
    <w:basedOn w:val="DefaultParagraphFont"/>
    <w:link w:val="Header"/>
    <w:rsid w:val="0015434E"/>
    <w:rPr>
      <w:sz w:val="24"/>
      <w:lang w:val="da-DK"/>
    </w:rPr>
  </w:style>
  <w:style w:type="paragraph" w:customStyle="1" w:styleId="EPFooter">
    <w:name w:val="EPFooter"/>
    <w:basedOn w:val="Normal"/>
    <w:rsid w:val="0015434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5434E"/>
    <w:rPr>
      <w:sz w:val="24"/>
      <w:lang w:val="da-DK"/>
    </w:rPr>
  </w:style>
  <w:style w:type="paragraph" w:styleId="BalloonText">
    <w:name w:val="Balloon Text"/>
    <w:basedOn w:val="Normal"/>
    <w:link w:val="BalloonTextChar"/>
    <w:rsid w:val="00A75455"/>
    <w:rPr>
      <w:rFonts w:ascii="Segoe UI" w:hAnsi="Segoe UI" w:cs="Segoe UI"/>
      <w:sz w:val="18"/>
      <w:szCs w:val="18"/>
    </w:rPr>
  </w:style>
  <w:style w:type="character" w:customStyle="1" w:styleId="BalloonTextChar">
    <w:name w:val="Balloon Text Char"/>
    <w:basedOn w:val="DefaultParagraphFont"/>
    <w:link w:val="BalloonText"/>
    <w:rsid w:val="00A7545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3A842-702D-428E-A839-84ABB3B7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5945</Words>
  <Characters>36280</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2024-05-15T07:05:00Z</dcterms:created>
  <dcterms:modified xsi:type="dcterms:W3CDTF">2024-05-15T07:05:00Z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P9_TA(2024)0233_</vt:lpwstr>
  </property>
  <property fmtid="{D5CDD505-2E9C-101B-9397-08002B2CF9AE}" pid="4" name="&lt;Type&gt;">
    <vt:lpwstr>RR</vt:lpwstr>
  </property>
</Properties>
</file>