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0368" w:rsidTr="0010095E">
        <w:trPr>
          <w:trHeight w:hRule="exact" w:val="1418"/>
        </w:trPr>
        <w:tc>
          <w:tcPr>
            <w:tcW w:w="6804" w:type="dxa"/>
            <w:shd w:val="clear" w:color="auto" w:fill="auto"/>
            <w:vAlign w:val="center"/>
          </w:tcPr>
          <w:p w:rsidR="00751A4A" w:rsidRPr="005F0368" w:rsidRDefault="00543055" w:rsidP="0010095E">
            <w:pPr>
              <w:pStyle w:val="EPName"/>
            </w:pPr>
            <w:r w:rsidRPr="005F0368">
              <w:t>Euroopan parlamentti</w:t>
            </w:r>
          </w:p>
          <w:p w:rsidR="00751A4A" w:rsidRPr="005F0368" w:rsidRDefault="00817416" w:rsidP="00756632">
            <w:pPr>
              <w:pStyle w:val="EPTerm"/>
              <w:rPr>
                <w:rStyle w:val="HideTWBExt"/>
                <w:noProof w:val="0"/>
                <w:vanish w:val="0"/>
                <w:color w:val="auto"/>
              </w:rPr>
            </w:pPr>
            <w:r w:rsidRPr="005F0368">
              <w:t>2019-2024</w:t>
            </w:r>
          </w:p>
        </w:tc>
        <w:tc>
          <w:tcPr>
            <w:tcW w:w="2268" w:type="dxa"/>
            <w:shd w:val="clear" w:color="auto" w:fill="auto"/>
          </w:tcPr>
          <w:p w:rsidR="00751A4A" w:rsidRPr="005F0368" w:rsidRDefault="00187494" w:rsidP="0010095E">
            <w:pPr>
              <w:pStyle w:val="EPLogo"/>
            </w:pPr>
            <w:r w:rsidRPr="005F03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0368" w:rsidRDefault="00D058B8" w:rsidP="004C5D52">
      <w:pPr>
        <w:pStyle w:val="LineTop"/>
      </w:pPr>
    </w:p>
    <w:p w:rsidR="00680577" w:rsidRPr="005F0368" w:rsidRDefault="00543055" w:rsidP="00680577">
      <w:pPr>
        <w:pStyle w:val="EPBodyTA1"/>
      </w:pPr>
      <w:r w:rsidRPr="005F0368">
        <w:t>HYVÄKSYTYT TEKSTIT</w:t>
      </w:r>
    </w:p>
    <w:p w:rsidR="00D058B8" w:rsidRPr="005F0368" w:rsidRDefault="00D058B8" w:rsidP="00D058B8">
      <w:pPr>
        <w:pStyle w:val="LineBottom"/>
      </w:pPr>
    </w:p>
    <w:p w:rsidR="00543055" w:rsidRPr="005F0368" w:rsidRDefault="00543055" w:rsidP="00543055">
      <w:pPr>
        <w:pStyle w:val="ATHeading1"/>
      </w:pPr>
      <w:bookmarkStart w:id="0" w:name="TANumber"/>
      <w:r w:rsidRPr="005F0368">
        <w:t>P9_</w:t>
      </w:r>
      <w:proofErr w:type="gramStart"/>
      <w:r w:rsidRPr="005F0368">
        <w:t>TA(</w:t>
      </w:r>
      <w:proofErr w:type="gramEnd"/>
      <w:r w:rsidRPr="005F0368">
        <w:t>2024)0</w:t>
      </w:r>
      <w:r w:rsidR="00391D40">
        <w:t>233</w:t>
      </w:r>
      <w:bookmarkEnd w:id="0"/>
    </w:p>
    <w:p w:rsidR="00543055" w:rsidRPr="005F0368" w:rsidRDefault="00543055" w:rsidP="00543055">
      <w:pPr>
        <w:pStyle w:val="ATHeading2"/>
      </w:pPr>
      <w:bookmarkStart w:id="1" w:name="title"/>
      <w:r w:rsidRPr="005F0368">
        <w:t xml:space="preserve">Vastuuvapaus 2022: EU:n yleinen talousarvio </w:t>
      </w:r>
      <w:r w:rsidRPr="000622AF">
        <w:t xml:space="preserve">– </w:t>
      </w:r>
      <w:r w:rsidRPr="005F0368">
        <w:t>Alueiden komitea</w:t>
      </w:r>
      <w:bookmarkEnd w:id="1"/>
    </w:p>
    <w:p w:rsidR="00543055" w:rsidRPr="005F0368" w:rsidRDefault="00543055" w:rsidP="00543055">
      <w:pPr>
        <w:rPr>
          <w:i/>
          <w:vanish/>
        </w:rPr>
      </w:pPr>
      <w:r w:rsidRPr="005F0368">
        <w:rPr>
          <w:i/>
        </w:rPr>
        <w:fldChar w:fldCharType="begin"/>
      </w:r>
      <w:r w:rsidRPr="005F0368">
        <w:rPr>
          <w:i/>
        </w:rPr>
        <w:instrText xml:space="preserve"> TC"(</w:instrText>
      </w:r>
      <w:bookmarkStart w:id="2" w:name="DocNumber"/>
      <w:r w:rsidRPr="005F0368">
        <w:rPr>
          <w:i/>
        </w:rPr>
        <w:instrText>A9-0073/2024</w:instrText>
      </w:r>
      <w:bookmarkEnd w:id="2"/>
      <w:r w:rsidRPr="005F0368">
        <w:rPr>
          <w:i/>
        </w:rPr>
        <w:instrText xml:space="preserve"> - Esittelijä: Luke Ming </w:instrText>
      </w:r>
      <w:proofErr w:type="spellStart"/>
      <w:r w:rsidRPr="005F0368">
        <w:rPr>
          <w:i/>
        </w:rPr>
        <w:instrText>Flanagan</w:instrText>
      </w:r>
      <w:proofErr w:type="spellEnd"/>
      <w:r w:rsidRPr="005F0368">
        <w:rPr>
          <w:i/>
        </w:rPr>
        <w:instrText xml:space="preserve">)"\l3 \n&gt; \* MERGEFORMAT </w:instrText>
      </w:r>
      <w:r w:rsidRPr="005F0368">
        <w:rPr>
          <w:i/>
        </w:rPr>
        <w:fldChar w:fldCharType="end"/>
      </w:r>
    </w:p>
    <w:p w:rsidR="00543055" w:rsidRPr="005F0368" w:rsidRDefault="00543055" w:rsidP="00543055">
      <w:pPr>
        <w:rPr>
          <w:vanish/>
        </w:rPr>
      </w:pPr>
      <w:bookmarkStart w:id="3" w:name="Commission"/>
      <w:r w:rsidRPr="005F0368">
        <w:rPr>
          <w:vanish/>
        </w:rPr>
        <w:t>Talousarvion valvontavaliokunta</w:t>
      </w:r>
      <w:bookmarkEnd w:id="3"/>
    </w:p>
    <w:p w:rsidR="00543055" w:rsidRPr="005F0368" w:rsidRDefault="00543055" w:rsidP="00543055">
      <w:pPr>
        <w:rPr>
          <w:vanish/>
        </w:rPr>
      </w:pPr>
      <w:bookmarkStart w:id="4" w:name="PE"/>
      <w:r w:rsidRPr="005F0368">
        <w:rPr>
          <w:vanish/>
        </w:rPr>
        <w:t>PE753.484</w:t>
      </w:r>
      <w:bookmarkEnd w:id="4"/>
    </w:p>
    <w:p w:rsidR="00543055" w:rsidRPr="005F0368" w:rsidRDefault="00543055" w:rsidP="00543055">
      <w:pPr>
        <w:pStyle w:val="ATHeading3"/>
      </w:pPr>
      <w:bookmarkStart w:id="5" w:name="Sujet"/>
      <w:r w:rsidRPr="005F0368">
        <w:t>1. Euroopan parlamentin päätös</w:t>
      </w:r>
      <w:r w:rsidR="000622AF">
        <w:t xml:space="preserve"> </w:t>
      </w:r>
      <w:r w:rsidRPr="005F0368">
        <w:t>1</w:t>
      </w:r>
      <w:r w:rsidR="00355032">
        <w:t>1</w:t>
      </w:r>
      <w:r w:rsidRPr="005F0368">
        <w:t>. huhtikuuta 2024 vastuuvapauden myöntämisestä Euroopan unionin yleisen talousarvion toteuttamisesta varainhoitovuonna 2022, pääluokka VII – Alueiden komitea</w:t>
      </w:r>
      <w:bookmarkEnd w:id="5"/>
      <w:r w:rsidRPr="005F0368">
        <w:t xml:space="preserve"> </w:t>
      </w:r>
      <w:bookmarkStart w:id="6" w:name="References"/>
      <w:r w:rsidRPr="005F0368">
        <w:t>(2023/2136(DEC))</w:t>
      </w:r>
      <w:bookmarkEnd w:id="6"/>
    </w:p>
    <w:p w:rsidR="004E71A7" w:rsidRPr="005F0368" w:rsidRDefault="004E71A7" w:rsidP="004E71A7">
      <w:pPr>
        <w:pStyle w:val="EPComma"/>
        <w:widowControl/>
      </w:pPr>
      <w:bookmarkStart w:id="7" w:name="TextBodyBegin"/>
      <w:bookmarkEnd w:id="7"/>
      <w:r w:rsidRPr="005F0368">
        <w:rPr>
          <w:i/>
          <w:iCs/>
        </w:rPr>
        <w:t>Euroopan parlamentti</w:t>
      </w:r>
      <w:r w:rsidRPr="005F0368">
        <w:t>, joka</w:t>
      </w:r>
    </w:p>
    <w:p w:rsidR="004E71A7" w:rsidRPr="005F0368" w:rsidRDefault="004E71A7" w:rsidP="004E71A7">
      <w:pPr>
        <w:pStyle w:val="NormalHanging12a"/>
        <w:widowControl/>
      </w:pPr>
      <w:r w:rsidRPr="005F0368">
        <w:t>–</w:t>
      </w:r>
      <w:r w:rsidRPr="005F0368">
        <w:tab/>
        <w:t>ottaa huomioon Euroopan unionin yleisen talousarvion varainhoitovuodeksi 2022</w:t>
      </w:r>
      <w:r w:rsidRPr="005F0368">
        <w:rPr>
          <w:rStyle w:val="FootnoteReference"/>
        </w:rPr>
        <w:footnoteReference w:id="1"/>
      </w:r>
      <w:r w:rsidRPr="005F0368">
        <w:t>,</w:t>
      </w:r>
    </w:p>
    <w:p w:rsidR="004E71A7" w:rsidRPr="005F0368" w:rsidRDefault="004E71A7" w:rsidP="004E71A7">
      <w:pPr>
        <w:pStyle w:val="NormalHanging12a"/>
        <w:widowControl/>
      </w:pPr>
      <w:r w:rsidRPr="005F0368">
        <w:t>–</w:t>
      </w:r>
      <w:r w:rsidRPr="005F0368">
        <w:tab/>
        <w:t xml:space="preserve">ottaa huomioon Euroopan unionin </w:t>
      </w:r>
      <w:proofErr w:type="spellStart"/>
      <w:r w:rsidRPr="005F0368">
        <w:t>konsolidoidun</w:t>
      </w:r>
      <w:proofErr w:type="spellEnd"/>
      <w:r w:rsidRPr="005F0368">
        <w:t xml:space="preserve"> tilinpäätöksen varainhoitovuodelta 2022 (COM(2023)0391 – C9</w:t>
      </w:r>
      <w:r w:rsidRPr="005F0368">
        <w:noBreakHyphen/>
        <w:t>0255/2023)</w:t>
      </w:r>
      <w:r w:rsidRPr="005F0368">
        <w:rPr>
          <w:rStyle w:val="FootnoteReference"/>
        </w:rPr>
        <w:footnoteReference w:id="2"/>
      </w:r>
      <w:r w:rsidRPr="005F0368">
        <w:t>,</w:t>
      </w:r>
    </w:p>
    <w:p w:rsidR="004E71A7" w:rsidRPr="005F0368" w:rsidRDefault="004E71A7" w:rsidP="004E71A7">
      <w:pPr>
        <w:pStyle w:val="NormalHanging12a"/>
        <w:widowControl/>
      </w:pPr>
      <w:r w:rsidRPr="005F0368">
        <w:t>–</w:t>
      </w:r>
      <w:r w:rsidRPr="005F0368">
        <w:tab/>
        <w:t>ottaa huomioon alueiden komitean vuotuisen toimintakertomuksen vuodelta 2022 ja sen selvityksen talousarvio- ja varainhallinnosta varainhoitovuonna 2022,</w:t>
      </w:r>
    </w:p>
    <w:p w:rsidR="004E71A7" w:rsidRPr="005F0368" w:rsidRDefault="004E71A7" w:rsidP="004E71A7">
      <w:pPr>
        <w:pStyle w:val="NormalHanging12a"/>
        <w:widowControl/>
      </w:pPr>
      <w:r w:rsidRPr="005F0368">
        <w:t>–</w:t>
      </w:r>
      <w:r w:rsidRPr="005F0368">
        <w:tab/>
        <w:t>ottaa huomioon tilintarkastustuomioistuimen vuosikertomuksen talousarvion toteuttamisesta varainhoitovuonna 2022 sekä toimielinten vastaukset</w:t>
      </w:r>
      <w:r w:rsidRPr="005F0368">
        <w:rPr>
          <w:rStyle w:val="FootnoteReference"/>
        </w:rPr>
        <w:footnoteReference w:id="3"/>
      </w:r>
      <w:r w:rsidRPr="005F0368">
        <w:t>,</w:t>
      </w:r>
    </w:p>
    <w:p w:rsidR="004E71A7" w:rsidRPr="005F0368" w:rsidRDefault="004E71A7" w:rsidP="004E71A7">
      <w:pPr>
        <w:pStyle w:val="NormalHanging12a"/>
        <w:widowControl/>
      </w:pPr>
      <w:r w:rsidRPr="005F0368">
        <w:t>–</w:t>
      </w:r>
      <w:r w:rsidRPr="005F0368">
        <w:tab/>
        <w:t>ottaa huomioon tilintarkastustuomioistuimen Euroopan unionin toiminnasta tehdyn sopimuksen 287 artiklan mukaisesti antaman varainhoitovuotta 2022 koskevan lausuman</w:t>
      </w:r>
      <w:r w:rsidRPr="005F0368">
        <w:rPr>
          <w:rStyle w:val="FootnoteReference"/>
        </w:rPr>
        <w:footnoteReference w:id="4"/>
      </w:r>
      <w:r w:rsidRPr="005F0368">
        <w:t xml:space="preserve"> tilien luotettavuudesta sekä tilien perustana olevien toimien laillisuudesta ja asianmukaisuudesta (sääntöjenmukaisuudesta),</w:t>
      </w:r>
    </w:p>
    <w:p w:rsidR="004E71A7" w:rsidRPr="005F0368" w:rsidRDefault="004E71A7" w:rsidP="004E71A7">
      <w:pPr>
        <w:pStyle w:val="NormalHanging12a"/>
        <w:widowControl/>
      </w:pPr>
      <w:r w:rsidRPr="005F0368">
        <w:t>–</w:t>
      </w:r>
      <w:r w:rsidRPr="005F0368">
        <w:tab/>
        <w:t>ottaa huomioon Euroopan unionin toiminnasta tehdyn sopimuksen 314 artiklan 10 kohdan sekä 317, 318 ja 319 artiklan,</w:t>
      </w:r>
    </w:p>
    <w:p w:rsidR="004E71A7" w:rsidRPr="005F0368" w:rsidRDefault="004E71A7" w:rsidP="004E71A7">
      <w:pPr>
        <w:pStyle w:val="NormalHanging12a"/>
        <w:widowControl/>
      </w:pPr>
      <w:r w:rsidRPr="005F0368">
        <w:t>–</w:t>
      </w:r>
      <w:r w:rsidRPr="005F0368">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5F0368">
        <w:lastRenderedPageBreak/>
        <w:t>neuvoston asetuksen (EU, Euratom) 2018/1046</w:t>
      </w:r>
      <w:r w:rsidRPr="005F0368">
        <w:rPr>
          <w:rStyle w:val="FootnoteReference"/>
        </w:rPr>
        <w:footnoteReference w:id="5"/>
      </w:r>
      <w:r w:rsidRPr="005F0368">
        <w:t xml:space="preserve"> ja erityisesti sen 59, 118, 260, 261 ja 262 artiklan,</w:t>
      </w:r>
    </w:p>
    <w:p w:rsidR="004E71A7" w:rsidRPr="005F0368" w:rsidRDefault="004E71A7" w:rsidP="004E71A7">
      <w:pPr>
        <w:pStyle w:val="NormalHanging12a"/>
        <w:widowControl/>
      </w:pPr>
      <w:r w:rsidRPr="005F0368">
        <w:t>–</w:t>
      </w:r>
      <w:r w:rsidRPr="005F0368">
        <w:tab/>
        <w:t>ottaa huomioon työjärjestyksen 100 artiklan ja liitteen V,</w:t>
      </w:r>
    </w:p>
    <w:p w:rsidR="004E71A7" w:rsidRPr="005F0368" w:rsidRDefault="004E71A7" w:rsidP="004E71A7">
      <w:pPr>
        <w:pStyle w:val="NormalHanging12a"/>
        <w:widowControl/>
      </w:pPr>
      <w:r w:rsidRPr="005F0368">
        <w:t>–</w:t>
      </w:r>
      <w:r w:rsidRPr="005F0368">
        <w:tab/>
        <w:t>ottaa huomioon talousarvion valvontavaliokunnan mietinnön (A9-0073/2024),</w:t>
      </w:r>
    </w:p>
    <w:p w:rsidR="004E71A7" w:rsidRPr="005F0368" w:rsidRDefault="004E71A7" w:rsidP="004E71A7">
      <w:pPr>
        <w:pStyle w:val="NormalHanging12a"/>
        <w:widowControl/>
      </w:pPr>
      <w:r w:rsidRPr="005F0368">
        <w:t>1.</w:t>
      </w:r>
      <w:r w:rsidRPr="005F0368">
        <w:tab/>
        <w:t>myöntää alueiden komitean pääsihteerille vastuuvapauden alueiden komitean talousarvion toteuttamisesta varainhoitovuonna 2022;</w:t>
      </w:r>
    </w:p>
    <w:p w:rsidR="004E71A7" w:rsidRPr="005F0368" w:rsidRDefault="004E71A7" w:rsidP="004E71A7">
      <w:pPr>
        <w:pStyle w:val="NormalHanging12a"/>
        <w:widowControl/>
      </w:pPr>
      <w:r w:rsidRPr="005F0368">
        <w:t>2.</w:t>
      </w:r>
      <w:r w:rsidRPr="005F0368">
        <w:tab/>
        <w:t>esittää huomautuksensa oheisessa päätöslauselmassa;</w:t>
      </w:r>
    </w:p>
    <w:p w:rsidR="004E71A7" w:rsidRPr="005F0368" w:rsidRDefault="004E71A7" w:rsidP="004E71A7">
      <w:pPr>
        <w:pStyle w:val="NormalHanging12a"/>
        <w:widowControl/>
      </w:pPr>
      <w:r w:rsidRPr="005F0368">
        <w:t>3.</w:t>
      </w:r>
      <w:r w:rsidRPr="005F0368">
        <w:tab/>
        <w:t xml:space="preserve">kehottaa puhemiestä välittämään tämän päätöksen ja siihen erottamattomasti kuuluvan päätöslauselman </w:t>
      </w:r>
      <w:r w:rsidRPr="005F0368">
        <w:rPr>
          <w:color w:val="000000"/>
        </w:rPr>
        <w:t>alueiden komitean</w:t>
      </w:r>
      <w:r w:rsidRPr="005F0368">
        <w:t xml:space="preserve"> pääsihteerille, neuvostolle, komissiolle ja tilintarkastustuomioistuimelle sekä huolehtimaan niiden julkaisemisesta </w:t>
      </w:r>
      <w:r w:rsidRPr="005F0368">
        <w:rPr>
          <w:i/>
        </w:rPr>
        <w:t xml:space="preserve">Euroopan unionin virallisessa lehdessä </w:t>
      </w:r>
      <w:r w:rsidRPr="005F0368">
        <w:t>(L-sarja).</w:t>
      </w:r>
    </w:p>
    <w:p w:rsidR="004E71A7" w:rsidRPr="005F0368" w:rsidRDefault="004E71A7" w:rsidP="004E71A7">
      <w:pPr>
        <w:widowControl/>
      </w:pPr>
    </w:p>
    <w:p w:rsidR="004E71A7" w:rsidRPr="005F0368" w:rsidRDefault="004E71A7" w:rsidP="004E71A7">
      <w:pPr>
        <w:pStyle w:val="PageHeading"/>
        <w:widowControl/>
        <w:sectPr w:rsidR="004E71A7" w:rsidRPr="005F0368" w:rsidSect="005F036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E71A7" w:rsidRPr="005F0368" w:rsidRDefault="004E71A7" w:rsidP="004E71A7">
      <w:pPr>
        <w:pStyle w:val="NormalBold"/>
        <w:widowControl/>
      </w:pPr>
      <w:bookmarkStart w:id="8" w:name="_Toc161829205"/>
      <w:r w:rsidRPr="005F0368">
        <w:lastRenderedPageBreak/>
        <w:t>2.</w:t>
      </w:r>
      <w:bookmarkEnd w:id="8"/>
      <w:r w:rsidR="000622AF" w:rsidRPr="005F0368">
        <w:t xml:space="preserve"> Euroopan parlamentin päätös</w:t>
      </w:r>
      <w:r w:rsidR="000622AF">
        <w:t xml:space="preserve">lauselma </w:t>
      </w:r>
      <w:r w:rsidR="000622AF" w:rsidRPr="005F0368">
        <w:t>1</w:t>
      </w:r>
      <w:r w:rsidR="00355032">
        <w:t>1</w:t>
      </w:r>
      <w:r w:rsidR="000622AF" w:rsidRPr="005F0368">
        <w:t>. huhtikuuta 2024</w:t>
      </w:r>
      <w:r w:rsidR="000622AF">
        <w:t xml:space="preserve">, </w:t>
      </w:r>
      <w:r w:rsidRPr="005F0368">
        <w:t>joka sisältää huomautukset, jotka ovat erottamaton osa päätöstä vastuuvapauden myöntämisestä Euroopan unionin yleisen talousarvion toteuttamisesta varainhoitovuonna 2022, pääluokka VII – Alueiden komitea</w:t>
      </w:r>
      <w:r w:rsidR="000622AF">
        <w:t xml:space="preserve"> </w:t>
      </w:r>
      <w:r w:rsidRPr="005F0368">
        <w:t>(2023/2136(DEC))</w:t>
      </w:r>
    </w:p>
    <w:p w:rsidR="004E71A7" w:rsidRPr="005F0368" w:rsidRDefault="004E71A7" w:rsidP="004E71A7">
      <w:pPr>
        <w:pStyle w:val="EPComma"/>
        <w:widowControl/>
      </w:pPr>
      <w:r w:rsidRPr="005F0368">
        <w:rPr>
          <w:i/>
          <w:iCs/>
        </w:rPr>
        <w:t>Euroopan parlamentti</w:t>
      </w:r>
      <w:r w:rsidRPr="005F0368">
        <w:t>, joka</w:t>
      </w:r>
    </w:p>
    <w:p w:rsidR="004E71A7" w:rsidRPr="005F0368" w:rsidRDefault="004E71A7" w:rsidP="004E71A7">
      <w:pPr>
        <w:pStyle w:val="NormalHanging12a"/>
        <w:widowControl/>
        <w:rPr>
          <w:szCs w:val="24"/>
        </w:rPr>
      </w:pPr>
      <w:r w:rsidRPr="005F0368">
        <w:t>–</w:t>
      </w:r>
      <w:r w:rsidRPr="005F0368">
        <w:tab/>
        <w:t>ottaa huomioon päätöksensä vastuuvapauden myöntämisestä Euroopan unionin yleisen talousarvion toteuttamisesta varainhoitovuonna 2022, pääluokka VII – Alueiden komitea,</w:t>
      </w:r>
    </w:p>
    <w:p w:rsidR="004E71A7" w:rsidRPr="005F0368" w:rsidRDefault="004E71A7" w:rsidP="004E71A7">
      <w:pPr>
        <w:pStyle w:val="NormalHanging12a"/>
        <w:widowControl/>
        <w:rPr>
          <w:szCs w:val="24"/>
        </w:rPr>
      </w:pPr>
      <w:r w:rsidRPr="005F0368">
        <w:t>–</w:t>
      </w:r>
      <w:r w:rsidRPr="005F0368">
        <w:tab/>
        <w:t>ottaa huomioon työjärjestyksen 100 artiklan ja liitteen V,</w:t>
      </w:r>
    </w:p>
    <w:p w:rsidR="004E71A7" w:rsidRPr="005F0368" w:rsidRDefault="004E71A7" w:rsidP="004E71A7">
      <w:pPr>
        <w:pStyle w:val="NormalHanging12a"/>
        <w:widowControl/>
        <w:rPr>
          <w:szCs w:val="24"/>
        </w:rPr>
      </w:pPr>
      <w:r w:rsidRPr="005F0368">
        <w:t>–</w:t>
      </w:r>
      <w:r w:rsidRPr="005F0368">
        <w:tab/>
        <w:t>ottaa huomioon talousarvion valvontavaliokunnan mietinnön (A9-0073/2024),</w:t>
      </w:r>
    </w:p>
    <w:p w:rsidR="004E71A7" w:rsidRPr="005F0368" w:rsidRDefault="004E71A7" w:rsidP="004E71A7">
      <w:pPr>
        <w:pStyle w:val="NormalHanging12a"/>
        <w:widowControl/>
        <w:rPr>
          <w:szCs w:val="24"/>
        </w:rPr>
      </w:pPr>
      <w:r w:rsidRPr="005F0368">
        <w:t>A.</w:t>
      </w:r>
      <w:r w:rsidRPr="005F0368">
        <w:tab/>
      </w:r>
      <w:r w:rsidRPr="005F0368">
        <w:rPr>
          <w:color w:val="000000"/>
        </w:rPr>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rsidR="004E71A7" w:rsidRPr="005F0368" w:rsidRDefault="004E71A7" w:rsidP="004E71A7">
      <w:pPr>
        <w:pStyle w:val="NormalHanging12a"/>
        <w:widowControl/>
        <w:rPr>
          <w:color w:val="000000"/>
          <w:szCs w:val="24"/>
        </w:rPr>
      </w:pPr>
      <w:r w:rsidRPr="005F0368">
        <w:t>B.</w:t>
      </w:r>
      <w:r w:rsidRPr="005F0368">
        <w:tab/>
      </w:r>
      <w:r w:rsidRPr="005F0368">
        <w:rPr>
          <w:color w:val="000000"/>
        </w:rPr>
        <w:t xml:space="preserve">ottaa huomioon, että alueiden komitea on poliittinen edustuselin, jonka 329 jäsentä on valittu vaaleilla unionin 27 jäsenvaltion alueilta, kaupungeista, kylistä ja kunnista, että se toimii unionin toimielinten neuvoa-antavana elimenä ja että sen tehtävänä on osallistua unionin politiikan muotoiluun ja päätöksentekoprosessiin </w:t>
      </w:r>
      <w:proofErr w:type="spellStart"/>
      <w:r w:rsidRPr="005F0368">
        <w:rPr>
          <w:color w:val="000000"/>
        </w:rPr>
        <w:t>paikallis</w:t>
      </w:r>
      <w:proofErr w:type="spellEnd"/>
      <w:r w:rsidRPr="005F0368">
        <w:rPr>
          <w:color w:val="000000"/>
        </w:rPr>
        <w:t>- ja alueviranomaisten näkökulmasta ja pyrkiä samalla tekemään unionista tehokkaampi ja tuomaan sitä lähemmäs kansalaisia;</w:t>
      </w:r>
    </w:p>
    <w:p w:rsidR="004E71A7" w:rsidRPr="005F0368" w:rsidRDefault="004E71A7" w:rsidP="004E71A7">
      <w:pPr>
        <w:pStyle w:val="NormalHanging12a"/>
        <w:widowControl/>
        <w:rPr>
          <w:color w:val="000000"/>
          <w:szCs w:val="24"/>
        </w:rPr>
      </w:pPr>
      <w:r w:rsidRPr="005F0368">
        <w:rPr>
          <w:color w:val="000000"/>
        </w:rPr>
        <w:t>C.</w:t>
      </w:r>
      <w:r w:rsidRPr="005F0368">
        <w:rPr>
          <w:color w:val="000000"/>
        </w:rPr>
        <w:tab/>
        <w:t>ottaa huomioon, että tietyissä tapauksissa komission tai neuvoston on kuultava komiteaa, että komitea voi myös antaa lausuntoja omasta aloitteestaan ja että perussopimuksissa on vahvistettu laaja lausuntopyyntöjen ala, jolla parlamentti voi kuulla komiteaa;</w:t>
      </w:r>
    </w:p>
    <w:p w:rsidR="004E71A7" w:rsidRPr="005F0368" w:rsidRDefault="004E71A7" w:rsidP="004E71A7">
      <w:pPr>
        <w:pStyle w:val="NormalHanging12a"/>
        <w:widowControl/>
        <w:rPr>
          <w:color w:val="000000"/>
          <w:szCs w:val="24"/>
        </w:rPr>
      </w:pPr>
      <w:r w:rsidRPr="005F0368">
        <w:rPr>
          <w:color w:val="000000"/>
        </w:rPr>
        <w:t>D.</w:t>
      </w:r>
      <w:r w:rsidRPr="005F0368">
        <w:rPr>
          <w:color w:val="000000"/>
        </w:rPr>
        <w:tab/>
        <w:t>ottaa huomioon, että komitean toimet määritellään sen yleisen poliittisen strategian perusteella, joka on esitetty 2. heinäkuuta 2020 annetussa päätöslauselmassa sen painopisteistä vuosiksi 2020–2025</w:t>
      </w:r>
      <w:r w:rsidRPr="005F0368">
        <w:rPr>
          <w:rStyle w:val="FootnoteReference"/>
          <w:color w:val="000000"/>
          <w:szCs w:val="24"/>
        </w:rPr>
        <w:footnoteReference w:id="6"/>
      </w:r>
      <w:r w:rsidRPr="005F0368">
        <w:rPr>
          <w:color w:val="000000"/>
        </w:rPr>
        <w:t>, ja ottaa huomioon, että komitea hyväksyi toimikaudelleen 2020–2025 kolme poliittista painopistettä sekä niihin liittyvät kolme viestintäkampanjaa: unioni lähemmäs kansalaisia, selviytymiskykyisten alue- ja paikallisyhteisöjen luominen ja yhteenkuuluvuuden edistäminen unionin perusarvona;</w:t>
      </w:r>
    </w:p>
    <w:p w:rsidR="004E71A7" w:rsidRPr="005F0368" w:rsidRDefault="004E71A7" w:rsidP="004E71A7">
      <w:pPr>
        <w:pStyle w:val="NormalHanging12a"/>
        <w:widowControl/>
        <w:rPr>
          <w:color w:val="000000"/>
          <w:szCs w:val="24"/>
        </w:rPr>
      </w:pPr>
      <w:r w:rsidRPr="005F0368">
        <w:rPr>
          <w:color w:val="000000"/>
        </w:rPr>
        <w:t>E.</w:t>
      </w:r>
      <w:r w:rsidRPr="005F0368">
        <w:rPr>
          <w:color w:val="000000"/>
        </w:rPr>
        <w:tab/>
        <w:t xml:space="preserve">ottaa huomioon, että </w:t>
      </w:r>
      <w:proofErr w:type="spellStart"/>
      <w:r w:rsidRPr="005F0368">
        <w:rPr>
          <w:color w:val="000000"/>
        </w:rPr>
        <w:t>paikallis</w:t>
      </w:r>
      <w:proofErr w:type="spellEnd"/>
      <w:r w:rsidRPr="005F0368">
        <w:rPr>
          <w:color w:val="000000"/>
        </w:rPr>
        <w:t>- ja alueviranomaisten osuus julkisista menoista on kolmasosa, julkisista investoinneista puolet ja verotuloista neljäsosa ja että monissa jäsenvaltioissa niillä on toimivaltaa opetuksen, talouskehityksen ja koheesion, ympäristön, sosiaalisen suojelun, terveydenhuollon ja yleishyödyllisten palvelujen kaltaisilla keskeisillä aloilla, joten paikallisen, alueellisen, kansallisen ja EU:n tason koordinointi lisää lainsäädännön legitiimiyttä, parantaa vastuunottoa ja auttaa ajamaan kansalaisten etuja paremmin;</w:t>
      </w:r>
    </w:p>
    <w:p w:rsidR="004E71A7" w:rsidRPr="005F0368" w:rsidRDefault="004E71A7" w:rsidP="004E71A7">
      <w:pPr>
        <w:pStyle w:val="NormalHanging12a"/>
        <w:widowControl/>
        <w:rPr>
          <w:color w:val="000000"/>
          <w:szCs w:val="24"/>
        </w:rPr>
      </w:pPr>
      <w:r w:rsidRPr="005F0368">
        <w:rPr>
          <w:color w:val="000000"/>
        </w:rPr>
        <w:lastRenderedPageBreak/>
        <w:t>F.</w:t>
      </w:r>
      <w:r w:rsidRPr="005F0368">
        <w:rPr>
          <w:color w:val="000000"/>
        </w:rPr>
        <w:tab/>
        <w:t xml:space="preserve">ottaa huomioon, että komitea pyrkii poliittiseen tavoitteeseensa eli vahvistamaan osallistumistaan unionin koko poliittiseen ja lainsäädäntösykliin ja samalla se pyrkii konkretisoimaan yhteyttä unionin kansalaisiin käyttäen komitean jäseniä vahvoina mielipidevaikuttajina näiden yhteisöissä ja </w:t>
      </w:r>
      <w:proofErr w:type="spellStart"/>
      <w:r w:rsidRPr="005F0368">
        <w:rPr>
          <w:color w:val="000000"/>
        </w:rPr>
        <w:t>paikallis</w:t>
      </w:r>
      <w:proofErr w:type="spellEnd"/>
      <w:r w:rsidRPr="005F0368">
        <w:rPr>
          <w:color w:val="000000"/>
        </w:rPr>
        <w:t>- ja alueviranomaisten valtakunnallisissa järjestöissä;</w:t>
      </w:r>
    </w:p>
    <w:p w:rsidR="004E71A7" w:rsidRPr="005F0368" w:rsidRDefault="004E71A7" w:rsidP="004E71A7">
      <w:pPr>
        <w:pStyle w:val="NormalHanging12a"/>
        <w:widowControl/>
        <w:rPr>
          <w:color w:val="000000"/>
          <w:szCs w:val="24"/>
        </w:rPr>
      </w:pPr>
      <w:r w:rsidRPr="005F0368">
        <w:rPr>
          <w:color w:val="000000"/>
        </w:rPr>
        <w:t>G.</w:t>
      </w:r>
      <w:r w:rsidRPr="005F0368">
        <w:rPr>
          <w:color w:val="000000"/>
        </w:rPr>
        <w:tab/>
        <w:t>ottaa huomioon, että yli 400 kansallisesta ja alueellisesta ohjelmasta, joilla toteutetaan unionin koheesiopolitiikkaa ohjelmakaudella 2021–2027, saadaan käyttöön noin 380 miljardia euroa eri rahastoista, jotta voidaan vastata unionin alueiden, kaupunkien, kylien ja kuntien taloudellisiin, sosiaalisiin ja ympäristöön liittyviin haasteisiin;</w:t>
      </w:r>
    </w:p>
    <w:p w:rsidR="004E71A7" w:rsidRPr="005F0368" w:rsidRDefault="004E71A7" w:rsidP="004E71A7">
      <w:pPr>
        <w:pStyle w:val="NormalHanging12a"/>
        <w:widowControl/>
        <w:rPr>
          <w:color w:val="000000"/>
          <w:szCs w:val="24"/>
        </w:rPr>
      </w:pPr>
      <w:r w:rsidRPr="005F0368">
        <w:rPr>
          <w:color w:val="000000"/>
        </w:rPr>
        <w:t>H.</w:t>
      </w:r>
      <w:r w:rsidRPr="005F0368">
        <w:rPr>
          <w:color w:val="000000"/>
        </w:rPr>
        <w:tab/>
        <w:t xml:space="preserve">ottaa huomioon, että koska komitea on varainhoitoasetuksessa tarkoitettu unionin toimielin, sen on hyväksyttävä oma tilinpäätöksensä, joka laaditaan julkissektorin kansainvälisiin tilinpäätösstandardeihin perustuvien komission tilinpitäjän hyväksymien tilinpäätössääntöjen (EU:n tilinpäätössääntö) mukaisesti ja joka viime kädessä </w:t>
      </w:r>
      <w:proofErr w:type="spellStart"/>
      <w:r w:rsidRPr="005F0368">
        <w:rPr>
          <w:color w:val="000000"/>
        </w:rPr>
        <w:t>konsolidoidaan</w:t>
      </w:r>
      <w:proofErr w:type="spellEnd"/>
      <w:r w:rsidRPr="005F0368">
        <w:rPr>
          <w:color w:val="000000"/>
        </w:rPr>
        <w:t xml:space="preserve"> unionin tilinpäätökseen;</w:t>
      </w:r>
    </w:p>
    <w:p w:rsidR="004E71A7" w:rsidRPr="005F0368" w:rsidRDefault="004E71A7" w:rsidP="004E71A7">
      <w:pPr>
        <w:pStyle w:val="NormalHanging12a"/>
        <w:widowControl/>
        <w:rPr>
          <w:szCs w:val="24"/>
        </w:rPr>
      </w:pPr>
      <w:r w:rsidRPr="005F0368">
        <w:t>1.</w:t>
      </w:r>
      <w:r w:rsidRPr="005F0368">
        <w:tab/>
        <w:t>panee merkille, että komitean talousarvio kuuluu monivuotisen rahoituskehyksen otsakkeeseen 7 ”</w:t>
      </w:r>
      <w:r w:rsidRPr="005F0368">
        <w:rPr>
          <w:color w:val="000000"/>
        </w:rPr>
        <w:t>EU:n yleinen hallinto</w:t>
      </w:r>
      <w:r w:rsidRPr="005F0368">
        <w:t xml:space="preserve">”, jonka kokonaismäärä vuonna 2022 oli 11,6 miljardia euroa (eli 5,9 prosenttia unionin menoista); toteaa, että vuonna 2022 </w:t>
      </w:r>
      <w:r w:rsidRPr="005F0368">
        <w:rPr>
          <w:color w:val="000000"/>
        </w:rPr>
        <w:t>komitean</w:t>
      </w:r>
      <w:r w:rsidRPr="005F0368">
        <w:t xml:space="preserve"> talousarvio oli 0,95 prosenttia monivuotisen rahoituskehyksen otsakkeen 7 määrärahoista;</w:t>
      </w:r>
    </w:p>
    <w:p w:rsidR="004E71A7" w:rsidRPr="005F0368" w:rsidRDefault="004E71A7" w:rsidP="004E71A7">
      <w:pPr>
        <w:pStyle w:val="NormalHanging12a"/>
        <w:widowControl/>
        <w:rPr>
          <w:szCs w:val="24"/>
        </w:rPr>
      </w:pPr>
      <w:r w:rsidRPr="005F0368">
        <w:t>2.</w:t>
      </w:r>
      <w:r w:rsidRPr="005F0368">
        <w:tab/>
        <w:t>toteaa, että varainhoitovuotta 2022 koskevassa vuosikertomuksessaan tilintarkastustuomioistuin tarkasti hallinnon alaan kuuluvan 60 tapahtuman otoksen eli saman verran kuin tarkastettiin vuonna 2021; toteaa tilintarkastustuomioistuimen myös kirjoittavan, että hallintomenoja ovat muun muassa henkilöstömenot ja eläkemenot, joiden osuus hallintomenojen kokonaismäärästä oli vuonna 2022 noin 70 prosenttia, ja lisäksi kiinteistöihin, laitteisiin, energiaan, viestintään ja tietotekniikkaan liittyvät menot ja että sen tarkastukset ovat jo useamman vuoden ajan osoittaneet, että hallintomenoissa riski on yleisesti ottaen alhainen;</w:t>
      </w:r>
    </w:p>
    <w:p w:rsidR="004E71A7" w:rsidRPr="005F0368" w:rsidRDefault="004E71A7" w:rsidP="004E71A7">
      <w:pPr>
        <w:pStyle w:val="NormalHanging12a"/>
        <w:widowControl/>
        <w:rPr>
          <w:szCs w:val="24"/>
        </w:rPr>
      </w:pPr>
      <w:r w:rsidRPr="005F0368">
        <w:t>3.</w:t>
      </w:r>
      <w:r w:rsidRPr="005F0368">
        <w:tab/>
        <w:t>toteaa, että osana vuoden 2022 tarkastusta tilintarkastustuomioistuin tutki komitean valvontajärjestelmiä, erityisesti varainhoitoasetuksessa määriteltyjen sisäisen valvonnan standardien, riskienhallinnan ja keskeisten valvontamenettelyjen täytäntöönpanoa, myös maksuihin kohdistettavia ennakko- ja jälkitarkastuksia;</w:t>
      </w:r>
    </w:p>
    <w:p w:rsidR="004E71A7" w:rsidRPr="005F0368" w:rsidRDefault="004E71A7" w:rsidP="004E71A7">
      <w:pPr>
        <w:pStyle w:val="NormalHanging12a"/>
        <w:widowControl/>
        <w:rPr>
          <w:szCs w:val="24"/>
        </w:rPr>
      </w:pPr>
      <w:r w:rsidRPr="005F0368">
        <w:t>4.</w:t>
      </w:r>
      <w:r w:rsidRPr="005F0368">
        <w:tab/>
        <w:t xml:space="preserve">panee merkille, että tarkastetuista 60 tapahtumasta 14 (23 prosenttia) sisälsi virheitä, mutta että tilintarkastustuomioistuin arvioi </w:t>
      </w:r>
      <w:proofErr w:type="spellStart"/>
      <w:r w:rsidRPr="005F0368">
        <w:t>kvantifioimiensa</w:t>
      </w:r>
      <w:proofErr w:type="spellEnd"/>
      <w:r w:rsidRPr="005F0368">
        <w:t xml:space="preserve"> viiden virheen perusteella, että virhetaso on alle olennaisuusrajan;</w:t>
      </w:r>
    </w:p>
    <w:p w:rsidR="004E71A7" w:rsidRPr="005F0368" w:rsidRDefault="004E71A7" w:rsidP="004E71A7">
      <w:pPr>
        <w:pStyle w:val="NormalHanging12a"/>
        <w:widowControl/>
        <w:rPr>
          <w:szCs w:val="24"/>
        </w:rPr>
      </w:pPr>
      <w:r w:rsidRPr="005F0368">
        <w:t>5.</w:t>
      </w:r>
      <w:r w:rsidRPr="005F0368">
        <w:tab/>
        <w:t>panee tyytyväisenä merkille, että tilintarkastustuomioistuin toteaa varainhoitovuotta 2022 koskevassa vuosikertomuksessaan, ettei se havainnut komiteaa koskevia erityisiä ongelmia;</w:t>
      </w:r>
    </w:p>
    <w:p w:rsidR="004E71A7" w:rsidRPr="005F0368" w:rsidRDefault="004E71A7" w:rsidP="000622AF">
      <w:pPr>
        <w:pStyle w:val="NormalHanging12a"/>
        <w:keepNext/>
        <w:widowControl/>
        <w:ind w:left="0" w:firstLine="0"/>
        <w:rPr>
          <w:b/>
          <w:i/>
          <w:szCs w:val="24"/>
        </w:rPr>
      </w:pPr>
      <w:r w:rsidRPr="005F0368">
        <w:rPr>
          <w:b/>
          <w:i/>
        </w:rPr>
        <w:t>Talousarvio- ja varainhallinto</w:t>
      </w:r>
    </w:p>
    <w:p w:rsidR="004E71A7" w:rsidRPr="005F0368" w:rsidRDefault="004E71A7" w:rsidP="004E71A7">
      <w:pPr>
        <w:pStyle w:val="NormalHanging12a"/>
        <w:keepNext/>
        <w:widowControl/>
        <w:rPr>
          <w:szCs w:val="24"/>
        </w:rPr>
      </w:pPr>
      <w:r w:rsidRPr="005F0368">
        <w:t>6.</w:t>
      </w:r>
      <w:r w:rsidRPr="005F0368">
        <w:tab/>
        <w:t xml:space="preserve">panee merkille, että vuonna 2022 komitean lopullinen hyväksytty talousarvio oli 109 976 858 euroa, johon lukeutui lisätalousarvio nro 5/2022, mikä merkitsee 3,03 prosentin kokonaislisäystä vuoteen 2021 verrattuna; panee merkille, että budjettikohdan 1004 ”Matka- ja oleskelukulut kokouksiin osallistuttaessa ja oheiskulut” </w:t>
      </w:r>
      <w:r w:rsidRPr="005F0368">
        <w:lastRenderedPageBreak/>
        <w:t>määrärahoja lisättiin 4 244 488 eurosta (vuonna 2021) 8 158 838 euroon vuonna 2022 eli 92 prosenttia, koska matkustaminen aloitettiin uudelleen covid-19-pandemian jälkeen; panee merkille, että muilta osin määrärahojen jakautuminen budjettikohdittain vuoden 2022 talousarviossa pysyi aiempia vuosia vastaavana;</w:t>
      </w:r>
    </w:p>
    <w:p w:rsidR="004E71A7" w:rsidRPr="005F0368" w:rsidRDefault="004E71A7" w:rsidP="004E71A7">
      <w:pPr>
        <w:pStyle w:val="NormalHanging12a"/>
        <w:widowControl/>
        <w:rPr>
          <w:szCs w:val="24"/>
        </w:rPr>
      </w:pPr>
      <w:r w:rsidRPr="005F0368">
        <w:t>7.</w:t>
      </w:r>
      <w:r w:rsidRPr="005F0368">
        <w:tab/>
        <w:t>panee merkille, että virkamatkojen määrärahat vuonna 2022 olivat 419 657 euroa, kun ne vuonna 2021 olivat 169 856 euroa, eli lisäystä tapahtui 147 prosenttia, mikä selittyy verkkokokousten suurella määrällä vuonna 2021 ja vuoden 2022 alussa covid</w:t>
      </w:r>
      <w:r w:rsidRPr="005F0368">
        <w:noBreakHyphen/>
        <w:t>19</w:t>
      </w:r>
      <w:r w:rsidRPr="005F0368">
        <w:noBreakHyphen/>
        <w:t>pandemiaan liittyvien rajoitusten vuoksi sekä matkustamisen hintojen nousulla vuonna 2022; panee merkille, että yleisestä jäsenten kuluihin varatusta talousarviosta rahoitettavat komitean puheenjohtajiston (puheenjohtaja ja ensimmäinen varapuheenjohtaja) matka- ja kokouskulukorvaukset lisääntyivät 49 852 eurosta 71 810 euroon eli 44 prosenttia vuosien 2021 ja 2022 välillä; suhtautuu myönteisesti kesäkuussa 2022 annettuihin ohjeisiin, jotka koskevat kustannustehokkaampia, tarkoituksenmukaisempia ja kestävämpiä virkamatkakäytäntöjä, joiden tavoitteena on vähentää komitean henkilöstön virkamatkoja mahdollisimman paljon;</w:t>
      </w:r>
    </w:p>
    <w:p w:rsidR="004E71A7" w:rsidRPr="005F0368" w:rsidRDefault="004E71A7" w:rsidP="004E71A7">
      <w:pPr>
        <w:pStyle w:val="NormalHanging12a"/>
        <w:widowControl/>
        <w:rPr>
          <w:szCs w:val="24"/>
        </w:rPr>
      </w:pPr>
      <w:r w:rsidRPr="005F0368">
        <w:t>8.</w:t>
      </w:r>
      <w:r w:rsidRPr="005F0368">
        <w:tab/>
        <w:t>panee merkille, että talousarvion toteutusaste vuonna 2022 oli 99,2 prosenttia eli hieman korkeampi kuin vuonna 2021, jolloin se oli 98,9 prosenttia;</w:t>
      </w:r>
    </w:p>
    <w:p w:rsidR="004E71A7" w:rsidRPr="005F0368" w:rsidRDefault="004E71A7" w:rsidP="004E71A7">
      <w:pPr>
        <w:pStyle w:val="NormalHanging12a"/>
        <w:widowControl/>
        <w:rPr>
          <w:szCs w:val="24"/>
        </w:rPr>
      </w:pPr>
      <w:r w:rsidRPr="005F0368">
        <w:t>9.</w:t>
      </w:r>
      <w:r w:rsidRPr="005F0368">
        <w:tab/>
        <w:t>panee merkille, että keskimääräinen maksuaika vuonna 2022 oli 17,87 päivää eli pidempi kuin vuonna 2021, jolloin se oli 16,11 päivää; panee merkille, että samaan aikaan sähköisen laskutuksen osuus kasvoi 32 prosentista 68 prosenttiin; huomauttaa, että nämä kaksi lukua eivät ole suhteessa toisiinsa, ja kehottaa komiteaa saattamaan maksujen työnkulun digitalisoinnin päätökseen maksuhallinnan tehokkuuden ja oikea</w:t>
      </w:r>
      <w:r w:rsidRPr="005F0368">
        <w:noBreakHyphen/>
        <w:t>aikaisuuden parantamiseksi;</w:t>
      </w:r>
    </w:p>
    <w:p w:rsidR="004E71A7" w:rsidRPr="005F0368" w:rsidRDefault="004E71A7" w:rsidP="004E71A7">
      <w:pPr>
        <w:pStyle w:val="NormalHanging12a"/>
        <w:widowControl/>
        <w:rPr>
          <w:szCs w:val="24"/>
        </w:rPr>
      </w:pPr>
      <w:r w:rsidRPr="005F0368">
        <w:t>10.</w:t>
      </w:r>
      <w:r w:rsidRPr="005F0368">
        <w:tab/>
        <w:t xml:space="preserve">toteaa, että Venäjän hyökkäyssota Ukrainaa vastaan aiheutti komitealle talousarviopaineita muun muassa inflaation kiihtymisen ja palkkamukautusten, energiakustannusten merkittävän nousun sekä rakennusmateriaalien ja raaka-aineiden kustannusten muodossa; panee lisäksi merkille, että komitea antoi poliittista tukea Ukrainan </w:t>
      </w:r>
      <w:proofErr w:type="spellStart"/>
      <w:r w:rsidRPr="005F0368">
        <w:t>paikallis</w:t>
      </w:r>
      <w:proofErr w:type="spellEnd"/>
      <w:r w:rsidRPr="005F0368">
        <w:t>- ja alueviranomaisille ja järjesti Ukrainan sotaan liittyviä toimia, jotka vaikuttivat virkamatkojen, tutkimusten ja koulutuksen määrärahojen käyttöön;</w:t>
      </w:r>
    </w:p>
    <w:p w:rsidR="004E71A7" w:rsidRPr="005F0368" w:rsidRDefault="004E71A7" w:rsidP="004E71A7">
      <w:pPr>
        <w:pStyle w:val="NormalHanging12a"/>
        <w:widowControl/>
        <w:rPr>
          <w:szCs w:val="24"/>
        </w:rPr>
      </w:pPr>
      <w:r w:rsidRPr="005F0368">
        <w:t>11.</w:t>
      </w:r>
      <w:r w:rsidRPr="005F0368">
        <w:tab/>
        <w:t>panee merkille, että komitean omat yksiköt järjestivät vuonna 2022 14 tarjouskilpailua, mukaan lukien 11 neuvottelumenettelyä etätulkkauspalvelujen hankintaa varten jäsenvaltioissa; panee merkille, että logistiikkaan liittyvien hankintamenettelyjen käynnistämisestä huolehtivat yhteispalvelut, jotka komitea jakaa Euroopan talous- ja sosiaalikomitean (ETSK) kanssa;</w:t>
      </w:r>
    </w:p>
    <w:p w:rsidR="004E71A7" w:rsidRPr="005F0368" w:rsidRDefault="004E71A7" w:rsidP="000622AF">
      <w:pPr>
        <w:pStyle w:val="NormalHanging12a"/>
        <w:keepNext/>
        <w:widowControl/>
        <w:ind w:left="0" w:firstLine="0"/>
        <w:rPr>
          <w:b/>
          <w:i/>
          <w:szCs w:val="24"/>
        </w:rPr>
      </w:pPr>
      <w:r w:rsidRPr="005F0368">
        <w:rPr>
          <w:b/>
          <w:i/>
        </w:rPr>
        <w:t>Sisäinen hallinto, toiminnan tuloksellisuus ja sisäinen valvonta</w:t>
      </w:r>
    </w:p>
    <w:p w:rsidR="004E71A7" w:rsidRPr="005F0368" w:rsidRDefault="004E71A7" w:rsidP="004E71A7">
      <w:pPr>
        <w:pStyle w:val="NormalHanging12a"/>
        <w:widowControl/>
        <w:rPr>
          <w:szCs w:val="24"/>
        </w:rPr>
      </w:pPr>
      <w:r w:rsidRPr="005F0368">
        <w:t>12.</w:t>
      </w:r>
      <w:r w:rsidRPr="005F0368">
        <w:tab/>
        <w:t xml:space="preserve">panee merkille, että komitea osallistuu unionin politiikkaan ja päätöksentekoon unionin alue- ja paikallisviranomaisten näkökulmasta ja tarjoaa puitteet </w:t>
      </w:r>
      <w:proofErr w:type="spellStart"/>
      <w:r w:rsidRPr="005F0368">
        <w:t>paikallis</w:t>
      </w:r>
      <w:proofErr w:type="spellEnd"/>
      <w:r w:rsidRPr="005F0368">
        <w:t>-, alue-, valtio</w:t>
      </w:r>
      <w:r w:rsidRPr="005F0368">
        <w:noBreakHyphen/>
        <w:t xml:space="preserve"> ja unionitason yhteistyön tehostamiselle ja unionin tuomiselle lähemmäs kansalaisia; suhtautuu myönteisesti komitean työhön unionin tärkeiden aiheiden edistämisessä, kuten </w:t>
      </w:r>
      <w:proofErr w:type="spellStart"/>
      <w:r w:rsidRPr="005F0368">
        <w:t>elpymis</w:t>
      </w:r>
      <w:proofErr w:type="spellEnd"/>
      <w:r w:rsidRPr="005F0368">
        <w:t xml:space="preserve">- ja palautumistukivälineen täytäntöönpanossa, kuten 23. kesäkuuta 2022 annetussa parlamentin päätöslauselmassa </w:t>
      </w:r>
      <w:proofErr w:type="spellStart"/>
      <w:r w:rsidRPr="005F0368">
        <w:t>elpymis</w:t>
      </w:r>
      <w:proofErr w:type="spellEnd"/>
      <w:r w:rsidRPr="005F0368">
        <w:t>- ja palautumistukivälinettä koskevasta täytäntöönpanokertomuksesta</w:t>
      </w:r>
      <w:r w:rsidRPr="005F0368">
        <w:rPr>
          <w:vertAlign w:val="superscript"/>
        </w:rPr>
        <w:footnoteReference w:id="7"/>
      </w:r>
      <w:r w:rsidRPr="005F0368">
        <w:t xml:space="preserve"> käy ilmi; kannustaa </w:t>
      </w:r>
      <w:r w:rsidRPr="005F0368">
        <w:lastRenderedPageBreak/>
        <w:t>lisäksi komiteaa auttamaan jäseniään osallistumaan kansalaisten kanssa EU:ta koskevista asioista käytäviin paikallisiin vuoropuheluihin;</w:t>
      </w:r>
    </w:p>
    <w:p w:rsidR="004E71A7" w:rsidRPr="005F0368" w:rsidRDefault="004E71A7" w:rsidP="004E71A7">
      <w:pPr>
        <w:pStyle w:val="NormalHanging12a"/>
        <w:widowControl/>
        <w:rPr>
          <w:szCs w:val="24"/>
        </w:rPr>
      </w:pPr>
      <w:r w:rsidRPr="005F0368">
        <w:t>13.</w:t>
      </w:r>
      <w:r w:rsidRPr="005F0368">
        <w:tab/>
        <w:t>panee merkille, että komitea hoitaa tehtäväänsä antamalla lausuntoja, jotka koskevat komission tekemiä lainsäädäntöehdotuksia (lausuntopyynnöt), ja oma-aloitteisia lausuntoja, joissa kehotetaan unionin toimielimiä toimimaan, ja päätöslauselmia, joissa esitetään komitean kanta tiettyihin aiheisiin; panee merkille, että vuonna 2022 komitea antoi 55 lausuntoa ja kahdeksan päätöslauselmaa, mikä on hieman vähemmän kuin vuonna 2021, jolloin komitea antoi 60 lausuntoa ja yhdeksän päätöslauselmaa; kannustaa komiteaa parantamaan edelleen valmiuksiaan tarjota unionin keskeisille toimielimille kentältä saatua näyttöä tietojen, empiiristen analyysien ja parhaiden käytäntöjen kokoelmien käytön avulla;</w:t>
      </w:r>
    </w:p>
    <w:p w:rsidR="004E71A7" w:rsidRPr="005F0368" w:rsidRDefault="004E71A7" w:rsidP="004E71A7">
      <w:pPr>
        <w:pStyle w:val="NormalHanging12a"/>
        <w:widowControl/>
        <w:rPr>
          <w:szCs w:val="24"/>
        </w:rPr>
      </w:pPr>
      <w:r w:rsidRPr="005F0368">
        <w:t>14.</w:t>
      </w:r>
      <w:r w:rsidRPr="005F0368">
        <w:tab/>
        <w:t xml:space="preserve">panee tyytyväisenä merkille, että komitea toteutti konkreettisia toimia vahvistaakseen osallistumistaan unionin poliittisen ja lainsäädäntösyklin kaikkiin vaiheisiin perussopimusten mukaisten oikeuksiensa mukaisesti; pitää erityisen myönteisenä parlamentin ja komitean välistä yhteistyösopimusta sekä tiivistä yhteistyötä komitean ja useiden parlamentin valiokuntien, laajennettujen työryhmien ja pääosastojen välillä; panee merkille, että komitea järjesti vuonna 2022 parlamentin kanssa 56 valmistelu- ja seurantakokousta lausuntojensa esittelijöille; panee lisäksi merkille, että 20 komitean esittelijää osallistui parlamentin valiokuntien kokouksiin vuonna 2022; onnittelee komiteaa siitä, että se on lisännyt osallistumistaan lainsäädäntöä koskeviin </w:t>
      </w:r>
      <w:proofErr w:type="spellStart"/>
      <w:r w:rsidRPr="005F0368">
        <w:t>trilogineuvotteluihin</w:t>
      </w:r>
      <w:proofErr w:type="spellEnd"/>
      <w:r w:rsidRPr="005F0368">
        <w:t xml:space="preserve"> erityisesti saatuaan oikeuden tutustua </w:t>
      </w:r>
      <w:proofErr w:type="spellStart"/>
      <w:r w:rsidRPr="005F0368">
        <w:t>trilogikokousten</w:t>
      </w:r>
      <w:proofErr w:type="spellEnd"/>
      <w:r w:rsidRPr="005F0368">
        <w:t xml:space="preserve"> asiakirjoihin; katsoo, että komitean ja Euroopan talous- ja sosiaalikomitean jäsenet olisi kutsuttava asiaankuuluviin parlamentaarisiin keskusteluihin, myös valiokuntien kokouksiin, kun käsitellään aiheita, joiden parissa he työskentelevät;</w:t>
      </w:r>
    </w:p>
    <w:p w:rsidR="004E71A7" w:rsidRPr="005F0368" w:rsidRDefault="004E71A7" w:rsidP="004E71A7">
      <w:pPr>
        <w:pStyle w:val="NormalHanging12a"/>
        <w:widowControl/>
        <w:rPr>
          <w:szCs w:val="24"/>
        </w:rPr>
      </w:pPr>
      <w:r w:rsidRPr="005F0368">
        <w:t>15.</w:t>
      </w:r>
      <w:r w:rsidRPr="005F0368">
        <w:tab/>
        <w:t>suhtautuu myönteisesti komitean vuoden 2022 aikana toteuttamiin toimenpiteisiin sen resurssien optimoimiseksi ja kustannustehokkuuden parantamiseksi ja samalla sen poliittisen työn vaikutuksen lisäämiseksi ”</w:t>
      </w:r>
      <w:proofErr w:type="spellStart"/>
      <w:r w:rsidRPr="005F0368">
        <w:t>Going</w:t>
      </w:r>
      <w:proofErr w:type="spellEnd"/>
      <w:r w:rsidRPr="005F0368">
        <w:t xml:space="preserve"> for </w:t>
      </w:r>
      <w:proofErr w:type="spellStart"/>
      <w:r w:rsidRPr="005F0368">
        <w:t>IMPact</w:t>
      </w:r>
      <w:proofErr w:type="spellEnd"/>
      <w:r w:rsidRPr="005F0368">
        <w:t>” -ohjelman yhteydessä; panee erityisesti merkille 43 </w:t>
      </w:r>
      <w:proofErr w:type="spellStart"/>
      <w:r w:rsidRPr="005F0368">
        <w:t>yksinkertaistamis</w:t>
      </w:r>
      <w:proofErr w:type="spellEnd"/>
      <w:r w:rsidRPr="005F0368">
        <w:t>- ja digitalisointihanketta, joilla edistetään komitean hallinnon nykyaikaistamista ja työnkulkujen digitalisointia osana komitean sääntöjen ja menettelyjen yksinkertaistamisstrategiaa vuosille 2020–2025;</w:t>
      </w:r>
    </w:p>
    <w:p w:rsidR="004E71A7" w:rsidRPr="005F0368" w:rsidRDefault="004E71A7" w:rsidP="004E71A7">
      <w:pPr>
        <w:pStyle w:val="NormalHanging12a"/>
        <w:widowControl/>
        <w:rPr>
          <w:szCs w:val="24"/>
        </w:rPr>
      </w:pPr>
      <w:r w:rsidRPr="005F0368">
        <w:t>16.</w:t>
      </w:r>
      <w:r w:rsidRPr="005F0368">
        <w:tab/>
        <w:t xml:space="preserve">suhtautuu myönteisesti komitean aktiiviseen osallistumiseen Euroopan tulevaisuuskonferenssin työskentelyyn, johon komiteasta osallistui 30 jäsenen valtuuskunta, jonka jäsenistä 12 edusti eurooppalaisia </w:t>
      </w:r>
      <w:proofErr w:type="spellStart"/>
      <w:r w:rsidRPr="005F0368">
        <w:t>paikallis</w:t>
      </w:r>
      <w:proofErr w:type="spellEnd"/>
      <w:r w:rsidRPr="005F0368">
        <w:t>- ja alueviranomaisten järjestöjä; panee merkille, että vuonna 2021 tehdyn työn tuloksena komitea järjesti vuonna 2022 14 kokousta Euroopan tulevaisuuskonferenssin edustajien kanssa sekä yhdeksän valmistelukokousta; korostaa, että komitea perusti erityisen Euroopan tulevaisuuskonferenssiin keskittyvän työryhmän, joka koordinoi kaikkien asiaan liittyvien osastojen ja yksiköiden työtä; panee merkille, että 9. toukokuuta 2022 julkaistuun Euroopan tulevaisuuskonferenssin loppuraporttiin sisältyvät ehdotukset sisällytettiin vuonna 2022 toteutettuun komitean hankkeeseen, jonka aiheena oli alue- ja paikallisviranomaisten potentiaalin hyödyntäminen EU:n vahvistamiseksi;</w:t>
      </w:r>
    </w:p>
    <w:p w:rsidR="004E71A7" w:rsidRPr="005F0368" w:rsidRDefault="004E71A7" w:rsidP="004E71A7">
      <w:pPr>
        <w:pStyle w:val="NormalHanging12a"/>
        <w:widowControl/>
        <w:rPr>
          <w:szCs w:val="24"/>
        </w:rPr>
      </w:pPr>
      <w:r w:rsidRPr="005F0368">
        <w:t>17.</w:t>
      </w:r>
      <w:r w:rsidRPr="005F0368">
        <w:tab/>
        <w:t>korostaa, että tässä loppuraportissa Euroopan tulevaisuutta käsittelevän konferenssin täysistunnon 40. suosituksessa toimenpiteen 3 yhteydessä komiteaa kehotetaan tarjoamaan asianmukaiset vuoropuhelukanavat sekä alueille että kaupungeille, kylille ja kunnille vahvistaen sen roolia toimielinrakenteessa, jos on kyse asioista, joilla on alueellisia vaikutuksia;</w:t>
      </w:r>
    </w:p>
    <w:p w:rsidR="004E71A7" w:rsidRPr="005F0368" w:rsidRDefault="004E71A7" w:rsidP="004E71A7">
      <w:pPr>
        <w:pStyle w:val="NormalHanging12a"/>
        <w:widowControl/>
        <w:rPr>
          <w:szCs w:val="24"/>
        </w:rPr>
      </w:pPr>
      <w:r w:rsidRPr="005F0368">
        <w:lastRenderedPageBreak/>
        <w:t>18.</w:t>
      </w:r>
      <w:r w:rsidRPr="005F0368">
        <w:tab/>
        <w:t>panee merkille, että vuonna 2022 komitea tarkisti ja vahvisti sisäisen valvonnan kehystään suunnittelun ja raportoinnin, järjestelmien, varainhoidon tarkastuksen ja erityistä luotettavuutta edellyttävien tehtävien tasoilla; onnittelee komiteaa siitä, että se on kehittänyt erityisen työnkulkujen yhdenmukaistamistyökalun ja alustan suunnittelua, raportointia, riskinarviointia ja toiminnan jatkuvuuden varmistamista varten; panee merkille, että uudet erityistä luotettavuutta edellyttäviä tehtäviä koskevat toimintaperiaatteet tulivat voimaan 1. tammikuuta 2022 ja niistä ilmoitettiin henkilöstölle 27. tammikuuta 2022;</w:t>
      </w:r>
    </w:p>
    <w:p w:rsidR="004E71A7" w:rsidRPr="005F0368" w:rsidRDefault="004E71A7" w:rsidP="004E71A7">
      <w:pPr>
        <w:pStyle w:val="NormalHanging12a"/>
        <w:widowControl/>
        <w:rPr>
          <w:szCs w:val="24"/>
        </w:rPr>
      </w:pPr>
      <w:r w:rsidRPr="005F0368">
        <w:t>19.</w:t>
      </w:r>
      <w:r w:rsidRPr="005F0368">
        <w:tab/>
        <w:t xml:space="preserve">panee merkille, että huhtikuuhun 2022 saakka kaikki kokoukset pidettiin verkossa, ja huhtikuusta 2022 lähtien sääntömääräiset kokoukset järjestettiin fyysistä läsnäoloa edellyttäen, mutta muita kokouksia voitiin järjestää </w:t>
      </w:r>
      <w:proofErr w:type="spellStart"/>
      <w:r w:rsidRPr="005F0368">
        <w:t>etä</w:t>
      </w:r>
      <w:proofErr w:type="spellEnd"/>
      <w:r w:rsidRPr="005F0368">
        <w:t xml:space="preserve">- tai hybridimuodossa; panee merkille, että komitean työjärjestyksen tarkistamiseen saakka vuonna 2023 </w:t>
      </w:r>
      <w:proofErr w:type="spellStart"/>
      <w:r w:rsidRPr="005F0368">
        <w:t>etä</w:t>
      </w:r>
      <w:proofErr w:type="spellEnd"/>
      <w:r w:rsidRPr="005F0368">
        <w:t>- ja hybridikokouksista maksettiin 200 euron kiinteämääräinen kokouspäiväraha vuodesta 2021 lähtien voimassa olleiden sääntöjen mukaisesti; panee merkille, että heinäkuussa 2023 etäkokouspäivärahaksi vahvistettiin 50 prosenttia tavanomaisesta kokouspäivärahasta (tällä hetkellä 50 prosenttia 359 eurosta eli 179,50 euroa); katsoo, että etäosallistumismahdollisuus on tärkeä väline nykyaikaisille toimielimille, koska se muun muassa vähentää kokouskustannuksia ja mahdollistaa laajemman osallistumisen erityisesti kriisitilanteissa, kuten covid-19-pandemian aikana osoitettiin; panee tyytyväisenä merkille, että sisäisen tarkastuksen antamat suositukset, jotka koskivat jäsenille maksettavien kokouspäivärahojen ja -korvausten suunnittelun ja hallinnoinnin riittävyyttä, pantiin tyydyttävästi täytäntöön;</w:t>
      </w:r>
    </w:p>
    <w:p w:rsidR="004E71A7" w:rsidRPr="005F0368" w:rsidRDefault="004E71A7" w:rsidP="000622AF">
      <w:pPr>
        <w:pStyle w:val="NormalHanging12a"/>
        <w:keepNext/>
        <w:widowControl/>
        <w:ind w:left="0" w:firstLine="0"/>
        <w:rPr>
          <w:b/>
          <w:i/>
          <w:szCs w:val="24"/>
        </w:rPr>
      </w:pPr>
      <w:r w:rsidRPr="005F0368">
        <w:rPr>
          <w:b/>
          <w:i/>
        </w:rPr>
        <w:t>Henkilöresurssit, tasa-arvo ja henkilöstön hyvinvointi</w:t>
      </w:r>
    </w:p>
    <w:p w:rsidR="004E71A7" w:rsidRPr="005F0368" w:rsidRDefault="004E71A7" w:rsidP="004E71A7">
      <w:pPr>
        <w:pStyle w:val="NormalHanging12a"/>
        <w:widowControl/>
      </w:pPr>
      <w:r w:rsidRPr="005F0368">
        <w:t>20.</w:t>
      </w:r>
      <w:r w:rsidRPr="005F0368">
        <w:tab/>
        <w:t>panee merkille, että vuoden 2022 lopussa komiteassa oli yhteensä 533 henkilöstön jäsentä, kun heitä oli 547 vuonna 2021 ja 537 vuonna 2020; panee merkille, että komitean palveluksessa oli vuoden 2022 lopussa 56 sopimussuhteista toimihenkilöä ja 89 väliaikaista toimihenkilöä, joista 21:llä oli toistaiseksi voimassa oleva työsopimus; panee merkille, että kolme väliaikaista toimihenkilöä, joista kahdella oli toistaiseksi voimassa oleva työsopimus ja pääsihteerillä viiden vuoden määräaikainen sopimus; panee lisäksi merkille, että komitean palveluksessa oli kahdeksan paikan päällä työskennellyttä tilapäistä toimihenkilöä ja 14 ulkopuolista henkilöstön jäsentä, mihin ei luettu mukaan ulkopuolisia palveluntarjoajia logistiikan ja tietotekniikan alalla; panee merkille, että vuonna 2022 henkilöstötaulukon toimien täyttöaste oli 96 prosenttia;</w:t>
      </w:r>
    </w:p>
    <w:p w:rsidR="004E71A7" w:rsidRPr="005F0368" w:rsidRDefault="004E71A7" w:rsidP="004E71A7">
      <w:pPr>
        <w:pStyle w:val="NormalHanging12a"/>
        <w:widowControl/>
        <w:rPr>
          <w:szCs w:val="24"/>
        </w:rPr>
      </w:pPr>
      <w:r w:rsidRPr="005F0368">
        <w:t>21.</w:t>
      </w:r>
      <w:r w:rsidRPr="005F0368">
        <w:tab/>
        <w:t>panee merkille, että huhtikuussa 2022 käynnistyi uusi hybridityöjärjestelmää koskeva pilottihanke, jolla pyritään mukauttamaan henkilöstöhallinnon toimintakehys uusiin työskentelytapoihin ja joka tarjosi komitean henkilöstölle mahdollisuuden järjestää viikoittainen ja päivittäinen työnsä erittäin joustavasti ja tehdä etätyötä enintään 60 prosenttia työajastaan; pitää myönteisenä, että uusi järjestelmä antaa mahdollisuuden useisiin osa-aikaisen työskentelyn malleihin, jotka perustuvat henkilöstösäännöissä säädettyihin lakisääteisiin oikeuksiin; panee tyytyväisenä merkille, että 90,25 prosenttia joulukuussa 2022 tehtyyn henkilöstökyselyyn vastanneista ilmoitti olevansa tyytyväisiä näihin joustaviin järjestelyihin;</w:t>
      </w:r>
    </w:p>
    <w:p w:rsidR="004E71A7" w:rsidRPr="005F0368" w:rsidRDefault="004E71A7" w:rsidP="004E71A7">
      <w:pPr>
        <w:pStyle w:val="NormalHanging12a"/>
        <w:widowControl/>
      </w:pPr>
      <w:r w:rsidRPr="005F0368">
        <w:t>22.</w:t>
      </w:r>
      <w:r w:rsidRPr="005F0368">
        <w:tab/>
        <w:t xml:space="preserve">panee huolestuneena merkille, että vuonna 2022 komiteassa kirjattiin 16 työuupumustapausta; panee lisäksi merkille, että vuonna 2022 pitkään sairauslomaan liittyvän yksilöllisen seurannan ansiosta 15 henkilöstön jäsentä palasi onnistuneesti takaisin työhön työuupumuksen aiheuttaman pitkäaikaisen poissaolon jälkeen; </w:t>
      </w:r>
      <w:r w:rsidRPr="005F0368">
        <w:lastRenderedPageBreak/>
        <w:t xml:space="preserve">suhtautuu myönteisesti komitean toteuttamiin ennaltaehkäiseviin toimiin </w:t>
      </w:r>
      <w:proofErr w:type="spellStart"/>
      <w:r w:rsidRPr="005F0368">
        <w:t>psykososiaalisten</w:t>
      </w:r>
      <w:proofErr w:type="spellEnd"/>
      <w:r w:rsidRPr="005F0368">
        <w:t xml:space="preserve"> riskien ja työuupumuksen vähentämiseksi; panee tässä yhteydessä tyytyväisenä merkille työterveyshuollon ennakoivan toimintamallin sekä komitean järjestämät konferenssit, koulutukset ja kurssit tietämyksen lisäämiseksi;</w:t>
      </w:r>
    </w:p>
    <w:p w:rsidR="004E71A7" w:rsidRPr="005F0368" w:rsidRDefault="004E71A7" w:rsidP="004E71A7">
      <w:pPr>
        <w:pStyle w:val="NormalHanging12a"/>
        <w:widowControl/>
        <w:rPr>
          <w:szCs w:val="24"/>
        </w:rPr>
      </w:pPr>
      <w:r w:rsidRPr="005F0368">
        <w:t>23.</w:t>
      </w:r>
      <w:r w:rsidRPr="005F0368">
        <w:tab/>
        <w:t xml:space="preserve">panee merkille, että komitea jatkoi tietoisuuden lisäämistä toimenpiteistä, jotka oli otettu käyttöön työpaikkakiusaamisen torjumiseksi ja jotka perustuivat sen 26. huhtikuuta 2021 antamaan päätökseen ihmisarvon suojelusta työssä, konfliktien hallinnasta ja häirinnän torjunnasta; panee merkille, että tätä tehtiin erityisesti asiaa koskevan ohjeistuksen ja sisäisen viestinnän välityksellä sekä järjestämällä useita tiedotustilaisuuksia henkilöstölle ja johtajille; panee merkille, että vuonna 2022 komitea käsitteli tapausta, joka koski </w:t>
      </w:r>
      <w:proofErr w:type="spellStart"/>
      <w:r w:rsidRPr="005F0368">
        <w:t>ETSK:n</w:t>
      </w:r>
      <w:proofErr w:type="spellEnd"/>
      <w:r w:rsidRPr="005F0368">
        <w:t xml:space="preserve"> henkilöstön jäsenen väitetysti harjoittamaa työpaikkakiusaamista komitean henkilöstön jäsentä kohtaan ja joka on molemmissa komiteoissa vielä käsiteltävänä; kehottaa komiteaa raportoimaan tämän tapauksen johdosta toteutetuista jatkotoimista ottaen erityisesti huomioon toimielinten välisen näkökulman;</w:t>
      </w:r>
    </w:p>
    <w:p w:rsidR="004E71A7" w:rsidRPr="005F0368" w:rsidRDefault="004E71A7" w:rsidP="004E71A7">
      <w:pPr>
        <w:pStyle w:val="NormalHanging12a"/>
        <w:widowControl/>
        <w:rPr>
          <w:szCs w:val="24"/>
        </w:rPr>
      </w:pPr>
      <w:r w:rsidRPr="005F0368">
        <w:t>24.</w:t>
      </w:r>
      <w:r w:rsidRPr="005F0368">
        <w:tab/>
        <w:t>panee merkille, että vuoden 2022 lopussa komitean henkilöstöstä 56,8 prosenttia oli naisia ja 43,2 prosenttia miehiä, kun naisten osuus oli 56,6 prosenttia vuonna 2021 ja 55,5 prosenttia vuonna 2020; panee huolestuneena merkille, että naisten ja miesten jakautuminen eri palkkaluokkiin ja asemiin noudattaa samaa suuntausta kuin aiempina vuosina, ja pitää valitettavana, että huolimatta uuden naispuolisen johtajan nimittämisestä vuonna 2023 sekä tietyistä pyrkimyksistä houkutella lisää naisia johtotehtäviin, tilanne oli edelleen erityisen epätasapainoinen sekä ylemmässä johdossa että keskijohdossa; suosittelee, että avoimia toimia koskevista ilmoituksista tehdään osallistavampia ja että useampia naisia kannustetaan hakemaan ylemmän johdon ja keskijohdon tehtäviin muun muassa varmistamalla tasapuolinen sukupuolten edustus valintalautakunnissa, tarjoamalla koulutusmahdollisuuksia naispuolisille henkilöstön jäsenille, jotka haluavat valmistautua johtotehtäviin, ja tarjoamalla joustavampia työjärjestelyjä;</w:t>
      </w:r>
    </w:p>
    <w:p w:rsidR="004E71A7" w:rsidRPr="005F0368" w:rsidRDefault="004E71A7" w:rsidP="004E71A7">
      <w:pPr>
        <w:pStyle w:val="NormalHanging12a"/>
        <w:widowControl/>
        <w:rPr>
          <w:szCs w:val="24"/>
        </w:rPr>
      </w:pPr>
      <w:r w:rsidRPr="005F0368">
        <w:t>25.</w:t>
      </w:r>
      <w:r w:rsidRPr="005F0368">
        <w:tab/>
        <w:t>panee tyytyväisenä merkille, että komitea hyväksyi 7. heinäkuuta 2022 uuden viisivuotisen monimuotoisuutta ja osallisuutta koskevan strategian ja toimintasuunnitelman vuosille 2022–2026; kannustaa komiteaa jatkamaan toimiaan kyseisessä strategiassa ja toimintasuunnitelmassa asetettujen tavoitteiden saavuttamiseksi, erityisesti sukupuolten tasa-arvoa koskevan tavoitteen, jonka mukaan ylemmästä johdosta naisia on 40 prosenttia vuoteen 2024 mennessä ja lopullisena tavoitteena on yhdenvertaisuuden saavuttaminen; suhtautuu myönteisesti tietouden lisäämistoimiin ja kohdennettuihin toimenpiteisiin, joilla edistetään ja parannetaan monimuotoisuus- ja osallisuuskoordinaattorin avulla komitean monimuotoisuutta ja osallistavuutta ja kaikissa komitean osastoissa henkilöstön edustuksen ja yhteyspisteiden osalta;</w:t>
      </w:r>
    </w:p>
    <w:p w:rsidR="004E71A7" w:rsidRPr="005F0368" w:rsidRDefault="004E71A7" w:rsidP="004E71A7">
      <w:pPr>
        <w:pStyle w:val="NormalHanging12a"/>
        <w:widowControl/>
      </w:pPr>
      <w:r w:rsidRPr="005F0368">
        <w:t>26.</w:t>
      </w:r>
      <w:r w:rsidRPr="005F0368">
        <w:tab/>
        <w:t xml:space="preserve">panee merkille, että vuonna 2022 komitean henkilöstön jäsenet edustivat kaikkia unionin kansalaisuuksia ja yksi henkilöstön jäsen oli Ukrainan kansalainen; panee merkille, että huolimatta komitean hyvistä pyrkimyksistä tasapainottaa henkilöstönsä kansalaisuuksien maantieteellistä jakautumista maantieteellistä tasapainoa ei vieläkään ole saavutettu, sillä jotkut kansalaisuudet ovat edelleen yliedustettuina toisiin verrattuna; kannustaa komiteaa jatkamaan toimia saavuttaakseen henkilöstönsä keskuudessa asianmukaisen maantieteellisen jakauman keskittyen tässä erityisesti johdon tasoon; pitää myönteisenä komitean osallistumista maantieteellistä tasapainoa </w:t>
      </w:r>
      <w:r w:rsidRPr="005F0368">
        <w:lastRenderedPageBreak/>
        <w:t>käsittelevään toimielinten väliseen työryhmään, jonka tavoitteena on jakaa parhaita käytäntöjä ja luoda synergioita unionin toimielinten kesken;</w:t>
      </w:r>
    </w:p>
    <w:p w:rsidR="004E71A7" w:rsidRPr="005F0368" w:rsidRDefault="004E71A7" w:rsidP="004E71A7">
      <w:pPr>
        <w:pStyle w:val="NormalHanging12a"/>
        <w:widowControl/>
        <w:rPr>
          <w:szCs w:val="24"/>
        </w:rPr>
      </w:pPr>
      <w:r w:rsidRPr="005F0368">
        <w:t>27.</w:t>
      </w:r>
      <w:r w:rsidRPr="005F0368">
        <w:tab/>
        <w:t>panee merkille, että vuonna 2022 komitea toteutti ensimmäistä kertaa työn varjostamisen toimielinten välisen pilottiohjelman, johon osallistui kolme unionin toimielintä ja 25 osallistujaa ja jolla pyritään lisäämään tietämystä muiden toimielinten työmenetelmistä ja -prosesseista, vahvistamaan toimielinten välistä yhteistyötä, edistämään liikkuvuutta ja lisäämään työvoiman joustavuutta; onnittelee komiteaa tämän innovatiivisen toimielinten välisen aloitteen käynnistämisestä ja panee merkille, että sitä päätettiin sittemmin laajentaa ja että Euroopan unionin henkilöstökoulutuskeskus otti hoitaakseen aloitteen seuraavan kierroksen vuonna 2023;</w:t>
      </w:r>
    </w:p>
    <w:p w:rsidR="004E71A7" w:rsidRPr="005F0368" w:rsidRDefault="004E71A7" w:rsidP="004E71A7">
      <w:pPr>
        <w:pStyle w:val="NormalHanging12a"/>
        <w:widowControl/>
        <w:rPr>
          <w:szCs w:val="24"/>
        </w:rPr>
      </w:pPr>
      <w:r w:rsidRPr="005F0368">
        <w:t>28.</w:t>
      </w:r>
      <w:r w:rsidRPr="005F0368">
        <w:tab/>
        <w:t>panee merkille, että vuonna 2022 komitealla oli 60 harjoittelijaa, joista 48 oli palkallisia harjoittelijoita ja 12 opintokäynteihin osallistuvia henkilöitä, joista kaksi sai rahallista avustusta; suhtautuu myönteisesti vuonna 2022 hyväksyttyihin harjoittelijoiden palkkausta koskeviin uusiin sääntöihin, joiden mukaan opintokäynnit voidaan hyväksyä vain, jos harjoittelija saa rahoitusta toisesta lähteestä tai harjoittelu on harjoittelijan opintojen yhteydessä pakollinen, ja joiden mukaan kaikki harjoittelijat voivat hakea avustusta asianmukaisesti perustelluissa tapauksissa; panee tyytyväisenä merkille, että harjoittelijoiden työskentelyn ehdot on mukautettu muun henkilöstön sääntöihin uusissa joustavissa työjärjestelyissä, mikä tarkoittaa, että kaikki harjoittelijat voivat tehdä etätyötä ulkomailta yhden päivän harjoittelukuukautta kohti;</w:t>
      </w:r>
    </w:p>
    <w:p w:rsidR="004E71A7" w:rsidRPr="005F0368" w:rsidRDefault="004E71A7" w:rsidP="000622AF">
      <w:pPr>
        <w:pStyle w:val="NormalHanging12a"/>
        <w:keepNext/>
        <w:widowControl/>
        <w:ind w:left="0" w:firstLine="0"/>
        <w:rPr>
          <w:b/>
          <w:i/>
          <w:szCs w:val="24"/>
        </w:rPr>
      </w:pPr>
      <w:r w:rsidRPr="005F0368">
        <w:rPr>
          <w:b/>
          <w:i/>
        </w:rPr>
        <w:t>Eettiset toimintapuitteet ja avoimuus</w:t>
      </w:r>
    </w:p>
    <w:p w:rsidR="004E71A7" w:rsidRPr="005F0368" w:rsidRDefault="004E71A7" w:rsidP="004E71A7">
      <w:pPr>
        <w:pStyle w:val="NormalHanging12a"/>
        <w:widowControl/>
        <w:rPr>
          <w:szCs w:val="24"/>
        </w:rPr>
      </w:pPr>
      <w:r w:rsidRPr="005F0368">
        <w:t>29.</w:t>
      </w:r>
      <w:r w:rsidRPr="005F0368">
        <w:tab/>
        <w:t xml:space="preserve">suhtautuu myönteisesti komitean pyrkimyksiin lisätä henkilöstönsä etiikkaa koskevaa tietoisuutta ja edistää komitean eettisten sääntöjen täytäntöönpanoa erilaisissa menettelyissä, kuten </w:t>
      </w:r>
      <w:proofErr w:type="spellStart"/>
      <w:r w:rsidRPr="005F0368">
        <w:t>palvelukseenotossa</w:t>
      </w:r>
      <w:proofErr w:type="spellEnd"/>
      <w:r w:rsidRPr="005F0368">
        <w:t>, sekä lisätä tietoisuutta eettisistä velvollisuuksista ja oikeuksista erilaisissa hallinnollisissa tilanteissa, kuten komitean ulkopuolisessa toiminnassa, koulutuksessa ja palveluksen päättämisen yhteydessä, jatkotoimena sisäiselle tarkastukselle, joka koski henkilöstön etiikkaa koskevaa tietoisuutta; panee merkille, että komitean eettisen toimintakehyksen perustana olevat perusasiakirjat ja -säännöt on julkaistu komitean intranetissä, minkä tavoitteena oli henkilöstön tietoisuuden lisääminen eettisistä säännöistä; panee lisäksi merkille, että komitea järjesti vuonna 2022 erityisesti etiikkaan liittyvistä aiheista 14 yhteistä koulutustilaisuutta, joihin osallistui 107 henkilöstön jäsentä, ja että 75 prosenttia henkilöstöstä osallistui yleiseen etiikkaa koskevaan koulutukseen vuoden 2022 kuluessa;</w:t>
      </w:r>
    </w:p>
    <w:p w:rsidR="004E71A7" w:rsidRPr="005F0368" w:rsidRDefault="004E71A7" w:rsidP="004E71A7">
      <w:pPr>
        <w:pStyle w:val="NormalHanging12a"/>
        <w:widowControl/>
        <w:rPr>
          <w:szCs w:val="24"/>
        </w:rPr>
      </w:pPr>
      <w:r w:rsidRPr="005F0368">
        <w:t>30.</w:t>
      </w:r>
      <w:r w:rsidRPr="005F0368">
        <w:tab/>
        <w:t>panee merkille, että komitea jatkoi vuonna 2020 annettujen jäseniä koskevien käytännesääntöjen täytäntöönpanoa vuonna 2022 ja tehosti tältä osin pyrkimyksiään kerätä puuttuvat taloudellisia sidonnaisuuksia koskevat ilmoitukset jäseniltä; panee merkille, että kuusi tammikuussa 2020 nimitettyä varajäsentä ei ollut vieläkään toimittanut taloudellisia sidonnaisuuksia koskevia ilmoituksiaan kesäkuuhun 2023 mennessä ja että vaikka yksikään näistä kuudesta jäsenestä ei ollut osallistunut komitean kokouksiin nimittämisensä jälkeen, komitea käynnisti jäsenten käytännesäännöissä vahvistetun sääntöjen noudattamisen valvontamenettelyn;</w:t>
      </w:r>
    </w:p>
    <w:p w:rsidR="004E71A7" w:rsidRPr="005F0368" w:rsidRDefault="004E71A7" w:rsidP="004E71A7">
      <w:pPr>
        <w:pStyle w:val="NormalHanging12a"/>
        <w:widowControl/>
        <w:rPr>
          <w:szCs w:val="24"/>
        </w:rPr>
      </w:pPr>
      <w:r w:rsidRPr="005F0368">
        <w:t>31.</w:t>
      </w:r>
      <w:r w:rsidRPr="005F0368">
        <w:tab/>
        <w:t xml:space="preserve">panee merkille, että Euroopan petostentorjuntavirasto (OLAF) tutki vuonna 2022 kolmea tapausta, joista yksi tapaus oli uusi ja koski komitean ulkopuolista ansiotoimintaa ja kaksi aiemmin tutkittavaksi tullutta ja vuonna 2022 valmistunutta </w:t>
      </w:r>
      <w:r w:rsidRPr="005F0368">
        <w:lastRenderedPageBreak/>
        <w:t xml:space="preserve">tapausta koskivat aiheettomia matkakorvausmaksuja sekä väitteitä taloudellisista väärinkäytöksistä, häirinnästä ja huonosta hallinnosta komitean ja </w:t>
      </w:r>
      <w:proofErr w:type="spellStart"/>
      <w:r w:rsidRPr="005F0368">
        <w:t>ETSK:n</w:t>
      </w:r>
      <w:proofErr w:type="spellEnd"/>
      <w:r w:rsidRPr="005F0368">
        <w:t xml:space="preserve"> yhteisessä yksikössä; panee merkille, että aiheettomien matkakorvausten maksamista koskevan asian käsittely päätettiin vuoden 2022 alussa, kun komitea pyysi asianomaista jäsentä eettisistä syistä palauttamaan saadun korvauksen, koska tällaisten summien hakemiselle ei ollut oikeusperustaa; panee merkille, että kyseinen jäsen ilmoitti vuoden 2024 alussa aikomuksestaan palauttaa </w:t>
      </w:r>
      <w:proofErr w:type="spellStart"/>
      <w:r w:rsidRPr="005F0368">
        <w:t>OLAFin</w:t>
      </w:r>
      <w:proofErr w:type="spellEnd"/>
      <w:r w:rsidRPr="005F0368">
        <w:t xml:space="preserve"> alun perin pyytämä määrä eettisistä syistä ja että komitean talousyksiköt olivat valmiita ryhtymään kaikkiin tarvittaviin toimiin tässä asiassa; pyytää komiteaa ilmoittamaan vastuuvapauden myöntävälle viranomaiselle komitean jatkotoimista tämän tapauksen johdosta henkilöstösääntöjen mukaiset velvollisuudet huomioon ottaen erityisesti siksi, että asiassa oli kyse komitean jäsenestä, joka oli samanaikaisesti parlamentin jäsenen valtuutettu avustaja ja jonka sopimussuhteinen työpaikka oli Bryssel, eikä hänelle siksi ollut tarpeen maksaa matkakuluja Brysselissä pidettävistä komitean kokouksista; panee merkille, että väitteitä taloudellisista väärinkäytöksistä, häirinnästä ja huonosta hallinnosta komiteoiden yhteisessä yksikössä koskevan tapauksen seurauksena käynnistettiin konfliktinhallintatoimi, johon osallistuivat asianomaiset henkilöt, heidän päällikkönsä ja asianomaiset henkilöstöhallinnon osastot, ja viisikohtainen asiaa koskeva toimintasuunnitelma pantiin täytäntöön vuosina 2021 ja 2022;</w:t>
      </w:r>
    </w:p>
    <w:p w:rsidR="004E71A7" w:rsidRPr="005F0368" w:rsidRDefault="004E71A7" w:rsidP="004E71A7">
      <w:pPr>
        <w:pStyle w:val="NormalHanging12a"/>
        <w:widowControl/>
        <w:rPr>
          <w:b/>
          <w:bCs/>
          <w:i/>
          <w:iCs/>
          <w:szCs w:val="24"/>
        </w:rPr>
      </w:pPr>
      <w:r w:rsidRPr="005F0368">
        <w:t>32.</w:t>
      </w:r>
      <w:r w:rsidRPr="005F0368">
        <w:tab/>
        <w:t>panee merkille, että komitea jatkoi vuonna 2022 avoimuustoimenpiteiden toteuttamista, kuten jäsenten taloudellisia sidonnaisuuksia koskevien ilmoitusten julkaisemista verkkosivustollaan, mutta se ei virallisesti liittynyt EU:n avoimuusrekisteriin, joka perustettiin pakollisesta avoimuusrekisteristä 20. toukokuuta 2021 tehdyllä Euroopan parlamentin, Euroopan unionin neuvoston ja Euroopan komission välisellä toimielinten välisellä sopimuksella</w:t>
      </w:r>
      <w:r w:rsidRPr="005F0368">
        <w:rPr>
          <w:vertAlign w:val="superscript"/>
        </w:rPr>
        <w:t>3</w:t>
      </w:r>
      <w:r w:rsidRPr="005F0368">
        <w:t>; on tietoinen siitä, että komitean työvaliokunta antoi heinäkuussa 2023 EU:n avoimuusrekisterin periaatteiden mukaisesti päätöksen uusista avoimuutta koskevista toimenpiteistä, joissa keskitytään luottamustehtävissä toimiviin jäseniin ja esittelijöihin, ja ilmoitti asiasta EU:n avoimuusrekisterin hallintoneuvostolle; panee merkille, että EU:n avoimuusrekisterin hallintoneuvosto katsoi 20. marraskuuta 2023 avoimuutta koskevat toimenpiteet toimielinten välisen sopimuksen tavoitteiden mukaisiksi ja oli tyytyväinen komitean menettelyihin tärkeänä askeleena yhteisen kehyksen vahvistamisessa ja yhteisen avoimuuskulttuurin edistämisessä unionin tasolla; panee tyytyväisenä merkille, että komitea liittyi virallisesti EU:n avoimuusrekisteriin 1. tammikuuta 2024;</w:t>
      </w:r>
    </w:p>
    <w:p w:rsidR="004E71A7" w:rsidRPr="005F0368" w:rsidRDefault="004E71A7" w:rsidP="004E71A7">
      <w:pPr>
        <w:pStyle w:val="NormalHanging12a"/>
        <w:widowControl/>
        <w:rPr>
          <w:szCs w:val="24"/>
        </w:rPr>
      </w:pPr>
      <w:r w:rsidRPr="005F0368">
        <w:t>33.</w:t>
      </w:r>
      <w:r w:rsidRPr="005F0368">
        <w:tab/>
        <w:t>panee merkille, että komitea ei havainnut vuonna 2022 eturistiriitoja, jotka olisivat edellyttäneet hallinnollisia jatkotoimia; panee merkille, että komitea tukeutui edelleen voimassa oleviin sääntöihin ehkäistäkseen eturistiriitoja ja välttääkseen pyöröovi</w:t>
      </w:r>
      <w:r w:rsidRPr="005F0368">
        <w:noBreakHyphen/>
        <w:t>ilmiötä julkisen ja yksityisen sektorin välillä ja edisti niiden noudattamista etiikkaa koskevan koulutuksen ja tietoisuuden lisäämisen avulla;</w:t>
      </w:r>
    </w:p>
    <w:p w:rsidR="004E71A7" w:rsidRPr="005F0368" w:rsidRDefault="004E71A7" w:rsidP="004E71A7">
      <w:pPr>
        <w:pStyle w:val="NormalHanging12a"/>
        <w:widowControl/>
      </w:pPr>
      <w:r w:rsidRPr="005F0368">
        <w:t>34.</w:t>
      </w:r>
      <w:r w:rsidRPr="005F0368">
        <w:tab/>
        <w:t>toteaa, että vuonna 2022 komiteassa ei kirjattu yhtään väärinkäytösten paljastamistapausta; panee merkille, että komitea tukeutui edelleen vuodesta 2015 lähtien käytössä olleisiin väärinkäytösten paljastamista koskeviin toimenpiteisiin ja edisti niiden noudattamista etiikkaa koskevan koulutuksen ja tietoisuuden lisäämisen avulla;</w:t>
      </w:r>
    </w:p>
    <w:p w:rsidR="004E71A7" w:rsidRPr="005F0368" w:rsidRDefault="004E71A7" w:rsidP="004E71A7">
      <w:pPr>
        <w:pStyle w:val="NormalHanging12a"/>
        <w:widowControl/>
        <w:rPr>
          <w:szCs w:val="24"/>
        </w:rPr>
      </w:pPr>
      <w:r w:rsidRPr="005F0368">
        <w:t>35.</w:t>
      </w:r>
      <w:r w:rsidRPr="005F0368">
        <w:tab/>
        <w:t xml:space="preserve">pitää valitettavana, ettei komitea ole ottanut käyttöön sisäistä petostentorjuntastrategiaa; toistaa vuoden 2021 vastuuvapausmenettelyssä komitealle antamansa kehotuksen sisäisen petosriskianalyysin käynnistämisestä ja toiminnan koordinoimisesta asiasta </w:t>
      </w:r>
      <w:r w:rsidRPr="005F0368">
        <w:lastRenderedPageBreak/>
        <w:t>vastaavien komission yksiköiden kanssa, jotta se voi ottaa käyttöön asianmukaisen sisäisen petostentorjuntastrategian;</w:t>
      </w:r>
    </w:p>
    <w:p w:rsidR="004E71A7" w:rsidRPr="005F0368" w:rsidRDefault="004E71A7" w:rsidP="000622AF">
      <w:pPr>
        <w:pStyle w:val="NormalHanging12a"/>
        <w:keepNext/>
        <w:widowControl/>
        <w:ind w:left="0" w:firstLine="0"/>
        <w:rPr>
          <w:b/>
          <w:i/>
          <w:szCs w:val="24"/>
        </w:rPr>
      </w:pPr>
      <w:proofErr w:type="spellStart"/>
      <w:r w:rsidRPr="005F0368">
        <w:rPr>
          <w:b/>
          <w:i/>
        </w:rPr>
        <w:t>Digitalisaatio</w:t>
      </w:r>
      <w:proofErr w:type="spellEnd"/>
      <w:r w:rsidRPr="005F0368">
        <w:rPr>
          <w:b/>
          <w:i/>
        </w:rPr>
        <w:t>, kyberturvallisuus ja tietosuoja</w:t>
      </w:r>
    </w:p>
    <w:p w:rsidR="004E71A7" w:rsidRPr="005F0368" w:rsidRDefault="004E71A7" w:rsidP="004E71A7">
      <w:pPr>
        <w:pStyle w:val="NormalHanging12a"/>
        <w:widowControl/>
        <w:rPr>
          <w:szCs w:val="24"/>
        </w:rPr>
      </w:pPr>
      <w:r w:rsidRPr="005F0368">
        <w:t>36.</w:t>
      </w:r>
      <w:r w:rsidRPr="005F0368">
        <w:tab/>
        <w:t xml:space="preserve">panee merkille, että komitean ja </w:t>
      </w:r>
      <w:proofErr w:type="spellStart"/>
      <w:r w:rsidRPr="005F0368">
        <w:t>ETSK:n</w:t>
      </w:r>
      <w:proofErr w:type="spellEnd"/>
      <w:r w:rsidRPr="005F0368">
        <w:t xml:space="preserve"> yhdistetty tietotekniikkabudjetti oli 11 712 000 euroa vuonna 2022, mihin sisältyi lukien 750 000 euron lisäys sisäisellä määrärahasiirrolla vuoden aikana, kun se vuonna 2021 oli 12 860 000 euroa, mikä merkitsee 9 prosentin vähennystä;</w:t>
      </w:r>
    </w:p>
    <w:p w:rsidR="004E71A7" w:rsidRPr="005F0368" w:rsidRDefault="004E71A7" w:rsidP="004E71A7">
      <w:pPr>
        <w:pStyle w:val="NormalHanging12a"/>
        <w:widowControl/>
        <w:rPr>
          <w:szCs w:val="24"/>
        </w:rPr>
      </w:pPr>
      <w:r w:rsidRPr="005F0368">
        <w:t>37.</w:t>
      </w:r>
      <w:r w:rsidRPr="005F0368">
        <w:tab/>
        <w:t xml:space="preserve">panee merkille, että komitealla on digitaalistrategia, jonka tavoitteena on tarjota tietotekniikkapalveluja tietotekniikkahallinnan parhaiden käytäntöjen mukaisesti ja samalla optimoida henkilöresurssien ja taloudellisten resurssien käyttö; panee merkille, että komitea työskenteli vuoden 2022 aikana useiden strategisten tietoteknisten välineiden mukauttamiseksi ja kehittämiseksi, jotta voidaan parantaa komitean poliittisen työn sekä sen hallinnollisten prosessien ja työnkulkujen tehokkuutta ja vaikuttavuutta; panee merkille, että komitean tärkein tietotekniikkainfrastruktuurihanke vuonna 2022 koski Jacques </w:t>
      </w:r>
      <w:proofErr w:type="spellStart"/>
      <w:r w:rsidRPr="005F0368">
        <w:t>Delors</w:t>
      </w:r>
      <w:proofErr w:type="spellEnd"/>
      <w:r w:rsidRPr="005F0368">
        <w:t xml:space="preserve"> ‑rakennuksen (JDE) uuden tietokonehuoneen edellyttämän verkkoluokituksen mukauttamista hybridipilvipalveluja koskevan etenemissuunnitelman mukaisesti;</w:t>
      </w:r>
    </w:p>
    <w:p w:rsidR="004E71A7" w:rsidRPr="005F0368" w:rsidRDefault="004E71A7" w:rsidP="004E71A7">
      <w:pPr>
        <w:pStyle w:val="NormalHanging12a"/>
        <w:widowControl/>
        <w:rPr>
          <w:szCs w:val="24"/>
        </w:rPr>
      </w:pPr>
      <w:r w:rsidRPr="005F0368">
        <w:t>38.</w:t>
      </w:r>
      <w:r w:rsidRPr="005F0368">
        <w:tab/>
        <w:t>panee merkille, että komitea lisäsi hybridikokousten määrää vuonna 2022, jotta se voi sopeutua hybridityöskentelyyn ja mukauttaa toimintansa komitean pääsihteerin kesäkuussa 2022 lähettämien kustannustehokkaampia, tarkoituksenmukaisempia ja kestävämpiä virkamatkakäytäntöjä koskevien ohjeiden mukaisiksi, mikä edellyttää, että komitea optimoi työskentelytapansa ja että mahdollisimman monet henkilöstön virkamatkat korvataan videokokouksilla; ymmärtää, että tämä uusi työskentelytapa edellytti teknisiä päivityksiä hybridikokoushuoneiden laitteisiin;</w:t>
      </w:r>
    </w:p>
    <w:p w:rsidR="004E71A7" w:rsidRPr="005F0368" w:rsidRDefault="004E71A7" w:rsidP="004E71A7">
      <w:pPr>
        <w:pStyle w:val="NormalHanging12a"/>
        <w:widowControl/>
        <w:rPr>
          <w:szCs w:val="24"/>
        </w:rPr>
      </w:pPr>
      <w:r w:rsidRPr="005F0368">
        <w:t>39.</w:t>
      </w:r>
      <w:r w:rsidRPr="005F0368">
        <w:tab/>
        <w:t>panee merkille, että komitea hyväksyi vuonna 2022 uudet tietosuojaa koskevat sisäiset säännöt, jotka sisältävät rajoituksia tiettyihin rekisteröityjen oikeuksiin komitean toteuttamien toimien ja menettelyjen yhteydessä tapahtuvassa henkilötietojen käsittelyssä; panee lisäksi merkille, että Euroopan tietosuojavaltuutettu ei suorittanut mitään tutkimuksia tai selvityksiä komitean suorittamasta henkilötietojen käsittelystä vuonna 2022;</w:t>
      </w:r>
    </w:p>
    <w:p w:rsidR="004E71A7" w:rsidRPr="005F0368" w:rsidRDefault="004E71A7" w:rsidP="004E71A7">
      <w:pPr>
        <w:pStyle w:val="NormalHanging12a"/>
        <w:widowControl/>
      </w:pPr>
      <w:r w:rsidRPr="005F0368">
        <w:t>40.</w:t>
      </w:r>
      <w:r w:rsidRPr="005F0368">
        <w:tab/>
        <w:t xml:space="preserve">toteaa, että komiteaan ei kohdistunut kyberhyökkäyksiä vuonna 2022; panee merkille, että komitean ja </w:t>
      </w:r>
      <w:proofErr w:type="spellStart"/>
      <w:r w:rsidRPr="005F0368">
        <w:t>ETSK:n</w:t>
      </w:r>
      <w:proofErr w:type="spellEnd"/>
      <w:r w:rsidRPr="005F0368">
        <w:t xml:space="preserve"> uusi yhteinen innovoinnin ja tietotekniikan osasto koostuu kolmesta yksiköstä, joita ovat digitaalisen siirtymän, digitaalisten ratkaisujen ja digitaalisten alustojen yksiköt; panee merkille, että digitaalisten alustojen yksikkö vastaa muun muassa kyberturvallisuudesta; pyytää komiteaa tiedottamaan vastuuvapauden myöntävälle viranomaiselle, miten tämän uuden rakenteen luominen auttoi parantamaan henkilöstön kyberturvallisuusvalmiutta </w:t>
      </w:r>
      <w:proofErr w:type="spellStart"/>
      <w:r w:rsidRPr="005F0368">
        <w:t>NIST:n</w:t>
      </w:r>
      <w:proofErr w:type="spellEnd"/>
      <w:r w:rsidRPr="005F0368">
        <w:t xml:space="preserve"> (Yhdysvaltain kansallinen standardointi- ja teknologiainstituutti) kyberturvallisuuskehyksen mukaisesti ja yhteistyössä unionin toimielinten, elinten, toimistojen ja virastojen kyberturvallisuuspalvelun (CERT-EU) kanssa; kannustaa komiteaa lisäämään jäsenten ja henkilöstön tietoisuutta kyberturvallisuudesta, tekemään säännöllisiä riskinarviointeja tietoteknisestä infrastruktuuristaan ja varmistamaan kyberpuolustuksensa säännöllisen tarkastamisen ja testaamisen;</w:t>
      </w:r>
    </w:p>
    <w:p w:rsidR="004E71A7" w:rsidRPr="005F0368" w:rsidRDefault="004E71A7" w:rsidP="004E71A7">
      <w:pPr>
        <w:pStyle w:val="NormalHanging12a"/>
        <w:widowControl/>
        <w:rPr>
          <w:szCs w:val="24"/>
        </w:rPr>
      </w:pPr>
      <w:r w:rsidRPr="005F0368">
        <w:lastRenderedPageBreak/>
        <w:t>41.</w:t>
      </w:r>
      <w:r w:rsidRPr="005F0368">
        <w:tab/>
        <w:t>suhtautuu myönteisesti komitean pyrkimyksiin edistää avoimen lähdekoodin teknologian käyttöä sen omissa järjestelmissä, erityisesti komitean poliittisen työn hallinnoinnissa käytettävissä tärkeimmissä operatiivisissa sovelluksissa (</w:t>
      </w:r>
      <w:proofErr w:type="spellStart"/>
      <w:r w:rsidRPr="005F0368">
        <w:t>Agora</w:t>
      </w:r>
      <w:proofErr w:type="spellEnd"/>
      <w:r w:rsidRPr="005F0368">
        <w:t xml:space="preserve"> ja Phoenix); panee lisäksi merkille, että komitea seuraa avoimen lähdekoodin teknologioiden käyttöä vuotuisessa tietotekniikkakatsauksessaan, jotta niitä voidaan käyttää uusissa sovelluksissa;</w:t>
      </w:r>
    </w:p>
    <w:p w:rsidR="004E71A7" w:rsidRPr="005F0368" w:rsidRDefault="004E71A7" w:rsidP="000622AF">
      <w:pPr>
        <w:pStyle w:val="NormalHanging12a"/>
        <w:keepNext/>
        <w:widowControl/>
        <w:ind w:left="0" w:firstLine="0"/>
        <w:rPr>
          <w:b/>
          <w:i/>
          <w:szCs w:val="24"/>
        </w:rPr>
      </w:pPr>
      <w:r w:rsidRPr="005F0368">
        <w:rPr>
          <w:b/>
          <w:i/>
        </w:rPr>
        <w:t>Kiinteistöt</w:t>
      </w:r>
    </w:p>
    <w:p w:rsidR="004E71A7" w:rsidRPr="005F0368" w:rsidRDefault="004E71A7" w:rsidP="004E71A7">
      <w:pPr>
        <w:pStyle w:val="NormalHanging12a"/>
        <w:widowControl/>
        <w:rPr>
          <w:szCs w:val="24"/>
        </w:rPr>
      </w:pPr>
      <w:r w:rsidRPr="005F0368">
        <w:t>42.</w:t>
      </w:r>
      <w:r w:rsidRPr="005F0368">
        <w:tab/>
        <w:t xml:space="preserve">panee merkille, että komitea ja ETSK menettivät 5 000 neliömetriä toimistotiloja sen jälkeen, kun niille siirrettiin syyskuussa 2021vuokrasopimus </w:t>
      </w:r>
      <w:proofErr w:type="spellStart"/>
      <w:r w:rsidRPr="005F0368">
        <w:t>EUH:n</w:t>
      </w:r>
      <w:proofErr w:type="spellEnd"/>
      <w:r w:rsidRPr="005F0368">
        <w:t xml:space="preserve"> entisestä toimitilasta osoitteessa </w:t>
      </w:r>
      <w:proofErr w:type="spellStart"/>
      <w:r w:rsidRPr="005F0368">
        <w:t>Belliard</w:t>
      </w:r>
      <w:proofErr w:type="spellEnd"/>
      <w:r w:rsidRPr="005F0368">
        <w:t xml:space="preserve"> 100 (B100) sekä kun komitea ja ETSK vaihtoivat kiinteistöt osoitteissa </w:t>
      </w:r>
      <w:proofErr w:type="spellStart"/>
      <w:r w:rsidRPr="005F0368">
        <w:t>Belliard</w:t>
      </w:r>
      <w:proofErr w:type="spellEnd"/>
      <w:r w:rsidRPr="005F0368">
        <w:t xml:space="preserve"> 68 ja </w:t>
      </w:r>
      <w:proofErr w:type="spellStart"/>
      <w:r w:rsidRPr="005F0368">
        <w:t>Trèves</w:t>
      </w:r>
      <w:proofErr w:type="spellEnd"/>
      <w:r w:rsidRPr="005F0368">
        <w:t> 74 komission rakennukseen osoitteessa Van </w:t>
      </w:r>
      <w:proofErr w:type="spellStart"/>
      <w:r w:rsidRPr="005F0368">
        <w:t>Maerlant</w:t>
      </w:r>
      <w:proofErr w:type="spellEnd"/>
      <w:r w:rsidRPr="005F0368">
        <w:t> 2 (VMA) syyskuussa 2022; toteaa, että kahden äskettäin käyttöön saadun rakennuksen kunnostustyöt olivat välttämättömiä toimistotilojen tiiviimmän käytön mahdollistamiseksi; pitää myönteisenä, että vuonna 2022 perustettiin uusia työskentelytapoja käsittelevä yhteinen työryhmä, jonka tehtävänä on pohtia työn organisoinnin ja toimistotilojen käytön mahdollista optimointia ja pienentää samalla ympäristöjalanjälkeä;</w:t>
      </w:r>
    </w:p>
    <w:p w:rsidR="004E71A7" w:rsidRPr="005F0368" w:rsidRDefault="004E71A7" w:rsidP="004E71A7">
      <w:pPr>
        <w:pStyle w:val="NormalHanging12a"/>
        <w:widowControl/>
      </w:pPr>
      <w:r w:rsidRPr="005F0368">
        <w:t>43.</w:t>
      </w:r>
      <w:r w:rsidRPr="005F0368">
        <w:tab/>
        <w:t xml:space="preserve">panee merkille, että vuonna 2022 tilojen kunnostamiseen osoitettu komitean kokonaistalousarvio oli 883 792 euroa; panee merkille, että komitean ja </w:t>
      </w:r>
      <w:proofErr w:type="spellStart"/>
      <w:r w:rsidRPr="005F0368">
        <w:t>ETSK:n</w:t>
      </w:r>
      <w:proofErr w:type="spellEnd"/>
      <w:r w:rsidRPr="005F0368">
        <w:t xml:space="preserve"> B100</w:t>
      </w:r>
      <w:r w:rsidRPr="005F0368">
        <w:noBreakHyphen/>
        <w:t xml:space="preserve"> ja VMA-rakennusten kunnostustöissä rakennuksiin integroitiin älykästä teknologiaa, joihin liittyy vahva ympäristökomponentti; pyytää komiteaa antamaan ajantasaiset tiedot näiden teknologia-investointien tuotosta, mutta kehottaa kuitenkin suhtautumaan varovaisesti uusia toimistotiloja koskevien pitkän aikavälin sitoumuksien tekemiseen, ennen kuin näitä toimenpiteitä on tarkasteltu perusteellisesti;</w:t>
      </w:r>
    </w:p>
    <w:p w:rsidR="004E71A7" w:rsidRPr="005F0368" w:rsidRDefault="004E71A7" w:rsidP="004E71A7">
      <w:pPr>
        <w:pStyle w:val="NormalHanging12a"/>
        <w:widowControl/>
        <w:rPr>
          <w:szCs w:val="24"/>
        </w:rPr>
      </w:pPr>
      <w:r w:rsidRPr="005F0368">
        <w:t>44.</w:t>
      </w:r>
      <w:r w:rsidRPr="005F0368">
        <w:tab/>
        <w:t xml:space="preserve">panee merkille, että vuonna 2022 komitean ja </w:t>
      </w:r>
      <w:proofErr w:type="spellStart"/>
      <w:r w:rsidRPr="005F0368">
        <w:t>ETSK:n</w:t>
      </w:r>
      <w:proofErr w:type="spellEnd"/>
      <w:r w:rsidRPr="005F0368">
        <w:t xml:space="preserve"> kiinteistöstrategiassa keskityttiin rakennusten maantieteelliseen keskittämiseen, joka saavutettiin liittämällä kaikki komitean ja </w:t>
      </w:r>
      <w:proofErr w:type="spellStart"/>
      <w:r w:rsidRPr="005F0368">
        <w:t>ETSK:n</w:t>
      </w:r>
      <w:proofErr w:type="spellEnd"/>
      <w:r w:rsidRPr="005F0368">
        <w:t xml:space="preserve"> käyttämät rakennukset fyysisesti niiden päärakennukseen (JDE); suhtautuu myönteisesti marraskuussa 2022 käyttöön otettuun uuteen fyysiseen yhteyteen parlamentin rakennuksiin, mikä tarjoaa suoremman, helpomman ja 125 metriä lyhyemmän reitin komitean ja </w:t>
      </w:r>
      <w:proofErr w:type="spellStart"/>
      <w:r w:rsidRPr="005F0368">
        <w:t>ETSK:n</w:t>
      </w:r>
      <w:proofErr w:type="spellEnd"/>
      <w:r w:rsidRPr="005F0368">
        <w:t xml:space="preserve"> rakennusten ja parlamentin rakennusten välillä;</w:t>
      </w:r>
    </w:p>
    <w:p w:rsidR="004E71A7" w:rsidRPr="005F0368" w:rsidRDefault="004E71A7" w:rsidP="004E71A7">
      <w:pPr>
        <w:pStyle w:val="NormalHanging12a"/>
        <w:widowControl/>
        <w:rPr>
          <w:szCs w:val="24"/>
        </w:rPr>
      </w:pPr>
      <w:r w:rsidRPr="005F0368">
        <w:t>45.</w:t>
      </w:r>
      <w:r w:rsidRPr="005F0368">
        <w:tab/>
        <w:t>panee merkille, että komitea ja ETSK käynnistivät monivuotisen hankkeen, joka liittyy tulkkausjärjestelmän tekniseen parantamiseen kaikissa konferenssihuoneissa vuodesta 2022 alkaen; panee merkille, että komitea varasi 200 000 euroa tähän hankkeeseen vuonna 2022;</w:t>
      </w:r>
    </w:p>
    <w:p w:rsidR="004E71A7" w:rsidRPr="005F0368" w:rsidRDefault="004E71A7" w:rsidP="004E71A7">
      <w:pPr>
        <w:pStyle w:val="NormalHanging12a"/>
        <w:widowControl/>
        <w:rPr>
          <w:szCs w:val="24"/>
        </w:rPr>
      </w:pPr>
      <w:r w:rsidRPr="005F0368">
        <w:t>46.</w:t>
      </w:r>
      <w:r w:rsidRPr="005F0368">
        <w:tab/>
        <w:t xml:space="preserve">suhtautuu myönteisesti komitean ja </w:t>
      </w:r>
      <w:proofErr w:type="spellStart"/>
      <w:r w:rsidRPr="005F0368">
        <w:t>ETSK:n</w:t>
      </w:r>
      <w:proofErr w:type="spellEnd"/>
      <w:r w:rsidRPr="005F0368">
        <w:t xml:space="preserve"> sitoumukseen soveltaa järjestelmällisesti kaikkien käyttäjien tarpeet huomioon ottavan suunnittelun periaatetta infrastruktuuriinsa, millä varmistetaan rakennusten lähtökohtainen esteettömyys; panee merkille, että komitea ja ETSK toteuttivat useita erilaisia toimenpiteitä varmistaakseen rakennustensa esteettömyyden henkilöille, joilla on erilaisia vammoja;</w:t>
      </w:r>
    </w:p>
    <w:p w:rsidR="004E71A7" w:rsidRPr="005F0368" w:rsidRDefault="004E71A7" w:rsidP="004E71A7">
      <w:pPr>
        <w:pStyle w:val="NormalHanging12a"/>
        <w:widowControl/>
        <w:ind w:left="0" w:firstLine="0"/>
        <w:rPr>
          <w:b/>
          <w:i/>
          <w:szCs w:val="24"/>
        </w:rPr>
      </w:pPr>
      <w:r w:rsidRPr="005F0368">
        <w:rPr>
          <w:b/>
          <w:i/>
        </w:rPr>
        <w:t>Ympäristö ja kestävä kehitys</w:t>
      </w:r>
    </w:p>
    <w:p w:rsidR="004E71A7" w:rsidRPr="005F0368" w:rsidRDefault="004E71A7" w:rsidP="004E71A7">
      <w:pPr>
        <w:pStyle w:val="NormalHanging12a"/>
        <w:widowControl/>
        <w:rPr>
          <w:szCs w:val="24"/>
        </w:rPr>
      </w:pPr>
      <w:r w:rsidRPr="005F0368">
        <w:t>47.</w:t>
      </w:r>
      <w:r w:rsidRPr="005F0368">
        <w:tab/>
        <w:t xml:space="preserve">suhtautuu myönteisesti komitean ja </w:t>
      </w:r>
      <w:proofErr w:type="spellStart"/>
      <w:r w:rsidRPr="005F0368">
        <w:t>ETSK:n</w:t>
      </w:r>
      <w:proofErr w:type="spellEnd"/>
      <w:r w:rsidRPr="005F0368">
        <w:t xml:space="preserve"> kestäviin käytäntöihin ja erityisesti paperittomaan työskentelyyn, jotka auttoivat pienentämään niiden ympäristöjalanjälkeä </w:t>
      </w:r>
      <w:r w:rsidRPr="005F0368">
        <w:lastRenderedPageBreak/>
        <w:t xml:space="preserve">komiteoiden digitaalistrategian mukaisesti; panee merkille, että komitean poliittisen työn tukemiseen käytettyä Phoenix-sovellusta mukautettiin vuonna 2022, jotta voitaisiin laatia matkustamista koskevat hiiliraportit ja jotta komitea ja ETSK voivat laskea hiilitaseensa; panee merkille, että ympäristöasioiden hallinta- ja auditointijärjestelmän (EMAS) tuloksellisuuden tarkastuksen tuloksena syntynyt toimintasuunnitelma otettiin käyttöön dokumentoinnin, menettelyjen tarkistamisen, suunnittelun parantamisen, riskienhallinnan ja valvonnan aloilla; onnittelee komiteaa ja </w:t>
      </w:r>
      <w:proofErr w:type="spellStart"/>
      <w:r w:rsidRPr="005F0368">
        <w:t>ETSK:ta</w:t>
      </w:r>
      <w:proofErr w:type="spellEnd"/>
      <w:r w:rsidRPr="005F0368">
        <w:t xml:space="preserve"> siitä, että ne ovat ylittäneet vuosien 2021–2025 EMAS-tavoitteensa lukuun ottamatta kaasunkulutukseen liittyviä tavoitteita;</w:t>
      </w:r>
    </w:p>
    <w:p w:rsidR="004E71A7" w:rsidRPr="005F0368" w:rsidRDefault="004E71A7" w:rsidP="004E71A7">
      <w:pPr>
        <w:pStyle w:val="NormalHanging12a"/>
        <w:widowControl/>
        <w:rPr>
          <w:szCs w:val="24"/>
        </w:rPr>
      </w:pPr>
      <w:r w:rsidRPr="005F0368">
        <w:t>48.</w:t>
      </w:r>
      <w:r w:rsidRPr="005F0368">
        <w:tab/>
        <w:t xml:space="preserve">panee merkille, että vuonna 2022 aurinkopaneelien tuottama kokonaissähköntuotanto komitean ja </w:t>
      </w:r>
      <w:proofErr w:type="spellStart"/>
      <w:r w:rsidRPr="005F0368">
        <w:t>ETSK:n</w:t>
      </w:r>
      <w:proofErr w:type="spellEnd"/>
      <w:r w:rsidRPr="005F0368">
        <w:t xml:space="preserve"> rakennuksissa oli noin 15,5 MWh, mikä vastaa 0,25:tä prosenttia komitean ja </w:t>
      </w:r>
      <w:proofErr w:type="spellStart"/>
      <w:r w:rsidRPr="005F0368">
        <w:t>ETSK:n</w:t>
      </w:r>
      <w:proofErr w:type="spellEnd"/>
      <w:r w:rsidRPr="005F0368">
        <w:t xml:space="preserve"> vuotuisesta kokonaiskulutuksesta; panee merkille, että 16. syyskuuta 2022 vain JDE-rakennukseen oli asennettu aurinkopaneeleja; on tietoinen siitä, että hallinnollisten menettelyjen vuoksi komitea ja ETSK joutuvat odottamaan, ennen kuin ne voivat asentaa lisää aurinkopaneeleja;</w:t>
      </w:r>
    </w:p>
    <w:p w:rsidR="004E71A7" w:rsidRPr="005F0368" w:rsidRDefault="004E71A7" w:rsidP="004E71A7">
      <w:pPr>
        <w:pStyle w:val="NormalHanging12a"/>
        <w:widowControl/>
        <w:rPr>
          <w:szCs w:val="24"/>
        </w:rPr>
      </w:pPr>
      <w:r w:rsidRPr="005F0368">
        <w:t>49.</w:t>
      </w:r>
      <w:r w:rsidRPr="005F0368">
        <w:tab/>
        <w:t>panee merkille, että komitea on ottanut käyttöön kestävää liikkuvuutta koskevan suunnitelman, johon sisältyy rahoitusosuus henkilöstön julkisen liikenteen kausilippuja ja tiedotustoimia varten; panee merkille, että vuonna 2022 ei järjestetty uutta henkilöstön liikkuvuutta koskevaa kyselyä, mutta sellainen on tarkoitus toteuttaa vuonna 2024; pitää myönteisenä, että 76 prosenttia komitean henkilöstöstä kulkee töihin ympäristöystävällisiä liikennemuotoja käyttäen;</w:t>
      </w:r>
    </w:p>
    <w:p w:rsidR="004E71A7" w:rsidRPr="005F0368" w:rsidRDefault="004E71A7" w:rsidP="004E71A7">
      <w:pPr>
        <w:pStyle w:val="NormalHanging12a"/>
        <w:widowControl/>
        <w:rPr>
          <w:b/>
          <w:i/>
          <w:szCs w:val="24"/>
        </w:rPr>
      </w:pPr>
      <w:r w:rsidRPr="005F0368">
        <w:rPr>
          <w:b/>
          <w:i/>
        </w:rPr>
        <w:t>Toimielinten välinen yhteistyö</w:t>
      </w:r>
    </w:p>
    <w:p w:rsidR="004E71A7" w:rsidRPr="005F0368" w:rsidRDefault="004E71A7" w:rsidP="004E71A7">
      <w:pPr>
        <w:pStyle w:val="NormalHanging12a"/>
        <w:widowControl/>
        <w:rPr>
          <w:szCs w:val="24"/>
        </w:rPr>
      </w:pPr>
      <w:r w:rsidRPr="005F0368">
        <w:t>50.</w:t>
      </w:r>
      <w:r w:rsidRPr="005F0368">
        <w:tab/>
        <w:t xml:space="preserve">suhtautuu myönteisesti toimielinten välisellä yhteistyöllä saavutettuihin talousarviosäästöihin ja hallinnollisiin säästöihin ja erityisesti </w:t>
      </w:r>
      <w:proofErr w:type="spellStart"/>
      <w:r w:rsidRPr="005F0368">
        <w:t>ETSK:n</w:t>
      </w:r>
      <w:proofErr w:type="spellEnd"/>
      <w:r w:rsidRPr="005F0368">
        <w:t xml:space="preserve"> kanssa luotuun tiiviiseen hallinnolliseen yhteistyöhön, sillä komitealla on </w:t>
      </w:r>
      <w:proofErr w:type="spellStart"/>
      <w:r w:rsidRPr="005F0368">
        <w:t>ETSK:n</w:t>
      </w:r>
      <w:proofErr w:type="spellEnd"/>
      <w:r w:rsidRPr="005F0368">
        <w:t xml:space="preserve"> kanssa yhteiset toimitilat ja yhteiset palvelut kääntämisen, infrastruktuurin, logistiikan ja tietotekniikan aloilla, samalla kun se säilytti täyden institutionaalisen riippumattomuutensa; panee merkille, että 1. lokakuuta 2022 perustettiin yhteinen innovoinnin ja tietotekniikan osasto osana komitean ja </w:t>
      </w:r>
      <w:proofErr w:type="spellStart"/>
      <w:r w:rsidRPr="005F0368">
        <w:t>ETSK:n</w:t>
      </w:r>
      <w:proofErr w:type="spellEnd"/>
      <w:r w:rsidRPr="005F0368">
        <w:t xml:space="preserve"> vuonna 2022 allekirjoittamaa uutta yhteistyösopimusta; panee lisäksi merkille, että vuonna 2022 komitean ja </w:t>
      </w:r>
      <w:proofErr w:type="spellStart"/>
      <w:r w:rsidRPr="005F0368">
        <w:t>ETSK:n</w:t>
      </w:r>
      <w:proofErr w:type="spellEnd"/>
      <w:r w:rsidRPr="005F0368">
        <w:t xml:space="preserve"> yhteisissä palveluissa työskenteli 470 henkilöstön jäsentä ja niiden yhteiset menot kattoivat 55 miljoonaa euroa, lukuun ottamatta palkkoihin liittyviä menoja; kehottaa komiteaa jatkamaan ja laajentamaan tätä yhteistyötä muilla aloilla päällekkäisyyksien välttämiseksi ja komitean ja </w:t>
      </w:r>
      <w:proofErr w:type="spellStart"/>
      <w:r w:rsidRPr="005F0368">
        <w:t>ETSK:n</w:t>
      </w:r>
      <w:proofErr w:type="spellEnd"/>
      <w:r w:rsidRPr="005F0368">
        <w:t xml:space="preserve"> yhteisissä tiloissa tarjottavien palvelujen toimintakustannusten järkeistämiseksi edelleen; kehottaa komiteaa ja </w:t>
      </w:r>
      <w:proofErr w:type="spellStart"/>
      <w:r w:rsidRPr="005F0368">
        <w:t>ETSK:ta</w:t>
      </w:r>
      <w:proofErr w:type="spellEnd"/>
      <w:r w:rsidRPr="005F0368">
        <w:t xml:space="preserve"> tutkimaan mahdollisuutta perustaa yhteisille yksiköilleen yhteinen hallintorakenne, jossa olisi erilliset osastot tai yksiköt niiden erityisiin ja riippumattomiin toimeksiantoihin liittyville asioille;</w:t>
      </w:r>
    </w:p>
    <w:p w:rsidR="004E71A7" w:rsidRPr="005F0368" w:rsidRDefault="004E71A7" w:rsidP="004E71A7">
      <w:pPr>
        <w:pStyle w:val="NormalHanging12a"/>
        <w:widowControl/>
        <w:rPr>
          <w:szCs w:val="24"/>
        </w:rPr>
      </w:pPr>
      <w:r w:rsidRPr="005F0368">
        <w:t>51.</w:t>
      </w:r>
      <w:r w:rsidRPr="005F0368">
        <w:tab/>
        <w:t>pitää myönteisenä komitean pyrkimystä saada aikaan synergioita hankkimalla palveluja muilta toimielimiltä palvelutasosopimusten avulla ja osallistumalla toimielinten välisiin koordinointielimiin ja toimielinten välisiin hankintamenettelyihin;</w:t>
      </w:r>
    </w:p>
    <w:p w:rsidR="004E71A7" w:rsidRPr="005F0368" w:rsidRDefault="004E71A7" w:rsidP="004E71A7">
      <w:pPr>
        <w:pStyle w:val="NormalHanging12a"/>
        <w:widowControl/>
        <w:rPr>
          <w:szCs w:val="24"/>
        </w:rPr>
      </w:pPr>
      <w:r w:rsidRPr="005F0368">
        <w:t>52.</w:t>
      </w:r>
      <w:r w:rsidRPr="005F0368">
        <w:tab/>
        <w:t xml:space="preserve">kehottaa komiteaa jatkamaan synergioiden luomista muiden toimielinten kanssa sekä logistiikan, digitaalisten palvelujen, kuljettajapalvelun ja muiden </w:t>
      </w:r>
      <w:proofErr w:type="gramStart"/>
      <w:r w:rsidRPr="005F0368">
        <w:t>hallinnollisten tehtävien</w:t>
      </w:r>
      <w:proofErr w:type="gramEnd"/>
      <w:r w:rsidRPr="005F0368">
        <w:t xml:space="preserve"> että tiettyjen tiedotus- ja viestintätoimien osalta erityisesti jäsenvaltioissa, </w:t>
      </w:r>
      <w:r w:rsidRPr="005F0368">
        <w:lastRenderedPageBreak/>
        <w:t>joissa komitean jäsenillä on hajanaiset tukiverkostot ja joissa ne tukeutuvat pelkästään jäsenten omaan paikalliseen henkilöstöön;</w:t>
      </w:r>
    </w:p>
    <w:p w:rsidR="004E71A7" w:rsidRPr="005F0368" w:rsidRDefault="004E71A7" w:rsidP="004E71A7">
      <w:pPr>
        <w:pStyle w:val="NormalHanging12a"/>
        <w:widowControl/>
        <w:rPr>
          <w:szCs w:val="24"/>
        </w:rPr>
      </w:pPr>
      <w:r w:rsidRPr="005F0368">
        <w:t>53.</w:t>
      </w:r>
      <w:r w:rsidRPr="005F0368">
        <w:tab/>
        <w:t xml:space="preserve">suhtautuu myönteisesti komitean halukkuuteen kehittää edelleen yhteistyötään muiden toimielinten, erityisesti parlamentin, kanssa ottaen huomioon Euroopan parlamentin vaalit vuonna 2024; panee merkille tätä koskevan etenemissuunnitelman, jossa ennakoidaan yhteistyön tiivistämistä entisestään sekä komitean ja </w:t>
      </w:r>
      <w:proofErr w:type="spellStart"/>
      <w:r w:rsidRPr="005F0368">
        <w:t>paikallis</w:t>
      </w:r>
      <w:proofErr w:type="spellEnd"/>
      <w:r w:rsidRPr="005F0368">
        <w:t>- ja alueviranomaisten roolin vahvistamista tässä yhteydessä; panee merkille parlamentin ja komission kanssa tehtyjen yhteistyösopimusten uudelleentarkastelun, josta puheenjohtajakokous päätti marraskuussa 2022;</w:t>
      </w:r>
    </w:p>
    <w:p w:rsidR="004E71A7" w:rsidRPr="005F0368" w:rsidRDefault="004E71A7" w:rsidP="004E71A7">
      <w:pPr>
        <w:pStyle w:val="NormalHanging12a"/>
        <w:widowControl/>
        <w:rPr>
          <w:szCs w:val="24"/>
        </w:rPr>
      </w:pPr>
      <w:r w:rsidRPr="005F0368">
        <w:t>54.</w:t>
      </w:r>
      <w:r w:rsidRPr="005F0368">
        <w:tab/>
        <w:t>panee merkille, että komitea tekee komission kanssa yhteistyötä (vuosimaksua vastaan) henkilöstöasioiden käsittelyssä ja erilaisten tietojärjestelmien käytössä varainhoitoa ja henkilöstöhallintoa varten; panee merkille, että komitea pitää täysistuntonsa parlamentin ja komission tiloissa kompensoidakseen sen omien kokoushuoneiden vähäisyyttä ja että komitea ostaa tulkkauspalveluja näiltä kahdelta toimielimeltä; panee merkille, että komitea on tarkastellut mahdollisuuksia käyttää etätulkkauspalveluja ottaen huomioon alan nopean kehityksen;</w:t>
      </w:r>
    </w:p>
    <w:p w:rsidR="004E71A7" w:rsidRPr="005F0368" w:rsidRDefault="004E71A7" w:rsidP="004E71A7">
      <w:pPr>
        <w:pStyle w:val="NormalHanging12a"/>
        <w:widowControl/>
        <w:rPr>
          <w:szCs w:val="24"/>
        </w:rPr>
      </w:pPr>
      <w:r w:rsidRPr="005F0368">
        <w:t>55.</w:t>
      </w:r>
      <w:r w:rsidRPr="005F0368">
        <w:tab/>
        <w:t>panee merkille, että komitea edistää toimielinten väliseen yhteistyöhön perustuvan työnsä näkyvyyttä ja vaikutusta esittämällä raporttejaan kohdennetusti muille toimielimille; panee merkille, että se esimerkiksi esitteli parlamentille 11 raporttia vuonna 2022, järjesti esittelijätason kahdenvälisiä kokouksia, osallistui poliittiseen näkemystenvaihtoon virallisissa tapahtumissa ja konferensseissa, jakoi kohdennetusti lausuntojaan ja osallistui työskentelyyn verkostoissa;</w:t>
      </w:r>
    </w:p>
    <w:p w:rsidR="004E71A7" w:rsidRPr="005F0368" w:rsidRDefault="004E71A7" w:rsidP="004E71A7">
      <w:pPr>
        <w:pStyle w:val="NormalHanging12a"/>
        <w:widowControl/>
        <w:rPr>
          <w:b/>
          <w:i/>
          <w:szCs w:val="24"/>
        </w:rPr>
      </w:pPr>
      <w:r w:rsidRPr="005F0368">
        <w:rPr>
          <w:b/>
          <w:i/>
        </w:rPr>
        <w:t>Viestintä</w:t>
      </w:r>
    </w:p>
    <w:p w:rsidR="004E71A7" w:rsidRPr="005F0368" w:rsidRDefault="004E71A7" w:rsidP="004E71A7">
      <w:pPr>
        <w:pStyle w:val="NormalHanging12a"/>
        <w:widowControl/>
        <w:rPr>
          <w:szCs w:val="24"/>
        </w:rPr>
      </w:pPr>
      <w:r w:rsidRPr="005F0368">
        <w:t>56.</w:t>
      </w:r>
      <w:r w:rsidRPr="005F0368">
        <w:tab/>
        <w:t>panee merkille, että vuonna 2022 komitean viestinnän kokonaismäärärahat olivat 2,2 miljoonaa euroa, kun ne vuonna 2021 olivat 2,1 miljoonaa euroa, mikä merkitsee 4 prosentin lisäystä; panee merkille, että näistä määrärahoista käytettiin noin 439 000 euroa tapahtumiin, 795 000 euroa yhteydenpitoon tiedotusvälineiden kanssa ja 1 099 000 euroa digitaaliseen viestin</w:t>
      </w:r>
      <w:bookmarkStart w:id="9" w:name="_GoBack"/>
      <w:bookmarkEnd w:id="9"/>
      <w:r w:rsidRPr="005F0368">
        <w:t>tään; panee merkille, että komitean viestinnän tavoitteena on nostaa komitean institutionaalista ja poliittista profiilia unionin alueiden, kaupunkien, kylien ja kuntien edustajakokouksena sekä nostattaa sen jäsenten roolia;</w:t>
      </w:r>
    </w:p>
    <w:p w:rsidR="004E71A7" w:rsidRPr="005F0368" w:rsidRDefault="004E71A7" w:rsidP="004E71A7">
      <w:pPr>
        <w:pStyle w:val="NormalHanging12a"/>
        <w:widowControl/>
        <w:rPr>
          <w:szCs w:val="24"/>
        </w:rPr>
      </w:pPr>
      <w:r w:rsidRPr="005F0368">
        <w:t>57</w:t>
      </w:r>
      <w:r w:rsidR="002C42FC">
        <w:t>.</w:t>
      </w:r>
      <w:r w:rsidRPr="005F0368">
        <w:tab/>
        <w:t>panee merkille, että komitea isännöi vuonna 2022 edelleen kaikkien unionin toimielinten viestinnän pääosastojen pääjohtajien säännöllisiä kokouksia, joissa keskityttiin koordinoitujen viestintätoimien valmisteluun vuoden 2024 Euroopan parlamentin vaaleja silmällä pitäen; kannustaa komiteaa jatkamaan vuoden 2024 Euroopan parlamentin vaaleja koskevan institutionaalisen tiedotuskampanjan tukemista paikallisten ja alueellisten verkostojensa kautta;</w:t>
      </w:r>
    </w:p>
    <w:p w:rsidR="004E71A7" w:rsidRPr="005F0368" w:rsidRDefault="004E71A7" w:rsidP="004E71A7">
      <w:pPr>
        <w:pStyle w:val="NormalHanging12a"/>
        <w:widowControl/>
        <w:rPr>
          <w:szCs w:val="24"/>
        </w:rPr>
      </w:pPr>
      <w:r w:rsidRPr="005F0368">
        <w:t>58.</w:t>
      </w:r>
      <w:r w:rsidRPr="005F0368">
        <w:tab/>
        <w:t xml:space="preserve">suhtautuu myönteisesti komitean kehittämään datavetoiseen viestintästrategiaan, jolla pyritään kuromaan umpeen kuilua unionin kansalaisiin käyttämällä </w:t>
      </w:r>
      <w:proofErr w:type="spellStart"/>
      <w:r w:rsidRPr="005F0368">
        <w:t>paikallis</w:t>
      </w:r>
      <w:proofErr w:type="spellEnd"/>
      <w:r w:rsidRPr="005F0368">
        <w:t xml:space="preserve">- ja aluetason kerrannaiskanavia, kuten alue- ja paikallisvaltuutettujen eurooppalaista verkostoa, jossa oli 2 037 rekisteröitynyttä jäsentä vuoden 2022 lopussa, ja nuorten päättäjien ohjelmaa, jonka tapahtumiin osallistui 775 osallistujaa vuonna 2022, mikä on 15 prosenttia enemmän kuin vuonna 2021; panee merkille, että komitea on myös tarjonnut </w:t>
      </w:r>
      <w:proofErr w:type="spellStart"/>
      <w:r w:rsidRPr="005F0368">
        <w:t>paikallis</w:t>
      </w:r>
      <w:proofErr w:type="spellEnd"/>
      <w:r w:rsidRPr="005F0368">
        <w:t xml:space="preserve">- ja alueviranomaisille koulutusta ja käynnistänyt kansalaisten osallistumista ja osallistavaa demokratiaa koskevan valmiuksien kehittämishankkeen </w:t>
      </w:r>
      <w:r w:rsidRPr="005F0368">
        <w:lastRenderedPageBreak/>
        <w:t>nimeltä ”Uusi luku osallistavassa demokratiassa”; panee merkille, että komitean työvaliokunta kehotti marraskuussa 2022 kaikkia jäseniä käymään vähintään yhden vuoropuhelun vaalipiirissään joka vuosi; panee merkille, että komitea on luonut synergioita jäsenvaltioissa sijaitsevien Europe Direct ‑keskusten verkoston kanssa paikallisten tapahtumien järjestämiseksi;</w:t>
      </w:r>
    </w:p>
    <w:p w:rsidR="004E71A7" w:rsidRPr="005F0368" w:rsidRDefault="004E71A7" w:rsidP="004E71A7">
      <w:pPr>
        <w:pStyle w:val="NormalHanging12a"/>
        <w:widowControl/>
        <w:rPr>
          <w:szCs w:val="24"/>
        </w:rPr>
      </w:pPr>
      <w:r w:rsidRPr="005F0368">
        <w:t>59.</w:t>
      </w:r>
      <w:r w:rsidRPr="005F0368">
        <w:tab/>
        <w:t>panee merkille, että komitea jatkoi vuonna 2022 kolmen viestintäkampanjan toteuttamista sen toimikauden 2020–2025 kolmen poliittisen painopisteen mukaisesti, jotka ovat unioni lähemmäs kansalaisia, selviytymiskykyisten alue- ja paikallisyhteisöjen luominen ja yhteenkuuluvuuden edistäminen unionin perusarvona; suhtautuu myönteisesti komitean pyrkimyksiin laajentaa yleisöään digitaalisen viestinnän ja tiedotusvälineiden avulla ja toteaa, että vuonna 2022 tiedotusvälineissä oli siitä 18 890 mainintaa, mikä merkitsee 20 prosentin lisäystä vuosien 2020 ja 2022 välillä;</w:t>
      </w:r>
    </w:p>
    <w:p w:rsidR="004E71A7" w:rsidRPr="005F0368" w:rsidRDefault="004E71A7" w:rsidP="004E71A7">
      <w:pPr>
        <w:pStyle w:val="NormalHanging12a"/>
        <w:widowControl/>
        <w:rPr>
          <w:szCs w:val="24"/>
        </w:rPr>
      </w:pPr>
      <w:r w:rsidRPr="005F0368">
        <w:t>60.</w:t>
      </w:r>
      <w:r w:rsidRPr="005F0368">
        <w:tab/>
        <w:t xml:space="preserve">panee merkille, että vuoden 2022 lopussa komitealla oli sosiaalisen median kanavillaan 175 000 seuraajaa eli 16 prosenttia enemmän kuin vuonna 2021 ja heistä 54 800 seuraajaa X:ssä (aiemmin Twitter) (kasvua 8 prosenttia), 58 100 seuraajaa Facebookissa (kasvua 6 prosenttia), 52 100 seuraajaa </w:t>
      </w:r>
      <w:proofErr w:type="spellStart"/>
      <w:r w:rsidRPr="005F0368">
        <w:t>LinkedInissä</w:t>
      </w:r>
      <w:proofErr w:type="spellEnd"/>
      <w:r w:rsidRPr="005F0368">
        <w:t xml:space="preserve"> (kasvua 33 prosenttia) ja 10 500 seuraajaa Instagramissa (kasvua 67 prosenttia);</w:t>
      </w:r>
    </w:p>
    <w:p w:rsidR="00E365E1" w:rsidRPr="005F0368" w:rsidRDefault="004E71A7" w:rsidP="000622AF">
      <w:pPr>
        <w:pStyle w:val="NormalHanging12a"/>
        <w:widowControl/>
      </w:pPr>
      <w:r w:rsidRPr="005F0368">
        <w:t>61.</w:t>
      </w:r>
      <w:r w:rsidRPr="005F0368">
        <w:tab/>
        <w:t xml:space="preserve">panee merkille, että komitea osallistuu komission avoimen datan portaaliin antamalla siihen jäsenten tietoja ja lausuntoja koskevia data-aineistoja, ja lisäksi se käyttää ja edistää avointa dataa </w:t>
      </w:r>
      <w:proofErr w:type="spellStart"/>
      <w:r w:rsidRPr="005F0368">
        <w:t>paikallis</w:t>
      </w:r>
      <w:proofErr w:type="spellEnd"/>
      <w:r w:rsidRPr="005F0368">
        <w:t xml:space="preserve">- ja alueviranomaisten parissa vahvistaen siten toimintansa avoimuutta antamalla vapaasti saataville ihmisten ja koneellisesti luettavassa muodossa olevaa dataa ja lujittaa näin yhteyksiään kansalaisiin. </w:t>
      </w:r>
      <w:bookmarkStart w:id="10" w:name="TextBodyEnd"/>
      <w:bookmarkEnd w:id="10"/>
    </w:p>
    <w:sectPr w:rsidR="00E365E1" w:rsidRPr="005F0368" w:rsidSect="005F036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055" w:rsidRPr="005F0368" w:rsidRDefault="00543055">
      <w:r w:rsidRPr="005F0368">
        <w:separator/>
      </w:r>
    </w:p>
  </w:endnote>
  <w:endnote w:type="continuationSeparator" w:id="0">
    <w:p w:rsidR="00543055" w:rsidRPr="005F0368" w:rsidRDefault="00543055">
      <w:r w:rsidRPr="005F03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1A7" w:rsidRPr="005F0368" w:rsidRDefault="004E71A7" w:rsidP="00801B02">
    <w:pPr>
      <w:pStyle w:val="EPFooter"/>
    </w:pPr>
    <w:r w:rsidRPr="005F0368">
      <w:t>PE</w:t>
    </w:r>
    <w:r w:rsidRPr="005F0368">
      <w:rPr>
        <w:rStyle w:val="HideTWBExt"/>
      </w:rPr>
      <w:t>&lt;</w:t>
    </w:r>
    <w:proofErr w:type="spellStart"/>
    <w:r w:rsidRPr="005F0368">
      <w:rPr>
        <w:rStyle w:val="HideTWBExt"/>
      </w:rPr>
      <w:t>NoPE</w:t>
    </w:r>
    <w:proofErr w:type="spellEnd"/>
    <w:r w:rsidRPr="005F0368">
      <w:rPr>
        <w:rStyle w:val="HideTWBExt"/>
      </w:rPr>
      <w:t>&gt;</w:t>
    </w:r>
    <w:r w:rsidRPr="005F0368">
      <w:t>753.484</w:t>
    </w:r>
    <w:r w:rsidRPr="005F0368">
      <w:rPr>
        <w:rStyle w:val="HideTWBExt"/>
      </w:rPr>
      <w:t>&lt;/</w:t>
    </w:r>
    <w:proofErr w:type="spellStart"/>
    <w:r w:rsidRPr="005F0368">
      <w:rPr>
        <w:rStyle w:val="HideTWBExt"/>
      </w:rPr>
      <w:t>NoPE</w:t>
    </w:r>
    <w:proofErr w:type="spellEnd"/>
    <w:r w:rsidRPr="005F0368">
      <w:rPr>
        <w:rStyle w:val="HideTWBExt"/>
      </w:rPr>
      <w:t>&gt;&lt;Version&gt;</w:t>
    </w:r>
    <w:r w:rsidRPr="005F0368">
      <w:t>v02-00</w:t>
    </w:r>
    <w:r w:rsidRPr="005F0368">
      <w:rPr>
        <w:rStyle w:val="HideTWBExt"/>
      </w:rPr>
      <w:t>&lt;/Version&gt;</w:t>
    </w:r>
    <w:r w:rsidRPr="005F0368">
      <w:tab/>
    </w:r>
    <w:r w:rsidRPr="005F0368">
      <w:fldChar w:fldCharType="begin"/>
    </w:r>
    <w:r w:rsidRPr="005F0368">
      <w:instrText xml:space="preserve"> PAGE  \* MERGEFORMAT </w:instrText>
    </w:r>
    <w:r w:rsidRPr="005F0368">
      <w:fldChar w:fldCharType="separate"/>
    </w:r>
    <w:r w:rsidR="005F0368" w:rsidRPr="005F0368">
      <w:rPr>
        <w:noProof/>
      </w:rPr>
      <w:t>2</w:t>
    </w:r>
    <w:r w:rsidRPr="005F0368">
      <w:fldChar w:fldCharType="end"/>
    </w:r>
    <w:r w:rsidRPr="005F0368">
      <w:t>/</w:t>
    </w:r>
    <w:fldSimple w:instr=" NUMPAGES  \* MERGEFORMAT ">
      <w:r w:rsidR="005F0368" w:rsidRPr="005F0368">
        <w:rPr>
          <w:noProof/>
        </w:rPr>
        <w:t>4</w:t>
      </w:r>
    </w:fldSimple>
    <w:r w:rsidRPr="005F0368">
      <w:tab/>
    </w:r>
    <w:r w:rsidRPr="005F0368">
      <w:rPr>
        <w:rStyle w:val="HideTWBExt"/>
      </w:rPr>
      <w:t>&lt;PathFdR&gt;</w:t>
    </w:r>
    <w:r w:rsidRPr="005F0368">
      <w:t>RR\1298489FI.docx</w:t>
    </w:r>
    <w:r w:rsidRPr="005F0368">
      <w:rPr>
        <w:rStyle w:val="HideTWBExt"/>
      </w:rPr>
      <w:t>&lt;/</w:t>
    </w:r>
    <w:proofErr w:type="spellStart"/>
    <w:r w:rsidRPr="005F0368">
      <w:rPr>
        <w:rStyle w:val="HideTWBExt"/>
      </w:rPr>
      <w:t>PathFdR</w:t>
    </w:r>
    <w:proofErr w:type="spellEnd"/>
    <w:r w:rsidRPr="005F0368">
      <w:rPr>
        <w:rStyle w:val="HideTWBExt"/>
      </w:rPr>
      <w:t>&gt;</w:t>
    </w:r>
  </w:p>
  <w:p w:rsidR="004E71A7" w:rsidRPr="005F0368" w:rsidRDefault="004E71A7" w:rsidP="00801B02">
    <w:pPr>
      <w:pStyle w:val="EPFooter2"/>
    </w:pPr>
    <w:r w:rsidRPr="005F0368">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1A7" w:rsidRPr="005F0368" w:rsidRDefault="004E71A7" w:rsidP="00801B02">
    <w:pPr>
      <w:pStyle w:val="EPFooter"/>
    </w:pPr>
    <w:r w:rsidRPr="005F0368">
      <w:rPr>
        <w:rStyle w:val="HideTWBExt"/>
      </w:rPr>
      <w:t>&lt;PathFdR&gt;</w:t>
    </w:r>
    <w:r w:rsidRPr="005F0368">
      <w:t>RR\1298489FI.docx</w:t>
    </w:r>
    <w:r w:rsidRPr="005F0368">
      <w:rPr>
        <w:rStyle w:val="HideTWBExt"/>
      </w:rPr>
      <w:t>&lt;/</w:t>
    </w:r>
    <w:proofErr w:type="spellStart"/>
    <w:r w:rsidRPr="005F0368">
      <w:rPr>
        <w:rStyle w:val="HideTWBExt"/>
      </w:rPr>
      <w:t>PathFdR</w:t>
    </w:r>
    <w:proofErr w:type="spellEnd"/>
    <w:r w:rsidRPr="005F0368">
      <w:rPr>
        <w:rStyle w:val="HideTWBExt"/>
      </w:rPr>
      <w:t>&gt;</w:t>
    </w:r>
    <w:r w:rsidRPr="005F0368">
      <w:tab/>
    </w:r>
    <w:r w:rsidRPr="005F0368">
      <w:tab/>
      <w:t>PE</w:t>
    </w:r>
    <w:r w:rsidRPr="005F0368">
      <w:rPr>
        <w:rStyle w:val="HideTWBExt"/>
      </w:rPr>
      <w:t>&lt;</w:t>
    </w:r>
    <w:proofErr w:type="spellStart"/>
    <w:r w:rsidRPr="005F0368">
      <w:rPr>
        <w:rStyle w:val="HideTWBExt"/>
      </w:rPr>
      <w:t>NoPE</w:t>
    </w:r>
    <w:proofErr w:type="spellEnd"/>
    <w:r w:rsidRPr="005F0368">
      <w:rPr>
        <w:rStyle w:val="HideTWBExt"/>
      </w:rPr>
      <w:t>&gt;</w:t>
    </w:r>
    <w:r w:rsidRPr="005F0368">
      <w:t>753.484</w:t>
    </w:r>
    <w:r w:rsidRPr="005F0368">
      <w:rPr>
        <w:rStyle w:val="HideTWBExt"/>
      </w:rPr>
      <w:t>&lt;/</w:t>
    </w:r>
    <w:proofErr w:type="spellStart"/>
    <w:r w:rsidRPr="005F0368">
      <w:rPr>
        <w:rStyle w:val="HideTWBExt"/>
      </w:rPr>
      <w:t>NoPE</w:t>
    </w:r>
    <w:proofErr w:type="spellEnd"/>
    <w:r w:rsidRPr="005F0368">
      <w:rPr>
        <w:rStyle w:val="HideTWBExt"/>
      </w:rPr>
      <w:t>&gt;&lt;Version&gt;</w:t>
    </w:r>
    <w:r w:rsidRPr="005F0368">
      <w:t>v02-00</w:t>
    </w:r>
    <w:r w:rsidRPr="005F0368">
      <w:rPr>
        <w:rStyle w:val="HideTWBExt"/>
      </w:rPr>
      <w:t>&lt;/Version&gt;</w:t>
    </w:r>
  </w:p>
  <w:p w:rsidR="004E71A7" w:rsidRPr="005F0368" w:rsidRDefault="004E71A7" w:rsidP="00801B02">
    <w:pPr>
      <w:pStyle w:val="EPFooter2"/>
    </w:pPr>
    <w:r w:rsidRPr="005F0368">
      <w:t>FI</w:t>
    </w:r>
    <w:r w:rsidRPr="005F0368">
      <w:tab/>
    </w:r>
    <w:r w:rsidRPr="005F0368">
      <w:rPr>
        <w:b w:val="0"/>
        <w:i/>
        <w:color w:val="C0C0C0"/>
        <w:sz w:val="22"/>
      </w:rPr>
      <w:t>Moninaisuudessaan yhtenäinen</w:t>
    </w:r>
    <w:r w:rsidRPr="005F0368">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036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22AF" w:rsidRDefault="00064002" w:rsidP="000622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03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055" w:rsidRPr="005F0368" w:rsidRDefault="00543055">
      <w:r w:rsidRPr="005F0368">
        <w:separator/>
      </w:r>
    </w:p>
  </w:footnote>
  <w:footnote w:type="continuationSeparator" w:id="0">
    <w:p w:rsidR="00543055" w:rsidRPr="005F0368" w:rsidRDefault="00543055">
      <w:r w:rsidRPr="005F0368">
        <w:continuationSeparator/>
      </w:r>
    </w:p>
  </w:footnote>
  <w:footnote w:id="1">
    <w:p w:rsidR="004E71A7" w:rsidRPr="005F0368" w:rsidRDefault="004E71A7" w:rsidP="005F0368">
      <w:pPr>
        <w:pStyle w:val="FootnoteText"/>
        <w:ind w:left="567" w:hanging="567"/>
        <w:rPr>
          <w:sz w:val="24"/>
          <w:lang w:val="fi-FI"/>
        </w:rPr>
      </w:pPr>
      <w:r w:rsidRPr="005F0368">
        <w:rPr>
          <w:rStyle w:val="FootnoteReference"/>
          <w:sz w:val="24"/>
          <w:lang w:val="fi-FI"/>
        </w:rPr>
        <w:footnoteRef/>
      </w:r>
      <w:r w:rsidR="005F0368" w:rsidRPr="005F0368">
        <w:rPr>
          <w:sz w:val="24"/>
          <w:lang w:val="fi-FI"/>
        </w:rPr>
        <w:t xml:space="preserve"> </w:t>
      </w:r>
      <w:r w:rsidR="005F0368" w:rsidRPr="005F0368">
        <w:rPr>
          <w:sz w:val="24"/>
          <w:lang w:val="fi-FI"/>
        </w:rPr>
        <w:tab/>
      </w:r>
      <w:r w:rsidRPr="005F0368">
        <w:rPr>
          <w:sz w:val="24"/>
          <w:lang w:val="fi-FI"/>
        </w:rPr>
        <w:t>EUVL L 45, 24.2.2022.</w:t>
      </w:r>
    </w:p>
  </w:footnote>
  <w:footnote w:id="2">
    <w:p w:rsidR="004E71A7" w:rsidRPr="005F0368" w:rsidRDefault="004E71A7" w:rsidP="005F0368">
      <w:pPr>
        <w:pStyle w:val="FootnoteText"/>
        <w:ind w:left="567" w:hanging="567"/>
        <w:rPr>
          <w:sz w:val="24"/>
          <w:lang w:val="fi-FI"/>
        </w:rPr>
      </w:pPr>
      <w:r w:rsidRPr="005F0368">
        <w:rPr>
          <w:rStyle w:val="FootnoteReference"/>
          <w:sz w:val="24"/>
          <w:lang w:val="fi-FI"/>
        </w:rPr>
        <w:footnoteRef/>
      </w:r>
      <w:r w:rsidR="005F0368" w:rsidRPr="005F0368">
        <w:rPr>
          <w:sz w:val="24"/>
          <w:lang w:val="fi-FI"/>
        </w:rPr>
        <w:t xml:space="preserve"> </w:t>
      </w:r>
      <w:r w:rsidR="005F0368" w:rsidRPr="005F0368">
        <w:rPr>
          <w:sz w:val="24"/>
          <w:lang w:val="fi-FI"/>
        </w:rPr>
        <w:tab/>
      </w:r>
      <w:r w:rsidRPr="005F0368">
        <w:rPr>
          <w:sz w:val="24"/>
          <w:lang w:val="fi-FI"/>
        </w:rPr>
        <w:t>EUVL C, C/2023/2, 12.10.2023.</w:t>
      </w:r>
    </w:p>
  </w:footnote>
  <w:footnote w:id="3">
    <w:p w:rsidR="004E71A7" w:rsidRPr="005F0368" w:rsidRDefault="004E71A7" w:rsidP="005F0368">
      <w:pPr>
        <w:pStyle w:val="FootnoteText"/>
        <w:ind w:left="567" w:hanging="567"/>
        <w:rPr>
          <w:sz w:val="24"/>
          <w:lang w:val="fi-FI"/>
        </w:rPr>
      </w:pPr>
      <w:r w:rsidRPr="005F0368">
        <w:rPr>
          <w:rStyle w:val="FootnoteReference"/>
          <w:sz w:val="24"/>
          <w:lang w:val="fi-FI"/>
        </w:rPr>
        <w:footnoteRef/>
      </w:r>
      <w:r w:rsidR="005F0368" w:rsidRPr="005F0368">
        <w:rPr>
          <w:sz w:val="24"/>
          <w:lang w:val="fi-FI"/>
        </w:rPr>
        <w:t xml:space="preserve"> </w:t>
      </w:r>
      <w:r w:rsidR="005F0368" w:rsidRPr="005F0368">
        <w:rPr>
          <w:sz w:val="24"/>
          <w:lang w:val="fi-FI"/>
        </w:rPr>
        <w:tab/>
      </w:r>
      <w:r w:rsidRPr="005F0368">
        <w:rPr>
          <w:sz w:val="24"/>
          <w:lang w:val="fi-FI"/>
        </w:rPr>
        <w:t>EUVL C, C/2023/103, 4.10.2023.</w:t>
      </w:r>
    </w:p>
  </w:footnote>
  <w:footnote w:id="4">
    <w:p w:rsidR="004E71A7" w:rsidRPr="005F0368" w:rsidRDefault="004E71A7" w:rsidP="005F0368">
      <w:pPr>
        <w:pStyle w:val="FootnoteText"/>
        <w:ind w:left="567" w:hanging="567"/>
        <w:rPr>
          <w:sz w:val="24"/>
          <w:lang w:val="fi-FI"/>
        </w:rPr>
      </w:pPr>
      <w:r w:rsidRPr="005F0368">
        <w:rPr>
          <w:rStyle w:val="FootnoteReference"/>
          <w:sz w:val="24"/>
          <w:lang w:val="fi-FI"/>
        </w:rPr>
        <w:footnoteRef/>
      </w:r>
      <w:r w:rsidR="005F0368" w:rsidRPr="005F0368">
        <w:rPr>
          <w:sz w:val="24"/>
          <w:lang w:val="fi-FI"/>
        </w:rPr>
        <w:t xml:space="preserve"> </w:t>
      </w:r>
      <w:r w:rsidR="005F0368" w:rsidRPr="005F0368">
        <w:rPr>
          <w:sz w:val="24"/>
          <w:lang w:val="fi-FI"/>
        </w:rPr>
        <w:tab/>
      </w:r>
      <w:r w:rsidRPr="005F0368">
        <w:rPr>
          <w:sz w:val="24"/>
          <w:lang w:val="fi-FI"/>
        </w:rPr>
        <w:t>EUVL C, C/2023/112, 12.10.2023.</w:t>
      </w:r>
    </w:p>
  </w:footnote>
  <w:footnote w:id="5">
    <w:p w:rsidR="004E71A7" w:rsidRPr="005F0368" w:rsidRDefault="004E71A7" w:rsidP="005F0368">
      <w:pPr>
        <w:pStyle w:val="FootnoteText"/>
        <w:ind w:left="567" w:hanging="567"/>
        <w:rPr>
          <w:sz w:val="24"/>
          <w:lang w:val="fi-FI"/>
        </w:rPr>
      </w:pPr>
      <w:r w:rsidRPr="005F0368">
        <w:rPr>
          <w:rStyle w:val="FootnoteReference"/>
          <w:sz w:val="24"/>
          <w:lang w:val="fi-FI"/>
        </w:rPr>
        <w:footnoteRef/>
      </w:r>
      <w:r w:rsidR="005F0368" w:rsidRPr="005F0368">
        <w:rPr>
          <w:sz w:val="24"/>
          <w:lang w:val="fi-FI"/>
        </w:rPr>
        <w:t xml:space="preserve"> </w:t>
      </w:r>
      <w:r w:rsidR="005F0368" w:rsidRPr="005F0368">
        <w:rPr>
          <w:sz w:val="24"/>
          <w:lang w:val="fi-FI"/>
        </w:rPr>
        <w:tab/>
      </w:r>
      <w:r w:rsidRPr="005F0368">
        <w:rPr>
          <w:sz w:val="24"/>
          <w:lang w:val="fi-FI"/>
        </w:rPr>
        <w:t>EUVL L 193, 30.7.2018, s. 1.</w:t>
      </w:r>
    </w:p>
  </w:footnote>
  <w:footnote w:id="6">
    <w:p w:rsidR="004E71A7" w:rsidRPr="005F0368" w:rsidRDefault="004E71A7" w:rsidP="005F0368">
      <w:pPr>
        <w:pStyle w:val="FootnoteText"/>
        <w:ind w:left="567" w:hanging="567"/>
        <w:rPr>
          <w:sz w:val="24"/>
          <w:lang w:val="fi-FI"/>
        </w:rPr>
      </w:pPr>
      <w:r w:rsidRPr="005F0368">
        <w:rPr>
          <w:rStyle w:val="FootnoteReference"/>
          <w:sz w:val="24"/>
          <w:lang w:val="fi-FI"/>
        </w:rPr>
        <w:footnoteRef/>
      </w:r>
      <w:r w:rsidR="005F0368" w:rsidRPr="005F0368">
        <w:rPr>
          <w:sz w:val="24"/>
          <w:lang w:val="fi-FI"/>
        </w:rPr>
        <w:t xml:space="preserve"> </w:t>
      </w:r>
      <w:r w:rsidR="005F0368" w:rsidRPr="005F0368">
        <w:rPr>
          <w:sz w:val="24"/>
          <w:lang w:val="fi-FI"/>
        </w:rPr>
        <w:tab/>
      </w:r>
      <w:r w:rsidRPr="005F0368">
        <w:rPr>
          <w:sz w:val="24"/>
          <w:lang w:val="fi-FI"/>
        </w:rPr>
        <w:t>EUVL C 324, 1.10.2020, s. 8.</w:t>
      </w:r>
    </w:p>
  </w:footnote>
  <w:footnote w:id="7">
    <w:p w:rsidR="004E71A7" w:rsidRPr="005F0368" w:rsidRDefault="004E71A7" w:rsidP="005F0368">
      <w:pPr>
        <w:pStyle w:val="FootnoteText"/>
        <w:ind w:left="567" w:hanging="567"/>
        <w:rPr>
          <w:sz w:val="24"/>
          <w:lang w:val="fi-FI"/>
        </w:rPr>
      </w:pPr>
      <w:r w:rsidRPr="005F0368">
        <w:rPr>
          <w:rStyle w:val="FootnoteReference"/>
          <w:sz w:val="24"/>
          <w:lang w:val="fi-FI"/>
        </w:rPr>
        <w:footnoteRef/>
      </w:r>
      <w:r w:rsidR="005F0368" w:rsidRPr="005F0368">
        <w:rPr>
          <w:sz w:val="24"/>
          <w:lang w:val="fi-FI"/>
        </w:rPr>
        <w:t xml:space="preserve"> </w:t>
      </w:r>
      <w:r w:rsidR="005F0368" w:rsidRPr="005F0368">
        <w:rPr>
          <w:sz w:val="24"/>
          <w:lang w:val="fi-FI"/>
        </w:rPr>
        <w:tab/>
      </w:r>
      <w:r w:rsidRPr="005F0368">
        <w:rPr>
          <w:sz w:val="24"/>
          <w:lang w:val="fi-FI"/>
        </w:rPr>
        <w:t>EUVL C 32, 27.1.2023, s.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03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03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03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FI"/>
    <w:docVar w:name="dvnumam" w:val="0"/>
    <w:docVar w:name="dvpe" w:val="753.484"/>
    <w:docVar w:name="dvrapporteur" w:val="Esittelijä: "/>
    <w:docVar w:name="dvtitre" w:val="1. Euroopan parlamentin päätöslauselma 10. huhtikuuta 2024 vastuuvapauden myöntämisestä Euroopan unionin yleisen talousarvion toteuttamisesta varainhoitovuonna 2022, pääluokka VII – Alueiden komitea(2023/2136(DEC))"/>
  </w:docVars>
  <w:rsids>
    <w:rsidRoot w:val="00543055"/>
    <w:rsid w:val="00002272"/>
    <w:rsid w:val="000622AF"/>
    <w:rsid w:val="00064002"/>
    <w:rsid w:val="000677B9"/>
    <w:rsid w:val="000831BA"/>
    <w:rsid w:val="000A42CC"/>
    <w:rsid w:val="000E7DD9"/>
    <w:rsid w:val="0010095E"/>
    <w:rsid w:val="00125B37"/>
    <w:rsid w:val="00187494"/>
    <w:rsid w:val="001F32AE"/>
    <w:rsid w:val="002767FF"/>
    <w:rsid w:val="002B18FE"/>
    <w:rsid w:val="002B5493"/>
    <w:rsid w:val="002C42FC"/>
    <w:rsid w:val="00343214"/>
    <w:rsid w:val="00355032"/>
    <w:rsid w:val="00361C00"/>
    <w:rsid w:val="00391D40"/>
    <w:rsid w:val="00395FA1"/>
    <w:rsid w:val="003E15D4"/>
    <w:rsid w:val="00411CCE"/>
    <w:rsid w:val="0041666E"/>
    <w:rsid w:val="00421060"/>
    <w:rsid w:val="00471C19"/>
    <w:rsid w:val="004867E3"/>
    <w:rsid w:val="00494A28"/>
    <w:rsid w:val="004C0004"/>
    <w:rsid w:val="004C5D52"/>
    <w:rsid w:val="004E71A7"/>
    <w:rsid w:val="0050519A"/>
    <w:rsid w:val="005072A1"/>
    <w:rsid w:val="00514517"/>
    <w:rsid w:val="00543055"/>
    <w:rsid w:val="00545827"/>
    <w:rsid w:val="00560270"/>
    <w:rsid w:val="005C2568"/>
    <w:rsid w:val="005F03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00D24"/>
  <w15:chartTrackingRefBased/>
  <w15:docId w15:val="{9B8D7480-A247-41CE-954B-A84582700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E71A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E71A7"/>
    <w:pPr>
      <w:spacing w:before="480" w:after="240"/>
    </w:pPr>
  </w:style>
  <w:style w:type="paragraph" w:customStyle="1" w:styleId="PageHeading">
    <w:name w:val="PageHeading"/>
    <w:basedOn w:val="Normal"/>
    <w:rsid w:val="004E71A7"/>
    <w:pPr>
      <w:keepNext/>
      <w:spacing w:after="480"/>
      <w:jc w:val="center"/>
    </w:pPr>
    <w:rPr>
      <w:rFonts w:ascii="Arial" w:hAnsi="Arial" w:cs="Arial"/>
      <w:b/>
    </w:rPr>
  </w:style>
  <w:style w:type="paragraph" w:customStyle="1" w:styleId="NormalBold">
    <w:name w:val="NormalBold"/>
    <w:basedOn w:val="Normal"/>
    <w:rsid w:val="004E71A7"/>
    <w:rPr>
      <w:b/>
    </w:rPr>
  </w:style>
  <w:style w:type="paragraph" w:customStyle="1" w:styleId="NormalHanging12a">
    <w:name w:val="NormalHanging12a"/>
    <w:basedOn w:val="Normal"/>
    <w:link w:val="NormalHanging12aChar"/>
    <w:qFormat/>
    <w:rsid w:val="004E71A7"/>
    <w:pPr>
      <w:spacing w:after="240"/>
      <w:ind w:left="567" w:hanging="567"/>
    </w:pPr>
  </w:style>
  <w:style w:type="paragraph" w:styleId="Header">
    <w:name w:val="header"/>
    <w:basedOn w:val="Normal"/>
    <w:link w:val="HeaderChar"/>
    <w:rsid w:val="004E71A7"/>
    <w:pPr>
      <w:tabs>
        <w:tab w:val="center" w:pos="4513"/>
        <w:tab w:val="right" w:pos="9026"/>
      </w:tabs>
    </w:pPr>
  </w:style>
  <w:style w:type="character" w:customStyle="1" w:styleId="HeaderChar">
    <w:name w:val="Header Char"/>
    <w:basedOn w:val="DefaultParagraphFont"/>
    <w:link w:val="Header"/>
    <w:rsid w:val="004E71A7"/>
    <w:rPr>
      <w:sz w:val="24"/>
      <w:lang w:val="fi-FI"/>
    </w:rPr>
  </w:style>
  <w:style w:type="paragraph" w:customStyle="1" w:styleId="EPFooter">
    <w:name w:val="EPFooter"/>
    <w:basedOn w:val="Normal"/>
    <w:rsid w:val="004E71A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4E71A7"/>
    <w:rPr>
      <w:sz w:val="24"/>
      <w:lang w:val="fi-FI"/>
    </w:rPr>
  </w:style>
  <w:style w:type="paragraph" w:styleId="Footer">
    <w:name w:val="footer"/>
    <w:basedOn w:val="Normal"/>
    <w:link w:val="FooterChar"/>
    <w:rsid w:val="000622AF"/>
    <w:pPr>
      <w:tabs>
        <w:tab w:val="center" w:pos="4513"/>
        <w:tab w:val="right" w:pos="9026"/>
      </w:tabs>
    </w:pPr>
  </w:style>
  <w:style w:type="character" w:customStyle="1" w:styleId="FooterChar">
    <w:name w:val="Footer Char"/>
    <w:basedOn w:val="DefaultParagraphFont"/>
    <w:link w:val="Footer"/>
    <w:rsid w:val="000622A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1B332-AED4-4B6B-AD01-2DDAEB199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4846</Words>
  <Characters>40215</Characters>
  <Application>Microsoft Office Word</Application>
  <DocSecurity>0</DocSecurity>
  <Lines>335</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2024-05-15T11:54:00Z</dcterms:created>
  <dcterms:modified xsi:type="dcterms:W3CDTF">2024-05-15T11:54:00Z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P9_TA(2024)0233_</vt:lpwstr>
  </property>
  <property fmtid="{D5CDD505-2E9C-101B-9397-08002B2CF9AE}" pid="4" name="&lt;Type&gt;">
    <vt:lpwstr>RR</vt:lpwstr>
  </property>
</Properties>
</file>