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7D34" w:rsidTr="0010095E">
        <w:trPr>
          <w:trHeight w:hRule="exact" w:val="1418"/>
        </w:trPr>
        <w:tc>
          <w:tcPr>
            <w:tcW w:w="6804" w:type="dxa"/>
            <w:shd w:val="clear" w:color="auto" w:fill="auto"/>
            <w:vAlign w:val="center"/>
          </w:tcPr>
          <w:p w:rsidR="00751A4A" w:rsidRPr="00F87D34" w:rsidRDefault="001A6FCF" w:rsidP="0010095E">
            <w:pPr>
              <w:pStyle w:val="EPName"/>
            </w:pPr>
            <w:r w:rsidRPr="00F87D34">
              <w:t>Parlamentul European</w:t>
            </w:r>
          </w:p>
          <w:p w:rsidR="00751A4A" w:rsidRPr="00F87D34" w:rsidRDefault="00817416" w:rsidP="00756632">
            <w:pPr>
              <w:pStyle w:val="EPTerm"/>
              <w:rPr>
                <w:rStyle w:val="HideTWBExt"/>
                <w:noProof w:val="0"/>
                <w:vanish w:val="0"/>
                <w:color w:val="auto"/>
              </w:rPr>
            </w:pPr>
            <w:r w:rsidRPr="00F87D34">
              <w:t>2019-2024</w:t>
            </w:r>
          </w:p>
        </w:tc>
        <w:tc>
          <w:tcPr>
            <w:tcW w:w="2268" w:type="dxa"/>
            <w:shd w:val="clear" w:color="auto" w:fill="auto"/>
          </w:tcPr>
          <w:p w:rsidR="00751A4A" w:rsidRPr="00F87D34" w:rsidRDefault="00187494" w:rsidP="0010095E">
            <w:pPr>
              <w:pStyle w:val="EPLogo"/>
            </w:pPr>
            <w:r w:rsidRPr="00F87D3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87D34" w:rsidRDefault="00D058B8" w:rsidP="004C5D52">
      <w:pPr>
        <w:pStyle w:val="LineTop"/>
      </w:pPr>
    </w:p>
    <w:p w:rsidR="00680577" w:rsidRPr="00F87D34" w:rsidRDefault="001A6FCF" w:rsidP="00680577">
      <w:pPr>
        <w:pStyle w:val="EPBodyTA1"/>
      </w:pPr>
      <w:r w:rsidRPr="00F87D34">
        <w:t>TEXTE ADOPTATE</w:t>
      </w:r>
    </w:p>
    <w:p w:rsidR="00D058B8" w:rsidRPr="00F87D34" w:rsidRDefault="00D058B8" w:rsidP="00D058B8">
      <w:pPr>
        <w:pStyle w:val="LineBottom"/>
      </w:pPr>
    </w:p>
    <w:p w:rsidR="001A6FCF" w:rsidRPr="00F87D34" w:rsidRDefault="001A6FCF" w:rsidP="001A6FCF">
      <w:pPr>
        <w:pStyle w:val="ATHeading1"/>
      </w:pPr>
      <w:bookmarkStart w:id="0" w:name="TANumber"/>
      <w:r w:rsidRPr="00F87D34">
        <w:t>P9_TA(2024)0</w:t>
      </w:r>
      <w:bookmarkEnd w:id="0"/>
      <w:r w:rsidR="002C01C7" w:rsidRPr="00F87D34">
        <w:t>233</w:t>
      </w:r>
    </w:p>
    <w:p w:rsidR="001A6FCF" w:rsidRPr="00F87D34" w:rsidRDefault="001A6FCF" w:rsidP="001A6FCF">
      <w:pPr>
        <w:pStyle w:val="ATHeading2"/>
      </w:pPr>
      <w:bookmarkStart w:id="1" w:name="title"/>
      <w:r w:rsidRPr="00F87D34">
        <w:t>Descărcarea de gestiune 2022: bugetul general al UE - Comitetul Regiunilor</w:t>
      </w:r>
      <w:bookmarkEnd w:id="1"/>
    </w:p>
    <w:p w:rsidR="001A6FCF" w:rsidRPr="00F87D34" w:rsidRDefault="001A6FCF" w:rsidP="001A6FCF">
      <w:pPr>
        <w:rPr>
          <w:i/>
          <w:vanish/>
        </w:rPr>
      </w:pPr>
      <w:r w:rsidRPr="00F87D34">
        <w:rPr>
          <w:i/>
        </w:rPr>
        <w:fldChar w:fldCharType="begin"/>
      </w:r>
      <w:r w:rsidRPr="00F87D34">
        <w:rPr>
          <w:i/>
        </w:rPr>
        <w:instrText xml:space="preserve"> TC"(</w:instrText>
      </w:r>
      <w:bookmarkStart w:id="2" w:name="DocNumber"/>
      <w:r w:rsidRPr="00F87D34">
        <w:rPr>
          <w:i/>
        </w:rPr>
        <w:instrText>A9-0073/2024</w:instrText>
      </w:r>
      <w:bookmarkEnd w:id="2"/>
      <w:r w:rsidRPr="00F87D34">
        <w:rPr>
          <w:i/>
        </w:rPr>
        <w:instrText xml:space="preserve"> - Raportor: Luke Ming Flanagan)"\l3 \n&gt; \* MERGEFORMAT </w:instrText>
      </w:r>
      <w:r w:rsidRPr="00F87D34">
        <w:rPr>
          <w:i/>
        </w:rPr>
        <w:fldChar w:fldCharType="end"/>
      </w:r>
    </w:p>
    <w:p w:rsidR="001A6FCF" w:rsidRPr="00F87D34" w:rsidRDefault="001A6FCF" w:rsidP="001A6FCF">
      <w:pPr>
        <w:rPr>
          <w:vanish/>
        </w:rPr>
      </w:pPr>
      <w:bookmarkStart w:id="3" w:name="Commission"/>
      <w:r w:rsidRPr="00F87D34">
        <w:rPr>
          <w:vanish/>
        </w:rPr>
        <w:t>Comisia pentru control bugetar</w:t>
      </w:r>
      <w:bookmarkEnd w:id="3"/>
    </w:p>
    <w:p w:rsidR="001A6FCF" w:rsidRPr="00F87D34" w:rsidRDefault="001A6FCF" w:rsidP="001A6FCF">
      <w:pPr>
        <w:rPr>
          <w:vanish/>
        </w:rPr>
      </w:pPr>
      <w:bookmarkStart w:id="4" w:name="PE"/>
      <w:r w:rsidRPr="00F87D34">
        <w:rPr>
          <w:vanish/>
        </w:rPr>
        <w:t>PE753.484</w:t>
      </w:r>
      <w:bookmarkEnd w:id="4"/>
    </w:p>
    <w:p w:rsidR="001A6FCF" w:rsidRPr="00F87D34" w:rsidRDefault="001A6FCF" w:rsidP="0009362B">
      <w:pPr>
        <w:pStyle w:val="ATHeading3"/>
      </w:pPr>
      <w:bookmarkStart w:id="5" w:name="Sujet"/>
      <w:r w:rsidRPr="00F87D34">
        <w:t>1. Decizia Parlamentului European din 11 aprilie 2024 privind descărcarea de gestiune pentru execuția bugetului general al Uniunii Europene aferent exercițiului financiar 2022, secțiunea VII - Comitetul Regiunilor</w:t>
      </w:r>
      <w:bookmarkEnd w:id="5"/>
      <w:r w:rsidRPr="00F87D34">
        <w:t xml:space="preserve"> </w:t>
      </w:r>
      <w:bookmarkStart w:id="6" w:name="References"/>
      <w:r w:rsidRPr="00F87D34">
        <w:t>(2023/2136(DEC))</w:t>
      </w:r>
      <w:bookmarkEnd w:id="6"/>
    </w:p>
    <w:p w:rsidR="00FC5419" w:rsidRPr="00F87D34" w:rsidRDefault="00FC5419" w:rsidP="00FC5419">
      <w:pPr>
        <w:pStyle w:val="EPComma"/>
      </w:pPr>
      <w:bookmarkStart w:id="7" w:name="TextBodyBegin"/>
      <w:bookmarkEnd w:id="7"/>
      <w:r w:rsidRPr="00F87D34">
        <w:rPr>
          <w:i/>
          <w:iCs/>
        </w:rPr>
        <w:t>Parlamentul European</w:t>
      </w:r>
      <w:r w:rsidRPr="00F87D34">
        <w:t>,</w:t>
      </w:r>
    </w:p>
    <w:p w:rsidR="00FC5419" w:rsidRPr="00F87D34" w:rsidRDefault="00FC5419" w:rsidP="00FC5419">
      <w:pPr>
        <w:pStyle w:val="NormalHanging12a"/>
      </w:pPr>
      <w:r w:rsidRPr="00F87D34">
        <w:t>–</w:t>
      </w:r>
      <w:r w:rsidRPr="00F87D34">
        <w:tab/>
        <w:t>având în vedere bugetul general al Uniunii Europene aferent exercițiului financiar 2022</w:t>
      </w:r>
      <w:r w:rsidRPr="00F87D34">
        <w:rPr>
          <w:rStyle w:val="FootnoteReference"/>
        </w:rPr>
        <w:footnoteReference w:id="1"/>
      </w:r>
      <w:r w:rsidRPr="00F87D34">
        <w:t>,</w:t>
      </w:r>
    </w:p>
    <w:p w:rsidR="00FC5419" w:rsidRPr="00F87D34" w:rsidRDefault="00FC5419" w:rsidP="00FC5419">
      <w:pPr>
        <w:pStyle w:val="NormalHanging12a"/>
      </w:pPr>
      <w:r w:rsidRPr="00F87D34">
        <w:t>–</w:t>
      </w:r>
      <w:r w:rsidRPr="00F87D34">
        <w:tab/>
        <w:t>având în vedere conturile anuale consolidate ale Uniunii Europene pentru exercițiul financiar 2022 (COM(2023)0391 – C9‑0255/2023)</w:t>
      </w:r>
      <w:r w:rsidRPr="00F87D34">
        <w:rPr>
          <w:rStyle w:val="FootnoteReference"/>
        </w:rPr>
        <w:footnoteReference w:id="2"/>
      </w:r>
      <w:r w:rsidRPr="00F87D34">
        <w:t>,</w:t>
      </w:r>
    </w:p>
    <w:p w:rsidR="00FC5419" w:rsidRPr="00F87D34" w:rsidRDefault="00FC5419" w:rsidP="00FC5419">
      <w:pPr>
        <w:pStyle w:val="NormalHanging12a"/>
      </w:pPr>
      <w:r w:rsidRPr="00F87D34">
        <w:t>–</w:t>
      </w:r>
      <w:r w:rsidRPr="00F87D34">
        <w:tab/>
        <w:t>având în vedere raportul anual de activitate pentru 2022 al Comitetului Regiunilor și raportul său privind gestiunea bugetară și financiară pentru exercițiul financiar 2022,</w:t>
      </w:r>
    </w:p>
    <w:p w:rsidR="00FC5419" w:rsidRPr="00F87D34" w:rsidRDefault="00FC5419" w:rsidP="00FC5419">
      <w:pPr>
        <w:pStyle w:val="NormalHanging12a"/>
      </w:pPr>
      <w:r w:rsidRPr="00F87D34">
        <w:t>–</w:t>
      </w:r>
      <w:r w:rsidRPr="00F87D34">
        <w:tab/>
        <w:t>având în vedere Raportul anual al Curții de Conturi referitor la execuția bugetului privind exercițiul financiar 2022, însoțit de răspunsurile instituțiilor</w:t>
      </w:r>
      <w:r w:rsidRPr="00F87D34">
        <w:rPr>
          <w:rStyle w:val="FootnoteReference"/>
        </w:rPr>
        <w:footnoteReference w:id="3"/>
      </w:r>
      <w:r w:rsidRPr="00F87D34">
        <w:t>,</w:t>
      </w:r>
    </w:p>
    <w:p w:rsidR="00FC5419" w:rsidRPr="00F87D34" w:rsidRDefault="00FC5419" w:rsidP="00FC5419">
      <w:pPr>
        <w:pStyle w:val="NormalHanging12a"/>
      </w:pPr>
      <w:r w:rsidRPr="00F87D34">
        <w:t>–</w:t>
      </w:r>
      <w:r w:rsidRPr="00F87D34">
        <w:tab/>
        <w:t>având în vedere declarația de asigurare</w:t>
      </w:r>
      <w:r w:rsidRPr="00F87D34">
        <w:rPr>
          <w:rStyle w:val="FootnoteReference"/>
        </w:rPr>
        <w:footnoteReference w:id="4"/>
      </w:r>
      <w:r w:rsidRPr="00F87D34">
        <w:t xml:space="preserve"> privind fiabilitatea conturilor și legalitatea și regularitatea operațiunilor subiacente întocmită de Curtea de Conturi pentru exercițiul financiar 2022 în temeiul articolului 287 din Tratatul privind funcționarea Uniunii Europene,</w:t>
      </w:r>
    </w:p>
    <w:p w:rsidR="00FC5419" w:rsidRPr="00F87D34" w:rsidRDefault="00FC5419" w:rsidP="00FC5419">
      <w:pPr>
        <w:pStyle w:val="NormalHanging12a"/>
      </w:pPr>
      <w:r w:rsidRPr="00F87D34">
        <w:t>–</w:t>
      </w:r>
      <w:r w:rsidRPr="00F87D34">
        <w:tab/>
        <w:t>având în vedere articolul 314 alineatul (10) și articolele 317, 318 și 319 din Tratatul privind funcționarea Uniunii Europene,</w:t>
      </w:r>
    </w:p>
    <w:p w:rsidR="00FC5419" w:rsidRPr="00F87D34" w:rsidRDefault="00FC5419" w:rsidP="00FC5419">
      <w:pPr>
        <w:pStyle w:val="NormalHanging12a"/>
      </w:pPr>
      <w:r w:rsidRPr="00F87D34">
        <w:t>–</w:t>
      </w:r>
      <w:r w:rsidRPr="00F87D34">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F87D34">
        <w:lastRenderedPageBreak/>
        <w:t>Regulamentului (UE, Euratom) nr. 966/2012</w:t>
      </w:r>
      <w:r w:rsidRPr="00F87D34">
        <w:rPr>
          <w:rStyle w:val="FootnoteReference"/>
        </w:rPr>
        <w:footnoteReference w:id="5"/>
      </w:r>
      <w:r w:rsidRPr="00F87D34">
        <w:t>, în special articolele 59, 118, 260, 261 și 262,</w:t>
      </w:r>
    </w:p>
    <w:p w:rsidR="00FC5419" w:rsidRPr="00F87D34" w:rsidRDefault="00FC5419" w:rsidP="00FC5419">
      <w:pPr>
        <w:pStyle w:val="NormalHanging12a"/>
      </w:pPr>
      <w:r w:rsidRPr="00F87D34">
        <w:t>–</w:t>
      </w:r>
      <w:r w:rsidRPr="00F87D34">
        <w:tab/>
        <w:t>având în vedere articolul 100 și anexa V la Regulamentul său de procedură,</w:t>
      </w:r>
    </w:p>
    <w:p w:rsidR="00FC5419" w:rsidRPr="00F87D34" w:rsidRDefault="00FC5419" w:rsidP="00FC5419">
      <w:pPr>
        <w:pStyle w:val="NormalHanging12a"/>
      </w:pPr>
      <w:r w:rsidRPr="00F87D34">
        <w:t>–</w:t>
      </w:r>
      <w:r w:rsidRPr="00F87D34">
        <w:tab/>
        <w:t>având în vedere raportul Comisiei pentru control bugetar (A9-0073/2024),</w:t>
      </w:r>
    </w:p>
    <w:p w:rsidR="00FC5419" w:rsidRPr="00F87D34" w:rsidRDefault="00FC5419" w:rsidP="00FC5419">
      <w:pPr>
        <w:pStyle w:val="NormalHanging12a"/>
      </w:pPr>
      <w:r w:rsidRPr="00F87D34">
        <w:t>1.</w:t>
      </w:r>
      <w:r w:rsidRPr="00F87D34">
        <w:tab/>
        <w:t>acordă Secretarului general al Comitetului Regiunilor descărcarea de gestiune pentru execuția bugetului Comitetului Regiunilor aferent exercițiului financiar 2022;</w:t>
      </w:r>
    </w:p>
    <w:p w:rsidR="00FC5419" w:rsidRPr="00F87D34" w:rsidRDefault="00FC5419" w:rsidP="00FC5419">
      <w:pPr>
        <w:pStyle w:val="NormalHanging12a"/>
      </w:pPr>
      <w:r w:rsidRPr="00F87D34">
        <w:t>2.</w:t>
      </w:r>
      <w:r w:rsidRPr="00F87D34">
        <w:tab/>
        <w:t>își prezintă observațiile în cadrul rezoluției de mai jos;</w:t>
      </w:r>
    </w:p>
    <w:p w:rsidR="00FC5419" w:rsidRPr="00F87D34" w:rsidRDefault="00FC5419" w:rsidP="00FC5419">
      <w:pPr>
        <w:pStyle w:val="NormalHanging12a"/>
      </w:pPr>
      <w:r w:rsidRPr="00F87D34">
        <w:t>3.</w:t>
      </w:r>
      <w:r w:rsidRPr="00F87D34">
        <w:tab/>
        <w:t xml:space="preserve">încredințează Președintei sarcina de a transmite prezenta decizie împreună cu rezoluția Parlamentului, ca parte integrantă a acesteia, Secretarului general al Comitetului Regiunilor, Consiliului, Comisiei și Curții de Conturi și de a asigura publicarea acestora în </w:t>
      </w:r>
      <w:r w:rsidRPr="00F87D34">
        <w:rPr>
          <w:i/>
          <w:iCs/>
        </w:rPr>
        <w:t>Jurnalul Oficial al Uniunii Europene</w:t>
      </w:r>
      <w:r w:rsidRPr="00F87D34">
        <w:t xml:space="preserve"> (seria L).</w:t>
      </w:r>
    </w:p>
    <w:p w:rsidR="00FC5419" w:rsidRPr="00F87D34" w:rsidRDefault="00FC5419" w:rsidP="00FC5419"/>
    <w:p w:rsidR="00FC5419" w:rsidRPr="00F87D34" w:rsidRDefault="00FC5419" w:rsidP="00FC5419">
      <w:pPr>
        <w:pStyle w:val="PageHeading"/>
        <w:sectPr w:rsidR="00FC5419" w:rsidRPr="00F87D34" w:rsidSect="004D3227">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C5419" w:rsidRPr="00F87D34" w:rsidRDefault="0009362B" w:rsidP="0009362B">
      <w:pPr>
        <w:pStyle w:val="ATHeading3"/>
      </w:pPr>
      <w:r w:rsidRPr="00F87D34">
        <w:lastRenderedPageBreak/>
        <w:t>2. Rezoluția Parlamentului European din 11 aprilie 2024 conținând observațiile</w:t>
      </w:r>
      <w:r w:rsidR="00FC5419" w:rsidRPr="00F87D34">
        <w:t xml:space="preserve"> care fac parte integrantă din decizia privind descărcarea de gestiune pentru execuția bugetului general al Uniunii Europene aferent exercițiului financiar 2022, secțiunea VII – Comitetul Regiunilor</w:t>
      </w:r>
      <w:r w:rsidRPr="00F87D34">
        <w:t xml:space="preserve"> </w:t>
      </w:r>
      <w:r w:rsidR="00FC5419" w:rsidRPr="00F87D34">
        <w:t>(2023/2136(DEC))</w:t>
      </w:r>
    </w:p>
    <w:p w:rsidR="00FC5419" w:rsidRPr="00F87D34" w:rsidRDefault="00FC5419" w:rsidP="00FC5419">
      <w:pPr>
        <w:pStyle w:val="EPComma"/>
      </w:pPr>
      <w:r w:rsidRPr="00F87D34">
        <w:rPr>
          <w:i/>
          <w:iCs/>
        </w:rPr>
        <w:t>Parlamentul European</w:t>
      </w:r>
      <w:r w:rsidRPr="00F87D34">
        <w:t>,</w:t>
      </w:r>
    </w:p>
    <w:p w:rsidR="00FC5419" w:rsidRPr="00F87D34" w:rsidRDefault="00FC5419" w:rsidP="00FC5419">
      <w:pPr>
        <w:pStyle w:val="NormalHanging12a"/>
        <w:rPr>
          <w:szCs w:val="24"/>
        </w:rPr>
      </w:pPr>
      <w:r w:rsidRPr="00F87D34">
        <w:t>–</w:t>
      </w:r>
      <w:r w:rsidRPr="00F87D34">
        <w:tab/>
        <w:t>având în vedere Decizia sa privind descărcarea de gestiune pentru execuția bugetului general al Uniunii Europene aferent exercițiului financiar 2022, secțiunea VII - Comitetul Regiunilor,</w:t>
      </w:r>
    </w:p>
    <w:p w:rsidR="00FC5419" w:rsidRPr="00F87D34" w:rsidRDefault="00FC5419" w:rsidP="00FC5419">
      <w:pPr>
        <w:pStyle w:val="NormalHanging12a"/>
        <w:rPr>
          <w:szCs w:val="24"/>
        </w:rPr>
      </w:pPr>
      <w:r w:rsidRPr="00F87D34">
        <w:t>–</w:t>
      </w:r>
      <w:r w:rsidRPr="00F87D34">
        <w:tab/>
        <w:t>având în vedere articolul 100 și anexa V la Regulamentul său de procedură,</w:t>
      </w:r>
    </w:p>
    <w:p w:rsidR="00FC5419" w:rsidRPr="00F87D34" w:rsidRDefault="00FC5419" w:rsidP="00FC5419">
      <w:pPr>
        <w:pStyle w:val="NormalHanging12a"/>
        <w:rPr>
          <w:szCs w:val="24"/>
        </w:rPr>
      </w:pPr>
      <w:r w:rsidRPr="00F87D34">
        <w:t>–</w:t>
      </w:r>
      <w:r w:rsidRPr="00F87D34">
        <w:tab/>
        <w:t>având în vedere raportul Comisiei pentru control bugetar (A9-0073/2024),</w:t>
      </w:r>
    </w:p>
    <w:p w:rsidR="00FC5419" w:rsidRPr="00F87D34" w:rsidRDefault="00FC5419" w:rsidP="00FC5419">
      <w:pPr>
        <w:pStyle w:val="NormalHanging12a"/>
        <w:rPr>
          <w:szCs w:val="24"/>
        </w:rPr>
      </w:pPr>
      <w:r w:rsidRPr="00F87D34">
        <w:t>A.</w:t>
      </w:r>
      <w:r w:rsidRPr="00F87D34">
        <w:tab/>
        <w:t>întrucât, în contextul procedurii de descărcare de gestiune, autoritatea care acordă descărcarea de gestiune dorește să sublinieze că este deosebit de important să se consolideze și mai mult legitimitatea democratică a instituțiilor Uniunii prin îmbunătățirea transparenței și a răspunderii, prin punerea în aplicare a principiului întocmirii bugetului în funcție de performanțe și prin buna administrare a resurselor umane;</w:t>
      </w:r>
    </w:p>
    <w:p w:rsidR="00FC5419" w:rsidRPr="00F87D34" w:rsidRDefault="00FC5419" w:rsidP="00FC5419">
      <w:pPr>
        <w:pStyle w:val="NormalHanging12a"/>
        <w:rPr>
          <w:color w:val="000000"/>
          <w:szCs w:val="24"/>
        </w:rPr>
      </w:pPr>
      <w:r w:rsidRPr="00F87D34">
        <w:t>B.</w:t>
      </w:r>
      <w:r w:rsidRPr="00F87D34">
        <w:tab/>
      </w:r>
      <w:r w:rsidRPr="00F87D34">
        <w:rPr>
          <w:color w:val="000000"/>
        </w:rPr>
        <w:t>întrucât Comitetul Regiunilor (denumit în continuare „Comitetul”) este o adunare politică formată din 329 de membri aleși în regiunile, orașele, satele și municipalitățile din cele 27 de state membre ale Uniunii, care funcționează ca organ consultativ al instituțiilor Uniunii, cu misiunea de a contribui la elaborarea politicilor Uniunii și la procesul decizional din punctul de vedere al autorităților locale și regionale și, în același timp, de a contribui la o Uniune mai eficace și mai aproape de cetățeni;</w:t>
      </w:r>
    </w:p>
    <w:p w:rsidR="00FC5419" w:rsidRPr="00F87D34" w:rsidRDefault="00FC5419" w:rsidP="00FC5419">
      <w:pPr>
        <w:pStyle w:val="NormalHanging12a"/>
        <w:rPr>
          <w:color w:val="000000"/>
          <w:szCs w:val="24"/>
        </w:rPr>
      </w:pPr>
      <w:r w:rsidRPr="00F87D34">
        <w:rPr>
          <w:color w:val="000000"/>
        </w:rPr>
        <w:t>C.</w:t>
      </w:r>
      <w:r w:rsidRPr="00F87D34">
        <w:rPr>
          <w:color w:val="000000"/>
        </w:rPr>
        <w:tab/>
        <w:t>întrucât consultarea Comitetului de către Comisie sau Consiliu este obligatorie în anumite cazuri, iar Comitetul poate adopta și avize din proprie inițiativă, beneficiind de o marjă largă de sesizare, astfel cum este definită în tratate, ceea ce îi permite să fie consultat de Parlament;</w:t>
      </w:r>
    </w:p>
    <w:p w:rsidR="00FC5419" w:rsidRPr="00F87D34" w:rsidRDefault="00FC5419" w:rsidP="00FC5419">
      <w:pPr>
        <w:pStyle w:val="NormalHanging12a"/>
        <w:rPr>
          <w:color w:val="000000"/>
          <w:szCs w:val="24"/>
        </w:rPr>
      </w:pPr>
      <w:r w:rsidRPr="00F87D34">
        <w:rPr>
          <w:color w:val="000000"/>
        </w:rPr>
        <w:t>D.</w:t>
      </w:r>
      <w:r w:rsidRPr="00F87D34">
        <w:rPr>
          <w:color w:val="000000"/>
        </w:rPr>
        <w:tab/>
        <w:t>întrucât activitățile Comitetului sunt definite pe baza strategiei sale politice globale, astfel cum a fost prezentată în rezoluția sa din 2 iulie 2020 privind prioritățile sale pentru perioada 2020-2025</w:t>
      </w:r>
      <w:r w:rsidRPr="00F87D34">
        <w:rPr>
          <w:rStyle w:val="FootnoteReference"/>
          <w:color w:val="000000"/>
          <w:szCs w:val="24"/>
        </w:rPr>
        <w:footnoteReference w:id="6"/>
      </w:r>
      <w:r w:rsidRPr="00F87D34">
        <w:rPr>
          <w:color w:val="000000"/>
        </w:rPr>
        <w:t xml:space="preserve">, și întrucât Comitetul a adoptat trei priorități politice pentru mandatul 2020-2025, însoțite de trei campanii de comunicare: apropierea Europei de cetățeni, construirea unor comunități regionale și locale </w:t>
      </w:r>
      <w:proofErr w:type="spellStart"/>
      <w:r w:rsidRPr="00F87D34">
        <w:rPr>
          <w:color w:val="000000"/>
        </w:rPr>
        <w:t>reziliente</w:t>
      </w:r>
      <w:proofErr w:type="spellEnd"/>
      <w:r w:rsidRPr="00F87D34">
        <w:rPr>
          <w:color w:val="000000"/>
        </w:rPr>
        <w:t xml:space="preserve"> și promovarea coeziunii ca valoare fundamentală a UE;</w:t>
      </w:r>
    </w:p>
    <w:p w:rsidR="00FC5419" w:rsidRPr="00F87D34" w:rsidRDefault="00FC5419" w:rsidP="00FC5419">
      <w:pPr>
        <w:pStyle w:val="NormalHanging12a"/>
        <w:rPr>
          <w:color w:val="000000"/>
          <w:szCs w:val="24"/>
        </w:rPr>
      </w:pPr>
      <w:r w:rsidRPr="00F87D34">
        <w:rPr>
          <w:color w:val="000000"/>
        </w:rPr>
        <w:t>E.</w:t>
      </w:r>
      <w:r w:rsidRPr="00F87D34">
        <w:rPr>
          <w:color w:val="000000"/>
        </w:rPr>
        <w:tab/>
        <w:t>întrucât administrațiile locale și regionale reprezintă o treime din cheltuielile publice, jumătate din investițiile publice și o pătrime din veniturile fiscale și, în multe state membre, dețin competențe în domenii-cheie precum educația, dezvoltarea economică și coeziunea, mediul, protecția socială, sănătatea și serviciile de interes general, astfel încât coordonarea la nivel local, regional, național și european sporește legitimitatea legislației, îmbunătățește asumarea responsabilității și apără mai eficient interesele cetățenilor;</w:t>
      </w:r>
    </w:p>
    <w:p w:rsidR="00FC5419" w:rsidRPr="00F87D34" w:rsidRDefault="00FC5419" w:rsidP="00FC5419">
      <w:pPr>
        <w:pStyle w:val="NormalHanging12a"/>
        <w:rPr>
          <w:color w:val="000000"/>
          <w:szCs w:val="24"/>
        </w:rPr>
      </w:pPr>
      <w:r w:rsidRPr="00F87D34">
        <w:rPr>
          <w:color w:val="000000"/>
        </w:rPr>
        <w:lastRenderedPageBreak/>
        <w:t>F.</w:t>
      </w:r>
      <w:r w:rsidRPr="00F87D34">
        <w:rPr>
          <w:color w:val="000000"/>
        </w:rPr>
        <w:tab/>
        <w:t>întrucât Comitetul își urmărește obiectivul politic de a-și consolida implicarea în întregul ciclu politic și legislativ al Uniunii, asigurând în același timp o legătură mai tangibilă cu cetățenii Uniunii prin activitatea membrilor Comitetului ca multiplicatori puternici în comunitățile lor și în asociațiile lor naționale de autorități locale și regionale;</w:t>
      </w:r>
    </w:p>
    <w:p w:rsidR="00FC5419" w:rsidRPr="00F87D34" w:rsidRDefault="00FC5419" w:rsidP="00FC5419">
      <w:pPr>
        <w:pStyle w:val="NormalHanging12a"/>
        <w:rPr>
          <w:color w:val="000000"/>
          <w:szCs w:val="24"/>
        </w:rPr>
      </w:pPr>
      <w:r w:rsidRPr="00F87D34">
        <w:rPr>
          <w:color w:val="000000"/>
        </w:rPr>
        <w:t>G.</w:t>
      </w:r>
      <w:r w:rsidRPr="00F87D34">
        <w:rPr>
          <w:color w:val="000000"/>
        </w:rPr>
        <w:tab/>
        <w:t>întrucât cele peste 400 de programe naționale și regionale create pentru punerea în aplicare a politicii de coeziune a Uniunii în perioada de programare 2021-2027 vor pune la dispoziție aproximativ 380 de miliarde EUR, în cadrul unor fonduri diferite, pentru a aborda problemele economice, sociale și de mediu cu care se confruntă regiunile, orașele și satele din Uniune;</w:t>
      </w:r>
    </w:p>
    <w:p w:rsidR="00FC5419" w:rsidRPr="00F87D34" w:rsidRDefault="00FC5419" w:rsidP="00FC5419">
      <w:pPr>
        <w:pStyle w:val="NormalHanging12a"/>
        <w:rPr>
          <w:color w:val="000000"/>
          <w:szCs w:val="24"/>
        </w:rPr>
      </w:pPr>
      <w:r w:rsidRPr="00F87D34">
        <w:rPr>
          <w:color w:val="000000"/>
        </w:rPr>
        <w:t>H.</w:t>
      </w:r>
      <w:r w:rsidRPr="00F87D34">
        <w:rPr>
          <w:color w:val="000000"/>
        </w:rPr>
        <w:tab/>
        <w:t>întrucât, în calitate de instituție a Uniunii în sensul Regulamentului financiar, Comitetul trebuie să își adopte propriile conturi anuale, întocmite în conformitate cu normele contabile adoptate de contabilul Comisiei (normele contabile ale Uniunii Europene), pe baza Standardelor internaționale de contabilitate pentru sectorul public, care sunt în final consolidate în cele ale Uniunii,</w:t>
      </w:r>
    </w:p>
    <w:p w:rsidR="00FC5419" w:rsidRPr="00F87D34" w:rsidRDefault="00FC5419" w:rsidP="00FC5419">
      <w:pPr>
        <w:pStyle w:val="NormalHanging12a"/>
        <w:rPr>
          <w:szCs w:val="24"/>
        </w:rPr>
      </w:pPr>
      <w:r w:rsidRPr="00F87D34">
        <w:t>1.</w:t>
      </w:r>
      <w:r w:rsidRPr="00F87D34">
        <w:tab/>
        <w:t>constată că bugetul Comitetului se încadrează la rubrica 7 din CFM, „Administrația publică europeană”, care s-a ridicat la un total de 11,6 miliarde EUR în 2022 (reprezentând 5,9 % din cheltuielile Uniunii); constată că, în 2022, bugetul Comitetului a reprezentat 0,95 % din rubrica 7 din CFM;</w:t>
      </w:r>
    </w:p>
    <w:p w:rsidR="00FC5419" w:rsidRPr="00F87D34" w:rsidRDefault="00FC5419" w:rsidP="00FC5419">
      <w:pPr>
        <w:pStyle w:val="NormalHanging12a"/>
        <w:rPr>
          <w:szCs w:val="24"/>
        </w:rPr>
      </w:pPr>
      <w:r w:rsidRPr="00F87D34">
        <w:t>2.</w:t>
      </w:r>
      <w:r w:rsidRPr="00F87D34">
        <w:tab/>
        <w:t>constată că, în Raportul său anual pentru exercițiul financiar 2022, Curtea de Conturi (denumită în continuare „Curtea”) a examinat un eșantion de 60 de operațiuni de la rubrica „Administrație”, același număr de operațiuni examinate în 2021; constată totodată că Curtea scrie că cheltuielile administrative cuprind cheltuieli cu resursele umane, inclusiv cheltuieli cu pensiile, care, în 2022, au reprezentat aproximativ 70 % din cheltuielile administrative totale, precum și cheltuieli cu clădirile, echipamentele, energia, comunicațiile și tehnologia informației și că activitatea pe care a desfășurat-o de-a lungul mai multor ani indică faptul că, în general, aceste cheltuieli prezintă riscuri scăzute;</w:t>
      </w:r>
    </w:p>
    <w:p w:rsidR="00FC5419" w:rsidRPr="00F87D34" w:rsidRDefault="00FC5419" w:rsidP="00FC5419">
      <w:pPr>
        <w:pStyle w:val="NormalHanging12a"/>
        <w:rPr>
          <w:szCs w:val="24"/>
        </w:rPr>
      </w:pPr>
      <w:r w:rsidRPr="00F87D34">
        <w:t>3.</w:t>
      </w:r>
      <w:r w:rsidRPr="00F87D34">
        <w:tab/>
        <w:t>observă că, în cadrul auditului său pentru 2022, Curtea a examinat sistemele de supraveghere și de control ale Comitetului, în special punerea în aplicare a standardelor de control intern, gestionarea riscurilor și funcționarea controalelor-cheie definite în Regulamentul financiar, inclusiv a controalelor ex ante și ex post asupra plăților;</w:t>
      </w:r>
    </w:p>
    <w:p w:rsidR="00FC5419" w:rsidRPr="00F87D34" w:rsidRDefault="00FC5419" w:rsidP="00FC5419">
      <w:pPr>
        <w:pStyle w:val="NormalHanging12a"/>
        <w:rPr>
          <w:szCs w:val="24"/>
        </w:rPr>
      </w:pPr>
      <w:r w:rsidRPr="00F87D34">
        <w:t>4.</w:t>
      </w:r>
      <w:r w:rsidRPr="00F87D34">
        <w:tab/>
        <w:t>constată că 14 (23 %) dintre cele 60 de operațiuni au conținut erori, însă Curtea, pe baza celor cinci erori care au fost cuantificate, estimează că nivelul de eroare este sub pragul de semnificație;</w:t>
      </w:r>
    </w:p>
    <w:p w:rsidR="00FC5419" w:rsidRPr="00F87D34" w:rsidRDefault="00FC5419" w:rsidP="00FC5419">
      <w:pPr>
        <w:pStyle w:val="NormalHanging12a"/>
        <w:rPr>
          <w:szCs w:val="24"/>
        </w:rPr>
      </w:pPr>
      <w:r w:rsidRPr="00F87D34">
        <w:t>5.</w:t>
      </w:r>
      <w:r w:rsidRPr="00F87D34">
        <w:tab/>
        <w:t>remarcă cu satisfacție că, în raportul său anual pentru exercițiul financiar 2022, Curtea declară că nu a depistat probleme specifice referitoare la Comitet;</w:t>
      </w:r>
    </w:p>
    <w:p w:rsidR="00FC5419" w:rsidRPr="00F87D34" w:rsidRDefault="00FC5419" w:rsidP="00FC5419">
      <w:pPr>
        <w:pStyle w:val="NormalHanging12a"/>
        <w:rPr>
          <w:b/>
          <w:i/>
        </w:rPr>
      </w:pPr>
    </w:p>
    <w:p w:rsidR="00FC5419" w:rsidRPr="00F87D34" w:rsidRDefault="00FC5419" w:rsidP="00FC5419">
      <w:pPr>
        <w:pStyle w:val="NormalHanging12a"/>
        <w:rPr>
          <w:b/>
          <w:i/>
          <w:szCs w:val="24"/>
        </w:rPr>
      </w:pPr>
      <w:r w:rsidRPr="00F87D34">
        <w:rPr>
          <w:b/>
          <w:i/>
        </w:rPr>
        <w:t>Gestiunea bugetară și financiară</w:t>
      </w:r>
    </w:p>
    <w:p w:rsidR="00FC5419" w:rsidRPr="00F87D34" w:rsidRDefault="00FC5419" w:rsidP="00FC5419">
      <w:pPr>
        <w:pStyle w:val="NormalHanging12a"/>
        <w:rPr>
          <w:szCs w:val="24"/>
        </w:rPr>
      </w:pPr>
      <w:r w:rsidRPr="00F87D34">
        <w:t>6.</w:t>
      </w:r>
      <w:r w:rsidRPr="00F87D34">
        <w:tab/>
        <w:t xml:space="preserve">observă că, în 2022, bugetul final adoptat pentru Comitet s-a ridicat la 109 976 858 EUR, inclusiv bugetul rectificativ 5/2022, reprezentând o creștere generală de 3,03 % în comparație cu 2021; constată că creditele înscrise la linia bugetară 1004 </w:t>
      </w:r>
      <w:r w:rsidRPr="00F87D34">
        <w:lastRenderedPageBreak/>
        <w:t>pentru „cheltuieli de deplasare și de ședere pentru reuniuni, convocări și cheltuieli conexe” au crescut de la 4 244 488 EUR la 8 158 838 EUR, adică cu 92 % în perioada 2021-2022, ca urmare a reluării deplasărilor după pandemia de COVID-19; observă că, altfel, repartizarea creditelor între liniile bugetare în bugetul pentru 2022 a rămas comparabilă cu repartizarea din exercițiile financiare anterioare;</w:t>
      </w:r>
    </w:p>
    <w:p w:rsidR="00FC5419" w:rsidRPr="00F87D34" w:rsidRDefault="00FC5419" w:rsidP="00FC5419">
      <w:pPr>
        <w:pStyle w:val="NormalHanging12a"/>
        <w:rPr>
          <w:szCs w:val="24"/>
        </w:rPr>
      </w:pPr>
      <w:r w:rsidRPr="00F87D34">
        <w:t>7.</w:t>
      </w:r>
      <w:r w:rsidRPr="00F87D34">
        <w:tab/>
        <w:t>constată că bugetul pentru misiuni pentru 2022 s-a ridicat la 419 657 EUR față de 169 856 EUR în 2021, adică a înregistrat o creștere de 147 %, care poate fi explicată prin numărul de ședințe online din 2021 și de la începutul exercițiului financiar 2022 din cauza restricțiilor legate de pandemia de COVID-19, precum și prin creșterea prețurilor deplasărilor în 2022; observă că indemnizația pentru președinția Comitetului (președintele și primul vicepreședinte) pentru cheltuieli de călătorie și aferente ședințelor, care sunt finanțate de la bugetul general pentru cheltuielile membrilor, a crescut de la 49 852 EUR la 71 810 EUR, adică a înregistrat o creștere de 44 % în perioada 2021-2022; salută orientările în direcția unei politici mai eficiente din punctul de vedere al costurilor, mai practice și mai sustenabile privind delegațiile, care au fost transmise în iunie 2022, în vederea reducerii la minimum a misiunilor personalului Comitetului;</w:t>
      </w:r>
    </w:p>
    <w:p w:rsidR="00FC5419" w:rsidRPr="00F87D34" w:rsidRDefault="00FC5419" w:rsidP="00FC5419">
      <w:pPr>
        <w:pStyle w:val="NormalHanging12a"/>
        <w:rPr>
          <w:szCs w:val="24"/>
        </w:rPr>
      </w:pPr>
      <w:r w:rsidRPr="00F87D34">
        <w:t>8.</w:t>
      </w:r>
      <w:r w:rsidRPr="00F87D34">
        <w:tab/>
        <w:t>constată că rata de execuție bugetară a fost de 99,2 % în 2022, adică puțin mai ridicată decât în 2021, când rata de execuție bugetară a fost de 98,9 %;</w:t>
      </w:r>
    </w:p>
    <w:p w:rsidR="00FC5419" w:rsidRPr="00F87D34" w:rsidRDefault="00FC5419" w:rsidP="00FC5419">
      <w:pPr>
        <w:pStyle w:val="NormalHanging12a"/>
        <w:rPr>
          <w:szCs w:val="24"/>
        </w:rPr>
      </w:pPr>
      <w:r w:rsidRPr="00F87D34">
        <w:t>9.</w:t>
      </w:r>
      <w:r w:rsidRPr="00F87D34">
        <w:tab/>
        <w:t>observă că, în 2022, termenul mediu de plată a fost de 17,87 zile, mai mare decât în 2021, când a fost de 16,11 zile; constată că, în același timp, nivelul de facturare electronică a crescut de la 32 % la 68 %; observă că nu există nicio corelație între cele două cifre și invită Comitetul să finalizeze digitalizarea fluxului de lucru pentru plăți cu scopul de a-i îmbunătăți eficiența și actualitatea;</w:t>
      </w:r>
    </w:p>
    <w:p w:rsidR="00FC5419" w:rsidRPr="00F87D34" w:rsidRDefault="00FC5419" w:rsidP="00FC5419">
      <w:pPr>
        <w:pStyle w:val="NormalHanging12a"/>
        <w:rPr>
          <w:szCs w:val="24"/>
        </w:rPr>
      </w:pPr>
      <w:r w:rsidRPr="00F87D34">
        <w:t>10.</w:t>
      </w:r>
      <w:r w:rsidRPr="00F87D34">
        <w:tab/>
        <w:t>observă că războiul de agresiune al Rusiei împotriva Ucrainei a creat presiuni bugetare pentru Comitet, inclusiv prin creșterea inflației și prin ajustări salariale, majorând semnificativ costurile cu energia și costul construcțiilor și al materiilor prime; constată totodată că Comitetul și-a mobilizat sprijinul politic pentru autoritățile locale și regionale ucrainene și a organizat activități legate de războiul împotriva Ucrainei, care au avut un impact asupra bugetului pentru misiuni, studii și cursuri de formare;</w:t>
      </w:r>
    </w:p>
    <w:p w:rsidR="00FC5419" w:rsidRPr="00F87D34" w:rsidRDefault="00FC5419" w:rsidP="00FC5419">
      <w:pPr>
        <w:pStyle w:val="NormalHanging12a"/>
        <w:rPr>
          <w:szCs w:val="24"/>
        </w:rPr>
      </w:pPr>
      <w:r w:rsidRPr="00F87D34">
        <w:t>11.</w:t>
      </w:r>
      <w:r w:rsidRPr="00F87D34">
        <w:tab/>
        <w:t>observă că serviciile proprii ale Comitetului au organizat, în 2022, 14 licitații de achiziții publice, inclusiv 11 proceduri de achiziții de negociere pentru servicii de interpretare de la distanță în statele membre; constată că procedurile de achiziții în domeniul logisticii au fost lansate de Serviciile comune ale Comitetului Regiunilor și Comitetului Economic și Social European („CESE”);</w:t>
      </w:r>
    </w:p>
    <w:p w:rsidR="00FC5419" w:rsidRPr="00F87D34" w:rsidRDefault="00FC5419" w:rsidP="00FC5419">
      <w:pPr>
        <w:pStyle w:val="NormalHanging12a"/>
        <w:rPr>
          <w:b/>
          <w:i/>
          <w:szCs w:val="24"/>
        </w:rPr>
      </w:pPr>
      <w:r w:rsidRPr="00F87D34">
        <w:rPr>
          <w:b/>
          <w:i/>
        </w:rPr>
        <w:t>Gestiunea internă, performanța și controlul intern</w:t>
      </w:r>
    </w:p>
    <w:p w:rsidR="00FC5419" w:rsidRPr="00F87D34" w:rsidRDefault="00FC5419" w:rsidP="00FC5419">
      <w:pPr>
        <w:pStyle w:val="NormalHanging12a"/>
        <w:rPr>
          <w:szCs w:val="24"/>
        </w:rPr>
      </w:pPr>
      <w:r w:rsidRPr="00F87D34">
        <w:t>12.</w:t>
      </w:r>
      <w:r w:rsidRPr="00F87D34">
        <w:tab/>
        <w:t xml:space="preserve">constată că Comitetul contribuie la procesul Uniunii de elaborare a politicilor și la procesul decizional al Uniunii din perspectiva autorităților locale și regionale din Uniune, oferind un cadru pentru a îmbunătăți cooperarea dintre nivelurile locale, regionale, naționale și europene și pentru a aduce Europa mai aproape de cetățenii săi; salută relevanța contribuției Comitetului la subiectele importante ale Uniunii, cum ar fi punerea în aplicare a Mecanismului de redresare și reziliență, astfel cum se reflectă în Rezoluția Parlamentului European din 23 iunie 2022 referitoare la punerea în aplicare a </w:t>
      </w:r>
      <w:r w:rsidRPr="00F87D34">
        <w:lastRenderedPageBreak/>
        <w:t>Mecanismului de redresare și reziliență</w:t>
      </w:r>
      <w:r w:rsidRPr="00F87D34">
        <w:rPr>
          <w:vertAlign w:val="superscript"/>
        </w:rPr>
        <w:footnoteReference w:id="7"/>
      </w:r>
      <w:r w:rsidRPr="00F87D34">
        <w:t>; încurajează în continuare Comitetul să își sprijine membrii să participe la dialoguri locale cu cetățenii pe probleme europene;</w:t>
      </w:r>
    </w:p>
    <w:p w:rsidR="00FC5419" w:rsidRPr="00F87D34" w:rsidRDefault="00FC5419" w:rsidP="00FC5419">
      <w:pPr>
        <w:pStyle w:val="NormalHanging12a"/>
        <w:rPr>
          <w:szCs w:val="24"/>
        </w:rPr>
      </w:pPr>
      <w:r w:rsidRPr="00F87D34">
        <w:t>13.</w:t>
      </w:r>
      <w:r w:rsidRPr="00F87D34">
        <w:tab/>
        <w:t>constată că Comitetul își îndeplinește misiunea prin avize, care se referă la propunerile legislative ale Comisiei (sesizări), prin avize din proprie inițiativă, care invită instituțiile Uniunii să ia măsuri, precum și prin rezoluții, care evidențiază poziția Comitetului cu privire la anumite subiecte; observă că, în 2022, Comitetul a adoptat 55 de avize și 8 rezoluții, un număr puțin mai mic decât în 2021, când Comitetul a adoptat 60 de avize și 9 rezoluții; încurajează Comitetul să își consolideze în continuare capacitatea de a furniza dovezi de la fața locului principalelor instituții ale UE, utilizând date, analize empirice și compilații de bune practici;</w:t>
      </w:r>
    </w:p>
    <w:p w:rsidR="00FC5419" w:rsidRPr="00F87D34" w:rsidRDefault="00FC5419" w:rsidP="00FC5419">
      <w:pPr>
        <w:pStyle w:val="NormalHanging12a"/>
        <w:rPr>
          <w:szCs w:val="24"/>
        </w:rPr>
      </w:pPr>
      <w:r w:rsidRPr="00F87D34">
        <w:t>14.</w:t>
      </w:r>
      <w:r w:rsidRPr="00F87D34">
        <w:tab/>
        <w:t xml:space="preserve">felicită Comitetul pentru măsurile concrete de a se implica în întregul ciclu politic și legislativ al Uniunii, în conformitate cu prerogativele sale în temeiul tratatelor; salută, în special, acordul de cooperare dintre Parlament și Comitet și cooperarea strânsă dintre Comitet și mai multe comisii parlamentare, </w:t>
      </w:r>
      <w:proofErr w:type="spellStart"/>
      <w:r w:rsidRPr="00F87D34">
        <w:t>intergrupuri</w:t>
      </w:r>
      <w:proofErr w:type="spellEnd"/>
      <w:r w:rsidRPr="00F87D34">
        <w:t xml:space="preserve"> și direcții generale; constată că, în 2022, Comitetul a organizat 56 de ședințe pregătitoare și de monitorizare cu Parlamentul pentru raportorii avizelor sale; remarcă și că, în 2022, 20 de raportori ai Comitetului au luat cuvântul la reuniunile comisiilor Parlamentului; felicită Comitetul pentru că și-a consolidat implicarea în </w:t>
      </w:r>
      <w:proofErr w:type="spellStart"/>
      <w:r w:rsidRPr="00F87D34">
        <w:t>trilogurile</w:t>
      </w:r>
      <w:proofErr w:type="spellEnd"/>
      <w:r w:rsidRPr="00F87D34">
        <w:t xml:space="preserve"> legislative, în special ca urmare a faptului că i s-a acordat acces la documentele </w:t>
      </w:r>
      <w:proofErr w:type="spellStart"/>
      <w:r w:rsidRPr="00F87D34">
        <w:t>trilogurilor</w:t>
      </w:r>
      <w:proofErr w:type="spellEnd"/>
      <w:r w:rsidRPr="00F87D34">
        <w:t>; consideră că membrii Comitetului și ai Comitetului Economic și Social European ar trebui invitați la schimburile parlamentare relevante, inclusiv la reuniunile comisiilor, cu privire la chestiunile cu care se confruntă;</w:t>
      </w:r>
    </w:p>
    <w:p w:rsidR="00FC5419" w:rsidRPr="00F87D34" w:rsidRDefault="00FC5419" w:rsidP="00FC5419">
      <w:pPr>
        <w:pStyle w:val="NormalHanging12a"/>
        <w:rPr>
          <w:szCs w:val="24"/>
        </w:rPr>
      </w:pPr>
      <w:r w:rsidRPr="00F87D34">
        <w:t>15.</w:t>
      </w:r>
      <w:r w:rsidRPr="00F87D34">
        <w:tab/>
        <w:t>salută măsurile adoptate de Comitet pe parcursul exercițiului financiar 2022 pentru a-și optimiza resursele și pentru a îmbunătăți raportul cost-eficacitate, amplificând în același timp impactul activității sale politice în contextul programului „</w:t>
      </w:r>
      <w:proofErr w:type="spellStart"/>
      <w:r w:rsidRPr="00F87D34">
        <w:t>Going</w:t>
      </w:r>
      <w:proofErr w:type="spellEnd"/>
      <w:r w:rsidRPr="00F87D34">
        <w:t xml:space="preserve"> for </w:t>
      </w:r>
      <w:proofErr w:type="spellStart"/>
      <w:r w:rsidRPr="00F87D34">
        <w:t>IMPact</w:t>
      </w:r>
      <w:proofErr w:type="spellEnd"/>
      <w:r w:rsidRPr="00F87D34">
        <w:t>” și, în special, cele 43 de proiecte de simplificare și digitalizare care contribuie la modernizarea administrației Comitetului și la digitalizarea fluxurilor de lucru ca parte a „Strategiei privind simplificarea regulilor și a procedurilor Comitetului pentru perioada 2020-2025”;</w:t>
      </w:r>
    </w:p>
    <w:p w:rsidR="00FC5419" w:rsidRPr="00F87D34" w:rsidRDefault="00FC5419" w:rsidP="00FC5419">
      <w:pPr>
        <w:pStyle w:val="NormalHanging12a"/>
        <w:rPr>
          <w:szCs w:val="24"/>
        </w:rPr>
      </w:pPr>
      <w:r w:rsidRPr="00F87D34">
        <w:t>16.</w:t>
      </w:r>
      <w:r w:rsidRPr="00F87D34">
        <w:tab/>
        <w:t>salută implicarea activă a Comitetului în lucrările Conferinței privind viitorul Europei („</w:t>
      </w:r>
      <w:proofErr w:type="spellStart"/>
      <w:r w:rsidRPr="00F87D34">
        <w:t>CoFE</w:t>
      </w:r>
      <w:proofErr w:type="spellEnd"/>
      <w:r w:rsidRPr="00F87D34">
        <w:t xml:space="preserve">”) cu o delegație de 30 de membri, 12 dintre aceștia reprezentând asociații europene ale autorităților locale și regionale; constată că, în urma activității desfășurate în 2021, Comitetul a organizat, în 2022, 14 ședințe cu delegații </w:t>
      </w:r>
      <w:proofErr w:type="spellStart"/>
      <w:r w:rsidRPr="00F87D34">
        <w:t>CoFE</w:t>
      </w:r>
      <w:proofErr w:type="spellEnd"/>
      <w:r w:rsidRPr="00F87D34">
        <w:t xml:space="preserve"> și 9 ședințe pregătitoare; subliniază că Comitetul a creat un grup operativ dedicat, „Conferința privind viitorul Europei”, pentru a coordona activitatea tuturor direcțiilor și unităților implicate; observă că propunerile incluse în raportul final al </w:t>
      </w:r>
      <w:proofErr w:type="spellStart"/>
      <w:r w:rsidRPr="00F87D34">
        <w:t>CoFE</w:t>
      </w:r>
      <w:proofErr w:type="spellEnd"/>
      <w:r w:rsidRPr="00F87D34">
        <w:t>, emis la 9 mai 2022, au fost preluate în proiectul Comitetului, intitulat „Valorificarea potențialului autorităților locale și regionale de a consolida UE”, care a fost pus în aplicare pe parcursul exercițiului financiar 2022;</w:t>
      </w:r>
    </w:p>
    <w:p w:rsidR="00FC5419" w:rsidRPr="00F87D34" w:rsidRDefault="00FC5419" w:rsidP="00FC5419">
      <w:pPr>
        <w:pStyle w:val="NormalHanging12a"/>
        <w:rPr>
          <w:szCs w:val="24"/>
        </w:rPr>
      </w:pPr>
      <w:r w:rsidRPr="00F87D34">
        <w:t>17.</w:t>
      </w:r>
      <w:r w:rsidRPr="00F87D34">
        <w:tab/>
        <w:t xml:space="preserve">subliniază că, în acest raport final, Adunarea plenară a </w:t>
      </w:r>
      <w:proofErr w:type="spellStart"/>
      <w:r w:rsidRPr="00F87D34">
        <w:t>CoFE</w:t>
      </w:r>
      <w:proofErr w:type="spellEnd"/>
      <w:r w:rsidRPr="00F87D34">
        <w:t xml:space="preserve">, în cea de-a 40-a recomandare a sa, în cadrul măsurii 3, solicită o reformă a Comitetului, care să includă canale adecvate de dialog pentru regiuni, precum și pentru orașe, sate și municipalități, conferindu-i un rol mai important în arhitectura instituțională, dacă sunt vizate chestiuni </w:t>
      </w:r>
      <w:r w:rsidRPr="00F87D34">
        <w:lastRenderedPageBreak/>
        <w:t>cu impact teritorial;</w:t>
      </w:r>
    </w:p>
    <w:p w:rsidR="00FC5419" w:rsidRPr="00F87D34" w:rsidRDefault="00FC5419" w:rsidP="00FC5419">
      <w:pPr>
        <w:pStyle w:val="NormalHanging12a"/>
        <w:rPr>
          <w:szCs w:val="24"/>
        </w:rPr>
      </w:pPr>
      <w:r w:rsidRPr="00F87D34">
        <w:t>18.</w:t>
      </w:r>
      <w:r w:rsidRPr="00F87D34">
        <w:tab/>
        <w:t>constată că, în 2022, Comitetul și-a revizuit și consolidat cadrul de control intern la nivel de planificare și raportare, sisteme, verificare financiară și posturi sensibile; felicită Comitetul pentru instrumentul specific de convergență și platforma pentru planificare, raportare, evaluarea riscurilor și continuitatea activității; constată că noua politică privind posturile sensibile a intrat în vigoare la 1 ianuarie 2022 și a fost comunicată personalului la 27 ianuarie 2022;</w:t>
      </w:r>
    </w:p>
    <w:p w:rsidR="00FC5419" w:rsidRPr="00F87D34" w:rsidRDefault="00FC5419" w:rsidP="00FC5419">
      <w:pPr>
        <w:pStyle w:val="NormalHanging12a"/>
        <w:rPr>
          <w:szCs w:val="24"/>
        </w:rPr>
      </w:pPr>
      <w:r w:rsidRPr="00F87D34">
        <w:t>19.</w:t>
      </w:r>
      <w:r w:rsidRPr="00F87D34">
        <w:tab/>
        <w:t>constată că, până în aprilie 2022, toate ședințele au avut loc online, dar că, din aprilie 2022, ședințele statutare au fost organizate cu prezență fizică, iar alte ședințe au putut fi organizate la distanță sau în format hibrid; observă că, până la revizuirea Regulamentului de procedură al Comitetului din 2023, a fost plătită în continuare o indemnizație forfetară de ședință în cuantum de 200 EUR pentru ședințele la distanță și hibride, conform normelor în vigoare din 2021; constată că, din iulie 2023, indemnizația de ședință la distanță a fost stabilită la 50 % din indemnizația standard de ședință (în prezent, 50 % din 359 EUR, adică 179,50 EUR); consideră că participarea de la distanță este un instrument important pentru instituțiile moderne, având în vedere că, printre altele, reduce costurile ședințelor și permite participarea mai amplă, în special în situații de criză, astfel cum s-a demonstrat în timpul pandemiei de COVID-19; observă cu satisfacție că recomandările din auditul intern privind adecvarea planificării și a gestionării indemnizațiilor și a rambursărilor către membri pentru participările la ședințe au fost puse în aplicare în mod satisfăcător;</w:t>
      </w:r>
    </w:p>
    <w:p w:rsidR="00FC5419" w:rsidRPr="00F87D34" w:rsidRDefault="00FC5419" w:rsidP="00FC5419">
      <w:pPr>
        <w:pStyle w:val="NormalHanging12a"/>
        <w:rPr>
          <w:b/>
          <w:i/>
          <w:szCs w:val="24"/>
        </w:rPr>
      </w:pPr>
      <w:r w:rsidRPr="00F87D34">
        <w:rPr>
          <w:b/>
          <w:i/>
        </w:rPr>
        <w:t>Resursele umane, egalitatea și starea de bine a personalului</w:t>
      </w:r>
    </w:p>
    <w:p w:rsidR="00FC5419" w:rsidRPr="00F87D34" w:rsidRDefault="00FC5419" w:rsidP="00FC5419">
      <w:pPr>
        <w:pStyle w:val="NormalHanging12a"/>
      </w:pPr>
      <w:r w:rsidRPr="00F87D34">
        <w:t>20.</w:t>
      </w:r>
      <w:r w:rsidRPr="00F87D34">
        <w:tab/>
        <w:t>constată că, la sfârșitul exercițiului financiar 2022, personalul Comitetului cuprindea în total 533 de membri, în comparație cu 547 în 2021 și 537 în 2020; observă că, la sfârșitul exercițiului financiar 2022, Comitetul avea angajați 56 de agenți contractuali și 89 de agenți temporari, dintre care 21 de agenți contractuali aveau contract pe durată nedeterminată și trei agenți temporari erau angajați pe un post temporar, cu contract pe durată nedeterminată în două cazuri și cu contract pentru o perioadă de cinci ani în cazul Secretarului general; remarcă, în plus, că Comitetul a angajat 8 agenți interimari și 14 membri externi ai personalului care lucrează la fața locului, excluzând prestatorii externi de servicii din domeniile logisticii și IT; constată că, în 2022, rata de ocupare a posturilor din schema de personal a fost de 96 %;</w:t>
      </w:r>
    </w:p>
    <w:p w:rsidR="00FC5419" w:rsidRPr="00F87D34" w:rsidRDefault="00FC5419" w:rsidP="00FC5419">
      <w:pPr>
        <w:pStyle w:val="NormalHanging12a"/>
        <w:rPr>
          <w:szCs w:val="24"/>
        </w:rPr>
      </w:pPr>
      <w:r w:rsidRPr="00F87D34">
        <w:t>21.</w:t>
      </w:r>
      <w:r w:rsidRPr="00F87D34">
        <w:tab/>
        <w:t>constată că un nou proiect-pilot privind un regim hibrid de muncă, menit să alinieze cadrul de resurse umane la noi modalități de lucru, a intrat în vigoare în aprilie 2022, oferind personalului Comitetului posibilitatea să își organizeze activitatea săptămânală și zilnică cu un grad mai mare de flexibilitate și să lucreze de la distanță pentru o perioadă de până la 60 % din timpul de lucru; consideră binevenit faptul că noul regim oferă posibilitatea aplicării mai multor formule cu timp parțial, pe baza drepturilor statutare prevăzute în Statutul funcționarilor; observă cu satisfacție că 90,25 % dintre cei care au răspuns la sondajul în rândul personalului din decembrie 2022 s-au declarat încântați de aceste formule flexibile;</w:t>
      </w:r>
    </w:p>
    <w:p w:rsidR="00FC5419" w:rsidRPr="00F87D34" w:rsidRDefault="00FC5419" w:rsidP="00FC5419">
      <w:pPr>
        <w:pStyle w:val="NormalHanging12a"/>
      </w:pPr>
      <w:r w:rsidRPr="00F87D34">
        <w:t>22.</w:t>
      </w:r>
      <w:r w:rsidRPr="00F87D34">
        <w:tab/>
        <w:t xml:space="preserve">constată cu preocupare că, în 2022, au fost raportate în cadrul Comitetului 16 cazuri de epuizare profesională; remarcă și că Comitetul a reușit să reintegreze 15 membri ai personalului în 2022, după o absență îndelungată ca urmare a epuizării profesionale, datorită unei urmăriri personalizate a concediului medical pe termen lung; felicită </w:t>
      </w:r>
      <w:r w:rsidRPr="00F87D34">
        <w:lastRenderedPageBreak/>
        <w:t xml:space="preserve">Comitetul pentru măsurile preventive luate pentru a reduce riscurile psihosociale și epuizarea; apreciază, în acest sens, abordarea </w:t>
      </w:r>
      <w:proofErr w:type="spellStart"/>
      <w:r w:rsidRPr="00F87D34">
        <w:t>proactivă</w:t>
      </w:r>
      <w:proofErr w:type="spellEnd"/>
      <w:r w:rsidRPr="00F87D34">
        <w:t xml:space="preserve"> a serviciului medical, conferințele de informare, cursurile de formare și cursurile organizate de Comitet;</w:t>
      </w:r>
    </w:p>
    <w:p w:rsidR="00FC5419" w:rsidRPr="00F87D34" w:rsidRDefault="00FC5419" w:rsidP="00FC5419">
      <w:pPr>
        <w:pStyle w:val="NormalHanging12a"/>
        <w:rPr>
          <w:szCs w:val="24"/>
        </w:rPr>
      </w:pPr>
      <w:r w:rsidRPr="00F87D34">
        <w:t>23.</w:t>
      </w:r>
      <w:r w:rsidRPr="00F87D34">
        <w:tab/>
        <w:t>observă că Comitetul a continuat sensibilizarea cu privire la măsurile instituite pentru a combate hărțuirea la locul de muncă, în conformitate cu decizia sa din 26 aprilie 2021 privind protecția demnității la locul de muncă, gestionarea conflictelor și combaterea hărțuirii, în special prin orientări specifice, comunicare internă și organizarea mai multor sesiuni de informare pentru personal și manageri; constată că, în 2022, Comitetul a trebuit să gestioneze o nouă acuzație de hărțuire morală adusă de un membru al personalului CESE împotriva unui membru al personalului Comitetului, acuzație care este încă în curs de examinare de către ambele comitete; invită Comitetul să raporteze cu privire la urmărirea respectivei acuzații, luând în considerare în special perspectiva interinstituțională;</w:t>
      </w:r>
    </w:p>
    <w:p w:rsidR="00FC5419" w:rsidRPr="00F87D34" w:rsidRDefault="00FC5419" w:rsidP="00FC5419">
      <w:pPr>
        <w:pStyle w:val="NormalHanging12a"/>
        <w:rPr>
          <w:szCs w:val="24"/>
        </w:rPr>
      </w:pPr>
      <w:r w:rsidRPr="00F87D34">
        <w:t>24.</w:t>
      </w:r>
      <w:r w:rsidRPr="00F87D34">
        <w:tab/>
        <w:t>constată că, la sfârșitul exercițiului financiar 2022, personalul angajat al Comitetului era format din 56,8 % femei și 43,2 % bărbați, în comparație cu o proporție a femeilor de 56,6 % în 2021 și 55,5 % în 2020; observă cu îngrijorare că repartizarea femeilor pe grade și statute urmează aceeași tendință ca în exercițiile financiare anterioare și regretă că, în ciuda desemnării unei noi directoare în 2023 și a unor eforturi de a atrage mai multe femei în posturile de conducere, situația rămâne deosebit de dezechilibrată atât la nivelul personalului de conducere de nivel superior, cât și la cel al personalului de conducere de nivel mediu; recomandă ca anunțurile de posturi vacante să aibă un caracter mai incluziv și ca mai multe femei să fie încurajate să candideze pentru posturile de conducere de nivel superior și mediu, și prin asigurarea unei reprezentări echilibrate în comitetele de selecție, prin oferirea de oportunități de formare pentru personalul feminin care dorește să se pregătească pentru o carieră de conducere și prin propunerea unor formule de lucru mai flexibile;</w:t>
      </w:r>
    </w:p>
    <w:p w:rsidR="00FC5419" w:rsidRPr="00F87D34" w:rsidRDefault="00FC5419" w:rsidP="00FC5419">
      <w:pPr>
        <w:pStyle w:val="NormalHanging12a"/>
        <w:rPr>
          <w:szCs w:val="24"/>
        </w:rPr>
      </w:pPr>
      <w:r w:rsidRPr="00F87D34">
        <w:t>25.</w:t>
      </w:r>
      <w:r w:rsidRPr="00F87D34">
        <w:tab/>
        <w:t>felicită Comitetul pentru că a adoptat la 7 iulie 2022 o nouă strategie și un nou plan de acțiune pentru diversitate și incluziune pe cinci ani pentru perioada 2022-2026; încurajează Comitetul să își continue eforturile de a realiza obiectivele stabilite în strategia și planul de acțiune respective, în special obiectivul legat de egalitatea de gen de a avea 40 % femei în posturi de conducere de nivel superior până în 2024 având ca obiectiv atingerea parității; salută măsurile de sensibilizare și specifice instituite pentru a promova și a îmbunătăți un loc de muncă mai divers și mai incluziv la nivelul reprezentării personalului și al punctelor de contact în toate departamentele Comitetului, sub îndrumarea unui coordonator specific pentru diversitate și incluziune;</w:t>
      </w:r>
    </w:p>
    <w:p w:rsidR="00FC5419" w:rsidRPr="00F87D34" w:rsidRDefault="00FC5419" w:rsidP="00FC5419">
      <w:pPr>
        <w:pStyle w:val="NormalHanging12a"/>
      </w:pPr>
      <w:r w:rsidRPr="00F87D34">
        <w:t>26.</w:t>
      </w:r>
      <w:r w:rsidRPr="00F87D34">
        <w:tab/>
        <w:t>constată că, în 2022, personalul Comitetului provenea din toate statele membre, inclusiv un angajat de naționalitate ucraineană; deși felicită Comitetul pentru eforturile de a echilibra distribuția geografică în rândul personalului său, constată că echilibrul geografic nu a fost totuși atins, dat fiind că unele naționalități sunt încă suprareprezentate; încurajează Comitetul să ia în continuare măsuri pentru o distribuție geografică echilibrată a personalului său, cu un accent deosebit asupra nivelului de management; salută participarea Comitetului la grupul operativ interinstituțional pentru echilibrul geografic, cu scopul de a face schimb de bune practici și de a crea sinergii între instituțiile Uniunii;</w:t>
      </w:r>
    </w:p>
    <w:p w:rsidR="00FC5419" w:rsidRPr="00F87D34" w:rsidRDefault="00FC5419" w:rsidP="00FC5419">
      <w:pPr>
        <w:pStyle w:val="NormalHanging12a"/>
        <w:rPr>
          <w:szCs w:val="24"/>
        </w:rPr>
      </w:pPr>
      <w:r w:rsidRPr="00F87D34">
        <w:t>27.</w:t>
      </w:r>
      <w:r w:rsidRPr="00F87D34">
        <w:tab/>
        <w:t xml:space="preserve">constată că, în 2022, Comitetul a aplicat, pentru prima dată, un sistem-pilot interinstituțional de observare directă la locul de muncă, care a implicat 3 instituții ale </w:t>
      </w:r>
      <w:r w:rsidRPr="00F87D34">
        <w:lastRenderedPageBreak/>
        <w:t>Uniunii și 25 de participanți și care a avut scopul de a înțelege mai bine metodele și procesele de lucru ale altor instituții, a consolidat colaborarea instituțională, a promovat mobilitatea și a asigurat o forță de muncă mai flexibilă; felicită Comitetul pentru lansarea acestei inițiative interinstituționale inovatoare, care apoi a fost extinsă și preluată de Școala Europeană de Administrație începând cu 2023;</w:t>
      </w:r>
    </w:p>
    <w:p w:rsidR="00FC5419" w:rsidRPr="00F87D34" w:rsidRDefault="00FC5419" w:rsidP="00FC5419">
      <w:pPr>
        <w:pStyle w:val="NormalHanging12a"/>
        <w:rPr>
          <w:szCs w:val="24"/>
        </w:rPr>
      </w:pPr>
      <w:r w:rsidRPr="00F87D34">
        <w:t>28.</w:t>
      </w:r>
      <w:r w:rsidRPr="00F87D34">
        <w:tab/>
        <w:t>constată că, în 2022, Comitetul a avut 60 de stagiari, dintre care 48 au fost stagiari remunerați, iar 12 au fost persoane în vizită de studiu și care, în două cazuri, au primit o prestație socială; salută noile norme aprobate în 2022 în legătură cu remunerarea stagiarilor, prin care vizitele de studiu pot fi aprobate numai dacă stagiarul primește finanțare dintr-o altă sursă sau dacă stagiul este obligatoriu în contextul studiilor stagiarului și prin care toate tipurile de stagiari pot solicita o prestație socială în cazuri temeinic justificate; apreciază faptul că condițiile de muncă ale stagiarilor sunt aliniate la cele ale personalului în temeiul noilor formule flexibile de lucru, conform cărora toți stagiarii pot lucra de la distanță din străinătate o zi pe lună pe durata stagiului;</w:t>
      </w:r>
    </w:p>
    <w:p w:rsidR="00FC5419" w:rsidRPr="00F87D34" w:rsidRDefault="00FC5419" w:rsidP="00FC5419">
      <w:pPr>
        <w:pStyle w:val="NormalHanging12a"/>
        <w:rPr>
          <w:b/>
          <w:i/>
          <w:szCs w:val="24"/>
        </w:rPr>
      </w:pPr>
      <w:r w:rsidRPr="00F87D34">
        <w:rPr>
          <w:b/>
          <w:i/>
        </w:rPr>
        <w:t>Cadrul etic și transparența</w:t>
      </w:r>
    </w:p>
    <w:p w:rsidR="00FC5419" w:rsidRPr="00F87D34" w:rsidRDefault="00FC5419" w:rsidP="00FC5419">
      <w:pPr>
        <w:pStyle w:val="NormalHanging12a"/>
        <w:rPr>
          <w:szCs w:val="24"/>
        </w:rPr>
      </w:pPr>
      <w:r w:rsidRPr="00F87D34">
        <w:t>29.</w:t>
      </w:r>
      <w:r w:rsidRPr="00F87D34">
        <w:tab/>
        <w:t>salută eforturile Comitetului de a îmbunătăți conștientizarea etică în rândul personalului său și asigurarea respectării normelor etice în diferite proceduri, cum ar fi recrutarea, precum și a obligațiilor și a drepturilor etice în diferite situații administrative, activități exterioare, cursuri de formare și încetarea raporturilor de muncă, ca urmare a auditului intern privind conștientizarea aspectelor etice de către personal; constată că documentele și normele principale care stau la baza cadrului etic sunt publicate pe pagina de intranet a Comitetului, pentru a sensibiliza personalul cu privire la normele etice; ia act de cele 14 cursuri colective de formare organizate de Comitet în 2022, în mod specific pe subiecte legate de etică, la care au participat 107 angajați, și că 75 % din membrii personalului au participat la cursul de etică pe parcursul exercițiului financiar 2022;</w:t>
      </w:r>
    </w:p>
    <w:p w:rsidR="00FC5419" w:rsidRPr="00F87D34" w:rsidRDefault="00FC5419" w:rsidP="00FC5419">
      <w:pPr>
        <w:pStyle w:val="NormalHanging12a"/>
        <w:rPr>
          <w:szCs w:val="24"/>
        </w:rPr>
      </w:pPr>
      <w:r w:rsidRPr="00F87D34">
        <w:t>30.</w:t>
      </w:r>
      <w:r w:rsidRPr="00F87D34">
        <w:tab/>
        <w:t>observă că, în 2022, Comitetul a continuat să pună în aplicare codul său de conduită din 2020 pentru membri, iar în această privință și-a intensificat eforturile de a colecta declarațiile financiare lipsă ale membrilor; observă că șase membri supleanți desemnați în ianuarie 2020 nu își depuseseră încă declarațiile financiare până în iunie 2023 și că, deși niciunul dintre acești șase membri nu participase la vreo ședință a Comitetului de la desemnarea lor, Comitetul a lansat procedura de asigurare a respectării legislației prevăzută în codul de conduită al membrilor;</w:t>
      </w:r>
    </w:p>
    <w:p w:rsidR="00FC5419" w:rsidRPr="00F87D34" w:rsidRDefault="00FC5419" w:rsidP="00FC5419">
      <w:pPr>
        <w:pStyle w:val="NormalHanging12a"/>
        <w:rPr>
          <w:szCs w:val="24"/>
        </w:rPr>
      </w:pPr>
      <w:r w:rsidRPr="00F87D34">
        <w:t>31.</w:t>
      </w:r>
      <w:r w:rsidRPr="00F87D34">
        <w:tab/>
        <w:t xml:space="preserve">constată că Oficiul European de Luptă Antifraudă (OLAF) a investigat în 2022 trei cazuri, dintre care un caz nou s-a referit la activități lucrative exterioare și două cazuri în curs, închise în același an, s-au referit la plata necuvenită a cheltuielilor de deplasare și, respectiv, la acuzații de fapte ilegale financiare, hărțuire și gestionare defectuoasă în cadrul unui Serviciu comun al Comitetului și al CESE; constată că acel caz referitor la plata unor cheltuieli de deplasare necuvenite a fost închis la începutul anului 2022, când Comitetul a solicitat respectivului membru rambursarea din motive etice a indemnizației primite, în lipsa unui temei juridic pentru recuperarea sumelor respective; ia act de faptul că, la începutul anului 2024, membrul respectiv a informat cu privire la intenția sa de a rambursa suma solicitată inițial de OLAF din motive etice și că serviciile financiare ale Comitetului erau pregătite să ia toate măsurile necesare în acest sens; solicită Comitetului să informeze autoritatea care acordă descărcarea de gestiune cu privire la eventualele acțiuni întreprinse ca urmare a acestui caz în conformitate cu </w:t>
      </w:r>
      <w:r w:rsidRPr="00F87D34">
        <w:lastRenderedPageBreak/>
        <w:t>obligațiile statutare ale personalului în temeiul Statutului funcționarilor, în special deoarece acest caz a implicat un membru al Comitetului care era, în același timp, asistent parlamentar acreditat și, deoarece Bruxelles era locul de muncă prevăzut în contract, nu erau necesare cheltuieli de călătorie pentru ședințele Comitetului care au avut loc la Bruxelles; observă că acel caz referitor la acuzații de fapte ilegale financiare, hărțuire și gestionare defectuoasă în cadrul unui Serviciu comun a dat naștere unui exercițiu de mediere a conflictului, care a implicat persoanele în cauză, ierarhia lor și departamentele respective de resurse umane, cu un plan de acțiune în cinci puncte, care a fost pus în aplicare pe parcursul exercițiilor financiare 2021 și 2022;</w:t>
      </w:r>
    </w:p>
    <w:p w:rsidR="00FC5419" w:rsidRPr="00F87D34" w:rsidRDefault="00FC5419" w:rsidP="00FC5419">
      <w:pPr>
        <w:pStyle w:val="NormalHanging12a"/>
        <w:rPr>
          <w:b/>
          <w:bCs/>
          <w:i/>
          <w:iCs/>
          <w:szCs w:val="24"/>
        </w:rPr>
      </w:pPr>
      <w:r w:rsidRPr="00F87D34">
        <w:t>32.</w:t>
      </w:r>
      <w:r w:rsidRPr="00F87D34">
        <w:tab/>
        <w:t>constată că, în 2022, Comitetul a continuat să pună în aplicare măsuri de transparență, cum ar fi publicarea pe site-ul său a declarațiilor de interese financiare ale membrilor, dar nu s-a înscris în mod formal în registrul de transparență al UE instituit prin acordul interinstituțional din 20 mai 2021 între Parlamentul European, Consiliul Uniunii Europene și Comisia Europeană privind un registru de transparență obligatoriu</w:t>
      </w:r>
      <w:r w:rsidRPr="00F87D34">
        <w:rPr>
          <w:vertAlign w:val="superscript"/>
        </w:rPr>
        <w:t>3</w:t>
      </w:r>
      <w:r w:rsidRPr="00F87D34">
        <w:t>; este la curent că au fost adoptate de către Comitet noi măsuri de transparență care i-au vizat pe membrii care dețin funcții și pe raportori, în conformitate cu principiile registrului de transparență al UE, printr-o decizie a Biroului din iulie 2023, măsuri care au fost comunicate Consiliului de administrație al registrului de transparență al UE; ia act de faptul că, la 20 noiembrie 2023, Consiliul de administrație al registrului de transparență al UE a considerat că acestea erau coerente cu obiectivele urmărite de AII și a salutat regulamentul Comitetului ca un pas important în îmbunătățirea cadrului comun și în promovarea unei culturi comune a transparenței la nivelul Uniunii; salută faptul că Comitetul a aderat oficial la registrul de transparență al UE începând cu 1 ianuarie 2024;</w:t>
      </w:r>
    </w:p>
    <w:p w:rsidR="00FC5419" w:rsidRPr="00F87D34" w:rsidRDefault="00FC5419" w:rsidP="00FC5419">
      <w:pPr>
        <w:pStyle w:val="NormalHanging12a"/>
        <w:rPr>
          <w:szCs w:val="24"/>
        </w:rPr>
      </w:pPr>
      <w:r w:rsidRPr="00F87D34">
        <w:t>33.</w:t>
      </w:r>
      <w:r w:rsidRPr="00F87D34">
        <w:tab/>
        <w:t>constată că, în 2022, Comitetul nu a detectat niciun conflict de interese care ar fi necesitat urmărirea de către administrație; observă că Comitetul s-a bazat în continuare pe normele în vigoare pentru a preveni conflictele de interese și pentru a evita „ușile turnante” dintre sectorul public și cel privat și le-a promovat prin cursuri în materie de etică și de sensibilizare cu privire la acest aspect;</w:t>
      </w:r>
    </w:p>
    <w:p w:rsidR="00FC5419" w:rsidRPr="00F87D34" w:rsidRDefault="00FC5419" w:rsidP="00FC5419">
      <w:pPr>
        <w:pStyle w:val="NormalHanging12a"/>
      </w:pPr>
      <w:r w:rsidRPr="00F87D34">
        <w:t>34.</w:t>
      </w:r>
      <w:r w:rsidRPr="00F87D34">
        <w:tab/>
        <w:t>constată că, în 2022, nu au fost raportate Comitetului cazuri de avertizare în interes public; ia act de faptul că Comitetul a continuat să se bazeze pe măsurile în vigoare din 2015 în ceea ce privește avertizarea în interes public și să le promoveze prin cursuri de formare și sensibilizare în materie de etică;</w:t>
      </w:r>
    </w:p>
    <w:p w:rsidR="00FC5419" w:rsidRPr="00F87D34" w:rsidRDefault="00FC5419" w:rsidP="00FC5419">
      <w:pPr>
        <w:pStyle w:val="NormalHanging12a"/>
        <w:rPr>
          <w:szCs w:val="24"/>
        </w:rPr>
      </w:pPr>
      <w:r w:rsidRPr="00F87D34">
        <w:t>35.</w:t>
      </w:r>
      <w:r w:rsidRPr="00F87D34">
        <w:tab/>
        <w:t>regretă faptul că Comitetul nu a adoptat o strategie internă antifraudă; își reiterează apelul adresat Comitetului, în rezoluția privind descărcarea de gestiune din 2021, de a lansa o analiză internă a riscului de fraudă și de a se coordona cu alte servicii competente ale Comisiei pentru a adopta o strategie internă antifraudă adecvată;</w:t>
      </w:r>
    </w:p>
    <w:p w:rsidR="00FC5419" w:rsidRPr="00F87D34" w:rsidRDefault="00FC5419" w:rsidP="00FC5419">
      <w:pPr>
        <w:pStyle w:val="NormalHanging12a"/>
        <w:rPr>
          <w:b/>
          <w:i/>
          <w:szCs w:val="24"/>
        </w:rPr>
      </w:pPr>
      <w:r w:rsidRPr="00F87D34">
        <w:rPr>
          <w:b/>
          <w:i/>
        </w:rPr>
        <w:t>Digitalizarea, securitatea cibernetică și protecția datelor</w:t>
      </w:r>
    </w:p>
    <w:p w:rsidR="00FC5419" w:rsidRPr="00F87D34" w:rsidRDefault="00FC5419" w:rsidP="00FC5419">
      <w:pPr>
        <w:pStyle w:val="NormalHanging12a"/>
        <w:rPr>
          <w:szCs w:val="24"/>
        </w:rPr>
      </w:pPr>
      <w:r w:rsidRPr="00F87D34">
        <w:t>36.</w:t>
      </w:r>
      <w:r w:rsidRPr="00F87D34">
        <w:tab/>
        <w:t>constată că bugetul combinat pentru IT al Comitetului și al CESE s-a ridicat la 11 712 000 EUR în 2022, inclusiv o consolidare în cuantum de 750 000 EUR printr-un transfer bugetar intern în timpul exercițiului financiar, în comparație cu 12 860 000 EUR în 2021, adică a înregistrat o scădere de 9 %;</w:t>
      </w:r>
    </w:p>
    <w:p w:rsidR="00FC5419" w:rsidRPr="00F87D34" w:rsidRDefault="00FC5419" w:rsidP="00FC5419">
      <w:pPr>
        <w:pStyle w:val="NormalHanging12a"/>
        <w:rPr>
          <w:szCs w:val="24"/>
        </w:rPr>
      </w:pPr>
      <w:r w:rsidRPr="00F87D34">
        <w:t>37.</w:t>
      </w:r>
      <w:r w:rsidRPr="00F87D34">
        <w:tab/>
        <w:t xml:space="preserve">observă că Comitetul are o strategie digitală menită să furnizeze servicii informatice în conformitate cu bunele practici ale gestionării IT, optimizând în același timp utilizarea </w:t>
      </w:r>
      <w:r w:rsidRPr="00F87D34">
        <w:lastRenderedPageBreak/>
        <w:t xml:space="preserve">resurselor umane și financiare; constată că Comitetul a lucrat la adaptarea și dezvoltarea mai multor instrumente IT strategice pe parcursul exercițiului financiar 2022, cu scopul de a îmbunătăți eficiența și eficacitatea activității politice a Comitetului și ale proceselor sale administrative și fluxurilor sale de lucru; observă că principalul proiect de infrastructură IT din 2022 a vizat o adaptare a tipologiei rețelei necesare pentru noul centru de date din clădirea Jacques Delors (JDE), în conformitate cu foaia de parcurs pentru </w:t>
      </w:r>
      <w:proofErr w:type="spellStart"/>
      <w:r w:rsidRPr="00F87D34">
        <w:t>cloud</w:t>
      </w:r>
      <w:proofErr w:type="spellEnd"/>
      <w:r w:rsidRPr="00F87D34">
        <w:t xml:space="preserve"> hibrid;</w:t>
      </w:r>
    </w:p>
    <w:p w:rsidR="00FC5419" w:rsidRPr="00F87D34" w:rsidRDefault="00FC5419" w:rsidP="00FC5419">
      <w:pPr>
        <w:pStyle w:val="NormalHanging12a"/>
        <w:rPr>
          <w:szCs w:val="24"/>
        </w:rPr>
      </w:pPr>
      <w:r w:rsidRPr="00F87D34">
        <w:t>38.</w:t>
      </w:r>
      <w:r w:rsidRPr="00F87D34">
        <w:tab/>
        <w:t>constată că Comitetul a crescut numărul de ședințe hibride în 2022, pentru a se adapta la munca hibridă și pentru a se alinia la noile practici privind delegațiile, prezentate în iunie 2022 de Secretarul general al Comitetului, mai economice, mai practice și mai sustenabile, care impun Comitetului să își optimizeze modul de lucru și să înlocuiască cât mai multe delegații ale personalului cu videoconferințe; înțelege că acest nou mod de lucru a necesitat o modernizare tehnică în ceea ce privește echipamentele pentru sălile de ședințe hibride;</w:t>
      </w:r>
    </w:p>
    <w:p w:rsidR="00FC5419" w:rsidRPr="00F87D34" w:rsidRDefault="00FC5419" w:rsidP="00FC5419">
      <w:pPr>
        <w:pStyle w:val="NormalHanging12a"/>
        <w:rPr>
          <w:szCs w:val="24"/>
        </w:rPr>
      </w:pPr>
      <w:r w:rsidRPr="00F87D34">
        <w:t>39.</w:t>
      </w:r>
      <w:r w:rsidRPr="00F87D34">
        <w:tab/>
        <w:t>constată că Comitetul a adoptat în 2022 noi norme interne privind protecția datelor, care prevăd restrângeri ale anumitor drepturi ale persoanelor vizate în legătură cu prelucrarea datelor cu caracter personal în contextul activităților și procedurilor desfășurate de Comitet; remarcă și că Autoritatea Europeană pentru Protecția Datelor nu a efectuat nicio investigație sau anchetă cu privire la prelucrarea datelor cu caracter personal de către Comitet în 2022;</w:t>
      </w:r>
    </w:p>
    <w:p w:rsidR="00FC5419" w:rsidRPr="00F87D34" w:rsidRDefault="00FC5419" w:rsidP="00FC5419">
      <w:pPr>
        <w:pStyle w:val="NormalHanging12a"/>
      </w:pPr>
      <w:r w:rsidRPr="00F87D34">
        <w:t>40.</w:t>
      </w:r>
      <w:r w:rsidRPr="00F87D34">
        <w:tab/>
        <w:t>constată că Comitetul nu s-a confruntat cu niciun atac cibernetic în 2022; observă că noua Direcție comună pentru inovare și tehnologia informației a Comitetului și a CESE este alcătuită din trei unități, și anume cele responsabile pentru transformarea digitală, soluțiile digitale și platformele digitale; ia act de faptul că unitatea pentru platforme digitale este responsabilă, printre altele, de securitatea cibernetică; invită Comitetul să informeze autoritatea de descărcare de gestiune despre modul în care crearea acestei noi structuri a contribuit la îmbunătățirea pregătirii personalului său pentru securitatea cibernetică, în conformitate cu cadrul de securitate cibernetică al NIST (Institutul național pentru standarde și tehnologie) și în cooperare cu Serviciul de securitate cibernetică pentru instituțiile, organele, oficiile și agențiile Uniunii (CERT-UE); încurajează Comitetul să informeze membrii și personalul său cu privire la securitatea cibernetică, să efectueze evaluări periodice ale riscurilor legate de infrastructura sa informatică și să asigure audituri și teste periodice ale sistemelor sale de apărare cibernetică;</w:t>
      </w:r>
    </w:p>
    <w:p w:rsidR="00FC5419" w:rsidRPr="00F87D34" w:rsidRDefault="00FC5419" w:rsidP="00FC5419">
      <w:pPr>
        <w:pStyle w:val="NormalHanging12a"/>
        <w:rPr>
          <w:szCs w:val="24"/>
        </w:rPr>
      </w:pPr>
      <w:r w:rsidRPr="00F87D34">
        <w:t>41.</w:t>
      </w:r>
      <w:r w:rsidRPr="00F87D34">
        <w:tab/>
        <w:t>salută eforturile Comitetului de a promova tehnologia cu sursă deschisă în propriile sale sisteme, în special principalele aplicații operaționale utilizate pentru gestionarea activității politice ale Comitetului („Agora” și „Phoenix”); observă și că Comitetul monitorizează utilizarea tehnologiilor cu sursă deschisă în portofoliul său IT anual, astfel încât acestea să fie aplicate noilor aplicații;</w:t>
      </w:r>
    </w:p>
    <w:p w:rsidR="00FC5419" w:rsidRPr="00F87D34" w:rsidRDefault="00FC5419" w:rsidP="00FC5419">
      <w:pPr>
        <w:pStyle w:val="NormalHanging12a"/>
        <w:ind w:left="0" w:firstLine="0"/>
        <w:rPr>
          <w:b/>
          <w:i/>
          <w:szCs w:val="24"/>
        </w:rPr>
      </w:pPr>
      <w:r w:rsidRPr="00F87D34">
        <w:rPr>
          <w:b/>
          <w:i/>
        </w:rPr>
        <w:t>Clădiri</w:t>
      </w:r>
    </w:p>
    <w:p w:rsidR="00FC5419" w:rsidRPr="00F87D34" w:rsidRDefault="00FC5419" w:rsidP="00FC5419">
      <w:pPr>
        <w:pStyle w:val="NormalHanging12a"/>
        <w:rPr>
          <w:szCs w:val="24"/>
        </w:rPr>
      </w:pPr>
      <w:r w:rsidRPr="00F87D34">
        <w:t>42.</w:t>
      </w:r>
      <w:r w:rsidRPr="00F87D34">
        <w:tab/>
        <w:t>constată că Comitetul și CESE au pierdut spații de birouri cu o suprafață de 5 000 m</w:t>
      </w:r>
      <w:r w:rsidRPr="00F87D34">
        <w:rPr>
          <w:vertAlign w:val="superscript"/>
        </w:rPr>
        <w:t>2</w:t>
      </w:r>
      <w:r w:rsidRPr="00F87D34">
        <w:t xml:space="preserve"> ca urmare a preluării contractului de închiriere pentru fosta clădire a SEAE din strada </w:t>
      </w:r>
      <w:proofErr w:type="spellStart"/>
      <w:r w:rsidRPr="00F87D34">
        <w:t>Belliard</w:t>
      </w:r>
      <w:proofErr w:type="spellEnd"/>
      <w:r w:rsidRPr="00F87D34">
        <w:t xml:space="preserve"> 100 (B100), care a intrat în vigoare în septembrie 2021, și a schimbului clădirilor Comitetului și CESE din strada </w:t>
      </w:r>
      <w:proofErr w:type="spellStart"/>
      <w:r w:rsidRPr="00F87D34">
        <w:t>Belliard</w:t>
      </w:r>
      <w:proofErr w:type="spellEnd"/>
      <w:r w:rsidRPr="00F87D34">
        <w:t xml:space="preserve"> 68 și din strada </w:t>
      </w:r>
      <w:proofErr w:type="spellStart"/>
      <w:r w:rsidRPr="00F87D34">
        <w:t>Trèves</w:t>
      </w:r>
      <w:proofErr w:type="spellEnd"/>
      <w:r w:rsidRPr="00F87D34">
        <w:t xml:space="preserve"> 74 cu clădirea Comisiei din strada Van </w:t>
      </w:r>
      <w:proofErr w:type="spellStart"/>
      <w:r w:rsidRPr="00F87D34">
        <w:t>Maerlant</w:t>
      </w:r>
      <w:proofErr w:type="spellEnd"/>
      <w:r w:rsidRPr="00F87D34">
        <w:t xml:space="preserve"> 2 (VMA), care a intrat în vigoare în septembrie 2022; </w:t>
      </w:r>
      <w:r w:rsidRPr="00F87D34">
        <w:lastRenderedPageBreak/>
        <w:t>observă că în cele două clădiri nou-dobândite au fost necesare lucrări de amenajare pentru a permite utilizarea mai densă a spațiului de birouri; salută instituirea, în 2022, a unui grup operativ comun cu privire la noi modalități de lucru pentru a reflecta asupra optimizării posibile a organizării muncii și a modului în care este utilizat spațiul de birouri, reducând în același timp amprenta de mediu;</w:t>
      </w:r>
    </w:p>
    <w:p w:rsidR="00FC5419" w:rsidRPr="00F87D34" w:rsidRDefault="00FC5419" w:rsidP="00FC5419">
      <w:pPr>
        <w:pStyle w:val="NormalHanging12a"/>
      </w:pPr>
      <w:r w:rsidRPr="00F87D34">
        <w:t>43.</w:t>
      </w:r>
      <w:r w:rsidRPr="00F87D34">
        <w:tab/>
        <w:t>constată că, în 2022, bugetul general al Comitetului pentru amenajarea spațiilor s-a ridicat la 883 792 EUR; observă că lucrările de renovare desfășurate de Comitet și CESE la clădirile B100 și VMA au inclus utilizarea unor tehnologii inteligente, cu o componentă de mediu solidă; solicită Comitetului să ofere o actualizare cu privire la randamentul investițiilor în instalațiile tehnologice respective, dar recomandă totuși prudență cu privire la asumarea unor angajamente pe termen lung privind noi spații de birouri înainte ca aceste măsuri să fie analizate în detaliu;</w:t>
      </w:r>
    </w:p>
    <w:p w:rsidR="00FC5419" w:rsidRPr="00F87D34" w:rsidRDefault="00FC5419" w:rsidP="00FC5419">
      <w:pPr>
        <w:pStyle w:val="NormalHanging12a"/>
        <w:rPr>
          <w:szCs w:val="24"/>
        </w:rPr>
      </w:pPr>
      <w:r w:rsidRPr="00F87D34">
        <w:t>44.</w:t>
      </w:r>
      <w:r w:rsidRPr="00F87D34">
        <w:tab/>
        <w:t>constată că, în 2022, strategia privind clădirile a Comitetului și a CESE s-a axat pe concentrarea geografică a clădirilor, care a fost realizată prin conectarea fizică a tuturor clădirilor utilizate de Comitet și CESE la clădirea lor principală (JDE); salută noua legătură fizică cu clădirile Parlamentului, care a devenit operațională în noiembrie 2022, asigurând un drum mai direct, mai ușor și cu 125 m mai scurt între clădirile Comitetului și CESE și clădirile Parlamentului;</w:t>
      </w:r>
    </w:p>
    <w:p w:rsidR="00FC5419" w:rsidRPr="00F87D34" w:rsidRDefault="00FC5419" w:rsidP="00FC5419">
      <w:pPr>
        <w:pStyle w:val="NormalHanging12a"/>
        <w:rPr>
          <w:szCs w:val="24"/>
        </w:rPr>
      </w:pPr>
      <w:r w:rsidRPr="00F87D34">
        <w:t>45.</w:t>
      </w:r>
      <w:r w:rsidRPr="00F87D34">
        <w:tab/>
        <w:t>constată că Comitetul și CESE au lansat un proiect multianual legat de modernizarea tehnică a sistemului de interpretare pentru toate sălile de conferințe începând din 2022; observă că, în 2022, Comitetul a alocat 200 000 EUR pentru acest proiect;</w:t>
      </w:r>
    </w:p>
    <w:p w:rsidR="00FC5419" w:rsidRPr="00F87D34" w:rsidRDefault="00FC5419" w:rsidP="00FC5419">
      <w:pPr>
        <w:pStyle w:val="NormalHanging12a"/>
        <w:rPr>
          <w:szCs w:val="24"/>
        </w:rPr>
      </w:pPr>
      <w:r w:rsidRPr="00F87D34">
        <w:t>46.</w:t>
      </w:r>
      <w:r w:rsidRPr="00F87D34">
        <w:tab/>
        <w:t>salută angajamentul Comitetului și al CESE de a aplica în mod sistematic principiul „proiectării universale” pentru infrastructura lor, asigurând accesibilitatea clădirii lor din faza de proiectare; constată că Comitetul și CESE au adoptat o serie de măsuri diferite pentru a asigura accesibilitatea clădirilor lor pentru persoanele cu diverse tipuri de dizabilități;</w:t>
      </w:r>
    </w:p>
    <w:p w:rsidR="00FC5419" w:rsidRPr="00F87D34" w:rsidRDefault="00FC5419" w:rsidP="00FC5419">
      <w:pPr>
        <w:pStyle w:val="NormalHanging12a"/>
        <w:ind w:left="0" w:firstLine="0"/>
        <w:rPr>
          <w:b/>
          <w:i/>
          <w:szCs w:val="24"/>
        </w:rPr>
      </w:pPr>
      <w:r w:rsidRPr="00F87D34">
        <w:rPr>
          <w:b/>
          <w:i/>
        </w:rPr>
        <w:t>Mediul și sustenabilitatea</w:t>
      </w:r>
    </w:p>
    <w:p w:rsidR="00FC5419" w:rsidRPr="00F87D34" w:rsidRDefault="00FC5419" w:rsidP="00FC5419">
      <w:pPr>
        <w:pStyle w:val="NormalHanging12a"/>
        <w:rPr>
          <w:szCs w:val="24"/>
        </w:rPr>
      </w:pPr>
      <w:r w:rsidRPr="00F87D34">
        <w:t>47.</w:t>
      </w:r>
      <w:r w:rsidRPr="00F87D34">
        <w:tab/>
        <w:t>salută practicile ecologice sustenabile și mai ales abordarea Comitetului și a CESE de eliminare a documentelor în format fizic, care a contribuit la reducerea amprentei de mediu a acestora, în conformitate cu strategia digitală; observă că aplicația „Phoenix”, utilizată pentru a sprijini activitatea politică a Comitetului, a fost adaptată în 2022 astfel încât să genereze „rapoarte privind emisiile de dioxid de carbon” pentru călătorii și să permită Comitetului și CESE să își calculeze bilanțul emisiilor de dioxid de carbon; constată că planul de acțiune rezultat în urma auditului performanței în cadrul sistemului de management de mediu și audit (EMAS) a fost pus în aplicare cu acțiuni în domeniile documentației, revizuirii procedurilor, îmbunătățirii planificării, gestionării riscurilor și supravegherii; felicită Comitetul și CESE pentru că au depășit obiectivele EMAS pentru perioada 2021-2025, cu excepția obiectivelor legate de consumul de gaze;</w:t>
      </w:r>
    </w:p>
    <w:p w:rsidR="00FC5419" w:rsidRPr="00F87D34" w:rsidRDefault="00FC5419" w:rsidP="00FC5419">
      <w:pPr>
        <w:pStyle w:val="NormalHanging12a"/>
        <w:rPr>
          <w:szCs w:val="24"/>
        </w:rPr>
      </w:pPr>
      <w:r w:rsidRPr="00F87D34">
        <w:t>48.</w:t>
      </w:r>
      <w:r w:rsidRPr="00F87D34">
        <w:tab/>
        <w:t xml:space="preserve">constată că, în 2022, producția totală de energie electrică generată de panourile solare de pe clădirile Comitetului și ale CESE a fost de aproximativ 15,5 MWh, reprezentând 0,25 % din consumul anual total al Comitetului și al CESE; observă că, din 16 septembrie 2022, doar clădirea JDE a fost prevăzută cu panouri solare; este conștient că, din cauza procedurilor administrative, Comitetul și CESE vor înregistra o întârziere </w:t>
      </w:r>
      <w:r w:rsidRPr="00F87D34">
        <w:lastRenderedPageBreak/>
        <w:t>în ceea ce privește posibilitatea de a extinde instalarea de panouri solare;</w:t>
      </w:r>
    </w:p>
    <w:p w:rsidR="00FC5419" w:rsidRPr="00F87D34" w:rsidRDefault="00FC5419" w:rsidP="00FC5419">
      <w:pPr>
        <w:pStyle w:val="NormalHanging12a"/>
        <w:rPr>
          <w:szCs w:val="24"/>
        </w:rPr>
      </w:pPr>
      <w:r w:rsidRPr="00F87D34">
        <w:t>49.</w:t>
      </w:r>
      <w:r w:rsidRPr="00F87D34">
        <w:tab/>
        <w:t>constată că Comitetul a pus în aplicare un plan de mobilitatea durabilă, care include o contribuție financiară la abonamentele pentru transport public ale personalului și activități de sensibilizare; observă că, în 2022, nu a fost organizat în rândul personalului niciun sondaj nou privind mobilitatea, dar că un sondaj este prevăzut pentru 2024; felicită cei 76 % dintre angajații Comitetului care utilizează mijloace de transport ecologice;</w:t>
      </w:r>
    </w:p>
    <w:p w:rsidR="00FC5419" w:rsidRPr="00F87D34" w:rsidRDefault="00FC5419" w:rsidP="00FC5419">
      <w:pPr>
        <w:pStyle w:val="NormalHanging12a"/>
        <w:rPr>
          <w:b/>
          <w:i/>
          <w:szCs w:val="24"/>
        </w:rPr>
      </w:pPr>
      <w:r w:rsidRPr="00F87D34">
        <w:rPr>
          <w:b/>
          <w:i/>
        </w:rPr>
        <w:t>Cooperare interinstituțională</w:t>
      </w:r>
    </w:p>
    <w:p w:rsidR="00FC5419" w:rsidRPr="00F87D34" w:rsidRDefault="00FC5419" w:rsidP="00FC5419">
      <w:pPr>
        <w:pStyle w:val="NormalHanging12a"/>
        <w:rPr>
          <w:szCs w:val="24"/>
        </w:rPr>
      </w:pPr>
      <w:r w:rsidRPr="00F87D34">
        <w:t>50.</w:t>
      </w:r>
      <w:r w:rsidRPr="00F87D34">
        <w:tab/>
        <w:t>salută economiile bugetare și administrative realizate prin cooperare interinstituțională, în special cooperarea strânsă stabilită la nivel administrativ cu CESE cu care Comitetul împarte spații și servicii comune - traducere, infrastructură, logistică și IT, menținându-și totodată totala autonomie instituțională; constată că, la 1 octombrie 2022, a fost creată o Direcție comună pentru inovare și tehnologia informației, ca parte a noului acord de cooperare semnat între Comitet și CESE în 2022; constată și că, în 2022, Comitetul și CESE au reunit 470 de membri ai personalului și 55 de milioane EUR, excluzând cheltuielile legate de salarii; invită Comitetul să susțină și să extindă această cooperare și în alte domenii, pentru a evita suprapunerile și a raționaliza în continuare costurile de funcționare ale serviciilor disponibile în spațiile comune ale celor două comitete; invită Comitetul și CESE să analizeze posibilitatea de a institui o singură administrație pentru Serviciile lor comune, păstrând direcții sau unități separate pentru serviciile care se ocupă de aspecte legate de mandatele lor specifice și independente;</w:t>
      </w:r>
    </w:p>
    <w:p w:rsidR="00FC5419" w:rsidRPr="00F87D34" w:rsidRDefault="00FC5419" w:rsidP="00FC5419">
      <w:pPr>
        <w:pStyle w:val="NormalHanging12a"/>
        <w:rPr>
          <w:szCs w:val="24"/>
        </w:rPr>
      </w:pPr>
      <w:r w:rsidRPr="00F87D34">
        <w:t>51.</w:t>
      </w:r>
      <w:r w:rsidRPr="00F87D34">
        <w:tab/>
        <w:t>salută faptul că Comitetul caută sinergii prin achiziția de servicii de la alte instituții pe baza unor acorduri privind nivelul serviciilor și prin participarea la organisme de coordonare interinstituționale și la proceduri de achiziții interinstituționale;</w:t>
      </w:r>
    </w:p>
    <w:p w:rsidR="00FC5419" w:rsidRPr="00F87D34" w:rsidRDefault="00FC5419" w:rsidP="00FC5419">
      <w:pPr>
        <w:pStyle w:val="NormalHanging12a"/>
        <w:rPr>
          <w:szCs w:val="24"/>
        </w:rPr>
      </w:pPr>
      <w:r w:rsidRPr="00F87D34">
        <w:t>52.</w:t>
      </w:r>
      <w:r w:rsidRPr="00F87D34">
        <w:tab/>
        <w:t xml:space="preserve">invită Comitetul să analizeze și mai mult </w:t>
      </w:r>
      <w:proofErr w:type="spellStart"/>
      <w:r w:rsidRPr="00F87D34">
        <w:t>sinergiile</w:t>
      </w:r>
      <w:proofErr w:type="spellEnd"/>
      <w:r w:rsidRPr="00F87D34">
        <w:t xml:space="preserve"> cu alte instituții, atât în ceea ce privește logistica, serviciile digitale, serviciul șoferilor și alte sarcini administrative, cât și în ceea ce privește anumite activități de informare și comunicare, în special în statele membre, în care membrii Comitetului dispun de rețele de sprijin variate și se bazează exclusiv pe propriul personal local;</w:t>
      </w:r>
    </w:p>
    <w:p w:rsidR="00FC5419" w:rsidRPr="00F87D34" w:rsidRDefault="00FC5419" w:rsidP="00FC5419">
      <w:pPr>
        <w:pStyle w:val="NormalHanging12a"/>
        <w:rPr>
          <w:szCs w:val="24"/>
        </w:rPr>
      </w:pPr>
      <w:r w:rsidRPr="00F87D34">
        <w:t>53.</w:t>
      </w:r>
      <w:r w:rsidRPr="00F87D34">
        <w:tab/>
        <w:t>salută disponibilitatea Comitetului de a-și dezvolta cooperarea cu alte instituții, în special cu Parlamentul, înainte de alegerile europene din 2024, printr-o foaie de parcurs care prevede intensificarea în continuare a cooperării și un rol mai important pentru Comitet și autoritățile locale și regionale în acel context; constată revizuirea acordurilor de cooperare cu Parlamentul și Comisia, astfel cum s-a decis la Conferința președinților în noiembrie 2022;</w:t>
      </w:r>
    </w:p>
    <w:p w:rsidR="00FC5419" w:rsidRPr="00F87D34" w:rsidRDefault="00FC5419" w:rsidP="00FC5419">
      <w:pPr>
        <w:pStyle w:val="NormalHanging12a"/>
        <w:rPr>
          <w:szCs w:val="24"/>
        </w:rPr>
      </w:pPr>
      <w:r w:rsidRPr="00F87D34">
        <w:t>54.</w:t>
      </w:r>
      <w:r w:rsidRPr="00F87D34">
        <w:tab/>
        <w:t>constată că Comitetul cooperează cu Comisia (în schimbul unui comision anual) pentru gestionarea aspectelor legate de resursele umane și utilizarea unor diverse platforme IT pentru gestiune bugetară și resurse umane; observă că Comitetul își organizează sesiunile plenare la sediul Parlamentului și al Comisiei pentru a compensa lipsa de capacitate a propriilor sale săli de conferințe și că Comitetul cumpără servicii de interpretare de la aceste două instituții; constată că Comitetul analizează posibilități de utilizare a unor servicii de interpretare de la distanță, ținând seama de dezvoltarea rapidă a acestui sector;</w:t>
      </w:r>
    </w:p>
    <w:p w:rsidR="00FC5419" w:rsidRPr="00F87D34" w:rsidRDefault="00FC5419" w:rsidP="00FC5419">
      <w:pPr>
        <w:pStyle w:val="NormalHanging12a"/>
        <w:rPr>
          <w:szCs w:val="24"/>
        </w:rPr>
      </w:pPr>
      <w:r w:rsidRPr="00F87D34">
        <w:lastRenderedPageBreak/>
        <w:t>55.</w:t>
      </w:r>
      <w:r w:rsidRPr="00F87D34">
        <w:tab/>
        <w:t>constată că Comitetul promovează vizibilitatea și impactul activității sale pe baza cooperării interinstituționale prin prezentarea specifică a rapoartelor sale către ale instituții, de exemplu prin prezentarea a 11 rapoarte către Parlament în 2022, prin ședințe bilaterale la nivelul raportorilor, schimburi politice în timpul evenimentelor formale și al conferințelor, distribuirea specifică a avizelor și activitatea în cadrul rețelelor;</w:t>
      </w:r>
    </w:p>
    <w:p w:rsidR="00FC5419" w:rsidRPr="00F87D34" w:rsidRDefault="00FC5419" w:rsidP="00FC5419">
      <w:pPr>
        <w:pStyle w:val="NormalHanging12a"/>
        <w:rPr>
          <w:b/>
          <w:i/>
          <w:szCs w:val="24"/>
        </w:rPr>
      </w:pPr>
      <w:r w:rsidRPr="00F87D34">
        <w:rPr>
          <w:b/>
          <w:i/>
        </w:rPr>
        <w:t>Comunicare</w:t>
      </w:r>
    </w:p>
    <w:p w:rsidR="00FC5419" w:rsidRPr="00F87D34" w:rsidRDefault="00FC5419" w:rsidP="00FC5419">
      <w:pPr>
        <w:pStyle w:val="NormalHanging12a"/>
        <w:rPr>
          <w:szCs w:val="24"/>
        </w:rPr>
      </w:pPr>
      <w:r w:rsidRPr="00F87D34">
        <w:t>56.</w:t>
      </w:r>
      <w:r w:rsidRPr="00F87D34">
        <w:tab/>
        <w:t>observă că, în 2022, bugetul general pentru comunicare al Comitetului a fost de 2,2 milioane EUR în comparație cu 2,1 milioane EUR în 2021, adică a înregistrat o creștere de 4 %; constată că, din acest buget, aproximativ 439 000 EUR au fost utilizate pentru evenimente, 795 000 EUR pentru mass-media și 1 099 000 EUR pentru comunicare digitală; observă că scopul comunicării Comitetului este acela de a crește vizibilitatea instituțională și politică a Comitetului ca adunare a regiunilor, orașelor, satelor și municipalităților Uniunii, precum și a rolului membrilor săi;</w:t>
      </w:r>
    </w:p>
    <w:p w:rsidR="00FC5419" w:rsidRPr="00F87D34" w:rsidRDefault="00FC5419" w:rsidP="00FC5419">
      <w:pPr>
        <w:pStyle w:val="NormalHanging12a"/>
        <w:rPr>
          <w:szCs w:val="24"/>
        </w:rPr>
      </w:pPr>
      <w:r w:rsidRPr="00F87D34">
        <w:t>57</w:t>
      </w:r>
      <w:r w:rsidR="008758B4">
        <w:t>.</w:t>
      </w:r>
      <w:bookmarkStart w:id="8" w:name="_GoBack"/>
      <w:bookmarkEnd w:id="8"/>
      <w:r w:rsidRPr="00F87D34">
        <w:tab/>
        <w:t>constată că Comitetul a găzduit în continuare ședințele periodice ale directorilor generali pentru comunicare ai tuturor instituțiilor Uniunii în 2022, punând accentul pe pregătirea acțiunilor de comunicare coordonate în perioada premergătoare alegerilor europene din 2024; încurajează Comitetul să sprijine în continuare campania de comunicare instituțională a Parlamentului pentru alegerile europene din 2024 prin rețelele sale locale și regionale;</w:t>
      </w:r>
    </w:p>
    <w:p w:rsidR="00FC5419" w:rsidRPr="00F87D34" w:rsidRDefault="00FC5419" w:rsidP="00FC5419">
      <w:pPr>
        <w:pStyle w:val="NormalHanging12a"/>
        <w:rPr>
          <w:szCs w:val="24"/>
        </w:rPr>
      </w:pPr>
      <w:r w:rsidRPr="00F87D34">
        <w:t>58.</w:t>
      </w:r>
      <w:r w:rsidRPr="00F87D34">
        <w:tab/>
        <w:t>salută strategia de comunicare bazată pe date dezvoltată de Comitet în scopul apropierii de cetățenii Uniunii la nivel local și regional utilizând canale de multiplicare, cum ar fi rețeaua europeană a consilierilor UE regionali și locali, care avea 2 037 de membri înregistrați la sfârșitul anului 2022, și rețeaua europeană a „tinerilor politicieni aleși”, cu 775 de participanți la evenimentele din 2022, adică înregistrând o creștere de 15 % în comparație cu 2021; constată că Comitetul a oferit și cursuri de formare și consolidarea capacităților pentru autoritățile locale și regionale cu privire la implicarea cetățenilor și democrația participativă, cu denumirea „Un nou capitol pentru democrația participativă”; observă că, în noiembrie 2022, Biroul Comitetului a invitat fiecare membru să poarte în fiecare an cel puțin un dialog în circumscripția sa electorală; constată că Comitetul a stabilit sinergii cu rețeaua de centre Europe Direct din statele membre pentru organizarea unor evenimente locale;</w:t>
      </w:r>
    </w:p>
    <w:p w:rsidR="00FC5419" w:rsidRPr="00F87D34" w:rsidRDefault="00FC5419" w:rsidP="00FC5419">
      <w:pPr>
        <w:pStyle w:val="NormalHanging12a"/>
        <w:rPr>
          <w:szCs w:val="24"/>
        </w:rPr>
      </w:pPr>
      <w:r w:rsidRPr="00F87D34">
        <w:t>59.</w:t>
      </w:r>
      <w:r w:rsidRPr="00F87D34">
        <w:tab/>
        <w:t xml:space="preserve">constată că Comitetul a continuat să pună în aplicare trei campanii de comunicare în 2022, în conformitate cu prioritățile politice pentru mandatul 2020-2025 privind apropierea Europei de cetățeni, construirea unor comunități regionale și locale </w:t>
      </w:r>
      <w:proofErr w:type="spellStart"/>
      <w:r w:rsidRPr="00F87D34">
        <w:t>reziliente</w:t>
      </w:r>
      <w:proofErr w:type="spellEnd"/>
      <w:r w:rsidRPr="00F87D34">
        <w:t xml:space="preserve"> și promovarea coeziunii ca valoare fundamentală a Uniunii; salută eforturile depuse de Comitet pentru a-și extinde publicul, prin comunicare digitală și comunicarea prin mass-media; în 2022 s-au înregistrat 18 890 de menționări în mass-media, reprezentând o creștere de 20 % între 2020 și 2022;</w:t>
      </w:r>
    </w:p>
    <w:p w:rsidR="00FC5419" w:rsidRPr="00F87D34" w:rsidRDefault="00FC5419" w:rsidP="00FC5419">
      <w:pPr>
        <w:pStyle w:val="NormalHanging12a"/>
        <w:rPr>
          <w:szCs w:val="24"/>
        </w:rPr>
      </w:pPr>
      <w:r w:rsidRPr="00F87D34">
        <w:t>60.</w:t>
      </w:r>
      <w:r w:rsidRPr="00F87D34">
        <w:tab/>
        <w:t xml:space="preserve">constată că, la sfârșitul exercițiului financiar 2022, Comitetul avea 175 000 de urmăritori pe canalele sale sociale, cu 16 % mai mulți decât în 2021, dintre care 54 800 de urmăritori (o creștere de 8 %) pe X (fosta </w:t>
      </w:r>
      <w:proofErr w:type="spellStart"/>
      <w:r w:rsidRPr="00F87D34">
        <w:t>Twitter</w:t>
      </w:r>
      <w:proofErr w:type="spellEnd"/>
      <w:r w:rsidRPr="00F87D34">
        <w:t xml:space="preserve">), 58 100 de urmăritori (o creștere de 6 %) pe Facebook, 52 100 de urmăritori (o creștere de 33 %) pe </w:t>
      </w:r>
      <w:proofErr w:type="spellStart"/>
      <w:r w:rsidRPr="00F87D34">
        <w:t>LinkedIn</w:t>
      </w:r>
      <w:proofErr w:type="spellEnd"/>
      <w:r w:rsidRPr="00F87D34">
        <w:t xml:space="preserve"> și 10 500 de urmăritori (o creștere de 67 %) pe </w:t>
      </w:r>
      <w:proofErr w:type="spellStart"/>
      <w:r w:rsidRPr="00F87D34">
        <w:t>Instagram</w:t>
      </w:r>
      <w:proofErr w:type="spellEnd"/>
      <w:r w:rsidRPr="00F87D34">
        <w:t>;</w:t>
      </w:r>
    </w:p>
    <w:p w:rsidR="00E365E1" w:rsidRPr="00F87D34" w:rsidRDefault="00FC5419" w:rsidP="0009362B">
      <w:pPr>
        <w:pStyle w:val="NormalHanging12a"/>
      </w:pPr>
      <w:r w:rsidRPr="00F87D34">
        <w:lastRenderedPageBreak/>
        <w:t>61.</w:t>
      </w:r>
      <w:r w:rsidRPr="00F87D34">
        <w:tab/>
        <w:t xml:space="preserve">constată că Comitetul contribuie la portalul de date deschise al Comisiei cu seturi de date privind datele membrilor și date referitoare la avize, dar utilizează și promovează datele deschise și în rândul autorităților locale și regionale, susținând astfel un nivel mai ridicat de transparență în operațiunile sale, prin date accesibile în mod liber în format lizibil pentru om și în format prelucrabil automat, și consolidându-și legătura cu cetățenii. </w:t>
      </w:r>
      <w:bookmarkStart w:id="9" w:name="TextBodyEnd"/>
      <w:bookmarkEnd w:id="9"/>
    </w:p>
    <w:sectPr w:rsidR="00E365E1" w:rsidRPr="00F87D34" w:rsidSect="004D322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FCF" w:rsidRPr="004D3227" w:rsidRDefault="001A6FCF">
      <w:r w:rsidRPr="004D3227">
        <w:separator/>
      </w:r>
    </w:p>
  </w:endnote>
  <w:endnote w:type="continuationSeparator" w:id="0">
    <w:p w:rsidR="001A6FCF" w:rsidRPr="004D3227" w:rsidRDefault="001A6FCF">
      <w:r w:rsidRPr="004D32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419" w:rsidRPr="004D3227" w:rsidRDefault="00FC5419" w:rsidP="00C75F14">
    <w:pPr>
      <w:pStyle w:val="EPFooter"/>
    </w:pPr>
    <w:r w:rsidRPr="004D3227">
      <w:t>PE</w:t>
    </w:r>
    <w:r w:rsidRPr="004D3227">
      <w:rPr>
        <w:rStyle w:val="HideTWBExt"/>
      </w:rPr>
      <w:t>&lt;NoPE&gt;</w:t>
    </w:r>
    <w:r w:rsidRPr="004D3227">
      <w:t>753.484</w:t>
    </w:r>
    <w:r w:rsidRPr="004D3227">
      <w:rPr>
        <w:rStyle w:val="HideTWBExt"/>
      </w:rPr>
      <w:t>&lt;/NoPE&gt;&lt;Version&gt;</w:t>
    </w:r>
    <w:r w:rsidRPr="004D3227">
      <w:t>v02-00</w:t>
    </w:r>
    <w:r w:rsidRPr="004D3227">
      <w:rPr>
        <w:rStyle w:val="HideTWBExt"/>
      </w:rPr>
      <w:t>&lt;/Version&gt;</w:t>
    </w:r>
    <w:r w:rsidRPr="004D3227">
      <w:tab/>
    </w:r>
    <w:r w:rsidRPr="004D3227">
      <w:fldChar w:fldCharType="begin"/>
    </w:r>
    <w:r w:rsidRPr="004D3227">
      <w:instrText xml:space="preserve"> PAGE  \* MERGEFORMAT </w:instrText>
    </w:r>
    <w:r w:rsidRPr="004D3227">
      <w:fldChar w:fldCharType="separate"/>
    </w:r>
    <w:r w:rsidR="004D3227" w:rsidRPr="004D3227">
      <w:rPr>
        <w:noProof/>
      </w:rPr>
      <w:t>4</w:t>
    </w:r>
    <w:r w:rsidRPr="004D3227">
      <w:fldChar w:fldCharType="end"/>
    </w:r>
    <w:r w:rsidRPr="004D3227">
      <w:t>/</w:t>
    </w:r>
    <w:r w:rsidR="008758B4">
      <w:fldChar w:fldCharType="begin"/>
    </w:r>
    <w:r w:rsidR="008758B4">
      <w:instrText xml:space="preserve"> NUMPAGES  \* MERGEFORMAT </w:instrText>
    </w:r>
    <w:r w:rsidR="008758B4">
      <w:fldChar w:fldCharType="separate"/>
    </w:r>
    <w:r w:rsidR="004D3227" w:rsidRPr="004D3227">
      <w:rPr>
        <w:noProof/>
      </w:rPr>
      <w:t>6</w:t>
    </w:r>
    <w:r w:rsidR="008758B4">
      <w:rPr>
        <w:noProof/>
      </w:rPr>
      <w:fldChar w:fldCharType="end"/>
    </w:r>
    <w:r w:rsidRPr="004D3227">
      <w:tab/>
    </w:r>
    <w:r w:rsidRPr="004D3227">
      <w:rPr>
        <w:rStyle w:val="HideTWBExt"/>
      </w:rPr>
      <w:t>&lt;PathFdR&gt;</w:t>
    </w:r>
    <w:r w:rsidRPr="004D3227">
      <w:t>RR\1298489RO.docx</w:t>
    </w:r>
    <w:r w:rsidRPr="004D3227">
      <w:rPr>
        <w:rStyle w:val="HideTWBExt"/>
      </w:rPr>
      <w:t>&lt;/PathFdR&gt;</w:t>
    </w:r>
  </w:p>
  <w:p w:rsidR="00FC5419" w:rsidRPr="004D3227" w:rsidRDefault="00FC5419" w:rsidP="00C75F14">
    <w:pPr>
      <w:pStyle w:val="EPFooter2"/>
    </w:pPr>
    <w:r w:rsidRPr="004D3227">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419" w:rsidRPr="004D3227" w:rsidRDefault="00FC5419" w:rsidP="00C75F14">
    <w:pPr>
      <w:pStyle w:val="EPFooter"/>
    </w:pPr>
    <w:r w:rsidRPr="004D3227">
      <w:rPr>
        <w:rStyle w:val="HideTWBExt"/>
      </w:rPr>
      <w:t>&lt;PathFdR&gt;</w:t>
    </w:r>
    <w:r w:rsidRPr="004D3227">
      <w:t>RR\1298489RO.docx</w:t>
    </w:r>
    <w:r w:rsidRPr="004D3227">
      <w:rPr>
        <w:rStyle w:val="HideTWBExt"/>
      </w:rPr>
      <w:t>&lt;/PathFdR&gt;</w:t>
    </w:r>
    <w:r w:rsidRPr="004D3227">
      <w:tab/>
    </w:r>
    <w:r w:rsidRPr="004D3227">
      <w:tab/>
      <w:t>PE</w:t>
    </w:r>
    <w:r w:rsidRPr="004D3227">
      <w:rPr>
        <w:rStyle w:val="HideTWBExt"/>
      </w:rPr>
      <w:t>&lt;NoPE&gt;</w:t>
    </w:r>
    <w:r w:rsidRPr="004D3227">
      <w:t>753.484</w:t>
    </w:r>
    <w:r w:rsidRPr="004D3227">
      <w:rPr>
        <w:rStyle w:val="HideTWBExt"/>
      </w:rPr>
      <w:t>&lt;/NoPE&gt;&lt;Version&gt;</w:t>
    </w:r>
    <w:r w:rsidRPr="004D3227">
      <w:t>v02-00</w:t>
    </w:r>
    <w:r w:rsidRPr="004D3227">
      <w:rPr>
        <w:rStyle w:val="HideTWBExt"/>
      </w:rPr>
      <w:t>&lt;/Version&gt;</w:t>
    </w:r>
  </w:p>
  <w:p w:rsidR="00FC5419" w:rsidRPr="004D3227" w:rsidRDefault="00FC5419" w:rsidP="00C75F14">
    <w:pPr>
      <w:pStyle w:val="EPFooter2"/>
    </w:pPr>
    <w:r w:rsidRPr="004D3227">
      <w:t>RO</w:t>
    </w:r>
    <w:r w:rsidRPr="004D3227">
      <w:tab/>
    </w:r>
    <w:r w:rsidRPr="004D3227">
      <w:rPr>
        <w:b w:val="0"/>
        <w:i/>
        <w:color w:val="C0C0C0"/>
        <w:sz w:val="22"/>
      </w:rPr>
      <w:t>Unită în diversitate</w:t>
    </w:r>
    <w:r w:rsidRPr="004D3227">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322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322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32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FCF" w:rsidRPr="004D3227" w:rsidRDefault="001A6FCF">
      <w:r w:rsidRPr="004D3227">
        <w:separator/>
      </w:r>
    </w:p>
  </w:footnote>
  <w:footnote w:type="continuationSeparator" w:id="0">
    <w:p w:rsidR="001A6FCF" w:rsidRPr="004D3227" w:rsidRDefault="001A6FCF">
      <w:r w:rsidRPr="004D3227">
        <w:continuationSeparator/>
      </w:r>
    </w:p>
  </w:footnote>
  <w:footnote w:id="1">
    <w:p w:rsidR="00FC5419" w:rsidRPr="002C01C7" w:rsidRDefault="00FC5419" w:rsidP="004D3227">
      <w:pPr>
        <w:pStyle w:val="FootnoteText"/>
        <w:ind w:left="567" w:hanging="567"/>
        <w:rPr>
          <w:sz w:val="24"/>
          <w:lang w:val="ro-RO"/>
        </w:rPr>
      </w:pPr>
      <w:r w:rsidRPr="002C01C7">
        <w:rPr>
          <w:rStyle w:val="FootnoteReference"/>
          <w:sz w:val="24"/>
          <w:lang w:val="ro-RO"/>
        </w:rPr>
        <w:footnoteRef/>
      </w:r>
      <w:r w:rsidR="004D3227" w:rsidRPr="002C01C7">
        <w:rPr>
          <w:sz w:val="24"/>
          <w:lang w:val="ro-RO"/>
        </w:rPr>
        <w:t xml:space="preserve"> </w:t>
      </w:r>
      <w:r w:rsidR="004D3227" w:rsidRPr="002C01C7">
        <w:rPr>
          <w:sz w:val="24"/>
          <w:lang w:val="ro-RO"/>
        </w:rPr>
        <w:tab/>
      </w:r>
      <w:r w:rsidRPr="002C01C7">
        <w:rPr>
          <w:sz w:val="24"/>
          <w:lang w:val="ro-RO"/>
        </w:rPr>
        <w:t>JO L 45, 24.2.2022.</w:t>
      </w:r>
    </w:p>
  </w:footnote>
  <w:footnote w:id="2">
    <w:p w:rsidR="00FC5419" w:rsidRPr="002C01C7" w:rsidRDefault="00FC5419" w:rsidP="004D3227">
      <w:pPr>
        <w:pStyle w:val="FootnoteText"/>
        <w:ind w:left="567" w:hanging="567"/>
        <w:rPr>
          <w:sz w:val="24"/>
          <w:lang w:val="ro-RO"/>
        </w:rPr>
      </w:pPr>
      <w:r w:rsidRPr="002C01C7">
        <w:rPr>
          <w:rStyle w:val="FootnoteReference"/>
          <w:sz w:val="24"/>
          <w:lang w:val="ro-RO"/>
        </w:rPr>
        <w:footnoteRef/>
      </w:r>
      <w:r w:rsidR="004D3227" w:rsidRPr="002C01C7">
        <w:rPr>
          <w:sz w:val="24"/>
          <w:lang w:val="ro-RO"/>
        </w:rPr>
        <w:t xml:space="preserve"> </w:t>
      </w:r>
      <w:r w:rsidR="004D3227" w:rsidRPr="002C01C7">
        <w:rPr>
          <w:sz w:val="24"/>
          <w:lang w:val="ro-RO"/>
        </w:rPr>
        <w:tab/>
      </w:r>
      <w:r w:rsidRPr="002C01C7">
        <w:rPr>
          <w:sz w:val="24"/>
          <w:lang w:val="ro-RO"/>
        </w:rPr>
        <w:t>JO C, C/2023/2, 12.10.2023.</w:t>
      </w:r>
    </w:p>
  </w:footnote>
  <w:footnote w:id="3">
    <w:p w:rsidR="00FC5419" w:rsidRPr="002C01C7" w:rsidRDefault="00FC5419" w:rsidP="004D3227">
      <w:pPr>
        <w:pStyle w:val="FootnoteText"/>
        <w:ind w:left="567" w:hanging="567"/>
        <w:rPr>
          <w:sz w:val="24"/>
          <w:lang w:val="ro-RO"/>
        </w:rPr>
      </w:pPr>
      <w:r w:rsidRPr="002C01C7">
        <w:rPr>
          <w:rStyle w:val="FootnoteReference"/>
          <w:sz w:val="24"/>
          <w:lang w:val="ro-RO"/>
        </w:rPr>
        <w:footnoteRef/>
      </w:r>
      <w:r w:rsidR="004D3227" w:rsidRPr="002C01C7">
        <w:rPr>
          <w:sz w:val="24"/>
          <w:lang w:val="ro-RO"/>
        </w:rPr>
        <w:t xml:space="preserve"> </w:t>
      </w:r>
      <w:r w:rsidR="004D3227" w:rsidRPr="002C01C7">
        <w:rPr>
          <w:sz w:val="24"/>
          <w:lang w:val="ro-RO"/>
        </w:rPr>
        <w:tab/>
      </w:r>
      <w:r w:rsidRPr="002C01C7">
        <w:rPr>
          <w:sz w:val="24"/>
          <w:lang w:val="ro-RO"/>
        </w:rPr>
        <w:t>JO C, C/2023/103, 4.10.2023.</w:t>
      </w:r>
    </w:p>
  </w:footnote>
  <w:footnote w:id="4">
    <w:p w:rsidR="00FC5419" w:rsidRPr="002C01C7" w:rsidRDefault="00FC5419" w:rsidP="004D3227">
      <w:pPr>
        <w:pStyle w:val="FootnoteText"/>
        <w:ind w:left="567" w:hanging="567"/>
        <w:rPr>
          <w:sz w:val="24"/>
          <w:lang w:val="ro-RO"/>
        </w:rPr>
      </w:pPr>
      <w:r w:rsidRPr="002C01C7">
        <w:rPr>
          <w:rStyle w:val="FootnoteReference"/>
          <w:sz w:val="24"/>
          <w:lang w:val="ro-RO"/>
        </w:rPr>
        <w:footnoteRef/>
      </w:r>
      <w:r w:rsidR="004D3227" w:rsidRPr="002C01C7">
        <w:rPr>
          <w:sz w:val="24"/>
          <w:lang w:val="ro-RO"/>
        </w:rPr>
        <w:t xml:space="preserve"> </w:t>
      </w:r>
      <w:r w:rsidR="004D3227" w:rsidRPr="002C01C7">
        <w:rPr>
          <w:sz w:val="24"/>
          <w:lang w:val="ro-RO"/>
        </w:rPr>
        <w:tab/>
      </w:r>
      <w:r w:rsidRPr="002C01C7">
        <w:rPr>
          <w:sz w:val="24"/>
          <w:lang w:val="ro-RO"/>
        </w:rPr>
        <w:t>JO C, C/2023/112, 12.10.2023.</w:t>
      </w:r>
    </w:p>
  </w:footnote>
  <w:footnote w:id="5">
    <w:p w:rsidR="00FC5419" w:rsidRPr="002C01C7" w:rsidRDefault="00FC5419" w:rsidP="004D3227">
      <w:pPr>
        <w:pStyle w:val="FootnoteText"/>
        <w:ind w:left="567" w:hanging="567"/>
        <w:rPr>
          <w:sz w:val="24"/>
          <w:lang w:val="ro-RO"/>
        </w:rPr>
      </w:pPr>
      <w:r w:rsidRPr="002C01C7">
        <w:rPr>
          <w:rStyle w:val="FootnoteReference"/>
          <w:sz w:val="24"/>
          <w:lang w:val="ro-RO"/>
        </w:rPr>
        <w:footnoteRef/>
      </w:r>
      <w:r w:rsidR="004D3227" w:rsidRPr="002C01C7">
        <w:rPr>
          <w:sz w:val="24"/>
          <w:lang w:val="ro-RO"/>
        </w:rPr>
        <w:t xml:space="preserve"> </w:t>
      </w:r>
      <w:r w:rsidR="004D3227" w:rsidRPr="002C01C7">
        <w:rPr>
          <w:sz w:val="24"/>
          <w:lang w:val="ro-RO"/>
        </w:rPr>
        <w:tab/>
      </w:r>
      <w:r w:rsidRPr="002C01C7">
        <w:rPr>
          <w:sz w:val="24"/>
          <w:lang w:val="ro-RO"/>
        </w:rPr>
        <w:t>JO L 193, 30.7.2018, p. 1.</w:t>
      </w:r>
    </w:p>
  </w:footnote>
  <w:footnote w:id="6">
    <w:p w:rsidR="00FC5419" w:rsidRPr="002C01C7" w:rsidRDefault="00FC5419" w:rsidP="004D3227">
      <w:pPr>
        <w:pStyle w:val="FootnoteText"/>
        <w:ind w:left="567" w:hanging="567"/>
        <w:rPr>
          <w:sz w:val="24"/>
          <w:lang w:val="ro-RO"/>
        </w:rPr>
      </w:pPr>
      <w:r w:rsidRPr="002C01C7">
        <w:rPr>
          <w:rStyle w:val="FootnoteReference"/>
          <w:sz w:val="24"/>
          <w:lang w:val="ro-RO"/>
        </w:rPr>
        <w:footnoteRef/>
      </w:r>
      <w:r w:rsidR="004D3227" w:rsidRPr="002C01C7">
        <w:rPr>
          <w:sz w:val="24"/>
          <w:lang w:val="ro-RO"/>
        </w:rPr>
        <w:t xml:space="preserve"> </w:t>
      </w:r>
      <w:r w:rsidR="004D3227" w:rsidRPr="002C01C7">
        <w:rPr>
          <w:sz w:val="24"/>
          <w:lang w:val="ro-RO"/>
        </w:rPr>
        <w:tab/>
      </w:r>
      <w:r w:rsidRPr="002C01C7">
        <w:rPr>
          <w:sz w:val="24"/>
          <w:lang w:val="ro-RO"/>
        </w:rPr>
        <w:t>JO C 324, 1.10.2020, p. 8.</w:t>
      </w:r>
    </w:p>
  </w:footnote>
  <w:footnote w:id="7">
    <w:p w:rsidR="00FC5419" w:rsidRPr="004D3227" w:rsidRDefault="00FC5419" w:rsidP="004D3227">
      <w:pPr>
        <w:pStyle w:val="FootnoteText"/>
        <w:ind w:left="567" w:hanging="567"/>
        <w:rPr>
          <w:sz w:val="24"/>
          <w:lang w:val="ro-RO"/>
        </w:rPr>
      </w:pPr>
      <w:r w:rsidRPr="002C01C7">
        <w:rPr>
          <w:rStyle w:val="FootnoteReference"/>
          <w:sz w:val="24"/>
          <w:lang w:val="ro-RO"/>
        </w:rPr>
        <w:footnoteRef/>
      </w:r>
      <w:r w:rsidR="004D3227" w:rsidRPr="002C01C7">
        <w:rPr>
          <w:sz w:val="24"/>
          <w:lang w:val="ro-RO"/>
        </w:rPr>
        <w:t xml:space="preserve"> </w:t>
      </w:r>
      <w:r w:rsidR="004D3227" w:rsidRPr="002C01C7">
        <w:rPr>
          <w:sz w:val="24"/>
          <w:lang w:val="ro-RO"/>
        </w:rPr>
        <w:tab/>
      </w:r>
      <w:r w:rsidRPr="002C01C7">
        <w:rPr>
          <w:sz w:val="24"/>
          <w:lang w:val="ro-RO"/>
        </w:rPr>
        <w:t>JO C 32, 27.1.2023, p. 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322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322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32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3/2024"/>
    <w:docVar w:name="dvlangue" w:val="RO"/>
    <w:docVar w:name="dvnumam" w:val="0"/>
    <w:docVar w:name="dvpe" w:val="753.484"/>
    <w:docVar w:name="dvrapporteur" w:val="Raportor: "/>
    <w:docVar w:name="dvtitre" w:val="1. Decizia Parlamentului European din 11 aprilie 2024 privind descărcarea de gestiune pentru execuția bugetului general al Uniunii Europene aferent exercițiului financiar 2022, secțiunea VII - Comitetul Regiunilor(2023/2136(DEC))"/>
  </w:docVars>
  <w:rsids>
    <w:rsidRoot w:val="001A6FCF"/>
    <w:rsid w:val="00002272"/>
    <w:rsid w:val="00064002"/>
    <w:rsid w:val="000677B9"/>
    <w:rsid w:val="000831BA"/>
    <w:rsid w:val="0009362B"/>
    <w:rsid w:val="000A42CC"/>
    <w:rsid w:val="000E7DD9"/>
    <w:rsid w:val="0010095E"/>
    <w:rsid w:val="00125B37"/>
    <w:rsid w:val="00187494"/>
    <w:rsid w:val="001A6FCF"/>
    <w:rsid w:val="001F32AE"/>
    <w:rsid w:val="002767FF"/>
    <w:rsid w:val="002B18FE"/>
    <w:rsid w:val="002B5493"/>
    <w:rsid w:val="002C01C7"/>
    <w:rsid w:val="00343214"/>
    <w:rsid w:val="00361C00"/>
    <w:rsid w:val="00395FA1"/>
    <w:rsid w:val="003E15D4"/>
    <w:rsid w:val="00411CCE"/>
    <w:rsid w:val="0041666E"/>
    <w:rsid w:val="00421060"/>
    <w:rsid w:val="00471C19"/>
    <w:rsid w:val="004867E3"/>
    <w:rsid w:val="00494A28"/>
    <w:rsid w:val="004C0004"/>
    <w:rsid w:val="004C5D52"/>
    <w:rsid w:val="004D3227"/>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58B4"/>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87D34"/>
    <w:rsid w:val="00FB4360"/>
    <w:rsid w:val="00FC5419"/>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AA5B43"/>
  <w15:chartTrackingRefBased/>
  <w15:docId w15:val="{BFFE1C07-17D3-4571-BC54-6201EA497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C541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C5419"/>
    <w:pPr>
      <w:spacing w:before="480" w:after="240"/>
    </w:pPr>
  </w:style>
  <w:style w:type="paragraph" w:customStyle="1" w:styleId="PageHeading">
    <w:name w:val="PageHeading"/>
    <w:basedOn w:val="Normal"/>
    <w:rsid w:val="00FC5419"/>
    <w:pPr>
      <w:keepNext/>
      <w:spacing w:after="480"/>
      <w:jc w:val="center"/>
    </w:pPr>
    <w:rPr>
      <w:rFonts w:ascii="Arial" w:hAnsi="Arial" w:cs="Arial"/>
      <w:b/>
    </w:rPr>
  </w:style>
  <w:style w:type="paragraph" w:customStyle="1" w:styleId="NormalBold">
    <w:name w:val="NormalBold"/>
    <w:basedOn w:val="Normal"/>
    <w:rsid w:val="00FC5419"/>
    <w:rPr>
      <w:b/>
    </w:rPr>
  </w:style>
  <w:style w:type="paragraph" w:customStyle="1" w:styleId="NormalHanging12a">
    <w:name w:val="NormalHanging12a"/>
    <w:basedOn w:val="Normal"/>
    <w:link w:val="NormalHanging12aChar"/>
    <w:qFormat/>
    <w:rsid w:val="00FC5419"/>
    <w:pPr>
      <w:spacing w:after="240"/>
      <w:ind w:left="567" w:hanging="567"/>
    </w:pPr>
  </w:style>
  <w:style w:type="paragraph" w:styleId="Header">
    <w:name w:val="header"/>
    <w:basedOn w:val="Normal"/>
    <w:link w:val="HeaderChar"/>
    <w:rsid w:val="00FC5419"/>
    <w:pPr>
      <w:tabs>
        <w:tab w:val="center" w:pos="4513"/>
        <w:tab w:val="right" w:pos="9026"/>
      </w:tabs>
    </w:pPr>
  </w:style>
  <w:style w:type="character" w:customStyle="1" w:styleId="HeaderChar">
    <w:name w:val="Header Char"/>
    <w:basedOn w:val="DefaultParagraphFont"/>
    <w:link w:val="Header"/>
    <w:rsid w:val="00FC5419"/>
    <w:rPr>
      <w:sz w:val="24"/>
      <w:lang w:val="ro-RO"/>
    </w:rPr>
  </w:style>
  <w:style w:type="paragraph" w:customStyle="1" w:styleId="EPFooter">
    <w:name w:val="EPFooter"/>
    <w:basedOn w:val="Normal"/>
    <w:rsid w:val="00FC541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FC5419"/>
    <w:rPr>
      <w:sz w:val="24"/>
      <w:lang w:val="ro-RO"/>
    </w:rPr>
  </w:style>
  <w:style w:type="paragraph" w:styleId="Footer">
    <w:name w:val="footer"/>
    <w:basedOn w:val="Normal"/>
    <w:link w:val="FooterChar"/>
    <w:rsid w:val="0009362B"/>
    <w:pPr>
      <w:tabs>
        <w:tab w:val="center" w:pos="4513"/>
        <w:tab w:val="right" w:pos="9026"/>
      </w:tabs>
    </w:pPr>
  </w:style>
  <w:style w:type="character" w:customStyle="1" w:styleId="FooterChar">
    <w:name w:val="Footer Char"/>
    <w:basedOn w:val="DefaultParagraphFont"/>
    <w:link w:val="Footer"/>
    <w:rsid w:val="0009362B"/>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4BFA4-311E-45C2-A0C3-9BE34F3FF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6697</Words>
  <Characters>38590</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2024-05-21T15:18:00Z</dcterms:created>
  <dcterms:modified xsi:type="dcterms:W3CDTF">2024-05-21T15:18:00Z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P9_TA(2024)0233_</vt:lpwstr>
  </property>
  <property fmtid="{D5CDD505-2E9C-101B-9397-08002B2CF9AE}" pid="4" name="&lt;Type&gt;">
    <vt:lpwstr>RR</vt:lpwstr>
  </property>
</Properties>
</file>