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F6487" w:rsidRPr="00B92273">
        <w:trPr>
          <w:trHeight w:hRule="exact" w:val="1418"/>
        </w:trPr>
        <w:tc>
          <w:tcPr>
            <w:tcW w:w="6804" w:type="dxa"/>
            <w:shd w:val="clear" w:color="auto" w:fill="auto"/>
            <w:vAlign w:val="center"/>
          </w:tcPr>
          <w:p w:rsidR="00DF6487" w:rsidRPr="00B92273" w:rsidRDefault="00B92273">
            <w:pPr>
              <w:pStyle w:val="EPName"/>
            </w:pPr>
            <w:r w:rsidRPr="00B92273">
              <w:t>Európsky parlament</w:t>
            </w:r>
          </w:p>
          <w:p w:rsidR="00DF6487" w:rsidRPr="00B92273" w:rsidRDefault="00B92273">
            <w:pPr>
              <w:pStyle w:val="EPTerm"/>
              <w:rPr>
                <w:rStyle w:val="HideTWBExt"/>
                <w:noProof w:val="0"/>
                <w:vanish w:val="0"/>
                <w:color w:val="auto"/>
              </w:rPr>
            </w:pPr>
            <w:r w:rsidRPr="00B92273">
              <w:t>2019-2024</w:t>
            </w:r>
          </w:p>
        </w:tc>
        <w:tc>
          <w:tcPr>
            <w:tcW w:w="2268" w:type="dxa"/>
            <w:shd w:val="clear" w:color="auto" w:fill="auto"/>
          </w:tcPr>
          <w:p w:rsidR="00DF6487" w:rsidRPr="00B92273" w:rsidRDefault="00B92273">
            <w:pPr>
              <w:pStyle w:val="EPLogo"/>
            </w:pPr>
            <w:r w:rsidRPr="00B922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F6487" w:rsidRPr="00B92273" w:rsidRDefault="00DF6487">
      <w:pPr>
        <w:pStyle w:val="LineTop"/>
      </w:pPr>
    </w:p>
    <w:p w:rsidR="00DF6487" w:rsidRPr="00B92273" w:rsidRDefault="00B92273">
      <w:pPr>
        <w:pStyle w:val="EPBodyTA1"/>
      </w:pPr>
      <w:r w:rsidRPr="00B92273">
        <w:t>PRIJATÉ TEXTY</w:t>
      </w:r>
    </w:p>
    <w:p w:rsidR="00DF6487" w:rsidRPr="00B92273" w:rsidRDefault="00DF6487">
      <w:pPr>
        <w:pStyle w:val="LineBottom"/>
      </w:pPr>
    </w:p>
    <w:p w:rsidR="00DF6487" w:rsidRPr="00B92273" w:rsidRDefault="00B92273">
      <w:pPr>
        <w:pStyle w:val="ATHeading1"/>
      </w:pPr>
      <w:bookmarkStart w:id="0" w:name="TANumber"/>
      <w:r w:rsidRPr="00B92273">
        <w:t>P9_TA(2024)023</w:t>
      </w:r>
      <w:bookmarkEnd w:id="0"/>
      <w:r w:rsidR="00FF68E8">
        <w:t>3</w:t>
      </w:r>
    </w:p>
    <w:p w:rsidR="00DF6487" w:rsidRPr="00B92273" w:rsidRDefault="00B92273">
      <w:pPr>
        <w:pStyle w:val="ATHeading2"/>
      </w:pPr>
      <w:bookmarkStart w:id="1" w:name="title"/>
      <w:r w:rsidRPr="00B92273">
        <w:t>Absolutórium za rok 2022: všeobecný rozpočet EÚ – Výbor regiónov</w:t>
      </w:r>
      <w:bookmarkEnd w:id="1"/>
    </w:p>
    <w:p w:rsidR="00DF6487" w:rsidRPr="00B92273" w:rsidRDefault="00B92273">
      <w:pPr>
        <w:rPr>
          <w:i/>
          <w:vanish/>
        </w:rPr>
      </w:pPr>
      <w:r w:rsidRPr="00B92273">
        <w:rPr>
          <w:i/>
        </w:rPr>
        <w:fldChar w:fldCharType="begin"/>
      </w:r>
      <w:r w:rsidRPr="00B92273">
        <w:rPr>
          <w:i/>
        </w:rPr>
        <w:instrText xml:space="preserve"> TC"(</w:instrText>
      </w:r>
      <w:bookmarkStart w:id="2" w:name="DocNumber"/>
      <w:r w:rsidRPr="00B92273">
        <w:rPr>
          <w:i/>
        </w:rPr>
        <w:instrText>A9-0073/2024</w:instrText>
      </w:r>
      <w:bookmarkEnd w:id="2"/>
      <w:r w:rsidRPr="00B92273">
        <w:rPr>
          <w:i/>
        </w:rPr>
        <w:instrText xml:space="preserve"> - Spravodajca: Luke Ming Flanagan)"\l3 \n&gt; \* MERGEFORMAT </w:instrText>
      </w:r>
      <w:r w:rsidRPr="00B92273">
        <w:rPr>
          <w:i/>
        </w:rPr>
        <w:fldChar w:fldCharType="end"/>
      </w:r>
    </w:p>
    <w:p w:rsidR="00DF6487" w:rsidRPr="00B92273" w:rsidRDefault="00B92273">
      <w:pPr>
        <w:rPr>
          <w:vanish/>
        </w:rPr>
      </w:pPr>
      <w:bookmarkStart w:id="3" w:name="Commission"/>
      <w:r w:rsidRPr="00B92273">
        <w:rPr>
          <w:vanish/>
        </w:rPr>
        <w:t>Výbor pre kontrolu rozpočtu</w:t>
      </w:r>
      <w:bookmarkEnd w:id="3"/>
    </w:p>
    <w:p w:rsidR="00DF6487" w:rsidRPr="00B92273" w:rsidRDefault="00B92273">
      <w:pPr>
        <w:rPr>
          <w:vanish/>
        </w:rPr>
      </w:pPr>
      <w:bookmarkStart w:id="4" w:name="PE"/>
      <w:r w:rsidRPr="00B92273">
        <w:rPr>
          <w:vanish/>
        </w:rPr>
        <w:t>PE753.484</w:t>
      </w:r>
      <w:bookmarkEnd w:id="4"/>
    </w:p>
    <w:p w:rsidR="00DF6487" w:rsidRPr="00B92273" w:rsidRDefault="00B92273">
      <w:pPr>
        <w:pStyle w:val="ATHeading3"/>
      </w:pPr>
      <w:bookmarkStart w:id="5" w:name="Sujet"/>
      <w:r w:rsidRPr="00B92273">
        <w:t>1. Rozhodnutie Európskeho parlamentu z 11. apríla 2024 o absolutóriu za plnenie všeobecného rozpočtu Európskej únie za rozpočtový rok 2022, oddiel VII – Výbor regiónov</w:t>
      </w:r>
      <w:bookmarkEnd w:id="5"/>
      <w:r w:rsidRPr="00B92273">
        <w:t xml:space="preserve"> </w:t>
      </w:r>
      <w:bookmarkStart w:id="6" w:name="References"/>
      <w:r w:rsidRPr="00B92273">
        <w:t>(2023/2136(DEC))</w:t>
      </w:r>
      <w:bookmarkEnd w:id="6"/>
    </w:p>
    <w:p w:rsidR="00DF6487" w:rsidRPr="00B92273" w:rsidRDefault="00B92273">
      <w:pPr>
        <w:pStyle w:val="EPComma"/>
      </w:pPr>
      <w:bookmarkStart w:id="7" w:name="TextBodyBegin"/>
      <w:bookmarkEnd w:id="7"/>
      <w:r w:rsidRPr="00B92273">
        <w:rPr>
          <w:i/>
        </w:rPr>
        <w:t>Európsky parlament</w:t>
      </w:r>
      <w:r w:rsidRPr="00B92273">
        <w:t>,</w:t>
      </w:r>
    </w:p>
    <w:p w:rsidR="00DF6487" w:rsidRPr="00B92273" w:rsidRDefault="00B92273">
      <w:pPr>
        <w:pStyle w:val="NormalHanging12a"/>
      </w:pPr>
      <w:r w:rsidRPr="00B92273">
        <w:t>–</w:t>
      </w:r>
      <w:r w:rsidRPr="00B92273">
        <w:tab/>
        <w:t>so zreteľom na všeobecný rozpočet Európskej únie na rozpočtový rok 2022</w:t>
      </w:r>
      <w:r w:rsidRPr="00B92273">
        <w:rPr>
          <w:rStyle w:val="FootnoteReference"/>
        </w:rPr>
        <w:footnoteReference w:id="1"/>
      </w:r>
      <w:r w:rsidRPr="00B92273">
        <w:t>,</w:t>
      </w:r>
    </w:p>
    <w:p w:rsidR="00DF6487" w:rsidRPr="00B92273" w:rsidRDefault="00B92273">
      <w:pPr>
        <w:pStyle w:val="NormalHanging12a"/>
      </w:pPr>
      <w:r w:rsidRPr="00B92273">
        <w:t>–</w:t>
      </w:r>
      <w:r w:rsidRPr="00B92273">
        <w:tab/>
        <w:t>so zreteľom na konsolidovanú ročnú účtovnú závierku Európskej únie za rozpočtový rok 2022 (COM(2023)0391 – C9</w:t>
      </w:r>
      <w:r w:rsidRPr="00B92273">
        <w:noBreakHyphen/>
        <w:t>0255/2023)</w:t>
      </w:r>
      <w:r w:rsidRPr="00B92273">
        <w:rPr>
          <w:rStyle w:val="FootnoteReference"/>
        </w:rPr>
        <w:footnoteReference w:id="2"/>
      </w:r>
      <w:r w:rsidRPr="00B92273">
        <w:t>,</w:t>
      </w:r>
    </w:p>
    <w:p w:rsidR="00DF6487" w:rsidRPr="00B92273" w:rsidRDefault="00B92273">
      <w:pPr>
        <w:pStyle w:val="NormalHanging12a"/>
      </w:pPr>
      <w:r w:rsidRPr="00B92273">
        <w:t>–</w:t>
      </w:r>
      <w:r w:rsidRPr="00B92273">
        <w:tab/>
        <w:t>so zreteľom na výročnú správu o činnosti Výboru regiónov za rok 2022 a jeho správu o rozpočtovom a finančnom riadení za rozpočtový rok 2022,</w:t>
      </w:r>
    </w:p>
    <w:p w:rsidR="00DF6487" w:rsidRPr="00B92273" w:rsidRDefault="00B92273">
      <w:pPr>
        <w:pStyle w:val="NormalHanging12a"/>
      </w:pPr>
      <w:r w:rsidRPr="00B92273">
        <w:t>–</w:t>
      </w:r>
      <w:r w:rsidRPr="00B92273">
        <w:tab/>
        <w:t>so zreteľom na výročnú správu Dvora audítorov o plnení rozpočtu za rozpočtový rok 2022 spolu s odpoveďami inštitúcií</w:t>
      </w:r>
      <w:r w:rsidRPr="00B92273">
        <w:rPr>
          <w:rStyle w:val="FootnoteReference"/>
        </w:rPr>
        <w:footnoteReference w:id="3"/>
      </w:r>
      <w:r w:rsidRPr="00B92273">
        <w:t>,</w:t>
      </w:r>
    </w:p>
    <w:p w:rsidR="00DF6487" w:rsidRPr="00B92273" w:rsidRDefault="00B92273">
      <w:pPr>
        <w:pStyle w:val="NormalHanging12a"/>
      </w:pPr>
      <w:r w:rsidRPr="00B92273">
        <w:t>–</w:t>
      </w:r>
      <w:r w:rsidRPr="00B92273">
        <w:tab/>
        <w:t>so zreteľom na vyhlásenie</w:t>
      </w:r>
      <w:r w:rsidRPr="00B92273">
        <w:rPr>
          <w:rStyle w:val="FootnoteReference"/>
        </w:rPr>
        <w:footnoteReference w:id="4"/>
      </w:r>
      <w:r w:rsidRPr="00B92273">
        <w:t xml:space="preserve"> o vierohodnosti vedenia účtov a zákonnosti a správnosti príslušných operácií, ktoré poskytol Dvor audítorov za rozpočtový rok 2022 v súlade s článkom 287 Zmluvy o fungovaní Európskej únie,</w:t>
      </w:r>
    </w:p>
    <w:p w:rsidR="00DF6487" w:rsidRPr="00B92273" w:rsidRDefault="00B92273">
      <w:pPr>
        <w:pStyle w:val="NormalHanging12a"/>
      </w:pPr>
      <w:r w:rsidRPr="00B92273">
        <w:t>–</w:t>
      </w:r>
      <w:r w:rsidRPr="00B92273">
        <w:tab/>
        <w:t>so zreteľom na článok 314 ods. 10 a články 317, 318 a 319 Zmluvy o fungovaní Európskej únie,</w:t>
      </w:r>
    </w:p>
    <w:p w:rsidR="00DF6487" w:rsidRPr="00B92273" w:rsidRDefault="00B92273">
      <w:pPr>
        <w:pStyle w:val="NormalHanging12a"/>
      </w:pPr>
      <w:r w:rsidRPr="00B92273">
        <w:t>–</w:t>
      </w:r>
      <w:r w:rsidRPr="00B92273">
        <w:tab/>
        <w:t xml:space="preserve">so zreteľom na nariadenie Európskeho parlamentu a Rady (EÚ, </w:t>
      </w:r>
      <w:proofErr w:type="spellStart"/>
      <w:r w:rsidRPr="00B92273">
        <w:t>Euratom</w:t>
      </w:r>
      <w:proofErr w:type="spellEnd"/>
      <w:r w:rsidRPr="00B92273">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B92273">
        <w:t>Euratom</w:t>
      </w:r>
      <w:proofErr w:type="spellEnd"/>
      <w:r w:rsidRPr="00B92273">
        <w:t>) č. 966/2012</w:t>
      </w:r>
      <w:r w:rsidRPr="00B92273">
        <w:rPr>
          <w:rStyle w:val="FootnoteReference"/>
        </w:rPr>
        <w:footnoteReference w:id="5"/>
      </w:r>
      <w:r w:rsidRPr="00B92273">
        <w:t>, a najmä na jeho články 59, 118, 260, 261 a 262,</w:t>
      </w:r>
    </w:p>
    <w:p w:rsidR="00DF6487" w:rsidRPr="00B92273" w:rsidRDefault="00B92273">
      <w:pPr>
        <w:pStyle w:val="NormalHanging12a"/>
      </w:pPr>
      <w:r w:rsidRPr="00B92273">
        <w:t>–</w:t>
      </w:r>
      <w:r w:rsidRPr="00B92273">
        <w:tab/>
        <w:t>so zreteľom na článok 100 a prílohu V k rokovaciemu poriadku,</w:t>
      </w:r>
    </w:p>
    <w:p w:rsidR="00DF6487" w:rsidRPr="00B92273" w:rsidRDefault="00B92273">
      <w:pPr>
        <w:pStyle w:val="NormalHanging12a"/>
      </w:pPr>
      <w:r w:rsidRPr="00B92273">
        <w:lastRenderedPageBreak/>
        <w:t>–</w:t>
      </w:r>
      <w:r w:rsidRPr="00B92273">
        <w:tab/>
        <w:t>so zreteľom na správu Výboru pre kontrolu rozpočtu (A9-0073/2024),</w:t>
      </w:r>
    </w:p>
    <w:p w:rsidR="00DF6487" w:rsidRPr="00B92273" w:rsidRDefault="00B92273">
      <w:pPr>
        <w:pStyle w:val="NormalHanging12a"/>
      </w:pPr>
      <w:r w:rsidRPr="00B92273">
        <w:t>1.</w:t>
      </w:r>
      <w:r w:rsidRPr="00B92273">
        <w:tab/>
        <w:t>udeľuje generálnemu tajomníkovi Výboru regiónov absolutórium za plnenie rozpočtu Výboru regiónov za rozpočtový rok 2022;</w:t>
      </w:r>
    </w:p>
    <w:p w:rsidR="00DF6487" w:rsidRPr="00B92273" w:rsidRDefault="00B92273">
      <w:pPr>
        <w:pStyle w:val="NormalHanging12a"/>
      </w:pPr>
      <w:r w:rsidRPr="00B92273">
        <w:t>2.</w:t>
      </w:r>
      <w:r w:rsidRPr="00B92273">
        <w:tab/>
        <w:t>uvádza svoje poznámky v priloženom uznesení;</w:t>
      </w:r>
    </w:p>
    <w:p w:rsidR="00DF6487" w:rsidRPr="00B92273" w:rsidRDefault="00B92273">
      <w:pPr>
        <w:pStyle w:val="NormalHanging12a"/>
      </w:pPr>
      <w:r w:rsidRPr="00B92273">
        <w:t>3.</w:t>
      </w:r>
      <w:r w:rsidRPr="00B92273">
        <w:tab/>
        <w:t>poveruje svoju predsedníčku, aby postúpila toto rozhodnutie a uznesenie, ktoré je jeho neoddeliteľnou súčasťou, generálnemu tajomníkovi Výboru regiónov, Rade, Komisii a Dvoru audítorov a aby zabezpečila ich uverejnenie v </w:t>
      </w:r>
      <w:r w:rsidRPr="00B92273">
        <w:rPr>
          <w:i/>
        </w:rPr>
        <w:t xml:space="preserve">Úradnom vestníku Európskej únie </w:t>
      </w:r>
      <w:r w:rsidRPr="00B92273">
        <w:t>(v sérii L).</w:t>
      </w:r>
    </w:p>
    <w:p w:rsidR="00DF6487" w:rsidRPr="00B92273" w:rsidRDefault="00DF6487"/>
    <w:p w:rsidR="00DF6487" w:rsidRPr="00B92273" w:rsidRDefault="00DF6487">
      <w:pPr>
        <w:pStyle w:val="PageHeading"/>
        <w:sectPr w:rsidR="00DF6487" w:rsidRPr="00B9227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F6487" w:rsidRPr="00B92273" w:rsidRDefault="00B92273">
      <w:pPr>
        <w:pStyle w:val="NormalBold"/>
      </w:pPr>
      <w:r w:rsidRPr="00B92273">
        <w:lastRenderedPageBreak/>
        <w:t>2. Uznesenie Európskeho parlamentu z 11. apríla 2024 s poznámkami, ktoré je neoddeliteľnou súčasťou rozhodnutia o absolutóriu za plnenie všeobecného rozpočtu Európskej únie za rozpočtový rok 2022, oddiel VII – Výbor regiónov (2023/2136(DEC))</w:t>
      </w:r>
    </w:p>
    <w:p w:rsidR="00DF6487" w:rsidRPr="00B92273" w:rsidRDefault="00B92273">
      <w:pPr>
        <w:pStyle w:val="EPComma"/>
      </w:pPr>
      <w:r w:rsidRPr="00B92273">
        <w:rPr>
          <w:i/>
        </w:rPr>
        <w:t>Európsky parlament</w:t>
      </w:r>
      <w:r w:rsidRPr="00B92273">
        <w:t>,</w:t>
      </w:r>
    </w:p>
    <w:p w:rsidR="00DF6487" w:rsidRPr="00B92273" w:rsidRDefault="00B92273">
      <w:pPr>
        <w:pStyle w:val="NormalHanging12a"/>
        <w:rPr>
          <w:szCs w:val="24"/>
        </w:rPr>
      </w:pPr>
      <w:r w:rsidRPr="00B92273">
        <w:t>–</w:t>
      </w:r>
      <w:r w:rsidRPr="00B92273">
        <w:tab/>
        <w:t>so zreteľom na svoje rozhodnutie o absolutóriu za plnenie všeobecného rozpočtu Európskej únie za rozpočtový rok 2022, oddiel VII – Výbor regiónov,</w:t>
      </w:r>
    </w:p>
    <w:p w:rsidR="00DF6487" w:rsidRPr="00B92273" w:rsidRDefault="00B92273">
      <w:pPr>
        <w:pStyle w:val="NormalHanging12a"/>
        <w:rPr>
          <w:szCs w:val="24"/>
        </w:rPr>
      </w:pPr>
      <w:r w:rsidRPr="00B92273">
        <w:t>–</w:t>
      </w:r>
      <w:r w:rsidRPr="00B92273">
        <w:tab/>
        <w:t>so zreteľom na článok 100 a prílohu V k rokovaciemu poriadku,</w:t>
      </w:r>
    </w:p>
    <w:p w:rsidR="00DF6487" w:rsidRPr="00B92273" w:rsidRDefault="00B92273">
      <w:pPr>
        <w:pStyle w:val="NormalHanging12a"/>
        <w:rPr>
          <w:szCs w:val="24"/>
        </w:rPr>
      </w:pPr>
      <w:r w:rsidRPr="00B92273">
        <w:t>–</w:t>
      </w:r>
      <w:r w:rsidRPr="00B92273">
        <w:tab/>
        <w:t>so zreteľom na správu Výboru pre kontrolu rozpočtu (A9-0073/2024),</w:t>
      </w:r>
    </w:p>
    <w:p w:rsidR="00DF6487" w:rsidRPr="00B92273" w:rsidRDefault="00B92273">
      <w:pPr>
        <w:pStyle w:val="NormalHanging12a"/>
        <w:rPr>
          <w:szCs w:val="24"/>
        </w:rPr>
      </w:pPr>
      <w:r w:rsidRPr="00B92273">
        <w:t>A.</w:t>
      </w:r>
      <w:r w:rsidRPr="00B92273">
        <w:tab/>
        <w:t>keďže v súvislosti s postupom udelenia absolutória chce orgán udeľujúci absolutórium podčiarknuť osobitný význam ďalšieho posilňovania demokratickej legitimity inštitúcií Únie zvyšovaním transparentnosti a zodpovednosti a zavedením koncepcie zostavovania rozpočtu na základe výkonnosti a dobrého riadenia ľudských zdrojov;</w:t>
      </w:r>
    </w:p>
    <w:p w:rsidR="00DF6487" w:rsidRPr="00B92273" w:rsidRDefault="00B92273">
      <w:pPr>
        <w:pStyle w:val="NormalHanging12a"/>
        <w:rPr>
          <w:color w:val="000000"/>
          <w:szCs w:val="24"/>
        </w:rPr>
      </w:pPr>
      <w:r w:rsidRPr="00B92273">
        <w:t>B.</w:t>
      </w:r>
      <w:r w:rsidRPr="00B92273">
        <w:tab/>
      </w:r>
      <w:r w:rsidRPr="00B92273">
        <w:rPr>
          <w:color w:val="000000"/>
        </w:rPr>
        <w:t>keďže Výbor regiónov (ďalej len „výbor“) je politickým zhromaždením s 329 členmi volenými v regiónoch, mestách, dedinách a obciach 27 členských štátov Únie, pôsobí ako poradný orgán pre inštitúcie Únie a jeho poslaním je prispievať k formovaniu politík Únie a k procesu rozhodovania z hľadiska miestnych a regionálnych orgánov a zároveň prispievať k tomu, aby bola Únia efektívnejšia a bližšie k občanom;</w:t>
      </w:r>
    </w:p>
    <w:p w:rsidR="00DF6487" w:rsidRPr="00B92273" w:rsidRDefault="00B92273">
      <w:pPr>
        <w:pStyle w:val="NormalHanging12a"/>
        <w:rPr>
          <w:color w:val="000000"/>
          <w:szCs w:val="24"/>
        </w:rPr>
      </w:pPr>
      <w:r w:rsidRPr="00B92273">
        <w:rPr>
          <w:color w:val="000000"/>
        </w:rPr>
        <w:t>C.</w:t>
      </w:r>
      <w:r w:rsidRPr="00B92273">
        <w:rPr>
          <w:color w:val="000000"/>
        </w:rPr>
        <w:tab/>
        <w:t>keďže Komisia alebo Rada je v niektorých prípadoch povinná výbor konzultovať, zatiaľ čo výbor môže prijímať stanoviská aj z vlastnej iniciatívy a má široký priestor na postúpenie, ako sa vymedzuje v zmluvách, čo mu umožňuje konzultovať s Európskym parlamentom;</w:t>
      </w:r>
    </w:p>
    <w:p w:rsidR="00DF6487" w:rsidRPr="00B92273" w:rsidRDefault="00B92273">
      <w:pPr>
        <w:pStyle w:val="NormalHanging12a"/>
        <w:rPr>
          <w:color w:val="000000"/>
          <w:szCs w:val="24"/>
        </w:rPr>
      </w:pPr>
      <w:r w:rsidRPr="00B92273">
        <w:rPr>
          <w:color w:val="000000"/>
        </w:rPr>
        <w:t>D.</w:t>
      </w:r>
      <w:r w:rsidRPr="00B92273">
        <w:rPr>
          <w:color w:val="000000"/>
        </w:rPr>
        <w:tab/>
        <w:t>keďže činnosti výboru sú vymedzené na základe jeho celkovej politickej stratégie, ako sa stanovuje v jeho uznesení z 2. júla 2020 o jeho prioritách na roky 2020 – 2025</w:t>
      </w:r>
      <w:r w:rsidRPr="00B92273">
        <w:rPr>
          <w:rStyle w:val="FootnoteReference"/>
          <w:color w:val="000000"/>
          <w:szCs w:val="24"/>
        </w:rPr>
        <w:footnoteReference w:id="6"/>
      </w:r>
      <w:r w:rsidRPr="00B92273">
        <w:rPr>
          <w:color w:val="000000"/>
        </w:rPr>
        <w:t>, a keďže výbor prijal na svoje funkčné obdobie 2020 – 2025 tri politické priority, ktoré sprevádzajú tri komunikačné kampane: Priblíženie Európy k občanom, Budovanie odolných regionálnych a miestnych komunít a Podpora súdržnosti ako základnej hodnoty Únie;</w:t>
      </w:r>
    </w:p>
    <w:p w:rsidR="00DF6487" w:rsidRPr="00B92273" w:rsidRDefault="00B92273">
      <w:pPr>
        <w:pStyle w:val="NormalHanging12a"/>
        <w:rPr>
          <w:color w:val="000000"/>
          <w:szCs w:val="24"/>
        </w:rPr>
      </w:pPr>
      <w:r w:rsidRPr="00B92273">
        <w:rPr>
          <w:color w:val="000000"/>
        </w:rPr>
        <w:t>E.</w:t>
      </w:r>
      <w:r w:rsidRPr="00B92273">
        <w:rPr>
          <w:color w:val="000000"/>
        </w:rPr>
        <w:tab/>
        <w:t>keďže na miestne a regionálne správy pripadá tretina verejných výdavkov, polovica verejných investícií a štvrtina daňových príjmov a keďže v mnohých členských štátoch majú právomoci v kľúčových oblastiach, ako je vzdelávanie, hospodársky rozvoj a súdržnosť, životné prostredie, sociálna ochrana, zdravotníctvo a služby všeobecného záujmu, a tým koordinácia na miestnej, regionálnej, vnútroštátnej a európskej úrovni zvyšuje legitímnosť právnych predpisov, zlepšuje zodpovednosť a účinnejšie zabezpečuje prínosy pre občanov;</w:t>
      </w:r>
    </w:p>
    <w:p w:rsidR="00DF6487" w:rsidRPr="00B92273" w:rsidRDefault="00B92273">
      <w:pPr>
        <w:pStyle w:val="NormalHanging12a"/>
        <w:rPr>
          <w:color w:val="000000"/>
          <w:szCs w:val="24"/>
        </w:rPr>
      </w:pPr>
      <w:r w:rsidRPr="00B92273">
        <w:rPr>
          <w:color w:val="000000"/>
        </w:rPr>
        <w:t>F.</w:t>
      </w:r>
      <w:r w:rsidRPr="00B92273">
        <w:rPr>
          <w:color w:val="000000"/>
        </w:rPr>
        <w:tab/>
        <w:t xml:space="preserve">keďže výbor sleduje svoj politický cieľ, ktorým je posilnenie jeho zapojenia do celého politického a legislatívneho cyklu Únie a zároveň vytváranie hmatateľnejšieho prepojenia s občanmi Únie prostredníctvom členov výboru ako účinných </w:t>
      </w:r>
      <w:proofErr w:type="spellStart"/>
      <w:r w:rsidRPr="00B92273">
        <w:rPr>
          <w:color w:val="000000"/>
        </w:rPr>
        <w:t>multiplikátorov</w:t>
      </w:r>
      <w:proofErr w:type="spellEnd"/>
      <w:r w:rsidRPr="00B92273">
        <w:rPr>
          <w:color w:val="000000"/>
        </w:rPr>
        <w:t xml:space="preserve"> vo svojich komunitách a vo vnútroštátnych združeniach miestnych a </w:t>
      </w:r>
      <w:r w:rsidRPr="00B92273">
        <w:rPr>
          <w:color w:val="000000"/>
        </w:rPr>
        <w:lastRenderedPageBreak/>
        <w:t>regionálnych orgánov;</w:t>
      </w:r>
    </w:p>
    <w:p w:rsidR="00DF6487" w:rsidRPr="00B92273" w:rsidRDefault="00B92273">
      <w:pPr>
        <w:pStyle w:val="NormalHanging12a"/>
        <w:rPr>
          <w:color w:val="000000"/>
          <w:szCs w:val="24"/>
        </w:rPr>
      </w:pPr>
      <w:r w:rsidRPr="00B92273">
        <w:rPr>
          <w:color w:val="000000"/>
        </w:rPr>
        <w:t>G.</w:t>
      </w:r>
      <w:r w:rsidRPr="00B92273">
        <w:rPr>
          <w:color w:val="000000"/>
        </w:rPr>
        <w:tab/>
        <w:t>keďže viac ako 400 národných a regionálnych programov, ktoré sú určené na realizáciu politiky súdržnosti Únie v programovom období 2021 – 2027, poskytne v rámci rôznych fondov okolo 380 miliárd EUR na riešenie hospodárskych, sociálnych a environmentálnych výziev, ktorým čelia regióny, mestá, dediny a obce v Únii;</w:t>
      </w:r>
    </w:p>
    <w:p w:rsidR="00DF6487" w:rsidRPr="00B92273" w:rsidRDefault="00B92273">
      <w:pPr>
        <w:pStyle w:val="NormalHanging12a"/>
        <w:rPr>
          <w:color w:val="000000"/>
          <w:szCs w:val="24"/>
        </w:rPr>
      </w:pPr>
      <w:r w:rsidRPr="00B92273">
        <w:rPr>
          <w:color w:val="000000"/>
        </w:rPr>
        <w:t>H.</w:t>
      </w:r>
      <w:r w:rsidRPr="00B92273">
        <w:rPr>
          <w:color w:val="000000"/>
        </w:rPr>
        <w:tab/>
        <w:t>keďže od výboru ako inštitúcie Únie v zmysle nariadenia o rozpočtových pravidlách sa vyžaduje, aby schvaľovala vlastnú ročnú účtovnú závierku vypracovanú v súlade s účtovnými pravidlami, ktoré prijal účtovník Komisie (účtovné pravidlá EÚ) na základe medzinárodných účtovných štandardov pre verejný sektor, ktorá sa následne konsoliduje do účtovnej závierky Únie;</w:t>
      </w:r>
    </w:p>
    <w:p w:rsidR="00DF6487" w:rsidRPr="00B92273" w:rsidRDefault="00B92273">
      <w:pPr>
        <w:pStyle w:val="NormalHanging12a"/>
        <w:rPr>
          <w:szCs w:val="24"/>
        </w:rPr>
      </w:pPr>
      <w:r w:rsidRPr="00B92273">
        <w:t>1.</w:t>
      </w:r>
      <w:r w:rsidRPr="00B92273">
        <w:tab/>
        <w:t>konštatuje, že rozpočet výboru patrí do okruhu 7 VFR „Európska verejná správa“, ktorý v roku 2022 dosiahol celkovú výšku 11,6 miliardy EUR (teda 5,9 % výdavkov rozpočtu Únie); konštatuje, že rozpočet výboru v roku 2022 predstavoval 0,95 % rozpočtových prostriedkov okruhu 7 VFR;</w:t>
      </w:r>
    </w:p>
    <w:p w:rsidR="00DF6487" w:rsidRPr="00B92273" w:rsidRDefault="00B92273">
      <w:pPr>
        <w:pStyle w:val="NormalHanging12a"/>
        <w:rPr>
          <w:szCs w:val="24"/>
        </w:rPr>
      </w:pPr>
      <w:r w:rsidRPr="00B92273">
        <w:t>2.</w:t>
      </w:r>
      <w:r w:rsidRPr="00B92273">
        <w:tab/>
        <w:t>poznamenáva, že Európsky dvor audítorov (ďalej len „Dvor audítorov“) vo výročnej správe za rozpočtový rok 2022 preskúmal vzorku 60 transakcií v oddiele Administratíva tak ako v roku 2021; ďalej konštatuje, že podľa Dvora audítorov administratívne výdavky zahŕňajú výdavky na ľudské zdroje vrátane výdavkov na dôchodky, ktoré v roku 2022 predstavovali približne 70 % celkových administratívnych výdavkov, a výdavky na budovy, zariadenie, energetiku, komunikáciu a informačné technológie, a že jeho práca počas mnohých rokov naznačuje, že tieto výdavky sú celkovo nízkorizikové;</w:t>
      </w:r>
    </w:p>
    <w:p w:rsidR="00DF6487" w:rsidRPr="00B92273" w:rsidRDefault="00B92273">
      <w:pPr>
        <w:pStyle w:val="NormalHanging12a"/>
        <w:rPr>
          <w:szCs w:val="24"/>
        </w:rPr>
      </w:pPr>
      <w:r w:rsidRPr="00B92273">
        <w:t>3.</w:t>
      </w:r>
      <w:r w:rsidRPr="00B92273">
        <w:tab/>
        <w:t xml:space="preserve">konštatuje, že Dvor audítorov preskúmal v rámci auditu za rok 2022 systémy dohľadu a kontroly výboru, najmä vykonávanie noriem vnútornej kontroly, riadenie rizík a fungovanie kľúčových kontrol stanovených v nariadení o rozpočtových pravidlách, a vykonal aj ex </w:t>
      </w:r>
      <w:proofErr w:type="spellStart"/>
      <w:r w:rsidRPr="00B92273">
        <w:t>ante</w:t>
      </w:r>
      <w:proofErr w:type="spellEnd"/>
      <w:r w:rsidRPr="00B92273">
        <w:t xml:space="preserve"> a ex post kontroly platieb;</w:t>
      </w:r>
    </w:p>
    <w:p w:rsidR="00DF6487" w:rsidRPr="00B92273" w:rsidRDefault="00B92273">
      <w:pPr>
        <w:pStyle w:val="NormalHanging12a"/>
        <w:rPr>
          <w:szCs w:val="24"/>
        </w:rPr>
      </w:pPr>
      <w:r w:rsidRPr="00B92273">
        <w:t>4.</w:t>
      </w:r>
      <w:r w:rsidRPr="00B92273">
        <w:tab/>
        <w:t>konštatuje, že 14 zo 60 (23 %) operácií obsahovalo chyby, ale že Dvor audítorov na základe piatich vyčíslených chýb odhaduje, že chybovosť bola pod prahom významnosti;</w:t>
      </w:r>
    </w:p>
    <w:p w:rsidR="00DF6487" w:rsidRPr="00B92273" w:rsidRDefault="00B92273">
      <w:pPr>
        <w:pStyle w:val="NormalHanging12a"/>
        <w:rPr>
          <w:szCs w:val="24"/>
        </w:rPr>
      </w:pPr>
      <w:r w:rsidRPr="00B92273">
        <w:t>5.</w:t>
      </w:r>
      <w:r w:rsidRPr="00B92273">
        <w:tab/>
        <w:t>s uspokojením konštatuje, že Dvor audítorov vo výročnej správe za rozpočtový rok 2022 uvádza, že nezistil žiadne konkrétne problémy týkajúce sa výboru;</w:t>
      </w:r>
    </w:p>
    <w:p w:rsidR="00DF6487" w:rsidRPr="00B92273" w:rsidRDefault="00B92273">
      <w:pPr>
        <w:pStyle w:val="NormalHanging12a"/>
        <w:rPr>
          <w:b/>
          <w:i/>
          <w:szCs w:val="24"/>
        </w:rPr>
      </w:pPr>
      <w:r w:rsidRPr="00B92273">
        <w:rPr>
          <w:b/>
          <w:i/>
        </w:rPr>
        <w:t>Rozpočtové a finančné riadenie</w:t>
      </w:r>
    </w:p>
    <w:p w:rsidR="00DF6487" w:rsidRPr="00B92273" w:rsidRDefault="00B92273">
      <w:pPr>
        <w:pStyle w:val="NormalHanging12a"/>
        <w:rPr>
          <w:szCs w:val="24"/>
        </w:rPr>
      </w:pPr>
      <w:r w:rsidRPr="00B92273">
        <w:t>6.</w:t>
      </w:r>
      <w:r w:rsidRPr="00B92273">
        <w:tab/>
        <w:t>konštatuje, že v roku 2022 predstavoval konečný prijatý rozpočet výboru sumu 109 976 858 EUR vrátane opravného rozpočtu 5/2022, čo v porovnaní s rokom 2021 predstavuje celkové zvýšenie o 3,03 %; konštatuje, že rozpočtové prostriedky v rozpočtovom riadku 1004 na cestovné výdavky a diéty, účasť na schôdzach a súvisiace výdavky sa v rokoch 2021 až 2022 zvýšili z 4 244 488 EUR na 8 158 838 EUR, t. j. o 92 %, v dôsledku obnovenia cestovania po pandémii ochorenia COVID-19; konštatuje, že inak zostalo rozdelenie rozpočtových prostriedkov medzi rozpočtové riadky v rozpočte na rok 2022 porovnateľné s rozdelením v predchádzajúcich rokoch;</w:t>
      </w:r>
    </w:p>
    <w:p w:rsidR="00DF6487" w:rsidRPr="00B92273" w:rsidRDefault="00B92273">
      <w:pPr>
        <w:pStyle w:val="NormalHanging12a"/>
        <w:rPr>
          <w:szCs w:val="24"/>
        </w:rPr>
      </w:pPr>
      <w:r w:rsidRPr="00B92273">
        <w:t>7.</w:t>
      </w:r>
      <w:r w:rsidRPr="00B92273">
        <w:tab/>
        <w:t xml:space="preserve">konštatuje, že rozpočet na služobné cesty na rok 2022 predstavoval 419 657 EUR v porovnaní so 169 856 EUR v roku 2021, t. j. nárast o 147 %, ktorý možno vysvetliť </w:t>
      </w:r>
      <w:r w:rsidRPr="00B92273">
        <w:lastRenderedPageBreak/>
        <w:t>počtom online schôdzí v roku 2021 a na začiatku roka 2022 v dôsledku obmedzení súvisiacich s pandémiou ochorenia COVID-19, ako aj zvýšením cien cestovného v roku 2022; konštatuje, že príspevok na predsedníctvo výboru (predsedu a prvého podpredsedu) na cestovné výdavky a výdavky spojené s účasťou na schôdzach, ktoré sú financované zo všeobecného rozpočtu na výdavky poslancov, sa v rokoch 2021 až 2022 zvýšil zo 49 852 EUR na 71 810 EUR, tzn. nárast o 44 %; víta usmernenia k nákladovo efektívnejšej, účelnejšej a udržateľnejšej politike služobných ciest, ktoré boli rozoslané v júni 2022 s cieľom obmedziť služobné cesty zamestnancov výboru na minimum;</w:t>
      </w:r>
    </w:p>
    <w:p w:rsidR="00DF6487" w:rsidRPr="00B92273" w:rsidRDefault="00B92273">
      <w:pPr>
        <w:pStyle w:val="NormalHanging12a"/>
        <w:rPr>
          <w:szCs w:val="24"/>
        </w:rPr>
      </w:pPr>
      <w:r w:rsidRPr="00B92273">
        <w:t>8.</w:t>
      </w:r>
      <w:r w:rsidRPr="00B92273">
        <w:tab/>
        <w:t>konštatuje, že v roku 2022 bola miera plnenia rozpočtu 99,2 %, čo je mierne viac ako v roku 2021, keď dosahovala 98,9 %;</w:t>
      </w:r>
    </w:p>
    <w:p w:rsidR="00DF6487" w:rsidRPr="00B92273" w:rsidRDefault="00B92273">
      <w:pPr>
        <w:pStyle w:val="NormalHanging12a"/>
        <w:rPr>
          <w:szCs w:val="24"/>
        </w:rPr>
      </w:pPr>
      <w:r w:rsidRPr="00B92273">
        <w:t>9.</w:t>
      </w:r>
      <w:r w:rsidRPr="00B92273">
        <w:tab/>
        <w:t>konštatuje, že priemerná lehota na realizáciu platby v roku 2022 bola 17,87 dní, čo je viac než v roku 2021, keď to bolo 16,11 dňa; konštatuje, že zároveň sa percentuálny podiel elektronickej fakturácie zvýšil z 32 % na 68 %; poznamenáva, že medzi týmito dvoma údajmi neexistuje súvislosť, a vyzýva výbor, aby dokončil digitalizáciu pracovného postupu platieb s cieľom zlepšiť jeho efektívnosť a včasnosť;</w:t>
      </w:r>
    </w:p>
    <w:p w:rsidR="00DF6487" w:rsidRPr="00B92273" w:rsidRDefault="00B92273">
      <w:pPr>
        <w:pStyle w:val="NormalHanging12a"/>
        <w:rPr>
          <w:szCs w:val="24"/>
        </w:rPr>
      </w:pPr>
      <w:r w:rsidRPr="00B92273">
        <w:t>10.</w:t>
      </w:r>
      <w:r w:rsidRPr="00B92273">
        <w:tab/>
        <w:t>konštatuje, že útočná vojna Ruska proti Ukrajine vytvorila tlak na rozpočet výboru, a to aj v podobe rastúcej inflácie a úprav platov, výrazného zvýšenia nákladov na energiu, stavebných nákladov a nákladov na suroviny; ďalej konštatuje, že výbor mobilizoval svoju politickú podporu ukrajinským miestnym a regionálnym orgánom a organizoval činnosti v súvislosti s vojnou na Ukrajine, čo malo vplyv na rozpočet na služobné cesty, štúdie a odbornú prípravu;</w:t>
      </w:r>
    </w:p>
    <w:p w:rsidR="00DF6487" w:rsidRPr="00B92273" w:rsidRDefault="00B92273">
      <w:pPr>
        <w:pStyle w:val="NormalHanging12a"/>
        <w:rPr>
          <w:szCs w:val="24"/>
        </w:rPr>
      </w:pPr>
      <w:r w:rsidRPr="00B92273">
        <w:t>11.</w:t>
      </w:r>
      <w:r w:rsidRPr="00B92273">
        <w:tab/>
        <w:t>konštatuje, že vlastné útvary výboru zorganizovali 14 verejných obstarávaní v roku 2022 vrátane 11 rokovacích postupov verejného obstarávania pre tlmočnícke služby na diaľku v členských štátoch; konštatuje, že útvary, ktoré má výbor spoločné s Európskym hospodárskym a sociálnym výborom (ďalej len „EHSV“), začali postupy verejného obstarávania v oblasti logistiky;</w:t>
      </w:r>
    </w:p>
    <w:p w:rsidR="00DF6487" w:rsidRPr="00B92273" w:rsidRDefault="00B92273">
      <w:pPr>
        <w:pStyle w:val="NormalHanging12a"/>
        <w:rPr>
          <w:b/>
          <w:i/>
          <w:szCs w:val="24"/>
        </w:rPr>
      </w:pPr>
      <w:r w:rsidRPr="00B92273">
        <w:rPr>
          <w:b/>
          <w:i/>
        </w:rPr>
        <w:t>Vnútorné riadenie, výkonnosť a vnútorná kontrola</w:t>
      </w:r>
    </w:p>
    <w:p w:rsidR="00DF6487" w:rsidRPr="00B92273" w:rsidRDefault="00B92273">
      <w:pPr>
        <w:pStyle w:val="NormalHanging12a"/>
        <w:rPr>
          <w:szCs w:val="24"/>
        </w:rPr>
      </w:pPr>
      <w:r w:rsidRPr="00B92273">
        <w:t>12.</w:t>
      </w:r>
      <w:r w:rsidRPr="00B92273">
        <w:tab/>
        <w:t>konštatuje, že výbor prispieva k politike a rozhodovaciemu procesu Únie z pohľadu regionálnych a miestnych orgánov v Únii a poskytuje rámec na posilnenie spolupráce medzi miestnou, regionálnou, národnou a európskou úrovňou a na priblíženie Európy jej občanom; víta význam príspevku výboru k dôležitým témam Únie, ako je vykonávanie Mechanizmu na podporu obnovy a odolnosti, ako sa uvádza v uznesení Európskeho parlamentu z 23. júna 2022 o vykonávaní Mechanizmu na podporu obnovy a odolnosti</w:t>
      </w:r>
      <w:r w:rsidRPr="00B92273">
        <w:rPr>
          <w:vertAlign w:val="superscript"/>
        </w:rPr>
        <w:footnoteReference w:id="7"/>
      </w:r>
      <w:r w:rsidRPr="00B92273">
        <w:t>; ďalej nabáda výbor, aby pomáhal svojim členom zúčastňovať sa na miestnych dialógoch s občanmi o európskych záležitostiach;</w:t>
      </w:r>
    </w:p>
    <w:p w:rsidR="00DF6487" w:rsidRPr="00B92273" w:rsidRDefault="00B92273">
      <w:pPr>
        <w:pStyle w:val="NormalHanging12a"/>
        <w:rPr>
          <w:szCs w:val="24"/>
        </w:rPr>
      </w:pPr>
      <w:r w:rsidRPr="00B92273">
        <w:t>13.</w:t>
      </w:r>
      <w:r w:rsidRPr="00B92273">
        <w:tab/>
        <w:t xml:space="preserve">konštatuje, že výbor plní svoje poslanie prostredníctvom stanovísk, ktoré sa týkajú legislatívnych návrhov Komisie (žiadosti o vypracovanie stanoviska), stanovísk z vlastnej iniciatívy, v ktorých sa inštitúcie Únie vyzývajú, aby prijali opatrenia, a uznesení, v ktorých sa zdôrazňujú postoje výboru ku konkrétnym témam; konštatuje, že v roku 2022 výbor prijal 55 stanovísk a 8 uznesení, čo je o niečo menej ako v roku 2021, keď výbor prijal 60 stanovísk a 9 uznesení; nabáda výbor, aby naďalej zvyšoval svoju schopnosť poskytovať dôkazy z praxe hlavným inštitúciám Únie prostredníctvom </w:t>
      </w:r>
      <w:r w:rsidRPr="00B92273">
        <w:lastRenderedPageBreak/>
        <w:t>údajov, empirických analýz a súborov najlepších postupov;</w:t>
      </w:r>
    </w:p>
    <w:p w:rsidR="00DF6487" w:rsidRPr="00B92273" w:rsidRDefault="00B92273">
      <w:pPr>
        <w:pStyle w:val="NormalHanging12a"/>
        <w:rPr>
          <w:szCs w:val="24"/>
        </w:rPr>
      </w:pPr>
      <w:r w:rsidRPr="00B92273">
        <w:t>14.</w:t>
      </w:r>
      <w:r w:rsidRPr="00B92273">
        <w:tab/>
        <w:t xml:space="preserve">víta, že výbor podnikol konkrétne kroky na posilnenie svojho zapojenia do celého politického a legislatívneho cyklu Únie v súlade so svojimi výsadami podľa zmlúv; víta najmä dohodu o spolupráci medzi Európskym parlamentom a výborom a úzku spoluprácu medzi výborom a niekoľkými parlamentnými výbormi, </w:t>
      </w:r>
      <w:proofErr w:type="spellStart"/>
      <w:r w:rsidRPr="00B92273">
        <w:t>medziskupinami</w:t>
      </w:r>
      <w:proofErr w:type="spellEnd"/>
      <w:r w:rsidRPr="00B92273">
        <w:t xml:space="preserve"> a generálnymi riaditeľstvami; konštatuje, že v roku 2022 výbor zorganizoval 56 prípravných a následných stretnutí s Európskym parlamentom pre spravodajcov pre svoje stanoviská; ďalej konštatuje, že v roku 2022 vystúpilo na schôdzach výborov Európskeho parlamentu 20 spravodajcov výboru; blahoželá výboru k posilneniu jeho účasti na legislatívnych </w:t>
      </w:r>
      <w:proofErr w:type="spellStart"/>
      <w:r w:rsidRPr="00B92273">
        <w:t>trialógoch</w:t>
      </w:r>
      <w:proofErr w:type="spellEnd"/>
      <w:r w:rsidRPr="00B92273">
        <w:t xml:space="preserve">, najmä k tomu, že získal prístup k dokumentom </w:t>
      </w:r>
      <w:proofErr w:type="spellStart"/>
      <w:r w:rsidRPr="00B92273">
        <w:t>trialógu</w:t>
      </w:r>
      <w:proofErr w:type="spellEnd"/>
      <w:r w:rsidRPr="00B92273">
        <w:t>; domnieva sa, že členovia výboru a EHSV by mali byť pozvaní na príslušné parlamentné výmeny vrátane schôdzí výborov o otázkach, ktorými sa zaoberajú;</w:t>
      </w:r>
    </w:p>
    <w:p w:rsidR="00DF6487" w:rsidRPr="00B92273" w:rsidRDefault="00B92273">
      <w:pPr>
        <w:pStyle w:val="NormalHanging12a"/>
        <w:rPr>
          <w:szCs w:val="24"/>
        </w:rPr>
      </w:pPr>
      <w:r w:rsidRPr="00B92273">
        <w:t>15.</w:t>
      </w:r>
      <w:r w:rsidRPr="00B92273">
        <w:tab/>
        <w:t xml:space="preserve">víta opatrenia, ktoré výbor prijal v priebehu roka 2022 s cieľom optimalizovať svoje zdroje a zlepšiť nákladovú efektívnosť a zároveň zvýšiť vplyv svojej politickej činnosti v súvislosti s programom </w:t>
      </w:r>
      <w:proofErr w:type="spellStart"/>
      <w:r w:rsidRPr="00B92273">
        <w:t>Going</w:t>
      </w:r>
      <w:proofErr w:type="spellEnd"/>
      <w:r w:rsidRPr="00B92273">
        <w:t xml:space="preserve"> </w:t>
      </w:r>
      <w:proofErr w:type="spellStart"/>
      <w:r w:rsidRPr="00B92273">
        <w:t>for</w:t>
      </w:r>
      <w:proofErr w:type="spellEnd"/>
      <w:r w:rsidRPr="00B92273">
        <w:t xml:space="preserve"> </w:t>
      </w:r>
      <w:proofErr w:type="spellStart"/>
      <w:r w:rsidRPr="00B92273">
        <w:t>IMPact</w:t>
      </w:r>
      <w:proofErr w:type="spellEnd"/>
      <w:r w:rsidRPr="00B92273">
        <w:t>, a najmä 43 projektov zjednodušenia a digitalizácie, ktoré prispievajú k modernizácii administratívy výboru a digitalizácii pracovných postupov v rámci stratégie zjednodušenia pravidiel a postupov výboru na roky 2020 – 2025;</w:t>
      </w:r>
    </w:p>
    <w:p w:rsidR="00DF6487" w:rsidRPr="00B92273" w:rsidRDefault="00B92273">
      <w:pPr>
        <w:pStyle w:val="NormalHanging12a"/>
        <w:rPr>
          <w:szCs w:val="24"/>
        </w:rPr>
      </w:pPr>
      <w:r w:rsidRPr="00B92273">
        <w:t>16.</w:t>
      </w:r>
      <w:r w:rsidRPr="00B92273">
        <w:tab/>
        <w:t>víta aktívne zapojenie výboru do práce Konferencie o budúcnosti Európy (COFE) s delegáciou 30 členov, z ktorých 12 zastupovalo európske združenia miestnych a regionálnych orgánov; konštatuje, že v nadväznosti na prácu vykonanú v roku 2021 výbor v roku 2022 zorganizoval 14 stretnutí s delegátmi Konferencie o budúcnosti Európy a 9 prípravných schôdzí; zdôrazňuje, že výbor vytvoril osobitnú pracovnú skupinu s názvom Konferencia o budúcnosti Európy s cieľom koordinovať prácu všetkých zainteresovaných riaditeľstiev a oddelení; konštatuje, že návrhy uvedené v záverečnej správe Konferencie o budúcnosti Európy vydanej 9. mája 2022 boli prevzaté do projektu výboru s názvom Využitie potenciálu regionálnych a miestnych samospráv na posilnenie EÚ, ktorý sa vykonával počas roka 2022;</w:t>
      </w:r>
    </w:p>
    <w:p w:rsidR="00DF6487" w:rsidRPr="00B92273" w:rsidRDefault="00B92273">
      <w:pPr>
        <w:pStyle w:val="NormalHanging12a"/>
        <w:rPr>
          <w:szCs w:val="24"/>
        </w:rPr>
      </w:pPr>
      <w:r w:rsidRPr="00B92273">
        <w:t>17.</w:t>
      </w:r>
      <w:r w:rsidRPr="00B92273">
        <w:tab/>
        <w:t>zdôrazňuje, že v tejto záverečnej správe plenárne zhromaždenie Konferencie o budúcnosti Európy vo svojom 40. odporúčaní v rámci opatrenia 3 vyzýva výbor, aby v prípade záležitostí s územným dosahom zaviedol reformu zahŕňajúcu primerané spôsoby dialógu pre regióny, mestá, dediny a obce, čím by sa posilnila jeho úloha v inštitucionálnej štruktúre;</w:t>
      </w:r>
    </w:p>
    <w:p w:rsidR="00DF6487" w:rsidRPr="00B92273" w:rsidRDefault="00B92273">
      <w:pPr>
        <w:pStyle w:val="NormalHanging12a"/>
        <w:rPr>
          <w:szCs w:val="24"/>
        </w:rPr>
      </w:pPr>
      <w:r w:rsidRPr="00B92273">
        <w:t>18.</w:t>
      </w:r>
      <w:r w:rsidRPr="00B92273">
        <w:tab/>
        <w:t>konštatuje, že v roku 2022 výbor preskúmal a posilnil svoj rámec vnútornej kontroly na úrovni plánovania a podávania správ, systémov, finančného overovania a citlivých funkcií; blahoželá výboru k vytvoreniu špecializovaného nástroja konvergencie a platformy na plánovanie, podávanie správ, hodnotenie rizík a kontinuitu činností; konštatuje, že nová politika citlivých pracovných miest nadobudla účinnosť 1. januára 2022 a zamestnancom bola oznámená 27. januára 2022;</w:t>
      </w:r>
    </w:p>
    <w:p w:rsidR="00DF6487" w:rsidRPr="00B92273" w:rsidRDefault="00B92273">
      <w:pPr>
        <w:pStyle w:val="NormalHanging12a"/>
        <w:rPr>
          <w:szCs w:val="24"/>
        </w:rPr>
      </w:pPr>
      <w:r w:rsidRPr="00B92273">
        <w:t>19.</w:t>
      </w:r>
      <w:r w:rsidRPr="00B92273">
        <w:tab/>
        <w:t xml:space="preserve">konštatuje, že do apríla 2022 sa všetky schôdze konali online, zatiaľ čo od apríla 2022 sa štatutárne schôdze organizujú za fyzickej prítomnosti, zatiaľ čo iné schôdze sa môžu organizovať na diaľku alebo v hybridnom formáte; konštatuje, že až do revízie rokovacieho poriadku výboru v roku 2023 sa naďalej vyplácal paušálny príspevok za účasť na schôdzi na diaľku a na hybridnej schôdzi vo výške 200 EUR v súlade s pravidlami platnými od roku 2021; konštatuje, že od júla 2023 je príspevok za účasť na </w:t>
      </w:r>
      <w:r w:rsidRPr="00B92273">
        <w:lastRenderedPageBreak/>
        <w:t>schôdzi na diaľku stanovený na 50 % štandardného príspevku za účasť na schôdzi (t. j. v súčasnosti 50 % z 359 EUR, čo predstavuje 179,50 EUR); domnieva sa, že účasť na diaľku je pre moderné inštitúcie dôležitým nástrojom, keďže okrem iného znižuje náklady na schôdze a umožňuje širšiu účasť, najmä počas krízových situácií, ako sa ukázalo počas pandémie ochorenia COVID-19; s uspokojením konštatuje, že odporúčania vnútorného auditu týkajúce sa primeranosti plánovania a riadenia príspevkov a náhrad členom za účasť na schôdzach boli uspokojivo vykonané;</w:t>
      </w:r>
    </w:p>
    <w:p w:rsidR="00DF6487" w:rsidRPr="00B92273" w:rsidRDefault="00B92273">
      <w:pPr>
        <w:pStyle w:val="NormalHanging12a"/>
        <w:rPr>
          <w:b/>
          <w:i/>
          <w:szCs w:val="24"/>
        </w:rPr>
      </w:pPr>
      <w:r w:rsidRPr="00B92273">
        <w:rPr>
          <w:b/>
          <w:i/>
        </w:rPr>
        <w:t>Ľudské zdroje, rovnosť a dobré pracovné podmienky zamestnancov</w:t>
      </w:r>
    </w:p>
    <w:p w:rsidR="00DF6487" w:rsidRPr="00B92273" w:rsidRDefault="00B92273">
      <w:pPr>
        <w:pStyle w:val="NormalHanging12a"/>
      </w:pPr>
      <w:r w:rsidRPr="00B92273">
        <w:t>20.</w:t>
      </w:r>
      <w:r w:rsidRPr="00B92273">
        <w:tab/>
        <w:t>konštatuje, že na konci roka 2022 mal výbor celkovo 533 zamestnancov v porovnaní so 547 v roku 2021 a 537 v roku 2020; konštatuje, že na konci roka 2022 bolo vo výbore zamestnaných 56 zmluvných zamestnancov a 89 dočasných zamestnancov, pričom 21 zmluvných zamestnancov malo zmluvu na dobu neurčitú a traja dočasní zamestnanci boli zamestnaní na dobu určitú, v dvoch prípadoch so zmluvou na dobu neurčitú a v prípade generálneho tajomníka na dobu určitú na päť rokov; okrem toho konštatuje, že výbor zamestnával 8 dočasných zamestnancov a 14 externých zamestnancov pracujúcich na mieste, a to okrem externých poskytovateľov služieb v oblasti logistiky a IT; konštatuje, že v roku 2022 bola miera obsadenosti pracovných miest v pláne pracovných miest 96 %;</w:t>
      </w:r>
    </w:p>
    <w:p w:rsidR="00DF6487" w:rsidRPr="00B92273" w:rsidRDefault="00B92273">
      <w:pPr>
        <w:pStyle w:val="NormalHanging12a"/>
        <w:rPr>
          <w:szCs w:val="24"/>
        </w:rPr>
      </w:pPr>
      <w:r w:rsidRPr="00B92273">
        <w:t>21.</w:t>
      </w:r>
      <w:r w:rsidRPr="00B92273">
        <w:tab/>
        <w:t>konštatuje, že v apríli 2022 nadobudol účinnosť nový pilotný projekt týkajúci sa hybridného pracovného režimu, ktorý je zameraný na zosúladenie rámca ľudských zdrojov s novými spôsobmi práce a ktorý zamestnancom výboru poskytuje možnosť organizovať svoju prácu v rámci týždňa a dňa veľmi flexibilne a pracovať až do 60 % pracovného času na diaľku; víta skutočnosť, že nový režim umožňuje niekoľko možností práce na čiastočný úväzok na základe štatutárnych práv stanovených v služobnom poriadku; s uspokojením konštatuje, že 90,25 % respondentov, ktorí odpovedali na prieskum medzi zamestnancami z decembra 2022, vyjadrilo spokojnosť s týmito pružnými formami;</w:t>
      </w:r>
    </w:p>
    <w:p w:rsidR="00DF6487" w:rsidRPr="00B92273" w:rsidRDefault="00B92273">
      <w:pPr>
        <w:pStyle w:val="NormalHanging12a"/>
      </w:pPr>
      <w:r w:rsidRPr="00B92273">
        <w:t>22.</w:t>
      </w:r>
      <w:r w:rsidRPr="00B92273">
        <w:tab/>
        <w:t xml:space="preserve">so znepokojením konštatuje, že v roku 2022 bolo vo výbore hlásených 16 prípadov vyhorenia; ďalej konštatuje, že výboru sa v roku 2022 podarilo opätovne začleniť 15 zamestnancov po dlhodobej neprítomnosti v dôsledku vyhorenia, a to vďaka </w:t>
      </w:r>
      <w:proofErr w:type="spellStart"/>
      <w:r w:rsidRPr="00B92273">
        <w:t>personalizovaným</w:t>
      </w:r>
      <w:proofErr w:type="spellEnd"/>
      <w:r w:rsidRPr="00B92273">
        <w:t xml:space="preserve"> následným opatreniam po dlhodobej pracovnej neschopnosti; víta preventívne opatrenia, ktoré výbor prijal na zníženie </w:t>
      </w:r>
      <w:proofErr w:type="spellStart"/>
      <w:r w:rsidRPr="00B92273">
        <w:t>psychosociálnych</w:t>
      </w:r>
      <w:proofErr w:type="spellEnd"/>
      <w:r w:rsidRPr="00B92273">
        <w:t xml:space="preserve"> rizík a prípadov vyhorenia; v tejto súvislosti oceňuje proaktívny prístup lekárskej služby, konferencie na zvyšovanie informovanosti, odbornú prípravu a kurzy organizované výborom;</w:t>
      </w:r>
    </w:p>
    <w:p w:rsidR="00DF6487" w:rsidRPr="00B92273" w:rsidRDefault="00B92273">
      <w:pPr>
        <w:pStyle w:val="NormalHanging12a"/>
        <w:rPr>
          <w:szCs w:val="24"/>
        </w:rPr>
      </w:pPr>
      <w:r w:rsidRPr="00B92273">
        <w:t>23.</w:t>
      </w:r>
      <w:r w:rsidRPr="00B92273">
        <w:tab/>
        <w:t xml:space="preserve">konštatuje, že výbor pokračoval v zvyšovaní informovanosti o opatreniach zavedených na boj proti obťažovaniu na pracovisku v súlade so svojím rozhodnutím z 26. apríla 2021 o ochrane dôstojnosti pri práci, zvládaní konfliktov a boji proti obťažovaniu, najmä osobitnými usmerneniami, internou komunikáciou a organizovaním viacerých informačných stretnutí pre zamestnancov a vedúcich pracovníkov; konštatuje, že v roku 2022 sa výbor musel zaoberať novým prípadom údajného psychického obťažovania zamestnanca výboru zamestnancom EHSV, ktorý oba výbory stále skúmajú; vyzýva výbor, aby podal správu o opatreniach nadväzujúcich na tieto tvrdenia, najmä z </w:t>
      </w:r>
      <w:proofErr w:type="spellStart"/>
      <w:r w:rsidRPr="00B92273">
        <w:t>medziinštitucionálneho</w:t>
      </w:r>
      <w:proofErr w:type="spellEnd"/>
      <w:r w:rsidRPr="00B92273">
        <w:t xml:space="preserve"> hľadiska;</w:t>
      </w:r>
    </w:p>
    <w:p w:rsidR="00DF6487" w:rsidRPr="00B92273" w:rsidRDefault="00B92273">
      <w:pPr>
        <w:pStyle w:val="NormalHanging12a"/>
        <w:rPr>
          <w:szCs w:val="24"/>
        </w:rPr>
      </w:pPr>
      <w:r w:rsidRPr="00B92273">
        <w:t>24.</w:t>
      </w:r>
      <w:r w:rsidRPr="00B92273">
        <w:tab/>
        <w:t xml:space="preserve">konštatuje, že na konci roka 2022 výbor zamestnával 56,8 % žien a 43,2 % mužov v porovnaní s 56,6 % žien v roku 2021 a 55,5 % žien v roku 2020; so znepokojením </w:t>
      </w:r>
      <w:r w:rsidRPr="00B92273">
        <w:lastRenderedPageBreak/>
        <w:t xml:space="preserve">konštatuje, že podiel žien v jednotlivých platových triedach a ich postavenie má rovnaký trend ako v predchádzajúcich rokoch, a vyjadruje poľutovanie nad tým, že napriek vymenovaniu novej riaditeľky v roku 2023 a určitému úsiliu o prilákanie väčšieho počtu žien na riadiace pozície zostáva situácia na úrovni vyššieho a stredného manažmentu mimoriadne nevyvážená; odporúča, aby mali oznámenia o voľných pracovných miestach </w:t>
      </w:r>
      <w:proofErr w:type="spellStart"/>
      <w:r w:rsidRPr="00B92273">
        <w:t>inkluzívnejší</w:t>
      </w:r>
      <w:proofErr w:type="spellEnd"/>
      <w:r w:rsidRPr="00B92273">
        <w:t xml:space="preserve"> charakter a viac sa motivovali ženy, aby sa uchádzali o pozície vyššieho a stredného manažmentu, a to aj zabezpečením vyváženého zastúpenia vo výberových komisiách, ponúkaním možností odbornej prípravy pre zamestnankyne, ktoré sa chcú pripraviť na manažérsku kariéru, a navrhnutím pružnejších pracovných podmienok;</w:t>
      </w:r>
    </w:p>
    <w:p w:rsidR="00DF6487" w:rsidRPr="00B92273" w:rsidRDefault="00B92273">
      <w:pPr>
        <w:pStyle w:val="NormalHanging12a"/>
        <w:rPr>
          <w:szCs w:val="24"/>
        </w:rPr>
      </w:pPr>
      <w:r w:rsidRPr="00B92273">
        <w:t>25.</w:t>
      </w:r>
      <w:r w:rsidRPr="00B92273">
        <w:tab/>
        <w:t xml:space="preserve">víta, že výbor prijal 7. júla 2022 novú päťročnú stratégiu a akčný plán pre rozmanitosť a začlenenie na obdobie 2022 – 2026; nabáda výbor, aby pokračoval vo svojom úsilí o dosiahnutie cieľov stanovených v uvedenej stratégii a akčnom pláne, najmä cieľa rodovej rovnosti podielom žien na vyšších riadiacich pozíciách na úrovni 40 % do roku 2024, pričom konečným cieľom bude zavedenie parity; víta zvyšovanie informovanosti a cielené opatrenia zavedené na podporu a posilnenie rozmanitejšieho a </w:t>
      </w:r>
      <w:proofErr w:type="spellStart"/>
      <w:r w:rsidRPr="00B92273">
        <w:t>inkluzívnejšieho</w:t>
      </w:r>
      <w:proofErr w:type="spellEnd"/>
      <w:r w:rsidRPr="00B92273">
        <w:t xml:space="preserve"> pracoviska na úrovni zastúpenia zamestnancov a kontaktných miest na všetkých oddeleniach výboru s koordináciou špecializovaným koordinátorom pre rozmanitosť a začlenenie;</w:t>
      </w:r>
    </w:p>
    <w:p w:rsidR="00DF6487" w:rsidRPr="00B92273" w:rsidRDefault="00B92273">
      <w:pPr>
        <w:pStyle w:val="NormalHanging12a"/>
      </w:pPr>
      <w:r w:rsidRPr="00B92273">
        <w:t>26.</w:t>
      </w:r>
      <w:r w:rsidRPr="00B92273">
        <w:tab/>
        <w:t xml:space="preserve">konštatuje, že v roku 2022 výbor zamestnával zamestnancov zastupujúcich všetky národnosti Únie a jedného zamestnanca s ukrajinskou štátnou príslušnosťou; konštatuje, že hoci víta úsilie výboru o vyvážené geografické zastúpenie zamestnancov, geografická rovnováha sa stále nedosiahla, pretože niektoré národnosti sú v porovnaní s inými naďalej nadmerne zastúpené; povzbudzuje výbor k tomu, aby pokračoval v prijímaní opatrení na dosiahnutie skutočnej geografickej rovnováhy medzi všetkými svojimi zamestnancami s osobitným dôrazom na úroveň manažmentu; víta účasť výboru v </w:t>
      </w:r>
      <w:proofErr w:type="spellStart"/>
      <w:r w:rsidRPr="00B92273">
        <w:t>medziinštitucionálnej</w:t>
      </w:r>
      <w:proofErr w:type="spellEnd"/>
      <w:r w:rsidRPr="00B92273">
        <w:t xml:space="preserve"> pracovnej skupine pre geografickú rovnováhu zameranej na výmenu najlepších postupov a vytváranie synergií medzi inštitúciami Únie;</w:t>
      </w:r>
    </w:p>
    <w:p w:rsidR="00DF6487" w:rsidRPr="00B92273" w:rsidRDefault="00B92273">
      <w:pPr>
        <w:pStyle w:val="NormalHanging12a"/>
        <w:rPr>
          <w:szCs w:val="24"/>
        </w:rPr>
      </w:pPr>
      <w:r w:rsidRPr="00B92273">
        <w:t>27.</w:t>
      </w:r>
      <w:r w:rsidRPr="00B92273">
        <w:tab/>
        <w:t xml:space="preserve">konštatuje, že v roku 2022 výbor po prvýkrát viedol pilotný </w:t>
      </w:r>
      <w:proofErr w:type="spellStart"/>
      <w:r w:rsidRPr="00B92273">
        <w:t>medziinštitucionálny</w:t>
      </w:r>
      <w:proofErr w:type="spellEnd"/>
      <w:r w:rsidRPr="00B92273">
        <w:t xml:space="preserve"> systém pozorovania pracovných miest, do ktorého boli zapojené 3 inštitúcie Únie a 25 účastníkov, s cieľom zvýšiť pochopenie pracovných metód a procesov iných inštitúcií, posilniť </w:t>
      </w:r>
      <w:proofErr w:type="spellStart"/>
      <w:r w:rsidRPr="00B92273">
        <w:t>medziinštitucionálnu</w:t>
      </w:r>
      <w:proofErr w:type="spellEnd"/>
      <w:r w:rsidRPr="00B92273">
        <w:t xml:space="preserve"> spoluprácu, podporiť mobilitu a zabezpečiť pružnejšiu pracovnú silu; blahoželá výboru k spusteniu tejto inovačnej </w:t>
      </w:r>
      <w:proofErr w:type="spellStart"/>
      <w:r w:rsidRPr="00B92273">
        <w:t>medziinštitucionálnej</w:t>
      </w:r>
      <w:proofErr w:type="spellEnd"/>
      <w:r w:rsidRPr="00B92273">
        <w:t xml:space="preserve"> iniciatívy, ktorú potom od roku 2023 rozšírila a prevzala Európska škola verejnej správy;</w:t>
      </w:r>
    </w:p>
    <w:p w:rsidR="00DF6487" w:rsidRPr="00B92273" w:rsidRDefault="00B92273">
      <w:pPr>
        <w:pStyle w:val="NormalHanging12a"/>
        <w:rPr>
          <w:szCs w:val="24"/>
        </w:rPr>
      </w:pPr>
      <w:r w:rsidRPr="00B92273">
        <w:t>28.</w:t>
      </w:r>
      <w:r w:rsidRPr="00B92273">
        <w:tab/>
        <w:t>konštatuje, že v roku 2022 mal výbor 60 stážistov, z ktorých 48 bolo platených a 12 bolo na študijnej návšteve, pričom dvaja z nich dostávali sociálny príspevok; víta nové pravidlá schválené v roku 2022 v súvislosti s odmeňovaním stážistov, podľa ktorých študijné návštevy možno schváliť len vtedy, ak stážista dostane finančné prostriedky z iného zdroja alebo ak je stáž povinná v súvislosti so štúdiom stážistu, pričom stážisti každého druhu môžu v riadne odôvodnených prípadoch požiadať o sociálny príspevok; víta skutočnosť, že pracovné podmienky stážistov sú zosúladené s pracovnými podmienkami zamestnancov v rámci nových pružných foriem organizácie práce, podľa ktorých môžu všetci stážisti pracovať zo zahraničia jeden deň za mesiac stáže;</w:t>
      </w:r>
    </w:p>
    <w:p w:rsidR="00DF6487" w:rsidRPr="00B92273" w:rsidRDefault="00B92273">
      <w:pPr>
        <w:pStyle w:val="NormalHanging12a"/>
        <w:rPr>
          <w:b/>
          <w:i/>
          <w:szCs w:val="24"/>
        </w:rPr>
      </w:pPr>
      <w:r w:rsidRPr="00B92273">
        <w:rPr>
          <w:b/>
          <w:i/>
        </w:rPr>
        <w:t>Etický rámec a transparentnosť</w:t>
      </w:r>
    </w:p>
    <w:p w:rsidR="00DF6487" w:rsidRPr="00B92273" w:rsidRDefault="00B92273">
      <w:pPr>
        <w:pStyle w:val="NormalHanging12a"/>
        <w:rPr>
          <w:szCs w:val="24"/>
        </w:rPr>
      </w:pPr>
      <w:r w:rsidRPr="00B92273">
        <w:lastRenderedPageBreak/>
        <w:t>29.</w:t>
      </w:r>
      <w:r w:rsidRPr="00B92273">
        <w:tab/>
        <w:t>víta úsilie výboru o zvýšenie informovanosti zamestnancov o etike a presadzovanie etických pravidiel v rôznych postupoch, ako je prijímanie zamestnancov, a etických povinností a práv v rôznych administratívnych situáciách, pri vonkajších činnostiach, odbornej príprave a odchode zo služby v nadväznosti na vnútorný audit o informovanosti zamestnancov o etike; konštatuje, že základné dokumenty a pravidlá, z ktorých vychádza etický rámec, sú uverejnené na intranete výboru s cieľom zvýšiť informovanosť zamestnancov o etických pravidlách; ďalej konštatuje, že výbor v roku 2022 zorganizoval 14 kolektívnych kurzov odbornej prípravy zameraných konkrétne na témy súvisiace s etikou, ktorých sa zúčastnilo 107 zamestnancov, a že 75 % zamestnancov sa v roku 2022 zúčastnilo na odbornej príprave v oblasti všeobecnej etiky;</w:t>
      </w:r>
    </w:p>
    <w:p w:rsidR="00DF6487" w:rsidRPr="00B92273" w:rsidRDefault="00B92273">
      <w:pPr>
        <w:pStyle w:val="NormalHanging12a"/>
        <w:rPr>
          <w:szCs w:val="24"/>
        </w:rPr>
      </w:pPr>
      <w:r w:rsidRPr="00B92273">
        <w:t>30.</w:t>
      </w:r>
      <w:r w:rsidRPr="00B92273">
        <w:tab/>
        <w:t>konštatuje, že v roku 2022 výbor pokračoval vo vykonávaní svojho kódexu správania členov z roku 2020 a v tejto súvislosti zintenzívnil svoje úsilie o zhromažďovanie chýbajúcich finančných vyhlásení členov; konštatuje, že šesť náhradníkov vymenovaných v januári 2020 nepredložilo ani do júna 2023 svoje finančné vyhlásenia a že hoci ani jeden z týchto šiestich členov sa od svojho vymenovania nezúčastnil na žiadnej schôdzi výboru, výbor začal postup presadzovania práva stanovený v kódexe správania členov;</w:t>
      </w:r>
    </w:p>
    <w:p w:rsidR="00DF6487" w:rsidRPr="00B92273" w:rsidRDefault="00B92273">
      <w:pPr>
        <w:pStyle w:val="NormalHanging12a"/>
        <w:rPr>
          <w:szCs w:val="24"/>
        </w:rPr>
      </w:pPr>
      <w:r w:rsidRPr="00B92273">
        <w:t>31.</w:t>
      </w:r>
      <w:r w:rsidRPr="00B92273">
        <w:tab/>
        <w:t>konštatuje, že Európsky úrad pre boj proti podvodom (OLAF) vyšetril v roku 2022 tri prípady, z ktorých jeden bol nový a týkal sa zárobkových vonkajších činností a dva prebiehajúce prípady, ktoré sa uzavreli v tom istom roku, sa týkali neoprávnených platieb cestovných príspevkov a obvinení z finančného protiprávneho konania, obťažovania a zlého riadenia v spoločnom útvare výboru a EHSV; konštatuje, že prípad týkajúci sa vyplácania neoprávnených príspevkov za cestu bol uzavretý začiatkom roka 2022, pričom výbor požiadal dotknutého člena o vrátenie prijatého príspevku z etických dôvodov, keďže neexistuje právny základ na vymáhanie takýchto súm; konštatuje, že začiatkom roka 2024 príslušný poslanec oznámil svoj zámer vrátiť sumu, ktorú pôvodne požadoval úrad OLAF, z etických dôvodov, a že finančné služby výboru boli pripravené prijať v tejto súvislosti všetky potrebné kroky; žiada výbor, aby informoval orgán udeľujúci absolutórium o všetkých opatreniach, ktoré výbor prijal v súvislosti s týmto prípadom v súlade so zákonnými povinnosťami zamestnancov podľa služobného poriadku, najmä preto, že prípad sa týkal člena výboru, ktorý bol zároveň akreditovaným asistentom poslanca, pričom Brusel bol jeho zmluvným miestom výkonu práce, čo znamená, že nevznikali cestovné náklady na schôdze výboru v Bruseli; konštatuje, že prípad týkajúci sa obvinení z finančných priestupkov, obťažovania a zlého riadenia v spoločnej službe viedol k postupu riešenia konfliktov, do ktorého boli zapojené dotknuté osoby, ich nadriadení a príslušné oddelenia ľudských zdrojov na základe päťbodového akčného plánu, ktorý sa vykonával v rokoch 2021 a 2022;</w:t>
      </w:r>
    </w:p>
    <w:p w:rsidR="00DF6487" w:rsidRPr="00B92273" w:rsidRDefault="00B92273">
      <w:pPr>
        <w:pStyle w:val="NormalHanging12a"/>
        <w:rPr>
          <w:b/>
          <w:bCs/>
          <w:i/>
          <w:iCs/>
          <w:szCs w:val="24"/>
        </w:rPr>
      </w:pPr>
      <w:r w:rsidRPr="00B92273">
        <w:t>32.</w:t>
      </w:r>
      <w:r w:rsidRPr="00B92273">
        <w:tab/>
        <w:t xml:space="preserve">konštatuje, že v roku 2022 výbor pokračoval vo vykonávaní opatrení v oblasti transparentnosti, ako je zverejňovanie vyhlásení o finančných záujmoch členov na svojom webovom sídle, ale formálne sa nepridal k registru transparentnosti EÚ zriadenému </w:t>
      </w:r>
      <w:proofErr w:type="spellStart"/>
      <w:r w:rsidRPr="00B92273">
        <w:t>medziinštitucionálnou</w:t>
      </w:r>
      <w:proofErr w:type="spellEnd"/>
      <w:r w:rsidRPr="00B92273">
        <w:t xml:space="preserve"> dohodou z 20. mája 2021 uzatvorenou medzi Európskym parlamentom, Radou Európskej únie a Európskou komisiou o povinnom registri transparentnosti (MID); berie na vedomie, že výbor prijal rozhodnutím svojho predsedníctva v júli 2023 nové opatrenia v oblasti transparentnosti zamerané na členov a spravodajcov zastávajúcich funkcie v súlade so zásadami registra transparentnosti EÚ a oznámil ich správnej rade registra transparentnosti EÚ; berie na vedomie, že 20. </w:t>
      </w:r>
      <w:r w:rsidRPr="00B92273">
        <w:lastRenderedPageBreak/>
        <w:t xml:space="preserve">novembra 2023 správna rada registra transparentnosti EÚ usúdila, že opatrenia v oblasti transparentnosti sú v súlade s cieľmi </w:t>
      </w:r>
      <w:proofErr w:type="spellStart"/>
      <w:r w:rsidRPr="00B92273">
        <w:t>medziinštitucionálnej</w:t>
      </w:r>
      <w:proofErr w:type="spellEnd"/>
      <w:r w:rsidRPr="00B92273">
        <w:t xml:space="preserve"> dohody, a uvítala nariadenie výboru ako dôležitý krok k ďalšiemu posilneniu spoločného rámca a podpore spoločnej kultúry transparentnosti na úrovni Únie; víta skutočnosť, že výbor sa formálne pripojil k registru transparentnosti EÚ od 1. januára 2024;</w:t>
      </w:r>
    </w:p>
    <w:p w:rsidR="00DF6487" w:rsidRPr="00B92273" w:rsidRDefault="00B92273">
      <w:pPr>
        <w:pStyle w:val="NormalHanging12a"/>
        <w:rPr>
          <w:szCs w:val="24"/>
        </w:rPr>
      </w:pPr>
      <w:r w:rsidRPr="00B92273">
        <w:t>33.</w:t>
      </w:r>
      <w:r w:rsidRPr="00B92273">
        <w:tab/>
        <w:t>konštatuje, že v roku 2022 výbor nezistil žiadne konflikty záujmov, ktoré by si vyžadovali následné opatrenia administratívy; konštatuje, že výbor sa naďalej riadil zavedenými pravidlami na predchádzanie konfliktom záujmov a javu otáčavých dverí medzi verejným a súkromným sektorom a podporoval ich školeniami v oblasti etiky a zvyšovania informovanosti;</w:t>
      </w:r>
    </w:p>
    <w:p w:rsidR="00DF6487" w:rsidRPr="00B92273" w:rsidRDefault="00B92273">
      <w:pPr>
        <w:pStyle w:val="NormalHanging12a"/>
      </w:pPr>
      <w:r w:rsidRPr="00B92273">
        <w:t>34.</w:t>
      </w:r>
      <w:r w:rsidRPr="00B92273">
        <w:tab/>
        <w:t>konštatuje, že v roku 2022 neboli nahlásené žiadne prípady oznamovania protispoločenskej činnosti; konštatuje, že výbor sa naďalej spoliehal na opatrenia zavedené od roku 2015 týkajúce sa oznamovania protispoločenskej činnosti a podporoval ich školeniami v oblasti etiky a zvyšovania informovanosti;</w:t>
      </w:r>
    </w:p>
    <w:p w:rsidR="00DF6487" w:rsidRPr="00B92273" w:rsidRDefault="00B92273">
      <w:pPr>
        <w:pStyle w:val="NormalHanging12a"/>
        <w:rPr>
          <w:szCs w:val="24"/>
        </w:rPr>
      </w:pPr>
      <w:r w:rsidRPr="00B92273">
        <w:t>35.</w:t>
      </w:r>
      <w:r w:rsidRPr="00B92273">
        <w:tab/>
        <w:t>vyjadruje poľutovanie nad tým, že výbor neprijal žiadnu vnútornú stratégiu pre boj proti podvodom; opakuje svoju výzvu z uznesenia o udelení absolutória za rok 2021, aby výbor začal internú analýzu rizika podvodov a koordinoval svoju činnosť s príslušnými útvarmi Komisie s cieľom prijať primeranú vnútornú stratégiu boja proti podvodom;</w:t>
      </w:r>
    </w:p>
    <w:p w:rsidR="00DF6487" w:rsidRPr="00B92273" w:rsidRDefault="00B92273">
      <w:pPr>
        <w:pStyle w:val="NormalHanging12a"/>
        <w:rPr>
          <w:b/>
          <w:i/>
          <w:szCs w:val="24"/>
        </w:rPr>
      </w:pPr>
      <w:r w:rsidRPr="00B92273">
        <w:rPr>
          <w:b/>
          <w:i/>
        </w:rPr>
        <w:t>Digitalizácia, kybernetická bezpečnosť a ochrana údajov</w:t>
      </w:r>
    </w:p>
    <w:p w:rsidR="00DF6487" w:rsidRPr="00B92273" w:rsidRDefault="00B92273">
      <w:pPr>
        <w:pStyle w:val="NormalHanging12a"/>
        <w:rPr>
          <w:szCs w:val="24"/>
        </w:rPr>
      </w:pPr>
      <w:r w:rsidRPr="00B92273">
        <w:t>36.</w:t>
      </w:r>
      <w:r w:rsidRPr="00B92273">
        <w:tab/>
        <w:t>konštatuje, že kombinovaný rozpočet výboru a VR na EHSV v roku 2022 predstavoval 11 712 000 EUR vrátane zvýšenia o 750 000 EUR vnútorným presunom rozpočtu počas roka v porovnaní s 12 860 000 EUR v roku 2021, čo predstavuje zníženie o 9 %;</w:t>
      </w:r>
    </w:p>
    <w:p w:rsidR="00DF6487" w:rsidRPr="00B92273" w:rsidRDefault="00B92273">
      <w:pPr>
        <w:pStyle w:val="NormalHanging12a"/>
        <w:rPr>
          <w:szCs w:val="24"/>
        </w:rPr>
      </w:pPr>
      <w:r w:rsidRPr="00B92273">
        <w:t>37.</w:t>
      </w:r>
      <w:r w:rsidRPr="00B92273">
        <w:tab/>
        <w:t xml:space="preserve">konštatuje, že výbor má digitálnu stratégiu zameranú na poskytovanie IT služieb v súlade s najlepšími postupmi riadenia IT a zároveň na optimalizáciu využívania ľudských a finančných zdrojov; konštatuje, že výbor počas roka 2022 pracoval na prispôsobení a vývoji viacerých strategických IT nástrojov s cieľom zvýšiť efektívnosť a účinnosť politickej práce výboru a jeho administratívnych procesov a pracovných postupov; konštatuje, že hlavný projekt v oblasti infraštruktúry IT v roku 2022 sa týkal úpravy typológie siete potrebnej pre novú počítačovú miestnosť v budove </w:t>
      </w:r>
      <w:proofErr w:type="spellStart"/>
      <w:r w:rsidRPr="00B92273">
        <w:t>Jacques</w:t>
      </w:r>
      <w:proofErr w:type="spellEnd"/>
      <w:r w:rsidRPr="00B92273">
        <w:t xml:space="preserve"> </w:t>
      </w:r>
      <w:proofErr w:type="spellStart"/>
      <w:r w:rsidRPr="00B92273">
        <w:t>Delors</w:t>
      </w:r>
      <w:proofErr w:type="spellEnd"/>
      <w:r w:rsidRPr="00B92273">
        <w:t xml:space="preserve"> (JDE) v súlade s plánom hybridného </w:t>
      </w:r>
      <w:proofErr w:type="spellStart"/>
      <w:r w:rsidRPr="00B92273">
        <w:t>cloudu</w:t>
      </w:r>
      <w:proofErr w:type="spellEnd"/>
      <w:r w:rsidRPr="00B92273">
        <w:t>;</w:t>
      </w:r>
    </w:p>
    <w:p w:rsidR="00DF6487" w:rsidRPr="00B92273" w:rsidRDefault="00B92273">
      <w:pPr>
        <w:pStyle w:val="NormalHanging12a"/>
        <w:rPr>
          <w:szCs w:val="24"/>
        </w:rPr>
      </w:pPr>
      <w:r w:rsidRPr="00B92273">
        <w:t>38.</w:t>
      </w:r>
      <w:r w:rsidRPr="00B92273">
        <w:tab/>
        <w:t>konštatuje, že výbor v roku 2022 zvýšil počet hybridných schôdzí s cieľom prispôsobiť sa hybridnej práci a zosúladiť svoje postupy s novým usmernením k nákladovo efektívnejšej, účelnejšej a udržateľnejšej politike služobných ciest, ktoré v júni 2022 vydal generálny tajomník výboru a v ktorom sa od výboru vyžaduje, aby optimalizoval svoj spôsob práce a nahradil čo najviac služobných ciest zamestnancov videokonferenciami; chápe, že tento nový spôsob práce si vyžadoval technickú modernizáciu, pokiaľ ide o vybavenie hybridných zasadacích miestností;</w:t>
      </w:r>
    </w:p>
    <w:p w:rsidR="00DF6487" w:rsidRPr="00B92273" w:rsidRDefault="00B92273">
      <w:pPr>
        <w:pStyle w:val="NormalHanging12a"/>
        <w:rPr>
          <w:szCs w:val="24"/>
        </w:rPr>
      </w:pPr>
      <w:r w:rsidRPr="00B92273">
        <w:t>39.</w:t>
      </w:r>
      <w:r w:rsidRPr="00B92273">
        <w:tab/>
        <w:t>konštatuje, že výbor prijal v roku 2022 nové vnútorné pravidlá ochrany údajov, ktoré obsahujú obmedzenie určitých práv dotknutých osôb v súvislosti so spracúvaním osobných údajov v súvislosti s činnosťami a postupmi vykonávanými výborom; ďalej konštatuje, že európsky dozorný úradník pre ochranu údajov v roku 2022 neuskutočnil žiadne vyšetrovanie ani skúmanie v súvislosti so spracúvaním osobných údajov výborom;</w:t>
      </w:r>
    </w:p>
    <w:p w:rsidR="00DF6487" w:rsidRPr="00B92273" w:rsidRDefault="00B92273">
      <w:pPr>
        <w:pStyle w:val="NormalHanging12a"/>
      </w:pPr>
      <w:r w:rsidRPr="00B92273">
        <w:lastRenderedPageBreak/>
        <w:t>40.</w:t>
      </w:r>
      <w:r w:rsidRPr="00B92273">
        <w:tab/>
        <w:t>konštatuje, že výbor nebol v roku 2022 vystavený žiadnemu kybernetickému útoku; konštatuje, že výbor a nové spoločné riaditeľstvo EHSV pre inovácie a informačné technológie tvoria tri oddelenia, a to digitálna transformácia, digitálne riešenia a digitálne platformy; poznamenáva, že oddelenie pre digitálne platformy je zodpovedné okrem iného za kybernetickú bezpečnosť; žiada výbor, aby informoval orgán udeľujúci absolutórium o tom, ako vytvorenie tejto novej štruktúry prispelo k zvýšeniu pripravenosti jeho zamestnancov v oblasti kybernetickej bezpečnosti v súlade s rámcom kybernetickej bezpečnosti NIST a v spolupráci s tímom reakcie na núdzové počítačové situácie v európskych inštitúciách, orgánoch a agentúrach (CERT-EU); nabáda výbor, aby zvyšoval informovanosť svojich členov a zamestnancov o kybernetickej bezpečnosti, pravidelne posudzoval riziká svojej IT infraštruktúry a zabezpečil pravidelné audity a testy svojej kybernetickej obrany;</w:t>
      </w:r>
    </w:p>
    <w:p w:rsidR="00DF6487" w:rsidRPr="00B92273" w:rsidRDefault="00B92273">
      <w:pPr>
        <w:pStyle w:val="NormalHanging12a"/>
        <w:rPr>
          <w:szCs w:val="24"/>
        </w:rPr>
      </w:pPr>
      <w:r w:rsidRPr="00B92273">
        <w:t>41.</w:t>
      </w:r>
      <w:r w:rsidRPr="00B92273">
        <w:tab/>
        <w:t>víta úsilie výboru o podporu technológie s otvoreným zdrojovým kódom vo svojich systémoch, najmä v hlavných operačných aplikáciách používaných na riadenie politickej činnosti výboru (</w:t>
      </w:r>
      <w:proofErr w:type="spellStart"/>
      <w:r w:rsidRPr="00B92273">
        <w:t>Agora</w:t>
      </w:r>
      <w:proofErr w:type="spellEnd"/>
      <w:r w:rsidRPr="00B92273">
        <w:t xml:space="preserve"> a Phoenix); ďalej konštatuje, že výbor sleduje používanie technológií s otvoreným zdrojovým kódom vo svojom ročnom portfóliu IT tak, aby sa uplatňovali na nové aplikácie;</w:t>
      </w:r>
    </w:p>
    <w:p w:rsidR="00DF6487" w:rsidRPr="00B92273" w:rsidRDefault="00B92273">
      <w:pPr>
        <w:pStyle w:val="NormalHanging12a"/>
        <w:ind w:left="0" w:firstLine="0"/>
        <w:rPr>
          <w:b/>
          <w:i/>
          <w:szCs w:val="24"/>
        </w:rPr>
      </w:pPr>
      <w:r w:rsidRPr="00B92273">
        <w:rPr>
          <w:b/>
          <w:i/>
        </w:rPr>
        <w:t>Budovy</w:t>
      </w:r>
    </w:p>
    <w:p w:rsidR="00DF6487" w:rsidRPr="00B92273" w:rsidRDefault="00B92273">
      <w:pPr>
        <w:pStyle w:val="NormalHanging12a"/>
        <w:rPr>
          <w:szCs w:val="24"/>
        </w:rPr>
      </w:pPr>
      <w:r w:rsidRPr="00B92273">
        <w:t>42.</w:t>
      </w:r>
      <w:r w:rsidRPr="00B92273">
        <w:tab/>
        <w:t xml:space="preserve">konštatuje, že výbor a EHSV stratili 5 000 m² kancelárskych priestorov v dôsledku prevzatia nájomnej zmluvy na bývalú budovu ESVČ na adrese </w:t>
      </w:r>
      <w:proofErr w:type="spellStart"/>
      <w:r w:rsidRPr="00B92273">
        <w:t>Belliard</w:t>
      </w:r>
      <w:proofErr w:type="spellEnd"/>
      <w:r w:rsidRPr="00B92273">
        <w:t xml:space="preserve"> 100 (B100) od septembra 2021, a po výmene budov </w:t>
      </w:r>
      <w:proofErr w:type="spellStart"/>
      <w:r w:rsidRPr="00B92273">
        <w:t>Belliard</w:t>
      </w:r>
      <w:proofErr w:type="spellEnd"/>
      <w:r w:rsidRPr="00B92273">
        <w:t xml:space="preserve"> 68 a </w:t>
      </w:r>
      <w:proofErr w:type="spellStart"/>
      <w:r w:rsidRPr="00B92273">
        <w:t>Trèves</w:t>
      </w:r>
      <w:proofErr w:type="spellEnd"/>
      <w:r w:rsidRPr="00B92273">
        <w:t xml:space="preserve"> 74 medzi Výborom a EHSV s budovou Komisie Van </w:t>
      </w:r>
      <w:proofErr w:type="spellStart"/>
      <w:r w:rsidRPr="00B92273">
        <w:t>Maerlant</w:t>
      </w:r>
      <w:proofErr w:type="spellEnd"/>
      <w:r w:rsidRPr="00B92273">
        <w:t xml:space="preserve"> 2 (VMA) v septembri 2022; konštatuje, že úpravy v dvoch novonadobudnutých budovách boli potrebné na to, aby sa kancelárskych priestory mohli využívať hustejšie; víta zriadenie spoločnej pracovnej skupiny pre nové spôsoby práce v roku 2022 s cieľom zvážiť možnú optimalizáciu spôsobu organizácie práce a využívania kancelárskych priestorov pri súčasnom znižovaní environmentálnej stopy;</w:t>
      </w:r>
    </w:p>
    <w:p w:rsidR="00DF6487" w:rsidRPr="00B92273" w:rsidRDefault="00B92273">
      <w:pPr>
        <w:pStyle w:val="NormalHanging12a"/>
      </w:pPr>
      <w:r w:rsidRPr="00B92273">
        <w:t>43.</w:t>
      </w:r>
      <w:r w:rsidRPr="00B92273">
        <w:tab/>
        <w:t>konštatuje, že v roku 2022 predstavoval celkový rozpočet výboru na úpravu priestorov 883 792 EUR; konštatuje, že renovačné práce, ktoré vykonali výbor a EHSV v budovách B100 a VMA, zahŕňali využívanie inteligentných technológií so silným environmentálnym prvkom; žiada výbor, aby poskytol aktuálne informácie o návratnosti investícií týchto technologických zariadení, ale napriek tomu odporúča opatrnosť v súvislosti s prijímaním dlhodobých záväzkov týkajúcich sa nových kancelárskych priestorov pred tým, ako sa tieto opatrenia dôkladne preskúmajú;</w:t>
      </w:r>
    </w:p>
    <w:p w:rsidR="00DF6487" w:rsidRPr="00B92273" w:rsidRDefault="00B92273">
      <w:pPr>
        <w:pStyle w:val="NormalHanging12a"/>
        <w:rPr>
          <w:szCs w:val="24"/>
        </w:rPr>
      </w:pPr>
      <w:r w:rsidRPr="00B92273">
        <w:t>44.</w:t>
      </w:r>
      <w:r w:rsidRPr="00B92273">
        <w:tab/>
        <w:t>konštatuje, že v roku 2022 sa stratégia výboru a VR v oblasti budov zamerala na geografickú koncentráciu budov, ktorá sa dosiahla fyzickým prepojením všetkých budov používaných výborom a EHSV s ich hlavnou budovou (JDE); víta nové fyzické prepojenie s budovami Európskeho parlamentu, ktoré začalo fungovať v novembri 2022, a ponúka priamejšiu, jednoduchšiu a o 125 m kratšiu cestu medzi budovami výboru a EHSV a budovami Európskeho parlamentu;</w:t>
      </w:r>
    </w:p>
    <w:p w:rsidR="00DF6487" w:rsidRPr="00B92273" w:rsidRDefault="00B92273">
      <w:pPr>
        <w:pStyle w:val="NormalHanging12a"/>
        <w:rPr>
          <w:szCs w:val="24"/>
        </w:rPr>
      </w:pPr>
      <w:r w:rsidRPr="00B92273">
        <w:t>45.</w:t>
      </w:r>
      <w:r w:rsidRPr="00B92273">
        <w:tab/>
        <w:t>konštatuje, že výbor a EHSV začali v roku 2022 realizovať viacročný projekt týkajúci sa technickej modernizácie tlmočníckeho systému pre všetky konferenčné miestnosti; konštatuje, že výbor na tento projekt v roku 2022 vyčlenil 200 000 EUR;</w:t>
      </w:r>
    </w:p>
    <w:p w:rsidR="00DF6487" w:rsidRPr="00B92273" w:rsidRDefault="00B92273">
      <w:pPr>
        <w:pStyle w:val="NormalHanging12a"/>
        <w:rPr>
          <w:szCs w:val="24"/>
        </w:rPr>
      </w:pPr>
      <w:r w:rsidRPr="00B92273">
        <w:t>46.</w:t>
      </w:r>
      <w:r w:rsidRPr="00B92273">
        <w:tab/>
        <w:t xml:space="preserve">víta záväzok výboru a EHSV systematicky uplatňovať zásadu „dizajnu pre všetkých“ na </w:t>
      </w:r>
      <w:r w:rsidRPr="00B92273">
        <w:lastRenderedPageBreak/>
        <w:t>svoju infraštruktúru a zabezpečiť prístupnosť svojej budovy vďaka dizajnu; konštatuje, že výbor a EHSV prijali celý rad rôznych opatrení na zabezpečenie prístupnosti svojich budov pre osoby s rôznym zdravotným postihnutím;</w:t>
      </w:r>
    </w:p>
    <w:p w:rsidR="00DF6487" w:rsidRPr="00B92273" w:rsidRDefault="00B92273">
      <w:pPr>
        <w:pStyle w:val="NormalHanging12a"/>
        <w:ind w:left="0" w:firstLine="0"/>
        <w:rPr>
          <w:b/>
          <w:i/>
          <w:szCs w:val="24"/>
        </w:rPr>
      </w:pPr>
      <w:r w:rsidRPr="00B92273">
        <w:rPr>
          <w:b/>
          <w:i/>
        </w:rPr>
        <w:t>Životné prostredie a udržateľnosť</w:t>
      </w:r>
    </w:p>
    <w:p w:rsidR="00DF6487" w:rsidRPr="00B92273" w:rsidRDefault="00B92273">
      <w:pPr>
        <w:pStyle w:val="NormalHanging12a"/>
        <w:rPr>
          <w:szCs w:val="24"/>
        </w:rPr>
      </w:pPr>
      <w:r w:rsidRPr="00B92273">
        <w:t>47.</w:t>
      </w:r>
      <w:r w:rsidRPr="00B92273">
        <w:tab/>
        <w:t>víta udržateľné postupy, najmä bezpapierový prístup výboru a EHSV, ktorý prispel k zníženiu ich environmentálnej stopy v súlade s digitálnou stratégiou; konštatuje, že aplikácia Phoenix používaná na podporu politickej činnosti výboru bola v roku 2022 upravená tak, aby generovala tzv. správy o uhlíku za cesty a umožnila výboru a EHSV vypočítať ich bilanciu uhlíka; konštatuje, že akčný plán vyplývajúci z auditu výkonnosti v rámci schémy pre environmentálne manažérstvo a audit (EMAS) bol vykonaný prostredníctvom opatrení v oblasti dokumentácie, preskúmania postupov, zlepšenia plánovania, riadenia rizík a dohľadu; blahoželá výboru a EHSV k prekročeniu cieľov EMAS na roky 2021 – 20025 s výnimkou cieľov týkajúcich sa spotreby plynu;</w:t>
      </w:r>
    </w:p>
    <w:p w:rsidR="00DF6487" w:rsidRPr="00B92273" w:rsidRDefault="00B92273">
      <w:pPr>
        <w:pStyle w:val="NormalHanging12a"/>
        <w:rPr>
          <w:szCs w:val="24"/>
        </w:rPr>
      </w:pPr>
      <w:r w:rsidRPr="00B92273">
        <w:t>48.</w:t>
      </w:r>
      <w:r w:rsidRPr="00B92273">
        <w:tab/>
        <w:t>konštatuje, že v roku 2022 bola celkové množstvo elektrickej energie vyrobenej solárnymi panelmi na budovách výboru a EHSV približne 15,5 MWh, čo predstavuje 0,25 % celkovej ročnej spotreby výboru a EHSV; konštatuje, že k 16. septembru 2022 bola solárnymi panelmi vybavená len budova JDE; uvedomuje si, že v dôsledku administratívnych postupov budú výbor a EHSV čeliť oneskoreniu skôr, ako budú môcť predĺžiť inštaláciu solárnych panelov;</w:t>
      </w:r>
    </w:p>
    <w:p w:rsidR="00DF6487" w:rsidRPr="00B92273" w:rsidRDefault="00B92273">
      <w:pPr>
        <w:pStyle w:val="NormalHanging12a"/>
        <w:rPr>
          <w:szCs w:val="24"/>
        </w:rPr>
      </w:pPr>
      <w:r w:rsidRPr="00B92273">
        <w:t>49.</w:t>
      </w:r>
      <w:r w:rsidRPr="00B92273">
        <w:tab/>
        <w:t>konštatuje, že výbor zaviedol plán udržateľnej mobility vrátane finančného príspevku na predplatné verejnej dopravy pre zamestnancov a činností na zvyšovanie informovanosti; konštatuje, že v roku 2022 sa neuskutočnil žiadny nový prieskum zamestnancov v oblasti mobility, ale jeden je naplánovaný na rok 2024; víta skutočnosť, že 76 % zamestnancov výboru využíva ekologické dopravné prostriedky na účely dochádzania do zamestnania;</w:t>
      </w:r>
    </w:p>
    <w:p w:rsidR="00DF6487" w:rsidRPr="00B92273" w:rsidRDefault="00B92273">
      <w:pPr>
        <w:pStyle w:val="NormalHanging12a"/>
        <w:rPr>
          <w:b/>
          <w:i/>
          <w:szCs w:val="24"/>
        </w:rPr>
      </w:pPr>
      <w:proofErr w:type="spellStart"/>
      <w:r w:rsidRPr="00B92273">
        <w:rPr>
          <w:b/>
          <w:i/>
        </w:rPr>
        <w:t>Medziinštitucionálna</w:t>
      </w:r>
      <w:proofErr w:type="spellEnd"/>
      <w:r w:rsidRPr="00B92273">
        <w:rPr>
          <w:b/>
          <w:i/>
        </w:rPr>
        <w:t xml:space="preserve"> spolupráca</w:t>
      </w:r>
    </w:p>
    <w:p w:rsidR="00DF6487" w:rsidRPr="00B92273" w:rsidRDefault="00B92273">
      <w:pPr>
        <w:pStyle w:val="NormalHanging12a"/>
        <w:rPr>
          <w:szCs w:val="24"/>
        </w:rPr>
      </w:pPr>
      <w:r w:rsidRPr="00B92273">
        <w:t>50.</w:t>
      </w:r>
      <w:r w:rsidRPr="00B92273">
        <w:tab/>
        <w:t xml:space="preserve">víta rozpočtové a administratívne úspory dosiahnuté v rámci </w:t>
      </w:r>
      <w:proofErr w:type="spellStart"/>
      <w:r w:rsidRPr="00B92273">
        <w:t>medziinštitucionálnej</w:t>
      </w:r>
      <w:proofErr w:type="spellEnd"/>
      <w:r w:rsidRPr="00B92273">
        <w:t xml:space="preserve"> spolupráce, najmä úzkej spolupráce s EHSV na administratívnej úrovni, s ktorým má výbor spoločné priestory a služby v oblasti prekladu, infraštruktúry, logistiky a IT, pričom si zachováva plnú inštitucionálnu autonómiu; konštatuje, že 1. októbra 2022 bolo vytvorené spoločné riaditeľstvo pre inovácie a informačné technológie ako súčasť novej dohody o spolupráci podpísanej medzi výborom a EHSV v roku 2022; ďalej konštatuje, že výbor a EHSV v roku 2022 zjednotili 470 zamestnancov a 55 miliónov EUR s výnimkou výdavkov súvisiacich s platmi; vyzýva výbor, aby pokračoval v tejto spolupráci a rozšíril ju v iných oblastiach s cieľom zabrániť duplicite a ďalej racionalizovať prevádzkové náklady na služby dostupné v spoločných priestoroch výboru a VR; vyzýva výbor a EHSV, aby preskúmali možnosť vytvorenia jednotnej administratívy pre spoločné služby, pričom by sa zachovali samostatné riaditeľstvá alebo oddelenia pre útvary, ktoré sa zaoberajú záležitosťami súvisiacimi s ich osobitnými a nezávislými mandátmi;</w:t>
      </w:r>
    </w:p>
    <w:p w:rsidR="00DF6487" w:rsidRPr="00B92273" w:rsidRDefault="00B92273">
      <w:pPr>
        <w:pStyle w:val="NormalHanging12a"/>
        <w:rPr>
          <w:szCs w:val="24"/>
        </w:rPr>
      </w:pPr>
      <w:r w:rsidRPr="00B92273">
        <w:t>51.</w:t>
      </w:r>
      <w:r w:rsidRPr="00B92273">
        <w:tab/>
        <w:t xml:space="preserve">víta úsilie výboru o dosiahnutie synergií nákupom služieb od iných inštitúcií v rámci dohôd na úrovni útvarov a účasťou v </w:t>
      </w:r>
      <w:proofErr w:type="spellStart"/>
      <w:r w:rsidRPr="00B92273">
        <w:t>medziinštitucionálnych</w:t>
      </w:r>
      <w:proofErr w:type="spellEnd"/>
      <w:r w:rsidRPr="00B92273">
        <w:t xml:space="preserve"> koordinačných orgánoch a </w:t>
      </w:r>
      <w:proofErr w:type="spellStart"/>
      <w:r w:rsidRPr="00B92273">
        <w:t>medziinštitucionálnych</w:t>
      </w:r>
      <w:proofErr w:type="spellEnd"/>
      <w:r w:rsidRPr="00B92273">
        <w:t xml:space="preserve"> postupoch verejného obstarávania;</w:t>
      </w:r>
    </w:p>
    <w:p w:rsidR="00DF6487" w:rsidRPr="00B92273" w:rsidRDefault="00B92273">
      <w:pPr>
        <w:pStyle w:val="NormalHanging12a"/>
        <w:rPr>
          <w:szCs w:val="24"/>
        </w:rPr>
      </w:pPr>
      <w:r w:rsidRPr="00B92273">
        <w:lastRenderedPageBreak/>
        <w:t>52.</w:t>
      </w:r>
      <w:r w:rsidRPr="00B92273">
        <w:tab/>
        <w:t>vyzýva výbor, aby naďalej skúmal synergie s ostatnými inštitúciami, pokiaľ ide o logistiku, digitálne služby, služby vodičov a iné administratívne úlohy, ako aj určité osvetové a komunikačné činnosti, najmä v členských štátoch, v ktorých majú členovia výboru rôzne podporné siete a spoliehajú sa výlučne na svojich vlastných miestnych zamestnancov;</w:t>
      </w:r>
    </w:p>
    <w:p w:rsidR="00DF6487" w:rsidRPr="00B92273" w:rsidRDefault="00B92273">
      <w:pPr>
        <w:pStyle w:val="NormalHanging12a"/>
        <w:rPr>
          <w:szCs w:val="24"/>
        </w:rPr>
      </w:pPr>
      <w:r w:rsidRPr="00B92273">
        <w:t>53.</w:t>
      </w:r>
      <w:r w:rsidRPr="00B92273">
        <w:tab/>
        <w:t>víta ochotu výboru ďalej rozvíjať spoluprácu s inými inštitúciami, najmä s Európskym parlamentom, pred voľbami do Európskeho parlamentu v roku 2024 na základe plánu, v ktorom sa v tejto súvislosti predpovedá ďalšie zintenzívnenie spolupráce a väčšia úloha výboru a miestnych a regionálnych orgánov; berie na vedomie preskúmanie dohôd o spolupráci s Európskym parlamentom a Komisiou, o ktorom rozhodla Konferencia predsedov v novembri 2022;</w:t>
      </w:r>
    </w:p>
    <w:p w:rsidR="00DF6487" w:rsidRPr="00B92273" w:rsidRDefault="00B92273">
      <w:pPr>
        <w:pStyle w:val="NormalHanging12a"/>
        <w:rPr>
          <w:szCs w:val="24"/>
        </w:rPr>
      </w:pPr>
      <w:r w:rsidRPr="00B92273">
        <w:t>54.</w:t>
      </w:r>
      <w:r w:rsidRPr="00B92273">
        <w:tab/>
        <w:t>konštatuje, že výbor spolupracuje s Komisiou (za ročný poplatok) pri riešení otázok ľudských zdrojov a využívaní rôznych IT platforiem v oblasti finančného riadenia a ľudských zdrojov; konštatuje, že výbor organizuje svoje plenárne schôdze v priestoroch Európskeho parlamentu a Komisie s cieľom kompenzovať nedostatočnú kapacitu svojich vlastných konferenčných miestností a že výbor nakupuje tlmočnícke služby od týchto dvoch inštitúcií; konštatuje, že výbor skúma možnosti využívania zariadení tlmočenia na diaľku vzhľadom na rýchly rozvoj tohto odvetvia;</w:t>
      </w:r>
    </w:p>
    <w:p w:rsidR="00DF6487" w:rsidRPr="00B92273" w:rsidRDefault="00B92273">
      <w:pPr>
        <w:pStyle w:val="NormalHanging12a"/>
        <w:rPr>
          <w:szCs w:val="24"/>
        </w:rPr>
      </w:pPr>
      <w:r w:rsidRPr="00B92273">
        <w:t>55.</w:t>
      </w:r>
      <w:r w:rsidRPr="00B92273">
        <w:tab/>
        <w:t xml:space="preserve">konštatuje, že výbor podporuje viditeľnosť a vplyv svojej práce na základe </w:t>
      </w:r>
      <w:proofErr w:type="spellStart"/>
      <w:r w:rsidRPr="00B92273">
        <w:t>medziinštitucionálnej</w:t>
      </w:r>
      <w:proofErr w:type="spellEnd"/>
      <w:r w:rsidRPr="00B92273">
        <w:t xml:space="preserve"> spolupráce prostredníctvom cielenej prezentácie svojich správ iným inštitúciám, napr. prezentácií 11 správ Európskeho parlamentu v roku 2022, dvojstranných stretnutí na úrovni spravodajcov, politických výmen počas formálnych podujatí a konferencií, cielenej distribúcie stanovísk a práce v rámci sietí;</w:t>
      </w:r>
    </w:p>
    <w:p w:rsidR="00DF6487" w:rsidRPr="00B92273" w:rsidRDefault="00B92273">
      <w:pPr>
        <w:pStyle w:val="NormalHanging12a"/>
        <w:rPr>
          <w:b/>
          <w:i/>
          <w:szCs w:val="24"/>
        </w:rPr>
      </w:pPr>
      <w:r w:rsidRPr="00B92273">
        <w:rPr>
          <w:b/>
          <w:i/>
        </w:rPr>
        <w:t>Komunikácia</w:t>
      </w:r>
    </w:p>
    <w:p w:rsidR="00DF6487" w:rsidRPr="00B92273" w:rsidRDefault="00B92273">
      <w:pPr>
        <w:pStyle w:val="NormalHanging12a"/>
        <w:rPr>
          <w:szCs w:val="24"/>
        </w:rPr>
      </w:pPr>
      <w:r w:rsidRPr="00B92273">
        <w:t>56.</w:t>
      </w:r>
      <w:r w:rsidRPr="00B92273">
        <w:tab/>
        <w:t>konštatuje, že v roku 2022 bol celkový rozpočet výboru na komunikáciu 2,2 milióna EUR v porovnaní s 2,1 milióna EUR v roku 2021, čo predstavuje nárast o 4 %; konštatuje, že v rámci tohto rozpočtu sa približne 439 000 EUR použilo na podujatia, 795 000 EUR na médiá a 1 099 000 EUR na digitálnu komunikáciu; konštatuje, že cieľom oznámenia výboru je zvýšiť inštitucionálny a politický profil výboru ako zhromaždenia regiónov, miest, obcí a samospráv Únie a posilniť úlohu jeho členov;</w:t>
      </w:r>
    </w:p>
    <w:p w:rsidR="00DF6487" w:rsidRPr="00B92273" w:rsidRDefault="00B92273">
      <w:pPr>
        <w:pStyle w:val="NormalHanging12a"/>
        <w:rPr>
          <w:szCs w:val="24"/>
        </w:rPr>
      </w:pPr>
      <w:r w:rsidRPr="00B92273">
        <w:t>57</w:t>
      </w:r>
      <w:r w:rsidR="009931D0">
        <w:t>.</w:t>
      </w:r>
      <w:r w:rsidRPr="00B92273">
        <w:tab/>
        <w:t>konštatuje, že výbor v roku 2022 naďalej usporadúval pravidelné stretnutia generálnych riaditeľov pre komunikáciu všetkých inštitúcií Únie so zameraním na prípravu koordinovaných komunikačných opatrení pred voľbami do Európskeho parlamentu v roku 2024; nabáda výbor, aby naďalej podporoval inštitucionálnu komunikačnú kampaň Európskeho parlamentu zameranú na voľby do Európskeho parlamentu v roku 2024 prostredníctvom svojich miestnych a regionálnych sietí;</w:t>
      </w:r>
    </w:p>
    <w:p w:rsidR="00DF6487" w:rsidRPr="00B92273" w:rsidRDefault="00B92273">
      <w:pPr>
        <w:pStyle w:val="NormalHanging12a"/>
        <w:rPr>
          <w:szCs w:val="24"/>
        </w:rPr>
      </w:pPr>
      <w:r w:rsidRPr="00B92273">
        <w:t>58.</w:t>
      </w:r>
      <w:r w:rsidRPr="00B92273">
        <w:tab/>
        <w:t xml:space="preserve">víta komunikačnú stratégiu založenú na údajoch, ktorú výbor vypracoval s cieľom preklenúť priepasť medzi občanmi Únie na miestnej a regionálnej úrovni pomocou </w:t>
      </w:r>
      <w:proofErr w:type="spellStart"/>
      <w:r w:rsidRPr="00B92273">
        <w:t>multiplikačných</w:t>
      </w:r>
      <w:proofErr w:type="spellEnd"/>
      <w:r w:rsidRPr="00B92273">
        <w:t xml:space="preserve"> kanálov, ako sú európske siete regionálnych a miestnych poradcov, ktoré mali 2 037 registrovaných členov na konci roka 2022, a program pre mladých volených politikov a mladé volené političky so 775 účastníkmi podujatí v roku 2022, t. j. nárast o 15 % v porovnaní s rokom 2021; konštatuje, že výbor poskytol aj odbornú prípravu a budovanie kapacít pre miestne a regionálne orgány v oblasti zapojenia občanov a </w:t>
      </w:r>
      <w:proofErr w:type="spellStart"/>
      <w:r w:rsidRPr="00B92273">
        <w:t>participatívnej</w:t>
      </w:r>
      <w:proofErr w:type="spellEnd"/>
      <w:r w:rsidRPr="00B92273">
        <w:t xml:space="preserve"> demokracie s názvom Nová kapitola pre </w:t>
      </w:r>
      <w:proofErr w:type="spellStart"/>
      <w:r w:rsidRPr="00B92273">
        <w:t>participatívnu</w:t>
      </w:r>
      <w:proofErr w:type="spellEnd"/>
      <w:r w:rsidRPr="00B92273">
        <w:t xml:space="preserve"> </w:t>
      </w:r>
      <w:r w:rsidRPr="00B92273">
        <w:lastRenderedPageBreak/>
        <w:t xml:space="preserve">demokraciu; konštatuje, že v novembri 2022 predsedníctvo výboru vyzvalo každého člena, aby každý rok usporiadal aspoň jeden dialóg vo svojom volebnom obvode; konštatuje, že výbor vytvoril synergie so sieťou centier </w:t>
      </w:r>
      <w:proofErr w:type="spellStart"/>
      <w:r w:rsidRPr="00B92273">
        <w:t>Europe</w:t>
      </w:r>
      <w:proofErr w:type="spellEnd"/>
      <w:r w:rsidRPr="00B92273">
        <w:t xml:space="preserve"> </w:t>
      </w:r>
      <w:proofErr w:type="spellStart"/>
      <w:r w:rsidRPr="00B92273">
        <w:t>Direct</w:t>
      </w:r>
      <w:proofErr w:type="spellEnd"/>
      <w:r w:rsidRPr="00B92273">
        <w:t xml:space="preserve"> v členských štátoch pri organizovaní miestnych podujatí;</w:t>
      </w:r>
    </w:p>
    <w:p w:rsidR="00DF6487" w:rsidRPr="00B92273" w:rsidRDefault="00B92273">
      <w:pPr>
        <w:pStyle w:val="NormalHanging12a"/>
        <w:rPr>
          <w:szCs w:val="24"/>
        </w:rPr>
      </w:pPr>
      <w:r w:rsidRPr="00B92273">
        <w:t>59.</w:t>
      </w:r>
      <w:r w:rsidRPr="00B92273">
        <w:tab/>
        <w:t>konštatuje, že výbor v roku 2022 pokračoval v realizácii troch komunikačných kampaní v súlade s politickými prioritami na funkčné obdobie 2020 – 2025 s názvom Priblížiť Európu k občanom, Budovanie odolných regionálnych a miestnych komunít a Podpora súdržnosti ako základnej hodnoty Únie; víta úsilie výboru o rozšírenie svojho publika prostredníctvom digitálnej komunikácie a mediálneho dosahu s 18 890 zmienkami v médiách v roku 2022, t. j. nárast o 20 % v rokoch 2020 až 2022;</w:t>
      </w:r>
    </w:p>
    <w:p w:rsidR="00DF6487" w:rsidRPr="00B92273" w:rsidRDefault="00B92273">
      <w:pPr>
        <w:pStyle w:val="NormalHanging12a"/>
        <w:rPr>
          <w:szCs w:val="24"/>
        </w:rPr>
      </w:pPr>
      <w:r w:rsidRPr="00B92273">
        <w:t>60.</w:t>
      </w:r>
      <w:r w:rsidRPr="00B92273">
        <w:tab/>
        <w:t xml:space="preserve">konštatuje, že na konci roka 2022 mal výbor na svojich kanáloch sociálnych médií 175 000 </w:t>
      </w:r>
      <w:proofErr w:type="spellStart"/>
      <w:r w:rsidRPr="00B92273">
        <w:t>sledovateľov</w:t>
      </w:r>
      <w:proofErr w:type="spellEnd"/>
      <w:r w:rsidRPr="00B92273">
        <w:t xml:space="preserve">, t. j. o 16 % viac ako v roku 2021, z toho 54 800 </w:t>
      </w:r>
      <w:proofErr w:type="spellStart"/>
      <w:r w:rsidRPr="00B92273">
        <w:t>sledovateľov</w:t>
      </w:r>
      <w:proofErr w:type="spellEnd"/>
      <w:r w:rsidRPr="00B92273">
        <w:t xml:space="preserve"> (nárast o 8 %) na X (predtým Twitter), 58 100 (nárast o 6 %) na Facebooku, 52 100 (nárast o 33 %) na LinkedIn a 10 500 (nárast o 67 %) na </w:t>
      </w:r>
      <w:proofErr w:type="spellStart"/>
      <w:r w:rsidRPr="00B92273">
        <w:t>Instagrame</w:t>
      </w:r>
      <w:proofErr w:type="spellEnd"/>
      <w:r w:rsidRPr="00B92273">
        <w:t>;</w:t>
      </w:r>
    </w:p>
    <w:p w:rsidR="00DF6487" w:rsidRPr="00B92273" w:rsidRDefault="00B92273">
      <w:pPr>
        <w:pStyle w:val="NormalHanging12a"/>
      </w:pPr>
      <w:r w:rsidRPr="00B92273">
        <w:t>61.</w:t>
      </w:r>
      <w:r w:rsidRPr="00B92273">
        <w:tab/>
        <w:t xml:space="preserve">konštatuje, že výbor prispieva k portálu otvorených dát Komisie súbormi údajov o členoch a stanoviskách, ale využíva a podporuje aj otvorené údaje medzi miestnymi a regionálnymi orgánmi, čím podporuje väčšiu transparentnosť svojho fungovania prostredníctvom voľne dostupných údajov v ľudsky a strojovo čitateľnom formáte a posilňuje väzbu s občanmi. </w:t>
      </w:r>
    </w:p>
    <w:p w:rsidR="00DF6487" w:rsidRPr="00B92273" w:rsidRDefault="00DF6487">
      <w:bookmarkStart w:id="9" w:name="TextBodyEnd"/>
      <w:bookmarkEnd w:id="9"/>
    </w:p>
    <w:sectPr w:rsidR="00DF6487" w:rsidRPr="00B9227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487" w:rsidRDefault="00B92273">
      <w:r>
        <w:separator/>
      </w:r>
    </w:p>
  </w:endnote>
  <w:endnote w:type="continuationSeparator" w:id="0">
    <w:p w:rsidR="00DF6487" w:rsidRDefault="00B92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487" w:rsidRDefault="00B92273">
    <w:pPr>
      <w:pStyle w:val="EPFooter"/>
    </w:pPr>
    <w:r>
      <w:t>PE</w:t>
    </w:r>
    <w:r>
      <w:rPr>
        <w:rStyle w:val="HideTWBExt"/>
      </w:rPr>
      <w:t>&lt;NoPE&gt;</w:t>
    </w:r>
    <w:r>
      <w:t>753.484</w:t>
    </w:r>
    <w:r>
      <w:rPr>
        <w:rStyle w:val="HideTWBExt"/>
      </w:rPr>
      <w:t>&lt;/NoPE&gt;&lt;Version&gt;</w:t>
    </w:r>
    <w:r>
      <w:t>v02-00</w:t>
    </w:r>
    <w:r>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8375C9">
      <w:fldChar w:fldCharType="begin"/>
    </w:r>
    <w:r w:rsidR="008375C9">
      <w:instrText xml:space="preserve"> NUMPAGES  \* MERGEFORMAT </w:instrText>
    </w:r>
    <w:r w:rsidR="008375C9">
      <w:fldChar w:fldCharType="separate"/>
    </w:r>
    <w:r>
      <w:rPr>
        <w:noProof/>
      </w:rPr>
      <w:t>3</w:t>
    </w:r>
    <w:r w:rsidR="008375C9">
      <w:rPr>
        <w:noProof/>
      </w:rPr>
      <w:fldChar w:fldCharType="end"/>
    </w:r>
    <w:r>
      <w:tab/>
    </w:r>
    <w:r>
      <w:rPr>
        <w:rStyle w:val="HideTWBExt"/>
      </w:rPr>
      <w:t>&lt;PathFdR&gt;</w:t>
    </w:r>
    <w:r>
      <w:t>RR\1298489SK.docx</w:t>
    </w:r>
    <w:r>
      <w:rPr>
        <w:rStyle w:val="HideTWBExt"/>
      </w:rPr>
      <w:t>&lt;/PathFdR&gt;</w:t>
    </w:r>
  </w:p>
  <w:p w:rsidR="00DF6487" w:rsidRDefault="00B92273">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487" w:rsidRDefault="00B92273">
    <w:pPr>
      <w:pStyle w:val="EPFooter"/>
    </w:pPr>
    <w:r>
      <w:rPr>
        <w:rStyle w:val="HideTWBExt"/>
      </w:rPr>
      <w:t>&lt;PathFdR&gt;</w:t>
    </w:r>
    <w:r>
      <w:t>RR\1298489SK.docx</w:t>
    </w:r>
    <w:r>
      <w:rPr>
        <w:rStyle w:val="HideTWBExt"/>
      </w:rPr>
      <w:t>&lt;/PathFdR&gt;</w:t>
    </w:r>
    <w:r>
      <w:tab/>
    </w:r>
    <w:r>
      <w:tab/>
      <w:t>PE</w:t>
    </w:r>
    <w:r>
      <w:rPr>
        <w:rStyle w:val="HideTWBExt"/>
      </w:rPr>
      <w:t>&lt;NoPE&gt;</w:t>
    </w:r>
    <w:r>
      <w:t>753.484</w:t>
    </w:r>
    <w:r>
      <w:rPr>
        <w:rStyle w:val="HideTWBExt"/>
      </w:rPr>
      <w:t>&lt;/NoPE&gt;&lt;Version&gt;</w:t>
    </w:r>
    <w:r>
      <w:t>v02-00</w:t>
    </w:r>
    <w:r>
      <w:rPr>
        <w:rStyle w:val="HideTWBExt"/>
      </w:rPr>
      <w:t>&lt;/Version&gt;</w:t>
    </w:r>
  </w:p>
  <w:p w:rsidR="00DF6487" w:rsidRDefault="00B92273">
    <w:pPr>
      <w:pStyle w:val="EPFooter2"/>
    </w:pPr>
    <w:r>
      <w:t>SK</w:t>
    </w:r>
    <w:r>
      <w:tab/>
    </w:r>
    <w:r>
      <w:rPr>
        <w:b w:val="0"/>
        <w:i/>
        <w:color w:val="C0C0C0"/>
        <w:sz w:val="22"/>
      </w:rPr>
      <w:t>Zjednotení v rozmanitosti</w:t>
    </w:r>
    <w:r>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487" w:rsidRDefault="00DF648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487" w:rsidRDefault="00DF648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487" w:rsidRDefault="00DF64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487" w:rsidRDefault="00B92273">
      <w:r>
        <w:separator/>
      </w:r>
    </w:p>
  </w:footnote>
  <w:footnote w:type="continuationSeparator" w:id="0">
    <w:p w:rsidR="00DF6487" w:rsidRDefault="00B92273">
      <w:r>
        <w:continuationSeparator/>
      </w:r>
    </w:p>
  </w:footnote>
  <w:footnote w:id="1">
    <w:p w:rsidR="00DF6487" w:rsidRDefault="00B92273">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45, 24.2.2022.</w:t>
      </w:r>
    </w:p>
  </w:footnote>
  <w:footnote w:id="2">
    <w:p w:rsidR="00DF6487" w:rsidRDefault="00B92273">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w:t>
      </w:r>
      <w:r>
        <w:rPr>
          <w:sz w:val="24"/>
          <w:lang w:val="sk-SK"/>
        </w:rPr>
        <w:t xml:space="preserve">EÚ </w:t>
      </w:r>
      <w:r w:rsidR="008375C9">
        <w:rPr>
          <w:sz w:val="24"/>
          <w:lang w:val="sk-SK"/>
        </w:rPr>
        <w:t xml:space="preserve">C, </w:t>
      </w:r>
      <w:bookmarkStart w:id="8" w:name="_GoBack"/>
      <w:bookmarkEnd w:id="8"/>
      <w:r>
        <w:rPr>
          <w:sz w:val="24"/>
          <w:lang w:val="sk-SK"/>
        </w:rPr>
        <w:t>C/2023/2, 12.10.2023.</w:t>
      </w:r>
    </w:p>
  </w:footnote>
  <w:footnote w:id="3">
    <w:p w:rsidR="00DF6487" w:rsidRDefault="00B92273">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C/2023/103, 4.10.2023.</w:t>
      </w:r>
    </w:p>
  </w:footnote>
  <w:footnote w:id="4">
    <w:p w:rsidR="00DF6487" w:rsidRDefault="00B92273">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C/2023/112, 12.10.2023.</w:t>
      </w:r>
    </w:p>
  </w:footnote>
  <w:footnote w:id="5">
    <w:p w:rsidR="00DF6487" w:rsidRDefault="00B92273">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193, 30.7.2018, s. 1.</w:t>
      </w:r>
    </w:p>
  </w:footnote>
  <w:footnote w:id="6">
    <w:p w:rsidR="00DF6487" w:rsidRDefault="00B92273">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324, 1.10.2020, s. 8.</w:t>
      </w:r>
    </w:p>
  </w:footnote>
  <w:footnote w:id="7">
    <w:p w:rsidR="00DF6487" w:rsidRDefault="00B92273">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32, 27.1.2023, s.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487" w:rsidRDefault="00DF648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487" w:rsidRDefault="00DF648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487" w:rsidRDefault="00DF648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SK"/>
    <w:docVar w:name="dvnumam" w:val="0"/>
    <w:docVar w:name="dvpe" w:val="753.484"/>
    <w:docVar w:name="dvrapporteur" w:val="Spravodajca: "/>
    <w:docVar w:name="dvtitre" w:val="1. Rozhodnutie Európskeho parlamentu z 11. aprila 2024 o absolutóriu za plnenie všeobecného rozpočtu Európskej únie za rozpočtový rok 2022, oddiel VII – Výbor regiónov(2023/2136(DEC))"/>
  </w:docVars>
  <w:rsids>
    <w:rsidRoot w:val="00DF6487"/>
    <w:rsid w:val="00325C13"/>
    <w:rsid w:val="008375C9"/>
    <w:rsid w:val="009931D0"/>
    <w:rsid w:val="00B92273"/>
    <w:rsid w:val="00DF5C98"/>
    <w:rsid w:val="00DF6487"/>
    <w:rsid w:val="00FF68E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C9A4A"/>
  <w15:chartTrackingRefBased/>
  <w15:docId w15:val="{169AAFCA-19C9-41BB-826D-510C9750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Pr>
      <w:sz w:val="24"/>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15B3E-8DE6-45DA-BB23-53DEBFB12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5764</Words>
  <Characters>34462</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Karina Pesa</cp:lastModifiedBy>
  <cp:revision>3</cp:revision>
  <cp:lastPrinted>2004-11-19T15:42:00Z</cp:lastPrinted>
  <dcterms:created xsi:type="dcterms:W3CDTF">2024-05-15T11:32:00Z</dcterms:created>
  <dcterms:modified xsi:type="dcterms:W3CDTF">2024-10-30T19:06:00Z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P9_TA(2024)0233_</vt:lpwstr>
  </property>
  <property fmtid="{D5CDD505-2E9C-101B-9397-08002B2CF9AE}" pid="4" name="&lt;Type&gt;">
    <vt:lpwstr>RR</vt:lpwstr>
  </property>
</Properties>
</file>