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45393" w:rsidTr="0010095E">
        <w:trPr>
          <w:trHeight w:hRule="exact" w:val="1418"/>
        </w:trPr>
        <w:tc>
          <w:tcPr>
            <w:tcW w:w="6804" w:type="dxa"/>
            <w:shd w:val="clear" w:color="auto" w:fill="auto"/>
            <w:vAlign w:val="center"/>
          </w:tcPr>
          <w:p w:rsidR="00751A4A" w:rsidRPr="00845393" w:rsidRDefault="00E05D3D" w:rsidP="0010095E">
            <w:pPr>
              <w:pStyle w:val="EPName"/>
            </w:pPr>
            <w:r w:rsidRPr="00845393">
              <w:t>Europaparlamentet</w:t>
            </w:r>
          </w:p>
          <w:p w:rsidR="00751A4A" w:rsidRPr="00845393" w:rsidRDefault="00817416" w:rsidP="00756632">
            <w:pPr>
              <w:pStyle w:val="EPTerm"/>
              <w:rPr>
                <w:rStyle w:val="HideTWBExt"/>
                <w:noProof w:val="0"/>
                <w:vanish w:val="0"/>
                <w:color w:val="auto"/>
              </w:rPr>
            </w:pPr>
            <w:r w:rsidRPr="00845393">
              <w:t>2019-2024</w:t>
            </w:r>
          </w:p>
        </w:tc>
        <w:tc>
          <w:tcPr>
            <w:tcW w:w="2268" w:type="dxa"/>
            <w:shd w:val="clear" w:color="auto" w:fill="auto"/>
          </w:tcPr>
          <w:p w:rsidR="00751A4A" w:rsidRPr="00845393" w:rsidRDefault="00187494" w:rsidP="0010095E">
            <w:pPr>
              <w:pStyle w:val="EPLogo"/>
            </w:pPr>
            <w:r w:rsidRPr="0084539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45393" w:rsidRDefault="00D058B8" w:rsidP="004C5D52">
      <w:pPr>
        <w:pStyle w:val="LineTop"/>
      </w:pPr>
    </w:p>
    <w:p w:rsidR="00680577" w:rsidRPr="00845393" w:rsidRDefault="00E05D3D" w:rsidP="00680577">
      <w:pPr>
        <w:pStyle w:val="EPBodyTA1"/>
      </w:pPr>
      <w:r w:rsidRPr="00845393">
        <w:t>ANTAGNA TEXTER</w:t>
      </w:r>
    </w:p>
    <w:p w:rsidR="00D058B8" w:rsidRPr="00845393" w:rsidRDefault="00D058B8" w:rsidP="00D058B8">
      <w:pPr>
        <w:pStyle w:val="LineBottom"/>
      </w:pPr>
    </w:p>
    <w:p w:rsidR="00E05D3D" w:rsidRPr="00845393" w:rsidRDefault="00E05D3D" w:rsidP="00E05D3D">
      <w:pPr>
        <w:pStyle w:val="ATHeading1"/>
      </w:pPr>
      <w:bookmarkStart w:id="0" w:name="TANumber"/>
      <w:r w:rsidRPr="00845393">
        <w:t>P9_TA(2024)0</w:t>
      </w:r>
      <w:bookmarkEnd w:id="0"/>
      <w:r w:rsidR="00845393" w:rsidRPr="00845393">
        <w:t>233</w:t>
      </w:r>
    </w:p>
    <w:p w:rsidR="00E05D3D" w:rsidRPr="00845393" w:rsidRDefault="00E05D3D" w:rsidP="00E05D3D">
      <w:pPr>
        <w:pStyle w:val="ATHeading2"/>
      </w:pPr>
      <w:bookmarkStart w:id="1" w:name="title"/>
      <w:r w:rsidRPr="00845393">
        <w:t>Ansvarsfrihet 2022: EU:s allmänna budget – Regionkommittén</w:t>
      </w:r>
      <w:bookmarkEnd w:id="1"/>
    </w:p>
    <w:p w:rsidR="00E05D3D" w:rsidRPr="00845393" w:rsidRDefault="00E05D3D" w:rsidP="00E05D3D">
      <w:pPr>
        <w:rPr>
          <w:i/>
          <w:vanish/>
        </w:rPr>
      </w:pPr>
      <w:r w:rsidRPr="00845393">
        <w:rPr>
          <w:i/>
        </w:rPr>
        <w:fldChar w:fldCharType="begin"/>
      </w:r>
      <w:r w:rsidRPr="00845393">
        <w:rPr>
          <w:i/>
        </w:rPr>
        <w:instrText xml:space="preserve"> TC"(</w:instrText>
      </w:r>
      <w:bookmarkStart w:id="2" w:name="DocNumber"/>
      <w:r w:rsidRPr="00845393">
        <w:rPr>
          <w:i/>
        </w:rPr>
        <w:instrText>A9-0073/2024</w:instrText>
      </w:r>
      <w:bookmarkEnd w:id="2"/>
      <w:r w:rsidRPr="00845393">
        <w:rPr>
          <w:i/>
        </w:rPr>
        <w:instrText xml:space="preserve"> - Föredragande: Luke Ming Flanagan)"\l3 \n&gt; \* MERGEFORMAT </w:instrText>
      </w:r>
      <w:r w:rsidRPr="00845393">
        <w:rPr>
          <w:i/>
        </w:rPr>
        <w:fldChar w:fldCharType="end"/>
      </w:r>
    </w:p>
    <w:p w:rsidR="00E05D3D" w:rsidRPr="00845393" w:rsidRDefault="00E05D3D" w:rsidP="00E05D3D">
      <w:pPr>
        <w:rPr>
          <w:vanish/>
        </w:rPr>
      </w:pPr>
      <w:bookmarkStart w:id="3" w:name="Commission"/>
      <w:r w:rsidRPr="00845393">
        <w:rPr>
          <w:vanish/>
        </w:rPr>
        <w:t>Budgetkontrollutskottet</w:t>
      </w:r>
      <w:bookmarkEnd w:id="3"/>
    </w:p>
    <w:p w:rsidR="00E05D3D" w:rsidRPr="00845393" w:rsidRDefault="00E05D3D" w:rsidP="00E05D3D">
      <w:pPr>
        <w:rPr>
          <w:vanish/>
        </w:rPr>
      </w:pPr>
      <w:bookmarkStart w:id="4" w:name="PE"/>
      <w:r w:rsidRPr="00845393">
        <w:rPr>
          <w:vanish/>
        </w:rPr>
        <w:t>PE753.484</w:t>
      </w:r>
      <w:bookmarkEnd w:id="4"/>
    </w:p>
    <w:p w:rsidR="00E05D3D" w:rsidRPr="00845393" w:rsidRDefault="00872C52" w:rsidP="00E05D3D">
      <w:pPr>
        <w:pStyle w:val="ATHeading3"/>
      </w:pPr>
      <w:bookmarkStart w:id="5" w:name="Sujet"/>
      <w:r w:rsidRPr="00845393">
        <w:t xml:space="preserve">1. </w:t>
      </w:r>
      <w:r w:rsidR="00E05D3D" w:rsidRPr="00845393">
        <w:t xml:space="preserve">Europaparlamentets beslut av den </w:t>
      </w:r>
      <w:r w:rsidRPr="00845393">
        <w:t>11</w:t>
      </w:r>
      <w:r w:rsidR="00E05D3D" w:rsidRPr="00845393">
        <w:t xml:space="preserve"> </w:t>
      </w:r>
      <w:r w:rsidR="00555A02" w:rsidRPr="00845393">
        <w:t>april</w:t>
      </w:r>
      <w:r w:rsidR="00E05D3D" w:rsidRPr="00845393">
        <w:t xml:space="preserve"> 2024 om ansvarsfrihet för genomförandet av Europeiska unionens allmänna budget för budgetåret 2022, avsnitt VII – Regionkommittén</w:t>
      </w:r>
      <w:bookmarkEnd w:id="5"/>
      <w:r w:rsidR="00E05D3D" w:rsidRPr="00845393">
        <w:t xml:space="preserve"> </w:t>
      </w:r>
      <w:bookmarkStart w:id="6" w:name="References"/>
      <w:r w:rsidR="00E05D3D" w:rsidRPr="00845393">
        <w:t>(2023/2136(DEC))</w:t>
      </w:r>
      <w:bookmarkEnd w:id="6"/>
    </w:p>
    <w:p w:rsidR="00FF3A4E" w:rsidRPr="00845393" w:rsidRDefault="00FF3A4E" w:rsidP="00FF3A4E">
      <w:pPr>
        <w:pStyle w:val="EPComma"/>
        <w:widowControl/>
      </w:pPr>
      <w:bookmarkStart w:id="7" w:name="TextBodyBegin"/>
      <w:bookmarkEnd w:id="7"/>
      <w:r w:rsidRPr="00845393">
        <w:rPr>
          <w:i/>
        </w:rPr>
        <w:t>Europaparlamentet fattar detta beslut</w:t>
      </w:r>
    </w:p>
    <w:p w:rsidR="00FF3A4E" w:rsidRPr="00845393" w:rsidRDefault="00FF3A4E" w:rsidP="00FF3A4E">
      <w:pPr>
        <w:pStyle w:val="NormalHanging12a"/>
      </w:pPr>
      <w:r w:rsidRPr="00845393">
        <w:t>–</w:t>
      </w:r>
      <w:r w:rsidRPr="00845393">
        <w:tab/>
        <w:t>med beaktande av Europeiska unionens allmänna budget för budgetåret 2022</w:t>
      </w:r>
      <w:r w:rsidRPr="00845393">
        <w:rPr>
          <w:rStyle w:val="FootnoteReference"/>
        </w:rPr>
        <w:footnoteReference w:id="1"/>
      </w:r>
      <w:r w:rsidRPr="00845393">
        <w:t>,</w:t>
      </w:r>
    </w:p>
    <w:p w:rsidR="00FF3A4E" w:rsidRPr="00845393" w:rsidRDefault="00FF3A4E" w:rsidP="00FF3A4E">
      <w:pPr>
        <w:pStyle w:val="NormalHanging12a"/>
      </w:pPr>
      <w:r w:rsidRPr="00845393">
        <w:t>–</w:t>
      </w:r>
      <w:r w:rsidRPr="00845393">
        <w:tab/>
        <w:t>med beaktande av Europeiska unionens konsoliderade årsredovisning för budgetåret 2022 (COM(2023)0391 – C9</w:t>
      </w:r>
      <w:r w:rsidRPr="00845393">
        <w:noBreakHyphen/>
        <w:t>0255/2023)</w:t>
      </w:r>
      <w:r w:rsidRPr="00845393">
        <w:rPr>
          <w:rStyle w:val="FootnoteReference"/>
        </w:rPr>
        <w:footnoteReference w:id="2"/>
      </w:r>
      <w:r w:rsidRPr="00845393">
        <w:t>,</w:t>
      </w:r>
    </w:p>
    <w:p w:rsidR="00FF3A4E" w:rsidRPr="00845393" w:rsidRDefault="00FF3A4E" w:rsidP="00FF3A4E">
      <w:pPr>
        <w:pStyle w:val="NormalHanging12a"/>
      </w:pPr>
      <w:r w:rsidRPr="00845393">
        <w:t>–</w:t>
      </w:r>
      <w:r w:rsidRPr="00845393">
        <w:tab/>
        <w:t>med beaktande av Regionkommitténs årliga verksamhetsrapport för 2022 och dess rapport om budgetförvaltningen och den ekonomiska förvaltningen för budgetåret 2022,</w:t>
      </w:r>
    </w:p>
    <w:p w:rsidR="00FF3A4E" w:rsidRPr="00845393" w:rsidRDefault="00FF3A4E" w:rsidP="00FF3A4E">
      <w:pPr>
        <w:pStyle w:val="NormalHanging12a"/>
      </w:pPr>
      <w:r w:rsidRPr="00845393">
        <w:t>–</w:t>
      </w:r>
      <w:r w:rsidRPr="00845393">
        <w:tab/>
        <w:t>med beaktande av revisionsrättens årsrapport om genomförandet av budgeten för budgetåret 2022, med institutionernas svar</w:t>
      </w:r>
      <w:r w:rsidRPr="00845393">
        <w:rPr>
          <w:rStyle w:val="FootnoteReference"/>
        </w:rPr>
        <w:footnoteReference w:id="3"/>
      </w:r>
      <w:r w:rsidRPr="00845393">
        <w:t>,</w:t>
      </w:r>
    </w:p>
    <w:p w:rsidR="00FF3A4E" w:rsidRPr="00845393" w:rsidRDefault="00FF3A4E" w:rsidP="00FF3A4E">
      <w:pPr>
        <w:pStyle w:val="NormalHanging12a"/>
      </w:pPr>
      <w:r w:rsidRPr="00845393">
        <w:t>–</w:t>
      </w:r>
      <w:r w:rsidRPr="00845393">
        <w:tab/>
        <w:t>med beaktande av förklaringen om räkenskapernas tillförlitlighet och de underliggande transaktionernas laglighet och korrekthet</w:t>
      </w:r>
      <w:r w:rsidRPr="00845393">
        <w:rPr>
          <w:rStyle w:val="FootnoteReference"/>
        </w:rPr>
        <w:footnoteReference w:id="4"/>
      </w:r>
      <w:r w:rsidRPr="00845393">
        <w:t>, som avgetts av revisionsrätten för budgetåret 2022 i enlighet med artikel 287 i fördraget om Europeiska unionens funktionssätt,</w:t>
      </w:r>
    </w:p>
    <w:p w:rsidR="00FF3A4E" w:rsidRPr="00845393" w:rsidRDefault="00FF3A4E" w:rsidP="00FF3A4E">
      <w:pPr>
        <w:pStyle w:val="NormalHanging12a"/>
      </w:pPr>
      <w:r w:rsidRPr="00845393">
        <w:t>–</w:t>
      </w:r>
      <w:r w:rsidRPr="00845393">
        <w:tab/>
        <w:t>med beaktande av artikel 314.10 och artiklarna 317, 318 och 319 i fördraget om Europeiska unionens funktionssätt,</w:t>
      </w:r>
    </w:p>
    <w:p w:rsidR="00FF3A4E" w:rsidRPr="00845393" w:rsidRDefault="00FF3A4E" w:rsidP="00FF3A4E">
      <w:pPr>
        <w:pStyle w:val="NormalHanging12a"/>
      </w:pPr>
      <w:r w:rsidRPr="00845393">
        <w:t>–</w:t>
      </w:r>
      <w:r w:rsidRPr="00845393">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845393">
        <w:rPr>
          <w:rStyle w:val="FootnoteReference"/>
        </w:rPr>
        <w:footnoteReference w:id="5"/>
      </w:r>
      <w:r w:rsidRPr="00845393">
        <w:t>, särskilt artiklarna 59, 118, 260, 261 och 262,</w:t>
      </w:r>
    </w:p>
    <w:p w:rsidR="00FF3A4E" w:rsidRPr="00845393" w:rsidRDefault="00FF3A4E" w:rsidP="00FF3A4E">
      <w:pPr>
        <w:pStyle w:val="NormalHanging12a"/>
      </w:pPr>
      <w:r w:rsidRPr="00845393">
        <w:t>–</w:t>
      </w:r>
      <w:r w:rsidRPr="00845393">
        <w:tab/>
        <w:t>med beaktande av artikel 100 och bilaga V i arbetsordningen,</w:t>
      </w:r>
    </w:p>
    <w:p w:rsidR="00FF3A4E" w:rsidRPr="00845393" w:rsidRDefault="00FF3A4E" w:rsidP="00FF3A4E">
      <w:pPr>
        <w:pStyle w:val="NormalHanging12a"/>
      </w:pPr>
      <w:r w:rsidRPr="00845393">
        <w:lastRenderedPageBreak/>
        <w:t>–</w:t>
      </w:r>
      <w:r w:rsidRPr="00845393">
        <w:tab/>
        <w:t>med beaktande av betänkandet från budgetkontrollutskottet (A9-0073/2024).</w:t>
      </w:r>
    </w:p>
    <w:p w:rsidR="00FF3A4E" w:rsidRPr="00845393" w:rsidRDefault="00FF3A4E" w:rsidP="00FF3A4E">
      <w:pPr>
        <w:pStyle w:val="NormalHanging12a"/>
      </w:pPr>
      <w:r w:rsidRPr="00845393">
        <w:t>1.</w:t>
      </w:r>
      <w:r w:rsidRPr="00845393">
        <w:tab/>
        <w:t>Europaparlamentet beviljar Regionkommitténs generalsekreterare ansvarsfrihet för genomförandet av Regionkommitténs budget för budgetåret 2022.</w:t>
      </w:r>
    </w:p>
    <w:p w:rsidR="00FF3A4E" w:rsidRPr="00845393" w:rsidRDefault="00FF3A4E" w:rsidP="00FF3A4E">
      <w:pPr>
        <w:pStyle w:val="NormalHanging12a"/>
      </w:pPr>
      <w:r w:rsidRPr="00845393">
        <w:t>2.</w:t>
      </w:r>
      <w:r w:rsidRPr="00845393">
        <w:tab/>
        <w:t>Europaparlamentet redovisar sina iakttagelser i resolutionen nedan.</w:t>
      </w:r>
    </w:p>
    <w:p w:rsidR="00FF3A4E" w:rsidRPr="00845393" w:rsidRDefault="00FF3A4E" w:rsidP="00993CA6">
      <w:pPr>
        <w:pStyle w:val="NormalHanging12a"/>
        <w:widowControl/>
      </w:pPr>
      <w:r w:rsidRPr="00845393">
        <w:t>3.</w:t>
      </w:r>
      <w:r w:rsidRPr="00845393">
        <w:tab/>
        <w:t xml:space="preserve">Europaparlamentet uppdrar åt talmannen att översända detta beslut och den resolution som utgör en del av beslutet till Regionkommittén, rådet, kommissionen och revisionsrätten, och att se till att de offentliggörs i </w:t>
      </w:r>
      <w:r w:rsidRPr="00845393">
        <w:rPr>
          <w:i/>
          <w:iCs/>
        </w:rPr>
        <w:t>Europeiska unionens officiella tidning</w:t>
      </w:r>
      <w:r w:rsidRPr="00845393">
        <w:t xml:space="preserve"> (L-serien).</w:t>
      </w:r>
    </w:p>
    <w:p w:rsidR="00FF3A4E" w:rsidRPr="00845393" w:rsidRDefault="00FF3A4E" w:rsidP="00FF3A4E">
      <w:pPr>
        <w:widowControl/>
      </w:pPr>
    </w:p>
    <w:p w:rsidR="00FF3A4E" w:rsidRPr="00845393" w:rsidRDefault="00FF3A4E" w:rsidP="00FF3A4E">
      <w:pPr>
        <w:pStyle w:val="PageHeading"/>
        <w:widowControl/>
        <w:sectPr w:rsidR="00FF3A4E" w:rsidRPr="00845393" w:rsidSect="00123900">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FF3A4E" w:rsidRPr="00845393" w:rsidRDefault="00FF3A4E" w:rsidP="00872C52">
      <w:pPr>
        <w:pStyle w:val="ATHeading3"/>
      </w:pPr>
      <w:bookmarkStart w:id="8" w:name="_Toc161676197"/>
      <w:r w:rsidRPr="00845393">
        <w:lastRenderedPageBreak/>
        <w:t xml:space="preserve">2. </w:t>
      </w:r>
      <w:r w:rsidR="00872C52" w:rsidRPr="00845393">
        <w:t>Europaparlamentets resolution</w:t>
      </w:r>
      <w:bookmarkEnd w:id="8"/>
      <w:r w:rsidR="00872C52" w:rsidRPr="00845393">
        <w:t xml:space="preserve"> av den 11 april 2024 </w:t>
      </w:r>
      <w:r w:rsidRPr="00845393">
        <w:t>med de iakttagelser som utgör en del av beslutet om ansvarsfrihet för genomförandet av Europeiska unionens allmänna budget för budgetåret 2022, avsnitt VII – Regionkommittén</w:t>
      </w:r>
      <w:r w:rsidR="00872C52" w:rsidRPr="00845393">
        <w:t xml:space="preserve"> </w:t>
      </w:r>
      <w:r w:rsidRPr="00845393">
        <w:t>(2023/2136(DEC))</w:t>
      </w:r>
    </w:p>
    <w:p w:rsidR="00FF3A4E" w:rsidRPr="00845393" w:rsidRDefault="00FF3A4E" w:rsidP="00FF3A4E">
      <w:pPr>
        <w:pStyle w:val="EPComma"/>
        <w:widowControl/>
      </w:pPr>
      <w:r w:rsidRPr="00845393">
        <w:rPr>
          <w:i/>
        </w:rPr>
        <w:t>Europaparlamentet utfärdar denna resolution</w:t>
      </w:r>
    </w:p>
    <w:p w:rsidR="00FF3A4E" w:rsidRPr="00845393" w:rsidRDefault="00FF3A4E" w:rsidP="00FF3A4E">
      <w:pPr>
        <w:pStyle w:val="NormalHanging12a"/>
        <w:rPr>
          <w:szCs w:val="24"/>
        </w:rPr>
      </w:pPr>
      <w:r w:rsidRPr="00845393">
        <w:t>–</w:t>
      </w:r>
      <w:r w:rsidRPr="00845393">
        <w:tab/>
        <w:t>med beaktande av sitt beslut om ansvarsfrihet för genomförandet av Europeiska unionens allmänna budget för budgetåret 2022, avsnitt VII – Regionkommittén,</w:t>
      </w:r>
    </w:p>
    <w:p w:rsidR="00FF3A4E" w:rsidRPr="00845393" w:rsidRDefault="00FF3A4E" w:rsidP="00FF3A4E">
      <w:pPr>
        <w:pStyle w:val="NormalHanging12a"/>
        <w:rPr>
          <w:szCs w:val="24"/>
        </w:rPr>
      </w:pPr>
      <w:r w:rsidRPr="00845393">
        <w:t>–</w:t>
      </w:r>
      <w:r w:rsidRPr="00845393">
        <w:tab/>
        <w:t>med beaktande av artikel 100 och bilaga V i arbetsordningen,</w:t>
      </w:r>
    </w:p>
    <w:p w:rsidR="00FF3A4E" w:rsidRPr="00845393" w:rsidRDefault="00FF3A4E" w:rsidP="00FF3A4E">
      <w:pPr>
        <w:pStyle w:val="NormalHanging12a"/>
        <w:rPr>
          <w:szCs w:val="24"/>
        </w:rPr>
      </w:pPr>
      <w:r w:rsidRPr="00845393">
        <w:t>–</w:t>
      </w:r>
      <w:r w:rsidRPr="00845393">
        <w:tab/>
        <w:t>med beaktande av betänkandet från budgetkontrollutskottet (A9-0073/2024), och av följande skäl:</w:t>
      </w:r>
    </w:p>
    <w:p w:rsidR="00FF3A4E" w:rsidRPr="00845393" w:rsidRDefault="00FF3A4E" w:rsidP="00FF3A4E">
      <w:pPr>
        <w:pStyle w:val="NormalHanging12a"/>
        <w:rPr>
          <w:szCs w:val="24"/>
        </w:rPr>
      </w:pPr>
      <w:r w:rsidRPr="00845393">
        <w:t>A.</w:t>
      </w:r>
      <w:r w:rsidRPr="00845393">
        <w:tab/>
        <w:t>I samband med förfarandet för beviljande av ansvarsfrihet betonar den ansvarsfrihetsbeviljande myndigheten hur viktigt det är att man fortsätter att stärka unionsinstitutionernas demokratiska legitimitet genom att öka transparensen och ansvarsskyldigheten och genom att tillämpa en resultatbaserad budgetering och säkra en god förvaltning av personalresurserna.</w:t>
      </w:r>
    </w:p>
    <w:p w:rsidR="00FF3A4E" w:rsidRPr="00845393" w:rsidRDefault="00FF3A4E" w:rsidP="00FF3A4E">
      <w:pPr>
        <w:pStyle w:val="NormalHanging12a"/>
        <w:rPr>
          <w:color w:val="000000"/>
          <w:szCs w:val="24"/>
        </w:rPr>
      </w:pPr>
      <w:r w:rsidRPr="00845393">
        <w:t>B.</w:t>
      </w:r>
      <w:r w:rsidRPr="00845393">
        <w:tab/>
      </w:r>
      <w:r w:rsidRPr="00845393">
        <w:rPr>
          <w:color w:val="000000"/>
        </w:rPr>
        <w:t>Regionkommittén (</w:t>
      </w:r>
      <w:r w:rsidRPr="00845393">
        <w:rPr>
          <w:i/>
          <w:iCs/>
          <w:color w:val="000000"/>
        </w:rPr>
        <w:t>kommittén</w:t>
      </w:r>
      <w:r w:rsidRPr="00845393">
        <w:rPr>
          <w:color w:val="000000"/>
        </w:rPr>
        <w:t>) är en politisk församling med 329 ledamöter som väljs i regioner, städer, byar och kommuner i unionens 27 medlemsstater. Kommittén fungerar som ett rådgivande organ för unionens institutioner och har till uppgift att bidra till utformningen av unionens politik och beslutsprocessen ur de lokala och regionala myndigheternas synvinkel och samtidigt bidra till att göra unionen mer effektiv och närmare medborgarna.</w:t>
      </w:r>
    </w:p>
    <w:p w:rsidR="00FF3A4E" w:rsidRPr="00845393" w:rsidRDefault="00FF3A4E" w:rsidP="00FF3A4E">
      <w:pPr>
        <w:pStyle w:val="NormalHanging12a"/>
        <w:rPr>
          <w:color w:val="000000"/>
          <w:szCs w:val="24"/>
        </w:rPr>
      </w:pPr>
      <w:r w:rsidRPr="00845393">
        <w:rPr>
          <w:color w:val="000000"/>
        </w:rPr>
        <w:t>C.</w:t>
      </w:r>
      <w:r w:rsidRPr="00845393">
        <w:rPr>
          <w:color w:val="000000"/>
        </w:rPr>
        <w:tab/>
        <w:t>I vissa fall är kommissionen och rådet skyldiga att höra kommittén, men det är också möjligt för kommittén att anta yttranden på eget initiativ, och den har ett brett område för hänskjutande enligt fördragen, vilket gör att kommittén kan höras av parlamentet.</w:t>
      </w:r>
    </w:p>
    <w:p w:rsidR="00FF3A4E" w:rsidRPr="00845393" w:rsidRDefault="00FF3A4E" w:rsidP="00FF3A4E">
      <w:pPr>
        <w:pStyle w:val="NormalHanging12a"/>
        <w:rPr>
          <w:color w:val="000000"/>
          <w:szCs w:val="24"/>
        </w:rPr>
      </w:pPr>
      <w:r w:rsidRPr="00845393">
        <w:rPr>
          <w:color w:val="000000"/>
        </w:rPr>
        <w:t>D.</w:t>
      </w:r>
      <w:r w:rsidRPr="00845393">
        <w:rPr>
          <w:color w:val="000000"/>
        </w:rPr>
        <w:tab/>
        <w:t>Kommitténs verksamhet fastställs utifrån dess övergripande politiska strategi så som den fastställs i resolutionen av den 2 juli 2020 om kommitténs prioriteringar för 2020–2025</w:t>
      </w:r>
      <w:r w:rsidRPr="00845393">
        <w:rPr>
          <w:rStyle w:val="FootnoteReference"/>
          <w:color w:val="000000"/>
          <w:szCs w:val="24"/>
        </w:rPr>
        <w:footnoteReference w:id="6"/>
      </w:r>
      <w:r w:rsidRPr="00845393">
        <w:rPr>
          <w:color w:val="000000"/>
        </w:rPr>
        <w:t>. Kommittén antog tre politiska prioriteringar för mandatperioden 2020–2025, åtföljda av tre kommunikationskampanjer: att föra Europa närmare medborgarna, att skapa motståndskraftiga regionala och lokala samhällen och att främja sammanhållning som ett grundläggande värde för unionen.</w:t>
      </w:r>
    </w:p>
    <w:p w:rsidR="00FF3A4E" w:rsidRPr="00845393" w:rsidRDefault="00FF3A4E" w:rsidP="00993CA6">
      <w:pPr>
        <w:pStyle w:val="NormalHanging12a"/>
        <w:widowControl/>
        <w:rPr>
          <w:color w:val="000000"/>
          <w:szCs w:val="24"/>
        </w:rPr>
      </w:pPr>
      <w:r w:rsidRPr="00845393">
        <w:rPr>
          <w:color w:val="000000"/>
        </w:rPr>
        <w:t>E.</w:t>
      </w:r>
      <w:r w:rsidRPr="00845393">
        <w:rPr>
          <w:color w:val="000000"/>
        </w:rPr>
        <w:tab/>
        <w:t>Lokala och regionala förvaltningar står för en tredjedel av de offentliga utgifterna, hälften av de offentliga investeringarna och en fjärdedel av skatteintäkterna, och i många medlemsstater har de befogenheter på nyckelområden såsom utbildning, ekonomisk utveckling och sammanhållning, miljö, socialt skydd, hälso- och sjukvård och tjänster av allmänt intresse. Samordningen på lokal, regional, nationell och europeisk nivå ökar därför lagstiftningens legitimitet, förbättrar egenansvaret och gynnar på ett effektivare sätt medborgarna.</w:t>
      </w:r>
    </w:p>
    <w:p w:rsidR="00FF3A4E" w:rsidRPr="00845393" w:rsidRDefault="00FF3A4E" w:rsidP="00FF3A4E">
      <w:pPr>
        <w:pStyle w:val="NormalHanging12a"/>
        <w:rPr>
          <w:color w:val="000000"/>
          <w:szCs w:val="24"/>
        </w:rPr>
      </w:pPr>
      <w:r w:rsidRPr="00845393">
        <w:rPr>
          <w:color w:val="000000"/>
        </w:rPr>
        <w:t>F.</w:t>
      </w:r>
      <w:r w:rsidRPr="00845393">
        <w:rPr>
          <w:color w:val="000000"/>
        </w:rPr>
        <w:tab/>
        <w:t xml:space="preserve">Kommittén verkar för sitt politiska mål att stärka sitt deltagande i hela unionens politiska och lagstiftande process och samtidigt skapa en tydligare koppling till unionsmedborgarna med hjälp av kommitténs ledamöter som starka opinionsbildare </w:t>
      </w:r>
      <w:r w:rsidRPr="00845393">
        <w:rPr>
          <w:color w:val="000000"/>
        </w:rPr>
        <w:lastRenderedPageBreak/>
        <w:t>i lokalsamhällen och nationella sammanslutningar av lokala och regionala myndigheter.</w:t>
      </w:r>
    </w:p>
    <w:p w:rsidR="00FF3A4E" w:rsidRPr="00845393" w:rsidRDefault="00FF3A4E" w:rsidP="00FF3A4E">
      <w:pPr>
        <w:pStyle w:val="NormalHanging12a"/>
        <w:rPr>
          <w:color w:val="000000"/>
          <w:szCs w:val="24"/>
        </w:rPr>
      </w:pPr>
      <w:r w:rsidRPr="00845393">
        <w:rPr>
          <w:color w:val="000000"/>
        </w:rPr>
        <w:t>G.</w:t>
      </w:r>
      <w:r w:rsidRPr="00845393">
        <w:rPr>
          <w:color w:val="000000"/>
        </w:rPr>
        <w:tab/>
        <w:t>De över 400 nationella och regionala program som inrättats för genomförandet av unionens sammanhållningspolitik under programperioden 2021–2027 kommer att tillhandahålla ca 380 miljarder EUR inom ramen för olika fonder för att ta itu med de ekonomiska, sociala och miljömässiga utmaningar som unionens regioner, städer, byar och kommuner står inför.</w:t>
      </w:r>
    </w:p>
    <w:p w:rsidR="00FF3A4E" w:rsidRPr="00845393" w:rsidRDefault="00FF3A4E" w:rsidP="00FF3A4E">
      <w:pPr>
        <w:pStyle w:val="NormalHanging12a"/>
        <w:rPr>
          <w:color w:val="000000"/>
          <w:szCs w:val="24"/>
        </w:rPr>
      </w:pPr>
      <w:r w:rsidRPr="00845393">
        <w:rPr>
          <w:color w:val="000000"/>
        </w:rPr>
        <w:t>H.</w:t>
      </w:r>
      <w:r w:rsidRPr="00845393">
        <w:rPr>
          <w:color w:val="000000"/>
        </w:rPr>
        <w:tab/>
        <w:t>I egenskap av EU-institution i den mening som avses i budgetförordningen är kommittén skyldig att anta sin egen årsredovisning, upprättad i enlighet med de redovisningsregler som antagits av kommissionens räkenskapsförare (EU:s redovisningsregler) och som bygger på de internationella redovisningsstandarderna för den offentliga sektorn, som i slutändan konsolideras till unionens redovisningsstandarder.</w:t>
      </w:r>
    </w:p>
    <w:p w:rsidR="00FF3A4E" w:rsidRPr="00845393" w:rsidRDefault="00FF3A4E" w:rsidP="00FF3A4E">
      <w:pPr>
        <w:pStyle w:val="NormalHanging12a"/>
        <w:rPr>
          <w:szCs w:val="24"/>
        </w:rPr>
      </w:pPr>
      <w:r w:rsidRPr="00845393">
        <w:t>1.</w:t>
      </w:r>
      <w:r w:rsidRPr="00845393">
        <w:tab/>
        <w:t>Europaparlamentet noterar att kommitténs budget sorterar under rubrik 7 i den fleråriga budgetramen, ”Europeisk offentlig förvaltning”, som uppgick till totalt 11,6 miljarder EUR 2022 (vilket motsvarar 5,9 % av unionens budgetutgifter). Parlamentet noterar att kommitténs budget utgjorde 0,95 % av anslagen under rubrik 7 i den fleråriga budgetramen.</w:t>
      </w:r>
    </w:p>
    <w:p w:rsidR="00FF3A4E" w:rsidRPr="00845393" w:rsidRDefault="00FF3A4E" w:rsidP="00FF3A4E">
      <w:pPr>
        <w:pStyle w:val="NormalHanging12a"/>
        <w:rPr>
          <w:szCs w:val="24"/>
        </w:rPr>
      </w:pPr>
      <w:r w:rsidRPr="00845393">
        <w:t>2.</w:t>
      </w:r>
      <w:r w:rsidRPr="00845393">
        <w:tab/>
        <w:t>Europaparlamentet noterar att revisionsrätten i sin årsrapport för budgetåret 2022 granskade ett urval av 60 transaktioner under ”Administration”, dvs. samma antal som granskades under 2021. Parlamentet noterar vidare att revisionsrätten skriver att de administrativa utgifterna omfattar utgifter för personal, inklusive utgifter för pensioner, som 2022 stod för omkring 70 % av de totala administrativa utgifterna, och utgifter för byggnader, utrustning, energi, kommunikation och informationsteknik, och att revisionsrättens arbete under många år visar att dessa utgifter totalt sett är förknippade med låg risk.</w:t>
      </w:r>
    </w:p>
    <w:p w:rsidR="00FF3A4E" w:rsidRPr="00845393" w:rsidRDefault="00FF3A4E" w:rsidP="00FF3A4E">
      <w:pPr>
        <w:pStyle w:val="NormalHanging12a"/>
        <w:rPr>
          <w:szCs w:val="24"/>
        </w:rPr>
      </w:pPr>
      <w:r w:rsidRPr="00845393">
        <w:t>3.</w:t>
      </w:r>
      <w:r w:rsidRPr="00845393">
        <w:tab/>
        <w:t>Europaparlamentet noterar att revisionsrätten som en del av revisionen 2022 granskade kommitténs system för övervakning och kontroll, särskilt tillämpningen av standarder för intern kontroll, riskhanteringen och funktionen hos nyckelkontroller som fastställs i budgetförordningen, inbegripet för- och efterhandskontroller av betalningar.</w:t>
      </w:r>
    </w:p>
    <w:p w:rsidR="00FF3A4E" w:rsidRPr="00845393" w:rsidRDefault="00FF3A4E" w:rsidP="00FF3A4E">
      <w:pPr>
        <w:pStyle w:val="NormalHanging12a"/>
        <w:rPr>
          <w:szCs w:val="24"/>
        </w:rPr>
      </w:pPr>
      <w:r w:rsidRPr="00845393">
        <w:t>4.</w:t>
      </w:r>
      <w:r w:rsidRPr="00845393">
        <w:tab/>
        <w:t>Europaparlamentet noterar att 14 (23 %) av de 60 transaktionerna innehöll fel, men att revisionsrätten, på grundval av de fem fel som kvantifierades, uppskattar att felnivån ligger under väsentlighetströskeln.</w:t>
      </w:r>
    </w:p>
    <w:p w:rsidR="00FF3A4E" w:rsidRPr="00845393" w:rsidRDefault="00FF3A4E" w:rsidP="00993CA6">
      <w:pPr>
        <w:pStyle w:val="NormalHanging12a"/>
        <w:widowControl/>
        <w:rPr>
          <w:szCs w:val="24"/>
        </w:rPr>
      </w:pPr>
      <w:r w:rsidRPr="00845393">
        <w:t>5.</w:t>
      </w:r>
      <w:r w:rsidRPr="00845393">
        <w:tab/>
        <w:t>Europaparlamentet noterar med tillfredsställelse att revisionsrätten i sin årsrapport för budgetåret 2022 konstaterar att man inte identifierat några specifika problem när det gäller kommittén.</w:t>
      </w:r>
    </w:p>
    <w:p w:rsidR="00FF3A4E" w:rsidRPr="00845393" w:rsidRDefault="00FF3A4E" w:rsidP="00FF3A4E">
      <w:pPr>
        <w:pStyle w:val="NormalHanging12a"/>
        <w:rPr>
          <w:b/>
          <w:i/>
          <w:szCs w:val="24"/>
        </w:rPr>
      </w:pPr>
      <w:r w:rsidRPr="00845393">
        <w:rPr>
          <w:b/>
          <w:i/>
        </w:rPr>
        <w:t>Budgetförvaltningen och den ekonomiska förvaltningen</w:t>
      </w:r>
    </w:p>
    <w:p w:rsidR="00FF3A4E" w:rsidRPr="00845393" w:rsidRDefault="00FF3A4E" w:rsidP="00FF3A4E">
      <w:pPr>
        <w:pStyle w:val="NormalHanging12a"/>
        <w:rPr>
          <w:szCs w:val="24"/>
        </w:rPr>
      </w:pPr>
      <w:r w:rsidRPr="00845393">
        <w:t>6.</w:t>
      </w:r>
      <w:r w:rsidRPr="00845393">
        <w:tab/>
        <w:t xml:space="preserve">Europaparlamentet noterar att kommitténs slutliga antagna budget för 2022 uppgick till 109 976 858 EUR, inklusive ändringsbudget nr 5/2022, vilket innebär en total ökning med 3,03 % jämfört med 2021. Parlamentet noterar att anslagen under budgetpost 1004 för ”Utgifter för resa och uppehälle i samband med sammanträden samt därtill hörande kostnader” ökade från 4 244 488 EUR till 8 158 838 EUR, dvs. med 92 %, mellan 2021 och 2022, på grund av återupptagandet av resor efter covid-19-pandemin. </w:t>
      </w:r>
      <w:r w:rsidRPr="00845393">
        <w:lastRenderedPageBreak/>
        <w:t>Parlamentet noterar att fördelningen av anslag mellan budgetposter i 2022 års budget i övrigt förblev jämförbar med fördelningen under tidigare år.</w:t>
      </w:r>
    </w:p>
    <w:p w:rsidR="00FF3A4E" w:rsidRPr="00845393" w:rsidRDefault="00FF3A4E" w:rsidP="00FF3A4E">
      <w:pPr>
        <w:pStyle w:val="NormalHanging12a"/>
        <w:rPr>
          <w:szCs w:val="24"/>
        </w:rPr>
      </w:pPr>
      <w:r w:rsidRPr="00845393">
        <w:t>7.</w:t>
      </w:r>
      <w:r w:rsidRPr="00845393">
        <w:tab/>
        <w:t>Europaparlamentet noterar att budgeten för tjänsteresor för 2022 uppgick till 419 657 EUR, jämfört med 169 856 EUR för 2021, dvs. en ökning med 147 %, vilket kan förklaras av antalet online-möten under 2021 och i början av 2022 på grund av restriktionerna i samband med covid-19-pandemin samt ökningen av resepriserna under 2022. Parlamentet noterar att kommitténs ordförandeskaps (ordföranden och förste vice ordföranden) ersättning för rese- och sammanträdeskostnader, som finansieras genom den allmänna budgeten för ledamöternas utgifter, ökade från 49 852 EUR till 71 810 EUR, dvs. en ökning med 44 % mellan 2021 och 2022. Parlamentet välkomnar den vägledning för en mer kostnadseffektiv, ändamålsenlig och hållbar policy för tjänsteresor som distribuerades i juni 2022 i syfte att minska kommitténs tjänsteresor för personal till ett minimum.</w:t>
      </w:r>
    </w:p>
    <w:p w:rsidR="00FF3A4E" w:rsidRPr="00845393" w:rsidRDefault="00FF3A4E" w:rsidP="00FF3A4E">
      <w:pPr>
        <w:pStyle w:val="NormalHanging12a"/>
        <w:rPr>
          <w:szCs w:val="24"/>
        </w:rPr>
      </w:pPr>
      <w:r w:rsidRPr="00845393">
        <w:t>8.</w:t>
      </w:r>
      <w:r w:rsidRPr="00845393">
        <w:tab/>
        <w:t>Europaparlamentet noterar att budgetgenomförandegraden var 99,2 % under 2022, vilket är något högre än under 2021, då budgetgenomförandegraden var 98,9 %.</w:t>
      </w:r>
    </w:p>
    <w:p w:rsidR="00FF3A4E" w:rsidRPr="00845393" w:rsidRDefault="00FF3A4E" w:rsidP="00FF3A4E">
      <w:pPr>
        <w:pStyle w:val="NormalHanging12a"/>
        <w:rPr>
          <w:szCs w:val="24"/>
        </w:rPr>
      </w:pPr>
      <w:r w:rsidRPr="00845393">
        <w:t>9.</w:t>
      </w:r>
      <w:r w:rsidRPr="00845393">
        <w:tab/>
        <w:t>Europaparlamentet noterar att den genomsnittliga betalningstiden under 2022 var 17,87 dagar, vilket är längre än under 2021, då den var 16,11 dagar. Parlamentet noterar samtidigt att andelen elektronisk fakturering ökade från 32 % till 68 %. Parlamentet påpekar att det inte finns något samband mellan de två siffrorna och uppmanar kommittén att slutföra digitaliseringen av betalningsarbetsflödet i syfte att förbättra dess effektivitet och punktlighet.</w:t>
      </w:r>
    </w:p>
    <w:p w:rsidR="00FF3A4E" w:rsidRPr="00845393" w:rsidRDefault="00FF3A4E" w:rsidP="00FF3A4E">
      <w:pPr>
        <w:pStyle w:val="NormalHanging12a"/>
        <w:rPr>
          <w:szCs w:val="24"/>
        </w:rPr>
      </w:pPr>
      <w:r w:rsidRPr="00845393">
        <w:t>10.</w:t>
      </w:r>
      <w:r w:rsidRPr="00845393">
        <w:tab/>
        <w:t>Europaparlamentet noterar att Rysslands anfallskrig mot Ukraina skapade ett ökat budgettryck för kommittén, bland annat genom stigande inflation och lönejusteringar, kraftigt ökande energikostnader, byggkostnader och råvarukostnader. Parlamentet noterar vidare att kommittén mobiliserade sitt politiska stöd till Ukrainas lokala och regionala myndigheter och organiserade aktiviteter med anledning av kriget mot Ukraina, vilket påverkade budgeten för tjänsteresor, studier och utbildningar.</w:t>
      </w:r>
    </w:p>
    <w:p w:rsidR="00FF3A4E" w:rsidRPr="00845393" w:rsidRDefault="00FF3A4E" w:rsidP="00FF3A4E">
      <w:pPr>
        <w:pStyle w:val="NormalHanging12a"/>
        <w:rPr>
          <w:szCs w:val="24"/>
        </w:rPr>
      </w:pPr>
      <w:r w:rsidRPr="00845393">
        <w:t>11.</w:t>
      </w:r>
      <w:r w:rsidRPr="00845393">
        <w:tab/>
        <w:t>Europaparlamentet noterar att kommitténs egna avdelningar anordnade 14 upphandlingar under 2022, däribland 11 förhandlade upphandlingsförfaranden för distanstolktjänster i medlemsstaterna. Parlamentet noterar att upphandlingsförfaranden på logistikområdet inleddes av de samfunktioner som kommittén delar med Europeiska ekonomiska och sociala kommittén (EESK).</w:t>
      </w:r>
    </w:p>
    <w:p w:rsidR="00FF3A4E" w:rsidRPr="00845393" w:rsidRDefault="00FF3A4E" w:rsidP="00FF3A4E">
      <w:pPr>
        <w:pStyle w:val="NormalHanging12a"/>
        <w:rPr>
          <w:b/>
          <w:i/>
          <w:szCs w:val="24"/>
        </w:rPr>
      </w:pPr>
      <w:r w:rsidRPr="00845393">
        <w:rPr>
          <w:b/>
          <w:i/>
        </w:rPr>
        <w:t>Intern förvaltning, resultat och internkontroll</w:t>
      </w:r>
    </w:p>
    <w:p w:rsidR="00FF3A4E" w:rsidRPr="00845393" w:rsidRDefault="00FF3A4E" w:rsidP="00FF3A4E">
      <w:pPr>
        <w:pStyle w:val="NormalHanging12a"/>
        <w:rPr>
          <w:szCs w:val="24"/>
        </w:rPr>
      </w:pPr>
      <w:r w:rsidRPr="00845393">
        <w:t>12.</w:t>
      </w:r>
      <w:r w:rsidRPr="00845393">
        <w:tab/>
        <w:t>Europaparlamentet noterar att kommittén bidrar till unionens politik och beslutsprocess ur perspektivet från de regionala och lokala myndigheterna i unionen och att den tillhandahåller en ram för att stärka samarbetet mellan lokal, regional, nationell och europeisk nivå och föra EU närmare medborgarna. Parlamentet välkomnar kommitténs relevanta bidrag till viktiga unionsfrågor, såsom genomförandet av faciliteten för återhämtning och resiliens, vilket återspeglas i parlamentets resolution av den 23 juni 2022 om genomförandet av faciliteten för återhämtning och resiliens</w:t>
      </w:r>
      <w:r w:rsidRPr="00845393">
        <w:rPr>
          <w:vertAlign w:val="superscript"/>
        </w:rPr>
        <w:footnoteReference w:id="7"/>
      </w:r>
      <w:r w:rsidRPr="00845393">
        <w:t xml:space="preserve">. Parlamentet uppmuntrar vidare kommittén att hjälpa ledamöterna att delta i lokala </w:t>
      </w:r>
      <w:r w:rsidRPr="00845393">
        <w:lastRenderedPageBreak/>
        <w:t>dialoger med medborgarna om europeiska frågor.</w:t>
      </w:r>
    </w:p>
    <w:p w:rsidR="00FF3A4E" w:rsidRPr="00845393" w:rsidRDefault="00FF3A4E" w:rsidP="00FF3A4E">
      <w:pPr>
        <w:pStyle w:val="NormalHanging12a"/>
        <w:rPr>
          <w:szCs w:val="24"/>
        </w:rPr>
      </w:pPr>
      <w:r w:rsidRPr="00845393">
        <w:t>13.</w:t>
      </w:r>
      <w:r w:rsidRPr="00845393">
        <w:tab/>
        <w:t>Europaparlamentet noterar att kommittén fullgör sitt uppdrag genom yttranden över lagstiftningsförslag från kommissionen (remisser), yttranden på eget initiativ, där EU</w:t>
      </w:r>
      <w:r w:rsidRPr="00845393">
        <w:noBreakHyphen/>
        <w:t>institutionerna uppmanas att vidta åtgärder, samt genom resolutioner, där kommitténs ståndpunkter i specifika frågor lyfts fram. Parlamentet noterar att kommittén under 2022 antog 55 yttranden och 8 resolutioner, vilket är något lägre än under 2021, då kommittén antog 60 yttranden och 9 resolutioner. Parlamentet uppmuntrar kommittén att fortsätta att stärka sin förmåga att förse EU:s huvudinstitutioner med uppgifter från fältet genom användning av data, empiriska analyser och sammanställningar av bästa praxis.</w:t>
      </w:r>
    </w:p>
    <w:p w:rsidR="00FF3A4E" w:rsidRPr="00845393" w:rsidRDefault="00FF3A4E" w:rsidP="00FF3A4E">
      <w:pPr>
        <w:pStyle w:val="NormalHanging12a"/>
        <w:rPr>
          <w:szCs w:val="24"/>
        </w:rPr>
      </w:pPr>
      <w:r w:rsidRPr="00845393">
        <w:t>14.</w:t>
      </w:r>
      <w:r w:rsidRPr="00845393">
        <w:tab/>
        <w:t>Europaparlamentet välkomnar att kommittén vidtog konkreta åtgärder för att stärka sitt deltagande i unionens hela politiska och lagstiftningsmässiga cykel i linje med sina befogenheter enligt fördragen. Parlamentet välkomnar särskilt samarbetsavtalet mellan parlamentet och kommittén och det nära samarbetet mellan kommittén och flera parlamentsutskott, tvärpolitiska grupper och generaldirektorat. Parlamentet noterar att kommittén, för föredragandena för sina yttranden, anordnade 56 förberedande möten och uppföljningsmöten med parlamentet under 2022. Parlamentet noterar vidare att 20 kommittéföredragande deltog i parlamentets utskottssammanträden under 2022. Parlamentet berömmer kommittén för att ha stärkt sitt deltagande i lagstiftningsrelaterade trepartsmöten, särskilt genom att beviljas tillgång till handlingar från trepartsmöten. Parlamentet anser att ledamöter av kommittén och Europeiska och sociala kommittén bör bjudas in till relevanta parlamentsdiskussioner, inbegripet utskottssammanträden, om frågor som de arbetar med.</w:t>
      </w:r>
    </w:p>
    <w:p w:rsidR="00FF3A4E" w:rsidRPr="00845393" w:rsidRDefault="00FF3A4E" w:rsidP="00FF3A4E">
      <w:pPr>
        <w:pStyle w:val="NormalHanging12a"/>
        <w:rPr>
          <w:szCs w:val="24"/>
        </w:rPr>
      </w:pPr>
      <w:r w:rsidRPr="00845393">
        <w:t>15.</w:t>
      </w:r>
      <w:r w:rsidRPr="00845393">
        <w:tab/>
        <w:t xml:space="preserve">Europaparlamentet välkomnar de åtgärder som kommittén vidtagit under 2022 för att optimera sina resurser och förbättra kostnadseffektiviteten och samtidigt öka effekterna av sitt politiska arbete inom ramen för programmet </w:t>
      </w:r>
      <w:r w:rsidRPr="00845393">
        <w:rPr>
          <w:i/>
          <w:iCs/>
        </w:rPr>
        <w:t>Going for IMPact</w:t>
      </w:r>
      <w:r w:rsidRPr="00845393">
        <w:t>, särskilt de 43 förenklings- och digitaliseringsprojekt som bidrar till moderniseringen av kommitténs förvaltning samt till digitaliseringen av arbetsflöden som en del av strategin för förenkling av kommitténs regler och förfaranden för perioden 2020–2025.</w:t>
      </w:r>
    </w:p>
    <w:p w:rsidR="00FF3A4E" w:rsidRPr="00845393" w:rsidRDefault="00FF3A4E" w:rsidP="00993CA6">
      <w:pPr>
        <w:pStyle w:val="NormalHanging12a"/>
        <w:widowControl/>
        <w:rPr>
          <w:szCs w:val="24"/>
        </w:rPr>
      </w:pPr>
      <w:r w:rsidRPr="00845393">
        <w:t>16.</w:t>
      </w:r>
      <w:r w:rsidRPr="00845393">
        <w:tab/>
        <w:t>Europaparlamentet välkomnar kommitténs aktiva deltagande i arbetet i konferensen om Europas framtid med en delegation på 30 medlemmar, varav 12 företrädde de europeiska sammanslutningarna av lokala och regionala myndigheter. Parlamentet noterar att kommittén, efter det arbete som utförts under 2021, under 2022 anordnade 14 möten med delegater från konferensen om Europas framtid och 9 förberedande möten. Parlamentet framhäver att kommittén inrättade en särskild arbetsgrupp för konferensen om Europas framtid för att samordna arbetet mellan alla berörda direktorat och enheter. Parlamentet noterar att förslagen i slutrapporten från konferensen om Europas framtid, som offentliggjordes den 9 maj 2022, togs upp i kommitténs projekt ”Att utnyttja de regionala och lokala myndigheternas potential att stärka EU”, som genomfördes under 2022.</w:t>
      </w:r>
    </w:p>
    <w:p w:rsidR="00FF3A4E" w:rsidRPr="00845393" w:rsidRDefault="00FF3A4E" w:rsidP="00FF3A4E">
      <w:pPr>
        <w:pStyle w:val="NormalHanging12a"/>
        <w:rPr>
          <w:szCs w:val="24"/>
        </w:rPr>
      </w:pPr>
      <w:r w:rsidRPr="00845393">
        <w:t>17.</w:t>
      </w:r>
      <w:r w:rsidRPr="00845393">
        <w:tab/>
        <w:t>Europaparlamentet understryker att plenarförsamlingen för konferensen om Europas framtid i sin slutrapport – i den 40:e rekommendationen inom åtgärd 3 – efterlyser en reform av Regionkommittén som omfattar lämpliga kanaler för dialog för regioner samt städer, byar och kommuner och som ger Regionkommittén en starkare roll bland institutionerna när det handlar om frågor med territoriell påverkan.</w:t>
      </w:r>
    </w:p>
    <w:p w:rsidR="00FF3A4E" w:rsidRPr="00845393" w:rsidRDefault="00FF3A4E" w:rsidP="00FF3A4E">
      <w:pPr>
        <w:pStyle w:val="NormalHanging12a"/>
        <w:rPr>
          <w:szCs w:val="24"/>
        </w:rPr>
      </w:pPr>
      <w:r w:rsidRPr="00845393">
        <w:lastRenderedPageBreak/>
        <w:t>18.</w:t>
      </w:r>
      <w:r w:rsidRPr="00845393">
        <w:tab/>
        <w:t>Europaparlamentet noterar att kommittén under 2022 såg över och stärkte sin ram för intern kontroll när det gäller planering och rapportering, system, finansiell kontroll och känsliga funktioner. Parlamentet berömmer kommittén för att ha utvecklat det särskilda konvergensverktyget och plattformen för planering, rapportering, riskbedömning och driftskontinuitet. Parlamentet noterar att den nya policyn för känsliga befattningar trädde i kraft den 1 januari 2022 och meddelades personalen den 27 januari 2022.</w:t>
      </w:r>
    </w:p>
    <w:p w:rsidR="00FF3A4E" w:rsidRPr="00845393" w:rsidRDefault="00FF3A4E" w:rsidP="00FF3A4E">
      <w:pPr>
        <w:pStyle w:val="NormalHanging12a"/>
        <w:rPr>
          <w:szCs w:val="24"/>
        </w:rPr>
      </w:pPr>
      <w:r w:rsidRPr="00845393">
        <w:t>19.</w:t>
      </w:r>
      <w:r w:rsidRPr="00845393">
        <w:tab/>
        <w:t>Europaparlamentet noterar att alla sammanträden hölls online fram till april 2022, medan stadgeenliga sammanträden från och med april 2022 anordnas med fysisk närvaro, medan andra sammanträden får anordnas på distans eller i hybridformat. Parlamentet noterar att fram till översynen av kommitténs arbetsordning 2023 fortsatte ett traktamente för sammanträdesdagar på 200 EUR för distanssammanträden och hybridsammanträden att betalas ut i enlighet med de bestämmelser som gällt sedan 2021. Parlamentet noterar att traktamentet för distanssammanträden i juli 2023 fastställdes till 50 % av standardtraktamentet för sammanträdesdagar (dvs. för närvarande 50 % av 359 EUR, vilket motsvarar 179,50 EUR). Parlamentet anser att distansnärvaro är ett viktigt instrument för moderna institutioner, med tanke på att det bland annat minskar kostnaderna för möten och möjliggör ett bredare deltagande, särskilt i krissituationer, vilket visades under covid-19-pandemin. Parlamentet noterar med tillfredsställelse att internrevisionens rekommendationer om lämpligheten i planering och förvaltning av traktamenten och ersättningar till ledamöterna för deltagande i sammanträden, genomfördes på ett tillfredsställande sätt.</w:t>
      </w:r>
    </w:p>
    <w:p w:rsidR="00FF3A4E" w:rsidRPr="00845393" w:rsidRDefault="00FF3A4E" w:rsidP="00FF3A4E">
      <w:pPr>
        <w:pStyle w:val="NormalHanging12a"/>
        <w:keepNext/>
        <w:keepLines/>
        <w:widowControl/>
        <w:rPr>
          <w:b/>
          <w:i/>
          <w:szCs w:val="24"/>
        </w:rPr>
      </w:pPr>
      <w:r w:rsidRPr="00845393">
        <w:rPr>
          <w:b/>
          <w:i/>
        </w:rPr>
        <w:t>Personalresurser, jämställdhet och personalens välbefinnande</w:t>
      </w:r>
    </w:p>
    <w:p w:rsidR="00FF3A4E" w:rsidRPr="00845393" w:rsidRDefault="00FF3A4E" w:rsidP="00993CA6">
      <w:pPr>
        <w:pStyle w:val="NormalHanging12a"/>
        <w:widowControl/>
      </w:pPr>
      <w:r w:rsidRPr="00845393">
        <w:t>20.</w:t>
      </w:r>
      <w:r w:rsidRPr="00845393">
        <w:tab/>
        <w:t>Europaparlamentet noterar att kommittén i slutet av 2022 hade totalt 533 anställda, jämfört med 547 under 2021 och 537 under 2020. Parlamentet noterar att 56 kontraktsanställda och 89 tillfälligt anställda var anställda av kommittén i slutet av 2022, varav 21 kontraktsanställda på tillsvidarekontrakt och 3 tillfälligt anställda på tillfälliga tjänster, i två fall på tillsvidarekontrakt och, i generalsekreterarens fall för en femårsperiod. Parlamentet noterar dessutom att kommittén sysselsatte 8 interimsanställda och 14 externa anställda som arbetar på plats, med undantag för externa tjänsteleverantörer på logistik- och it-områdena. Parlamentet noterar att tillsättningsgraden för tjänsterna i tjänsteförteckningen under 2022 var 96 %.</w:t>
      </w:r>
    </w:p>
    <w:p w:rsidR="00FF3A4E" w:rsidRPr="00845393" w:rsidRDefault="00FF3A4E" w:rsidP="00FF3A4E">
      <w:pPr>
        <w:pStyle w:val="NormalHanging12a"/>
        <w:rPr>
          <w:szCs w:val="24"/>
        </w:rPr>
      </w:pPr>
      <w:r w:rsidRPr="00845393">
        <w:t>21.</w:t>
      </w:r>
      <w:r w:rsidRPr="00845393">
        <w:tab/>
        <w:t>Europaparlamentet noterar att ett nytt pilotprojekt om hybridarbetsformer, som syftar till att anpassa personalramen till nya arbetssätt, trädde i kraft i april 2022, vilket ger kommitténs personal möjlighet att organisera sitt arbete på vecko- och dagsbasis med en hög grad av flexibilitet och att distansarbeta upp till 60 % av sin arbetstid. Parlamentet välkomnar att det nya systemet gör det möjligt att införa ett antal deltidslösningar som bygger på de stadgeenliga rättigheter som föreskrivs i tjänsteföreskrifterna. Parlamentet noterar med tillfredsställelse att 90,25 % av dem som svarade på personalenkäten i december 2022 uppgav att de var nöjda med dessa flexibla arrangemang.</w:t>
      </w:r>
    </w:p>
    <w:p w:rsidR="00FF3A4E" w:rsidRPr="00845393" w:rsidRDefault="00FF3A4E" w:rsidP="00FF3A4E">
      <w:pPr>
        <w:pStyle w:val="NormalHanging12a"/>
      </w:pPr>
      <w:r w:rsidRPr="00845393">
        <w:t>22.</w:t>
      </w:r>
      <w:r w:rsidRPr="00845393">
        <w:tab/>
        <w:t xml:space="preserve">Europaparlamentet noterar med oro att 16 fall av utbrändhet rapporterades i kommittén under 2022. Parlamentet noterar vidare att kommittén lyckats återintegrera 15 anställda under 2022 efter en långvarig frånvaro till följd av utbrändhet, tack vare en individanpassad uppföljning av långvarig sjukledighet. Parlamentet välkomnar de förebyggande åtgärder som kommittén vidtagit för att minska de psykologiska riskerna och förekomsten av utbrändhet. Parlamentet uppskattar i detta sammanhang </w:t>
      </w:r>
      <w:r w:rsidRPr="00845393">
        <w:lastRenderedPageBreak/>
        <w:t>läkarmottagningens proaktivitet och de kampanjer, utbildningar och kurser som kommittén organiserat för att öka medvetenheten.</w:t>
      </w:r>
    </w:p>
    <w:p w:rsidR="00FF3A4E" w:rsidRPr="00845393" w:rsidRDefault="00FF3A4E" w:rsidP="00FF3A4E">
      <w:pPr>
        <w:pStyle w:val="NormalHanging12a"/>
        <w:rPr>
          <w:szCs w:val="24"/>
        </w:rPr>
      </w:pPr>
      <w:r w:rsidRPr="00845393">
        <w:t>23.</w:t>
      </w:r>
      <w:r w:rsidRPr="00845393">
        <w:tab/>
        <w:t>Europaparlamentet noterar att kommittén fortsatte att öka medvetenheten om de åtgärder som införts för att bekämpa trakasserier på arbetsplatsen, i enlighet med sitt beslut av den 26 april 2021 om skydd av värdighet på arbetsplatsen, hantering av konflikter och bekämpande av trakasserier, i synnerhet genom särskild vägledning, intern kommunikation och anordnande av flera informationsmöten för personal och chefer. Parlamentet noterar att kommittén under 2022 var tvungen att hantera ett nytt fall av påstådd mobbning, av en anställd vid EESK mot en anställd vid kommittén, vilket fortfarande utreds av båda kommittéerna. Parlamentet uppmanar kommittén att rapportera om uppföljningen av det påstådda mobbningsfallet, särskilt med beaktande av det interinstitutionella perspektivet.</w:t>
      </w:r>
    </w:p>
    <w:p w:rsidR="00FF3A4E" w:rsidRPr="00845393" w:rsidRDefault="00FF3A4E" w:rsidP="00993CA6">
      <w:pPr>
        <w:pStyle w:val="NormalHanging12a"/>
        <w:widowControl/>
        <w:rPr>
          <w:szCs w:val="24"/>
        </w:rPr>
      </w:pPr>
      <w:r w:rsidRPr="00845393">
        <w:t>24.</w:t>
      </w:r>
      <w:r w:rsidRPr="00845393">
        <w:tab/>
        <w:t>Europaparlamentet noterar att kommitténs personal i slutet av 2022 utgjordes av 56,8 % kvinnor och 43,2 % män, jämfört med 56,6 % kvinnor 2021 och 55,5 % kvinnor 2020. Parlamentet noterar med oro att andelen kvinnor i olika lönegrader och på olika positioner följer samma trend som under tidigare år, och beklagar att situationen, trots utnämningen av en ny kvinnlig direktör under 2023 och vissa insatser för att locka fler kvinnor till ledande befattningar, fortfarande är synnerligen obalanserad både på högre chefsnivå och på mellanchefsnivå. Parlamentet rekommenderar att utlysningar av tjänster blir mer inkluderande och att fler kvinnor uppmuntras att söka chefstjänster på hög nivå och mellannivå, bland annat genom att säkerställa en balanserad representation i uttagningskommittéerna, genom att erbjuda utbildningsmöjligheter för kvinnliga anställda som vill förbereda sig för en chefskarriär och genom att föreslå flexiblare jobbarrangemang.</w:t>
      </w:r>
    </w:p>
    <w:p w:rsidR="00FF3A4E" w:rsidRPr="00845393" w:rsidRDefault="00FF3A4E" w:rsidP="00FF3A4E">
      <w:pPr>
        <w:pStyle w:val="NormalHanging12a"/>
        <w:rPr>
          <w:szCs w:val="24"/>
        </w:rPr>
      </w:pPr>
      <w:r w:rsidRPr="00845393">
        <w:t>25.</w:t>
      </w:r>
      <w:r w:rsidRPr="00845393">
        <w:tab/>
        <w:t>Europaparlamentet välkomnar att kommittén den 7 juli 2022 antog en ny femårsstrategi och handlingsplan för mångfald och inkludering för åren 2022-2026. Parlamentet uppmuntrar kommittén att fortsätta sina ansträngningar för att nå de mål som fastställs i strategin och handlingsplanen, särskilt jämställdhetsmålet på 40 % kvinnor i ledande befattningar senast 2024 och att införa paritet som det slutliga målet. Parlamentet välkomnar de medvetandehöjande och riktade åtgärder som införts för att främja och stärka en mer diversifierad och inkluderande arbetsplats när det gäller personalrepresentation och kontaktpunkter inom alla kommitténs avdelningar, under samordning av en särskild samordnare för mångfald och inkludering.</w:t>
      </w:r>
    </w:p>
    <w:p w:rsidR="00FF3A4E" w:rsidRPr="00845393" w:rsidRDefault="00FF3A4E" w:rsidP="00FF3A4E">
      <w:pPr>
        <w:pStyle w:val="NormalHanging12a"/>
      </w:pPr>
      <w:r w:rsidRPr="00845393">
        <w:t>26.</w:t>
      </w:r>
      <w:r w:rsidRPr="00845393">
        <w:tab/>
        <w:t>Europaparlamentet noterar att alla unionens nationaliteter fanns representerade bland den personal som var anställd under 2022 och att en anställd hade ukrainskt medborgarskap. Parlamentet välkomnar kommitténs insatser för att balansera den geografiska fördelningen bland sin personal, men noterar att geografisk balans fortfarande inte uppnåtts, då vissa nationaliteter alltjämt är överrepresenterade jämfört med andra. Parlamentet uppmanar kommittén att fortsätta att vidta åtgärder för att få till stånd en lämplig geografisk fördelning bland personalen, med särskilt fokus på ledningsnivån. Parlamentet välkomnar kommitténs deltagande i den interinstitutionella arbetsgruppen för geografisk balans, som syftar till att utbyta bästa praxis och skapa synergier mellan unionens institutioner.</w:t>
      </w:r>
    </w:p>
    <w:p w:rsidR="00FF3A4E" w:rsidRPr="00845393" w:rsidRDefault="00FF3A4E" w:rsidP="00FF3A4E">
      <w:pPr>
        <w:pStyle w:val="NormalHanging12a"/>
        <w:rPr>
          <w:szCs w:val="24"/>
        </w:rPr>
      </w:pPr>
      <w:r w:rsidRPr="00845393">
        <w:t>27.</w:t>
      </w:r>
      <w:r w:rsidRPr="00845393">
        <w:tab/>
        <w:t xml:space="preserve">Europaparlamentet noterar att kommittén under 2022 för första gången genomförde ett interinstitutionellt system för jobbskuggning med tre EU-institutioner och 25 deltagare, i syfte att öka förståelsen för andra institutioners arbetsmetoder och processer, stärka det </w:t>
      </w:r>
      <w:r w:rsidRPr="00845393">
        <w:lastRenderedPageBreak/>
        <w:t>interinstitutionella samarbetet, främja rörlighet och verka för en flexiblare arbetsstyrka. Parlamentet berömmer kommittén för lanseringen av detta innovativa interinstitutionella initiativ, som sedan skalats upp och från och med 2023 tagits över av Europeiska förvaltningsskolan.</w:t>
      </w:r>
    </w:p>
    <w:p w:rsidR="00FF3A4E" w:rsidRPr="00845393" w:rsidRDefault="00FF3A4E" w:rsidP="00993CA6">
      <w:pPr>
        <w:pStyle w:val="NormalHanging12a"/>
        <w:widowControl/>
        <w:rPr>
          <w:szCs w:val="24"/>
        </w:rPr>
      </w:pPr>
      <w:r w:rsidRPr="00845393">
        <w:t>28.</w:t>
      </w:r>
      <w:r w:rsidRPr="00845393">
        <w:tab/>
        <w:t>Europaparlamentet noterar att kommittén hade 60 praktikanter under 2022, varav 48 avlönade praktikanter och 12 studiebesökare som i två fall fick ett socialt bidrag. Parlamentet välkomnar de nya regler som antogs 2022 gällande ersättning till praktikanter, enligt vilka studiebesök endast kan godkännas antingen om praktikanten får finansiering från en annan källa, eller om praktiken är obligatorisk inom ramen för praktikantens studier och där alla typer av praktikanter kan begära ett socialt bidrag i vederbörligen motiverade fall. Parlamentet välkomnar att praktikanternas arbetsvillkor är anpassade till personalens arbetsvillkor enligt de nya flexibla arbetsformerna, enligt vilka praktikanter får distansarbeta från utlandet en dag per månad under praktiken.</w:t>
      </w:r>
    </w:p>
    <w:p w:rsidR="00FF3A4E" w:rsidRPr="00845393" w:rsidRDefault="00FF3A4E" w:rsidP="00FF3A4E">
      <w:pPr>
        <w:pStyle w:val="NormalHanging12a"/>
        <w:rPr>
          <w:b/>
          <w:i/>
          <w:szCs w:val="24"/>
        </w:rPr>
      </w:pPr>
      <w:r w:rsidRPr="00845393">
        <w:rPr>
          <w:b/>
          <w:i/>
        </w:rPr>
        <w:t>Etisk ram och transparens</w:t>
      </w:r>
    </w:p>
    <w:p w:rsidR="00FF3A4E" w:rsidRPr="00845393" w:rsidRDefault="00FF3A4E" w:rsidP="00FF3A4E">
      <w:pPr>
        <w:pStyle w:val="NormalHanging12a"/>
        <w:rPr>
          <w:szCs w:val="24"/>
        </w:rPr>
      </w:pPr>
      <w:r w:rsidRPr="00845393">
        <w:t>29.</w:t>
      </w:r>
      <w:r w:rsidRPr="00845393">
        <w:tab/>
        <w:t>Europaparlamentet välkomnar kommitténs insatser för att öka den etiska medvetenheten bland sin personal och kommitténs tillämpning av etiska regler i olika förfaranden, t.ex. rekrytering, och om etiska skyldigheter och rättigheter i olika administrativa befattningar, extern verksamhet, utbildning och avgång från tjänsten, som en uppföljning av internrevisionen av personalens medvetenhet om etik. Parlamentet noterar att de grundläggande dokument och regler som ligger till grund för den etiska ramen offentliggjorts på kommitténs intranät för att öka personalens medvetenhet om etiska regler. Parlamentet noterar vidare att kommittén under 2022 anordnade 14 gruppkurser med särskild inriktning på etiska frågor som nådde 107 anställda, och att 75 % av personalen deltog i den allmänna etikkursen under 2022.</w:t>
      </w:r>
    </w:p>
    <w:p w:rsidR="00FF3A4E" w:rsidRPr="00845393" w:rsidRDefault="00FF3A4E" w:rsidP="00FF3A4E">
      <w:pPr>
        <w:pStyle w:val="NormalHanging12a"/>
        <w:rPr>
          <w:szCs w:val="24"/>
        </w:rPr>
      </w:pPr>
      <w:r w:rsidRPr="00845393">
        <w:t>30.</w:t>
      </w:r>
      <w:r w:rsidRPr="00845393">
        <w:tab/>
        <w:t>Europaparlamentet noterar att kommittén under 2022 fortsatte genomförandet av sin uppförandekod för ledamöterna från 2020 och i detta avseende intensifierade sina ansträngningar för att samla in saknade ekonomiska förklaringar från ledamöterna. Parlamentet noterar att sex suppleanter som utnämndes i januari 2020 fortfarande inte hade lämnat in sina ekonomiska förklaringar i juni 2023, och att kommittén – trots att ingen av dessa sex ledamöter hade deltagit i något sammanträde i kommittén sedan de utnämndes – inledde det efterlevnadsförfarande som fastställs i ledamöternas uppförandekod.</w:t>
      </w:r>
    </w:p>
    <w:p w:rsidR="00FF3A4E" w:rsidRPr="00845393" w:rsidRDefault="00FF3A4E" w:rsidP="00993CA6">
      <w:pPr>
        <w:pStyle w:val="NormalHanging12a"/>
        <w:widowControl/>
        <w:rPr>
          <w:szCs w:val="24"/>
        </w:rPr>
      </w:pPr>
      <w:r w:rsidRPr="00845393">
        <w:t>31.</w:t>
      </w:r>
      <w:r w:rsidRPr="00845393">
        <w:tab/>
        <w:t xml:space="preserve">Europaparlamentet noterar att Europeiska byrån för bedrägeribekämpning (Olaf) utredde tre fall under 2022, varav ett var nytt och gällde inkomstbringande bisysslor och två var pågående ärenden som avslutades samma år och som gällde felaktiga utbetalningar av reseersättningar respektive anklagelser om ekonomiska oegentligheter, trakasserier och dålig förvaltning i en av kommitténs och EESK:s samfunktioner. Parlamentet noterar att ärendet om utbetalning av felaktiga reseersättningar avslutades i början av 2022 med en begäran från kommittén till den berörda ledamoten om återbetalning av den ersättning som mottagits, av etiska skäl i avsaknad av en rättslig grund för att återkräva sådana belopp. Parlamentet noterar att den berörda ledamoten, i början av 2024 meddelade sin avsikt att av etiska skäl återbetala det belopp som Olaf ursprungligen krävt, och att kommitténs ekonomiavdelningar stod redo att vidta alla nödvändiga åtgärder i detta avseende. Parlamentet uppmanar kommittén att informera den ansvarsfrihetsbeviljande myndigheten om kommitténs uppföljning av detta fall i enlighet med personalens stadgeenliga skyldigheter enligt tjänsteföreskrifterna, särskilt </w:t>
      </w:r>
      <w:r w:rsidRPr="00845393">
        <w:lastRenderedPageBreak/>
        <w:t>eftersom ärendet gällde en ledamot av kommittén som samtidigt var en ackrediterad parlamentsassistent vars avtalsenliga arbetsplats var Bryssel, och där det inte fanns något behov av resekostnader för kommitténs sammanträden i Bryssel. Parlamentet noterar att fallet med anklagelser om ekonomiska oegentligheter, trakasserier och dålig förvaltning i en samfunktion ledde till ett konflikthanteringsförfarande som inbegrep de berörda personerna, deras överordnade och respektive personalavdelningar med en handlingsplan i fem punkter som genomfördes under 2021 och 2022.</w:t>
      </w:r>
    </w:p>
    <w:p w:rsidR="00FF3A4E" w:rsidRPr="00845393" w:rsidRDefault="00FF3A4E" w:rsidP="00FF3A4E">
      <w:pPr>
        <w:pStyle w:val="NormalHanging12a"/>
        <w:rPr>
          <w:b/>
          <w:bCs/>
          <w:i/>
          <w:iCs/>
          <w:szCs w:val="24"/>
        </w:rPr>
      </w:pPr>
      <w:r w:rsidRPr="00845393">
        <w:t>32.</w:t>
      </w:r>
      <w:r w:rsidRPr="00845393">
        <w:tab/>
        <w:t>Europaparlamentet noterar att kommittén under 2022 fortsatte att genomföra transparensåtgärder, såsom offentliggörandet av ledamöternas förklaringar om ekonomiska intressen på sin webbplats, men att den inte anslöt sig formellt till EU:s öppenhetsregister, som inrättades genom det interinstitutionella avtalet av den 20 maj 2021 mellan Europaparlamentet, Europeiska unionens råd och Europeiska kommissionen om ett obligatoriskt öppenhetsregister (det interinstitutionella avtalet). Parlamentet är medvetet om att nya transparensåtgärder, som fokuserar på ledamöter och föredragande som innehar befattningar, i linje med principerna om EU:s öppenhetsregister, antogs av kommittén genom ett presidiebeslut i juli 2023, och meddelades styrelsen för EU:s öppenhetsregister. Parlamentet noterar att styrelsen för EU:s öppenhetsregister den 20 november 2023 bedömde transparensåtgärderna vara förenliga med målen i det interinstitutionella avtalet och välkomnade kommitténs reglering som ett viktigt steg i att ytterligare stärka den gemensamma ramen och främja en gemensam öppenhetskultur på unionsnivå. Parlamentet välkomnar att kommittén formellt anslöt sig till EU:s öppenhetsregister från och med den 1 januari 2024.</w:t>
      </w:r>
    </w:p>
    <w:p w:rsidR="00FF3A4E" w:rsidRPr="00845393" w:rsidRDefault="00FF3A4E" w:rsidP="00FF3A4E">
      <w:pPr>
        <w:pStyle w:val="NormalHanging12a"/>
        <w:rPr>
          <w:szCs w:val="24"/>
        </w:rPr>
      </w:pPr>
      <w:r w:rsidRPr="00845393">
        <w:t>33.</w:t>
      </w:r>
      <w:r w:rsidRPr="00845393">
        <w:tab/>
        <w:t>Europaparlamentet noterar att kommittén under 2022 inte upptäckte några intressekonflikter, vilket skulle ha krävt en uppföljning från förvaltningens sida. Parlamentet noterar att kommittén fortsatte att förlita sig på gällande regler för att förhindra intressekonflikter och undvika svängdörrsproblematik mellan den offentliga och den privata sektorn och att uppmärksamma dem genom etikutbildningar och åtgärder för att öka medvetenheten.</w:t>
      </w:r>
    </w:p>
    <w:p w:rsidR="00FF3A4E" w:rsidRPr="00845393" w:rsidRDefault="00FF3A4E" w:rsidP="00FF3A4E">
      <w:pPr>
        <w:pStyle w:val="NormalHanging12a"/>
      </w:pPr>
      <w:r w:rsidRPr="00845393">
        <w:t>34.</w:t>
      </w:r>
      <w:r w:rsidRPr="00845393">
        <w:tab/>
        <w:t>Europaparlamentet noterar att inga fall av visselblåsning rapporterades till kommittén under 2022. Parlamentet noterar att kommittén när det gäller visselblåsning fortsatte att förlita sig på de åtgärder som införts sedan 2015 och uppmärksamma dem genom etikutbildningar och åtgärder för att öka medvetenheten.</w:t>
      </w:r>
    </w:p>
    <w:p w:rsidR="00FF3A4E" w:rsidRPr="00845393" w:rsidRDefault="00FF3A4E" w:rsidP="00FF3A4E">
      <w:pPr>
        <w:pStyle w:val="NormalHanging12a"/>
        <w:rPr>
          <w:szCs w:val="24"/>
        </w:rPr>
      </w:pPr>
      <w:r w:rsidRPr="00845393">
        <w:t>35.</w:t>
      </w:r>
      <w:r w:rsidRPr="00845393">
        <w:tab/>
        <w:t>Europaparlamentet beklagar att kommittén inte har antagit någon intern strategi för bedrägeribekämpning. Parlamentet påminner om sin uppmaning till kommittén i 2021 års ansvarsfrihetsresolution att inleda en intern bedrägeririskanalys och att samordna med andra behöriga avdelningar inom kommissionen i syfte att anta en lämplig intern bedrägeribekämpningsstrategi.</w:t>
      </w:r>
    </w:p>
    <w:p w:rsidR="00FF3A4E" w:rsidRPr="00845393" w:rsidRDefault="00FF3A4E" w:rsidP="00FF3A4E">
      <w:pPr>
        <w:pStyle w:val="NormalHanging12a"/>
        <w:rPr>
          <w:b/>
          <w:i/>
          <w:szCs w:val="24"/>
        </w:rPr>
      </w:pPr>
      <w:r w:rsidRPr="00845393">
        <w:rPr>
          <w:b/>
          <w:i/>
        </w:rPr>
        <w:t>Digitalisering, cybersäkerhet och dataskydd</w:t>
      </w:r>
    </w:p>
    <w:p w:rsidR="00FF3A4E" w:rsidRPr="00845393" w:rsidRDefault="00FF3A4E" w:rsidP="00FF3A4E">
      <w:pPr>
        <w:pStyle w:val="NormalHanging12a"/>
        <w:rPr>
          <w:szCs w:val="24"/>
        </w:rPr>
      </w:pPr>
      <w:r w:rsidRPr="00845393">
        <w:t>36.</w:t>
      </w:r>
      <w:r w:rsidRPr="00845393">
        <w:tab/>
        <w:t>Europaparlamentet noterar att kommitténs och EESK:s sammanlagda it-budget uppgick till 11 712 000 EUR för 2022, inbegripet en förstärkning på 750 000 EUR genom en intern budgetöverföring under året, jämfört med 12 860 000 EUR för 2021, dvs. en minskning med 9 %.</w:t>
      </w:r>
    </w:p>
    <w:p w:rsidR="00FF3A4E" w:rsidRPr="00845393" w:rsidRDefault="00FF3A4E" w:rsidP="00FF3A4E">
      <w:pPr>
        <w:pStyle w:val="NormalHanging12a"/>
        <w:rPr>
          <w:szCs w:val="24"/>
        </w:rPr>
      </w:pPr>
      <w:r w:rsidRPr="00845393">
        <w:t>37.</w:t>
      </w:r>
      <w:r w:rsidRPr="00845393">
        <w:tab/>
        <w:t xml:space="preserve">Europaparlamentet noterar att kommittén har en digital strategi som syftar till att tillhandahålla it-tjänster i enlighet med bästa praxis för it-förvaltning och samtidigt </w:t>
      </w:r>
      <w:r w:rsidRPr="00845393">
        <w:lastRenderedPageBreak/>
        <w:t>optimera användningen av mänskliga och ekonomiska resurser. Parlamentet noterar att kommittén arbetade med anpassning och utveckling av flera strategiska it-verktyg under 2022 i syfte att öka effektiviteten och ändamålsenligheten i kommitténs politiska arbete och i dess administrativa processer och arbetsflöden. Parlamentet noterar att det viktigaste it-infrastrukturprojektet under 2022 gällde en nödvändig anpassning av nätverkstopologin i det nya datorrummet i Jacques Delors-byggnaden (JDE) i linje med färdplanen för hybridmoln.</w:t>
      </w:r>
    </w:p>
    <w:p w:rsidR="00FF3A4E" w:rsidRPr="00845393" w:rsidRDefault="00FF3A4E" w:rsidP="00FF3A4E">
      <w:pPr>
        <w:pStyle w:val="NormalHanging12a"/>
        <w:rPr>
          <w:szCs w:val="24"/>
        </w:rPr>
      </w:pPr>
      <w:r w:rsidRPr="00845393">
        <w:t>38.</w:t>
      </w:r>
      <w:r w:rsidRPr="00845393">
        <w:tab/>
        <w:t>Europaparlamentet noterar att kommittén ökade antalet hybridsammanträden under 2022 för att anpassa sig till hybridarbete och för att linjera sin praxis med de nya riktlinjer för en mer kostnadseffektiv, ändamålsenlig och hållbar policy för tjänsteresor som kommitténs generalsekreterare skickade ut i juni 2022, vilket kräver att kommittén optimerar sitt arbetssätt och ersätter så många tjänsteresor som möjligt med videokonferenser. Parlamentet inser att detta nya arbetssätt har krävt en teknisk uppgradering av utrustningen för hybridsammanträdeslokaler.</w:t>
      </w:r>
    </w:p>
    <w:p w:rsidR="00FF3A4E" w:rsidRPr="00845393" w:rsidRDefault="00FF3A4E" w:rsidP="00FF3A4E">
      <w:pPr>
        <w:pStyle w:val="NormalHanging12a"/>
        <w:rPr>
          <w:szCs w:val="24"/>
        </w:rPr>
      </w:pPr>
      <w:r w:rsidRPr="00845393">
        <w:t>39.</w:t>
      </w:r>
      <w:r w:rsidRPr="00845393">
        <w:tab/>
        <w:t>Europaparlamentet noterar att kommittén antog nya interna dataskyddsregler under 2022, som innehåller begränsningar av vissa rättigheter för registrerade i samband med behandling av personuppgifter inom ramen för kommitténs verksamhet och förfaranden. Parlamentet noterar vidare att Europeiska datatillsynsmannen inte gjorde någon utredning eller förfrågan avseende kommitténs behandling av personuppgifter under 2022.</w:t>
      </w:r>
    </w:p>
    <w:p w:rsidR="00FF3A4E" w:rsidRPr="00845393" w:rsidRDefault="00FF3A4E" w:rsidP="00993CA6">
      <w:pPr>
        <w:pStyle w:val="NormalHanging12a"/>
        <w:widowControl/>
      </w:pPr>
      <w:r w:rsidRPr="00845393">
        <w:t>40.</w:t>
      </w:r>
      <w:r w:rsidRPr="00845393">
        <w:tab/>
        <w:t>Europaparlamentet noterar att kommittén inte utsattes för några cyberattacker under 2022. Parlamentet noterar att kommittén och EESK:s nya gemensamma direktorat för innovation och informationsteknik består av tre enheter, nämligen digital omvandling, digitala lösningar och digitala plattformar. Parlamentet noterar att enheten för digitala plattformar bland annat ansvarar för cybersäkerhet. Parlamentet uppmanar kommittén att informera den ansvarsfrihetsbeviljande myndigheten om hur inrättandet av denna nya struktur har bidragit till att förbättra cybersäkerhetsberedskapen hos dess personal, i linje med cybersäkerhetsramen NIST (</w:t>
      </w:r>
      <w:r w:rsidRPr="00845393">
        <w:rPr>
          <w:i/>
          <w:iCs/>
        </w:rPr>
        <w:t>National Institute of Standards and Technology</w:t>
      </w:r>
      <w:r w:rsidRPr="00845393">
        <w:t>) och i samarbete med cybersäkerhetstjänsten för unionens institutioner, organ och byråer (CERT-EU). Parlamentet uppmuntrar kommittén att öka sina ledamöters och sin personals medvetenhet om cybersäkerhet, att genomföra regelbundna riskbedömningar av sin it-infrastruktur och att säkerställa regelbundna revisioner och tester av sitt cyberförsvar.</w:t>
      </w:r>
    </w:p>
    <w:p w:rsidR="00FF3A4E" w:rsidRPr="00845393" w:rsidRDefault="00FF3A4E" w:rsidP="00FF3A4E">
      <w:pPr>
        <w:pStyle w:val="NormalHanging12a"/>
        <w:rPr>
          <w:szCs w:val="24"/>
        </w:rPr>
      </w:pPr>
      <w:r w:rsidRPr="00845393">
        <w:t>41.</w:t>
      </w:r>
      <w:r w:rsidRPr="00845393">
        <w:tab/>
        <w:t>Europaparlamentet välkomnar kommitténs insatser för att främja teknik med öppen källkod i sina egna system, särskilt de viktigaste operativa applikationerna, som används för att hantera kommitténs politiska arbete (Agora och Phoenix). Parlamentet noterar vidare att kommittén följer användningen av teknik med öppen källkod i sin årliga it</w:t>
      </w:r>
      <w:r w:rsidRPr="00845393">
        <w:noBreakHyphen/>
        <w:t>portfölj så att den tillämpas på nya applikationer.</w:t>
      </w:r>
    </w:p>
    <w:p w:rsidR="00FF3A4E" w:rsidRPr="00845393" w:rsidRDefault="00FF3A4E" w:rsidP="00FF3A4E">
      <w:pPr>
        <w:pStyle w:val="NormalHanging12a"/>
        <w:ind w:left="0" w:firstLine="0"/>
        <w:rPr>
          <w:b/>
          <w:i/>
          <w:szCs w:val="24"/>
        </w:rPr>
      </w:pPr>
      <w:r w:rsidRPr="00845393">
        <w:rPr>
          <w:b/>
          <w:i/>
        </w:rPr>
        <w:t>Byggnader</w:t>
      </w:r>
    </w:p>
    <w:p w:rsidR="00FF3A4E" w:rsidRPr="00845393" w:rsidRDefault="00FF3A4E" w:rsidP="00FF3A4E">
      <w:pPr>
        <w:pStyle w:val="NormalHanging12a"/>
        <w:rPr>
          <w:szCs w:val="24"/>
        </w:rPr>
      </w:pPr>
      <w:r w:rsidRPr="00845393">
        <w:t>42.</w:t>
      </w:r>
      <w:r w:rsidRPr="00845393">
        <w:tab/>
        <w:t xml:space="preserve">Europaparlamentet noterar att kommittén och EESK förlorade 5 000 m² i kontorsyta efter övertagandet av hyreskontraktet för utrikestjänstens tidigare byggnad vid Belliard 100 (B100), som började gälla i september 2021, samt bytet av byggnader mellan kommittén och EESK:s Belliard 68 (B68) och Trèves 74 (TRE74) och kommissionens Van Maerlant 2 (VMA), som började gälla i september 2022. Parlamentet noterar att inredningsarbeten i de två nyförvärvade byggnaderna var </w:t>
      </w:r>
      <w:r w:rsidRPr="00845393">
        <w:lastRenderedPageBreak/>
        <w:t>nödvändiga för att möjliggöra en tätare användning av kontorsyta. Parlamentet välkomnar att det under 2022 inrättades en gemensam arbetsgrupp för nya arbetssätt som ska reflektera över hur man kan optimera hur arbetet organiseras och hur kontorsyta används, samtidigt som miljöavtrycket minskas.</w:t>
      </w:r>
    </w:p>
    <w:p w:rsidR="00FF3A4E" w:rsidRPr="00845393" w:rsidRDefault="00FF3A4E" w:rsidP="00FF3A4E">
      <w:pPr>
        <w:pStyle w:val="NormalHanging12a"/>
      </w:pPr>
      <w:r w:rsidRPr="00845393">
        <w:t>43.</w:t>
      </w:r>
      <w:r w:rsidRPr="00845393">
        <w:tab/>
        <w:t>Europaparlamentet noterar att kommitténs totala budget för inredning av lokaler för 2022 uppgick till 883 792 EUR. Parlamentet noterar att de renoveringsarbeten som kommittén och EESK utfört på B100- och VMA-byggnaderna integrerade användningen av smart teknik med ett starkt miljöfokus. Parlamentet ber kommittén att tillhandahålla en uppdatering om avkastningen för investeringarna i dessa tekniska anläggningar, men manar ändå till försiktighet vad gäller långsiktiga åtaganden om ny kontorsyta innan dessa åtgärder undersökts fullt ut.</w:t>
      </w:r>
    </w:p>
    <w:p w:rsidR="00FF3A4E" w:rsidRPr="00845393" w:rsidRDefault="00FF3A4E" w:rsidP="00FF3A4E">
      <w:pPr>
        <w:pStyle w:val="NormalHanging12a"/>
        <w:rPr>
          <w:szCs w:val="24"/>
        </w:rPr>
      </w:pPr>
      <w:r w:rsidRPr="00845393">
        <w:t>44.</w:t>
      </w:r>
      <w:r w:rsidRPr="00845393">
        <w:tab/>
        <w:t>Europaparlamentet noterar att kommitténs och EESK:s fastighetsstrategi under 2022 fokuserade på den geografiska koncentrationen av byggnaderna, som uppnåddes genom att alla byggnader som används av kommittén och EESK kopplats samman med deras huvudbyggnad (JDE). Parlamentet välkomnar den nya fysiska anslutningen till parlamentets byggnader, som togs i drift i november 2022 och som erbjuder en direktare, enklare och 125 meter kortare gångväg mellan kommitténs och EESK:s byggnader och parlamentets byggnader.</w:t>
      </w:r>
    </w:p>
    <w:p w:rsidR="00FF3A4E" w:rsidRPr="00845393" w:rsidRDefault="00FF3A4E" w:rsidP="00993CA6">
      <w:pPr>
        <w:pStyle w:val="NormalHanging12a"/>
        <w:widowControl/>
        <w:rPr>
          <w:szCs w:val="24"/>
        </w:rPr>
      </w:pPr>
      <w:r w:rsidRPr="00845393">
        <w:t>45.</w:t>
      </w:r>
      <w:r w:rsidRPr="00845393">
        <w:tab/>
        <w:t>Europaparlamentet noterar att kommittén och EESK med början 2022 inledde ett flerårigt projekt kopplat till den tekniska uppgraderingen av tolkningssystemet för alla konferenslokaler. Parlamentet noterar att kommittén öronmärkte ett belopp på 200 000 EUR för detta projekt för 2022.</w:t>
      </w:r>
    </w:p>
    <w:p w:rsidR="00FF3A4E" w:rsidRPr="00845393" w:rsidRDefault="00FF3A4E" w:rsidP="00FF3A4E">
      <w:pPr>
        <w:pStyle w:val="NormalHanging12a"/>
        <w:rPr>
          <w:szCs w:val="24"/>
        </w:rPr>
      </w:pPr>
      <w:r w:rsidRPr="00845393">
        <w:t>46.</w:t>
      </w:r>
      <w:r w:rsidRPr="00845393">
        <w:tab/>
        <w:t>Europaparlamentet välkomnar kommitténs och EESK:s åtagande att systematiskt tillämpa principen om ”design för alla” på sin infrastruktur, där byggnadernas tillgänglighet säkerställs genom design. Parlamentet noterar att kommittén och EESK vidtog en rad olika åtgärder för att säkerställa tillgängligheten till sina byggnader för personer med olika typer av funktionsnedsättning.</w:t>
      </w:r>
    </w:p>
    <w:p w:rsidR="00FF3A4E" w:rsidRPr="00845393" w:rsidRDefault="00FF3A4E" w:rsidP="00FF3A4E">
      <w:pPr>
        <w:pStyle w:val="NormalHanging12a"/>
        <w:ind w:left="0" w:firstLine="0"/>
        <w:rPr>
          <w:b/>
          <w:i/>
          <w:szCs w:val="24"/>
        </w:rPr>
      </w:pPr>
      <w:r w:rsidRPr="00845393">
        <w:rPr>
          <w:b/>
          <w:i/>
        </w:rPr>
        <w:t>Miljö och hållbarhet</w:t>
      </w:r>
    </w:p>
    <w:p w:rsidR="00FF3A4E" w:rsidRPr="00845393" w:rsidRDefault="00FF3A4E" w:rsidP="00FF3A4E">
      <w:pPr>
        <w:pStyle w:val="NormalHanging12a"/>
        <w:rPr>
          <w:szCs w:val="24"/>
        </w:rPr>
      </w:pPr>
      <w:r w:rsidRPr="00845393">
        <w:t>47.</w:t>
      </w:r>
      <w:r w:rsidRPr="00845393">
        <w:tab/>
        <w:t>Europaparlamentet välkomnar den hållbara praxisen och i synnerhet kommitténs och EESK:s papperslösa strategi, som bidrog till att minska deras miljöavtryck i linje med deras digitala strategi. Parlamentet noterar att Phoenix-applikationen som användes för att stödja kommitténs politiska arbete anpassades 2022 för att generera koldioxidrapporter för resor och göra det möjligt för kommittén och EESK att beräkna sin koldioxidbalans. Parlamentet noterar att den handlingsplan som blev resultatet av förvaltningsrevisionen enligt ramen för miljölednings- och miljörevisionsordningen (Emas) genomfördes med åtgärder på områdena dokumentation, översyn av förfaranden, förbättring av planering, riskhantering och kontroll. Parlamentet gratulerar kommittén och EESK till att ha överträffat Emas-målen för 2021–2025, med undantag för målen för gasförbrukning.</w:t>
      </w:r>
    </w:p>
    <w:p w:rsidR="00FF3A4E" w:rsidRPr="00845393" w:rsidRDefault="00FF3A4E" w:rsidP="00FF3A4E">
      <w:pPr>
        <w:pStyle w:val="NormalHanging12a"/>
        <w:rPr>
          <w:szCs w:val="24"/>
        </w:rPr>
      </w:pPr>
      <w:r w:rsidRPr="00845393">
        <w:t>48.</w:t>
      </w:r>
      <w:r w:rsidRPr="00845393">
        <w:tab/>
        <w:t xml:space="preserve">Europaparlamentet noterar att den totala elproduktionen från solpaneler i kommitténs och EESK:s byggnader under 2022 uppgick till cirka 15,5 MWh, vilket motsvarar 0,25 % av kommitténs och EESK:s totala årliga förbrukning. Parlamentet noterar att per den 16 september 2022 var det endast JDE-byggnaden som var utrustad med solpaneler. Parlamentet är medvetet om att kommittén och EESK på grund av administrativa </w:t>
      </w:r>
      <w:r w:rsidRPr="00845393">
        <w:lastRenderedPageBreak/>
        <w:t>förfaranden kommer att drabbas av en försening innan de kan utöka sin installation av solpaneler.</w:t>
      </w:r>
    </w:p>
    <w:p w:rsidR="00FF3A4E" w:rsidRPr="00845393" w:rsidRDefault="00FF3A4E" w:rsidP="00FF3A4E">
      <w:pPr>
        <w:pStyle w:val="NormalHanging12a"/>
        <w:rPr>
          <w:szCs w:val="24"/>
        </w:rPr>
      </w:pPr>
      <w:r w:rsidRPr="00845393">
        <w:t>49.</w:t>
      </w:r>
      <w:r w:rsidRPr="00845393">
        <w:tab/>
        <w:t>Europaparlamentet noterar att kommittén har infört en plan för hållbar mobilitet som inbegriper ett ekonomiskt bidrag till personalens kollektivtrafikabonnemang samt medvetandehöjande åtgärder. Parlamentet noterar att ingen ny personalundersökning om mobilitet anordnades under 2022, men att en sådan undersökning planeras för 2024. Parlamentet välkomnar att 76 % av kommitténs personal använder miljövänliga färdmedel för att ta sig till och från arbetet.</w:t>
      </w:r>
    </w:p>
    <w:p w:rsidR="00FF3A4E" w:rsidRPr="00845393" w:rsidRDefault="00FF3A4E" w:rsidP="00FF3A4E">
      <w:pPr>
        <w:pStyle w:val="NormalHanging12a"/>
        <w:keepNext/>
        <w:keepLines/>
        <w:widowControl/>
        <w:rPr>
          <w:b/>
          <w:i/>
          <w:szCs w:val="24"/>
        </w:rPr>
      </w:pPr>
      <w:r w:rsidRPr="00845393">
        <w:rPr>
          <w:b/>
          <w:i/>
        </w:rPr>
        <w:t>Interinstitutionellt samarbete</w:t>
      </w:r>
    </w:p>
    <w:p w:rsidR="00FF3A4E" w:rsidRPr="00845393" w:rsidRDefault="00FF3A4E" w:rsidP="00993CA6">
      <w:pPr>
        <w:pStyle w:val="NormalHanging12a"/>
        <w:widowControl/>
        <w:rPr>
          <w:szCs w:val="24"/>
        </w:rPr>
      </w:pPr>
      <w:r w:rsidRPr="00845393">
        <w:t>50.</w:t>
      </w:r>
      <w:r w:rsidRPr="00845393">
        <w:tab/>
        <w:t>Europaparlamentet välkomnar de budgetmässiga och administrativa besparingar som åstadkommits genom interinstitutionellt samarbete, särskilt det nära samarbete som inrättats på administrativ nivå med EESK, med vilken kommittén delar lokaler och samfunktioner på områdena översättning, infrastruktur, logistik och it, samtidigt som man behåller sin fulla institutionella autonomi. Parlamentet noterar att ett gemensamt direktorat för innovation och informationsteknik inrättades den 1 oktober 2022 som en del av det nya samarbetsavtal som undertecknades mellan kommittén och EESK 2022. Parlamentet noterar vidare att 470 anställda och 55 miljoner EUR från kommittén och EESK sammanförts under 2022, exklusive lönerelaterade utgifter. Parlamentet uppmanar kommittén att fortsätta och utvidga detta samarbete på andra områden i syfte att undvika dubbelarbete och ytterligare rationalisera driftskostnaderna för de tjänster som finns i de lokaler som delas mellan kommittén och EESK. Parlamentet uppmanar kommittén och EESK att undersöka möjligheten att inrätta en enda förvaltning för sina samfunktioner, och behålla separata direktorat eller enheter för de funktioner som hanterar frågor som rör deras specifika och oberoende mandat.</w:t>
      </w:r>
    </w:p>
    <w:p w:rsidR="00FF3A4E" w:rsidRPr="00845393" w:rsidRDefault="00FF3A4E" w:rsidP="00FF3A4E">
      <w:pPr>
        <w:pStyle w:val="NormalHanging12a"/>
        <w:rPr>
          <w:szCs w:val="24"/>
        </w:rPr>
      </w:pPr>
      <w:r w:rsidRPr="00845393">
        <w:t>51.</w:t>
      </w:r>
      <w:r w:rsidRPr="00845393">
        <w:tab/>
        <w:t>Europaparlamentet välkomnar kommitténs strävan efter synergier genom att köpa tjänster från andra institutioner genom servicenivåavtal och genom att delta i interinstitutionella samordningsorgan och interinstitutionella upphandlingsförfaranden.</w:t>
      </w:r>
    </w:p>
    <w:p w:rsidR="00FF3A4E" w:rsidRPr="00845393" w:rsidRDefault="00FF3A4E" w:rsidP="00FF3A4E">
      <w:pPr>
        <w:pStyle w:val="NormalHanging12a"/>
        <w:rPr>
          <w:szCs w:val="24"/>
        </w:rPr>
      </w:pPr>
      <w:r w:rsidRPr="00845393">
        <w:t>52.</w:t>
      </w:r>
      <w:r w:rsidRPr="00845393">
        <w:tab/>
        <w:t>Europaparlamentet uppmanar kommittén att fortsätta att undersöka synergier med andra institutioner, både när det gäller logistik, digitala tjänster, chaufförstjänster och andra administrativa uppgifter, samt viss utåtriktad verksamhet och kommunikationsverksamhet, särskilt i medlemsstaterna, där kommitténs ledamöter inte har samma stödnätverk och är helt beroende av sin egen lokala personal.</w:t>
      </w:r>
    </w:p>
    <w:p w:rsidR="00FF3A4E" w:rsidRPr="00845393" w:rsidRDefault="00FF3A4E" w:rsidP="00FF3A4E">
      <w:pPr>
        <w:pStyle w:val="NormalHanging12a"/>
        <w:rPr>
          <w:szCs w:val="24"/>
        </w:rPr>
      </w:pPr>
      <w:r w:rsidRPr="00845393">
        <w:t>53.</w:t>
      </w:r>
      <w:r w:rsidRPr="00845393">
        <w:tab/>
        <w:t>Europaparlamentet välkomnar kommitténs beredvillighet att vidareutveckla sitt samarbete med andra institutioner, särskilt parlamentet, inför Europaparlamentsvalet 2024 genom en färdplan som förutser en ytterligare intensifiering av samarbetet och en större roll för kommittén och de lokala och regionala myndigheterna i detta sammanhang. Parlamentet noterar översynen samarbetsavtalen med parlamentet och kommissionen, i enlighet med talmanskonferensens beslut i november 2022.</w:t>
      </w:r>
    </w:p>
    <w:p w:rsidR="00FF3A4E" w:rsidRPr="00845393" w:rsidRDefault="00FF3A4E" w:rsidP="00FF3A4E">
      <w:pPr>
        <w:pStyle w:val="NormalHanging12a"/>
        <w:rPr>
          <w:szCs w:val="24"/>
        </w:rPr>
      </w:pPr>
      <w:r w:rsidRPr="00845393">
        <w:t>54.</w:t>
      </w:r>
      <w:r w:rsidRPr="00845393">
        <w:tab/>
        <w:t xml:space="preserve">Parlamentet noterar att kommittén samarbetar med kommissionen (mot en årlig avgift) avseende hanteringen av personalfrågor och användningen av olika it-plattformar för ekonomisk förvaltning och personalförvaltning. Parlamentet noterar att kommittén håller sina plenarsammanträden i parlamentets och kommissionens lokaler för att kompensera för bristen på kapacitet i sina egna konferenslokaler och att kommittén köper tolktjänster från dessa två institutioner. Parlamentet noterar att kommittén har </w:t>
      </w:r>
      <w:r w:rsidRPr="00845393">
        <w:lastRenderedPageBreak/>
        <w:t>undersökt möjligheterna att använda distanstolkning med tanke på den snabba utvecklingen av denna sektor.</w:t>
      </w:r>
    </w:p>
    <w:p w:rsidR="00FF3A4E" w:rsidRPr="00845393" w:rsidRDefault="00FF3A4E" w:rsidP="00FF3A4E">
      <w:pPr>
        <w:pStyle w:val="NormalHanging12a"/>
        <w:rPr>
          <w:szCs w:val="24"/>
        </w:rPr>
      </w:pPr>
      <w:r w:rsidRPr="00845393">
        <w:t>55.</w:t>
      </w:r>
      <w:r w:rsidRPr="00845393">
        <w:tab/>
        <w:t>Europaparlamentet noterar att kommittén främjar synligheten och de konkreta resultaten av sitt arbete som bygger på interinstitutionellt samarbete genom riktade presentationer av sina betänkanden för andra institutioner, t.ex. presentationer av 11 betänkanden för parlamentet under 2022, bilaterala möten på föredragandenivå, politiska utbyten under formella evenemang och konferenser, riktad spridning av yttranden och arbete i nätverk.</w:t>
      </w:r>
    </w:p>
    <w:p w:rsidR="00FF3A4E" w:rsidRPr="00845393" w:rsidRDefault="00FF3A4E" w:rsidP="00FF3A4E">
      <w:pPr>
        <w:pStyle w:val="NormalHanging12a"/>
        <w:keepNext/>
        <w:keepLines/>
        <w:widowControl/>
        <w:rPr>
          <w:b/>
          <w:i/>
          <w:szCs w:val="24"/>
        </w:rPr>
      </w:pPr>
      <w:r w:rsidRPr="00845393">
        <w:rPr>
          <w:b/>
          <w:i/>
        </w:rPr>
        <w:t>Kommunikation</w:t>
      </w:r>
    </w:p>
    <w:p w:rsidR="00FF3A4E" w:rsidRPr="00845393" w:rsidRDefault="00FF3A4E" w:rsidP="00993CA6">
      <w:pPr>
        <w:pStyle w:val="NormalHanging12a"/>
        <w:widowControl/>
        <w:rPr>
          <w:szCs w:val="24"/>
        </w:rPr>
      </w:pPr>
      <w:r w:rsidRPr="00845393">
        <w:t>56.</w:t>
      </w:r>
      <w:r w:rsidRPr="00845393">
        <w:tab/>
        <w:t>Europaparlamentet noterar att kommitténs totala budget för kommunikation 2022 uppgick till 2,2 miljoner EUR, jämfört med 2,1 miljoner EUR 2021, dvs. en ökning med 4 %. Parlamentet noterar att inom denna budget användes cirka 439 000 EUR för evenemang, 795 000 EUR för medier och 1 099 000 EUR för digital kommunikation. Parlamentet noterar att syftet med kommitténs meddelande är att stärka kommitténs institutionella och politiska profil som församling för unionens regioner, städer, byar och kommuner samt dess ledamöters roll.</w:t>
      </w:r>
    </w:p>
    <w:p w:rsidR="00FF3A4E" w:rsidRPr="00845393" w:rsidRDefault="00FF3A4E" w:rsidP="00FF3A4E">
      <w:pPr>
        <w:pStyle w:val="NormalHanging12a"/>
        <w:rPr>
          <w:szCs w:val="24"/>
        </w:rPr>
      </w:pPr>
      <w:r w:rsidRPr="00845393">
        <w:t>57</w:t>
      </w:r>
      <w:r w:rsidR="00731DE4">
        <w:t>.</w:t>
      </w:r>
      <w:bookmarkStart w:id="9" w:name="_GoBack"/>
      <w:bookmarkEnd w:id="9"/>
      <w:r w:rsidRPr="00845393">
        <w:tab/>
        <w:t>Europaparlamentet noterar att kommittén under 2022 fortsatte att stå värd för de regelbundna mötena mellan generaldirektörerna för kommunikation från alla EU</w:t>
      </w:r>
      <w:r w:rsidRPr="00845393">
        <w:noBreakHyphen/>
        <w:t>institutioner, med fokus på utarbetandet av samordnade kommunikationsåtgärder inför valet till Europaparlamentet 2024. Parlamentet uppmuntrar kommittén att fortsätta att stödja parlamentets institutionella kommunikationskampanj inför valet till Europaparlamentet 2024 genom sina lokala och regionala nätverk.</w:t>
      </w:r>
    </w:p>
    <w:p w:rsidR="00FF3A4E" w:rsidRPr="00845393" w:rsidRDefault="00FF3A4E" w:rsidP="00FF3A4E">
      <w:pPr>
        <w:pStyle w:val="NormalHanging12a"/>
        <w:rPr>
          <w:szCs w:val="24"/>
        </w:rPr>
      </w:pPr>
      <w:r w:rsidRPr="00845393">
        <w:t>58.</w:t>
      </w:r>
      <w:r w:rsidRPr="00845393">
        <w:tab/>
        <w:t>Europaparlamentet välkomnar den datadrivna kommunikationsstrategi som kommittén tagit fram för att överbrygga klyftan till unionsmedborgarna på lokal och regional nivå med hjälp av kanaler med multiplikatoreffekt, såsom de europeiska nätverken av regionala och lokala rådgivare, som hade 2 037 registrerade medlemmar i slutet av 2022, och programmet för unga folkvalda politiker, med 775 deltagare i evenemang under 2022, dvs. en ökning med 15 % jämfört med 2021. Parlamentet noterar att kommittén också tillhandahöll utbildningar och kapacitetsuppbyggnad för lokala och regionala myndigheter avseende medborgarengagemang och deltagandedemokrati, kallat ”Ett nytt kapitel för deltagandedemokratin”. Parlamentet noterar att kommitténs presidium i november 2022 uppmanade varje ledamot att hålla minst en dialog i sin valkrets varje år. Parlamentet noterar att kommittén skapade synergier med nätverket av Europa direkt-centrum i medlemsstaterna när det gäller anordnande av lokala evenemang.</w:t>
      </w:r>
    </w:p>
    <w:p w:rsidR="00FF3A4E" w:rsidRPr="00845393" w:rsidRDefault="00FF3A4E" w:rsidP="00FF3A4E">
      <w:pPr>
        <w:pStyle w:val="NormalHanging12a"/>
        <w:rPr>
          <w:szCs w:val="24"/>
        </w:rPr>
      </w:pPr>
      <w:r w:rsidRPr="00845393">
        <w:t>59.</w:t>
      </w:r>
      <w:r w:rsidRPr="00845393">
        <w:tab/>
        <w:t>Europaparlamentet noterar att kommittén fortsatte att genomföra tre kommunikationskampanjer under 2022 i linje med de politiska prioriteringarna för mandatperioden 2020–2025 om att föra Europa närmare medborgarna, bygga upp motståndskraftiga regionala och lokala samhällen och främja sammanhållning som ett grundläggande värde för unionen. Parlamentet välkomnar kommitténs ansträngningar att bredda sin publik genom digital kommunikation och insatser för att nå ut i medierna, med 18 890 omnämnanden i medierna under 2022, dvs. en ökning med 20 % mellan 2020 och 2022.</w:t>
      </w:r>
    </w:p>
    <w:p w:rsidR="00FF3A4E" w:rsidRPr="00845393" w:rsidRDefault="00FF3A4E" w:rsidP="00FF3A4E">
      <w:pPr>
        <w:pStyle w:val="NormalHanging12a"/>
        <w:rPr>
          <w:szCs w:val="24"/>
        </w:rPr>
      </w:pPr>
      <w:r w:rsidRPr="00845393">
        <w:t>60.</w:t>
      </w:r>
      <w:r w:rsidRPr="00845393">
        <w:tab/>
        <w:t xml:space="preserve">Europaparlamentet noterar att kommittén i slutet av 2022 hade 175 000 följare på sina sociala mediekanaler, dvs. 16 % fler än under 2021, varav 54 800 följare (en ökning </w:t>
      </w:r>
      <w:r w:rsidRPr="00845393">
        <w:lastRenderedPageBreak/>
        <w:t>med 8 %) på X (tidigare Twitter), 58 100 (en ökning med 6 %) på Facebook, 52 100 (en ökning med 33 %) på LinkedIn och 10 500 (en ökning med 67 %) på Instagram.</w:t>
      </w:r>
    </w:p>
    <w:p w:rsidR="00FF3A4E" w:rsidRPr="00123900" w:rsidRDefault="00FF3A4E" w:rsidP="00FF3A4E">
      <w:pPr>
        <w:pStyle w:val="NormalHanging12a"/>
        <w:widowControl/>
      </w:pPr>
      <w:r w:rsidRPr="00845393">
        <w:t>61.</w:t>
      </w:r>
      <w:r w:rsidRPr="00845393">
        <w:tab/>
        <w:t>Europaparlamentet noterar att kommittén bidrar till kommissionens portal för öppna data med dataset bestående av ledamöternas data och opinionsdata, men även använder och främjar öppna data bland lokala och regionala myndigheter, och därmed stöder ökad insyn i dess verksamhet genom fritt tillgängliga data i mänskligt läsbara och maskinläsbara format och stärker dess koppling till medborgarna.</w:t>
      </w:r>
    </w:p>
    <w:sectPr w:rsidR="00FF3A4E" w:rsidRPr="00123900" w:rsidSect="00123900">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5D3D" w:rsidRPr="00123900" w:rsidRDefault="00E05D3D">
      <w:r w:rsidRPr="00123900">
        <w:separator/>
      </w:r>
    </w:p>
  </w:endnote>
  <w:endnote w:type="continuationSeparator" w:id="0">
    <w:p w:rsidR="00E05D3D" w:rsidRPr="00123900" w:rsidRDefault="00E05D3D">
      <w:r w:rsidRPr="001239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3A4E" w:rsidRPr="00123900" w:rsidRDefault="00FF3A4E" w:rsidP="00EE58A2">
    <w:pPr>
      <w:pStyle w:val="EPFooter"/>
    </w:pPr>
    <w:r w:rsidRPr="00123900">
      <w:t>PE</w:t>
    </w:r>
    <w:r w:rsidRPr="00123900">
      <w:rPr>
        <w:rStyle w:val="HideTWBExt"/>
      </w:rPr>
      <w:t>&lt;NoPE&gt;</w:t>
    </w:r>
    <w:r w:rsidRPr="00123900">
      <w:t>753.484</w:t>
    </w:r>
    <w:r w:rsidRPr="00123900">
      <w:rPr>
        <w:rStyle w:val="HideTWBExt"/>
      </w:rPr>
      <w:t>&lt;/NoPE&gt;&lt;Version&gt;</w:t>
    </w:r>
    <w:r w:rsidRPr="00123900">
      <w:t>v02-00</w:t>
    </w:r>
    <w:r w:rsidRPr="00123900">
      <w:rPr>
        <w:rStyle w:val="HideTWBExt"/>
      </w:rPr>
      <w:t>&lt;/Version&gt;</w:t>
    </w:r>
    <w:r w:rsidRPr="00123900">
      <w:tab/>
    </w:r>
    <w:r w:rsidRPr="00123900">
      <w:fldChar w:fldCharType="begin"/>
    </w:r>
    <w:r w:rsidRPr="00123900">
      <w:instrText xml:space="preserve"> PAGE  \* MERGEFORMAT </w:instrText>
    </w:r>
    <w:r w:rsidRPr="00123900">
      <w:fldChar w:fldCharType="separate"/>
    </w:r>
    <w:r w:rsidRPr="00123900">
      <w:rPr>
        <w:noProof/>
      </w:rPr>
      <w:t>2</w:t>
    </w:r>
    <w:r w:rsidRPr="00123900">
      <w:fldChar w:fldCharType="end"/>
    </w:r>
    <w:r w:rsidRPr="00123900">
      <w:t>/</w:t>
    </w:r>
    <w:r w:rsidR="00731DE4">
      <w:fldChar w:fldCharType="begin"/>
    </w:r>
    <w:r w:rsidR="00731DE4">
      <w:instrText xml:space="preserve"> NUMPAGES  \* MERGEFORMAT </w:instrText>
    </w:r>
    <w:r w:rsidR="00731DE4">
      <w:fldChar w:fldCharType="separate"/>
    </w:r>
    <w:r w:rsidRPr="00123900">
      <w:rPr>
        <w:noProof/>
      </w:rPr>
      <w:t>2</w:t>
    </w:r>
    <w:r w:rsidR="00731DE4">
      <w:rPr>
        <w:noProof/>
      </w:rPr>
      <w:fldChar w:fldCharType="end"/>
    </w:r>
    <w:r w:rsidRPr="00123900">
      <w:tab/>
    </w:r>
    <w:r w:rsidRPr="00123900">
      <w:rPr>
        <w:rStyle w:val="HideTWBExt"/>
      </w:rPr>
      <w:t>&lt;PathFdR&gt;</w:t>
    </w:r>
    <w:r w:rsidRPr="00123900">
      <w:t>RR\1298489SV.docx</w:t>
    </w:r>
    <w:r w:rsidRPr="00123900">
      <w:rPr>
        <w:rStyle w:val="HideTWBExt"/>
      </w:rPr>
      <w:t>&lt;/PathFdR&gt;</w:t>
    </w:r>
  </w:p>
  <w:p w:rsidR="00FF3A4E" w:rsidRPr="00123900" w:rsidRDefault="00FF3A4E" w:rsidP="00EE58A2">
    <w:pPr>
      <w:pStyle w:val="EPFooter2"/>
    </w:pPr>
    <w:r w:rsidRPr="00123900">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3A4E" w:rsidRPr="00123900" w:rsidRDefault="00FF3A4E" w:rsidP="00EE58A2">
    <w:pPr>
      <w:pStyle w:val="EPFooter"/>
    </w:pPr>
    <w:r w:rsidRPr="00123900">
      <w:rPr>
        <w:rStyle w:val="HideTWBExt"/>
      </w:rPr>
      <w:t>&lt;PathFdR&gt;</w:t>
    </w:r>
    <w:r w:rsidRPr="00123900">
      <w:t>RR\1298489SV.docx</w:t>
    </w:r>
    <w:r w:rsidRPr="00123900">
      <w:rPr>
        <w:rStyle w:val="HideTWBExt"/>
      </w:rPr>
      <w:t>&lt;/PathFdR&gt;</w:t>
    </w:r>
    <w:r w:rsidRPr="00123900">
      <w:tab/>
    </w:r>
    <w:r w:rsidRPr="00123900">
      <w:tab/>
      <w:t>PE</w:t>
    </w:r>
    <w:r w:rsidRPr="00123900">
      <w:rPr>
        <w:rStyle w:val="HideTWBExt"/>
      </w:rPr>
      <w:t>&lt;NoPE&gt;</w:t>
    </w:r>
    <w:r w:rsidRPr="00123900">
      <w:t>753.484</w:t>
    </w:r>
    <w:r w:rsidRPr="00123900">
      <w:rPr>
        <w:rStyle w:val="HideTWBExt"/>
      </w:rPr>
      <w:t>&lt;/NoPE&gt;&lt;Version&gt;</w:t>
    </w:r>
    <w:r w:rsidRPr="00123900">
      <w:t>v02-00</w:t>
    </w:r>
    <w:r w:rsidRPr="00123900">
      <w:rPr>
        <w:rStyle w:val="HideTWBExt"/>
      </w:rPr>
      <w:t>&lt;/Version&gt;</w:t>
    </w:r>
  </w:p>
  <w:p w:rsidR="00FF3A4E" w:rsidRPr="00123900" w:rsidRDefault="00FF3A4E" w:rsidP="00EE58A2">
    <w:pPr>
      <w:pStyle w:val="EPFooter2"/>
    </w:pPr>
    <w:r w:rsidRPr="00123900">
      <w:t>SV</w:t>
    </w:r>
    <w:r w:rsidRPr="00123900">
      <w:tab/>
    </w:r>
    <w:r w:rsidRPr="00123900">
      <w:rPr>
        <w:b w:val="0"/>
        <w:i/>
        <w:color w:val="C0C0C0"/>
        <w:sz w:val="22"/>
      </w:rPr>
      <w:t>Förenade i mångfalden</w:t>
    </w:r>
    <w:r w:rsidRPr="00123900">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3900"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390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390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5D3D" w:rsidRPr="00123900" w:rsidRDefault="00E05D3D">
      <w:r w:rsidRPr="00123900">
        <w:separator/>
      </w:r>
    </w:p>
  </w:footnote>
  <w:footnote w:type="continuationSeparator" w:id="0">
    <w:p w:rsidR="00E05D3D" w:rsidRPr="00123900" w:rsidRDefault="00E05D3D">
      <w:r w:rsidRPr="00123900">
        <w:continuationSeparator/>
      </w:r>
    </w:p>
  </w:footnote>
  <w:footnote w:id="1">
    <w:p w:rsidR="00FF3A4E" w:rsidRPr="00993CA6" w:rsidRDefault="00FF3A4E" w:rsidP="00123900">
      <w:pPr>
        <w:pStyle w:val="FootnoteText"/>
        <w:ind w:left="567" w:hanging="567"/>
        <w:rPr>
          <w:sz w:val="24"/>
        </w:rPr>
      </w:pPr>
      <w:r w:rsidRPr="00993CA6">
        <w:rPr>
          <w:rStyle w:val="FootnoteReference"/>
          <w:sz w:val="24"/>
          <w:lang w:val="sv-SE"/>
        </w:rPr>
        <w:footnoteRef/>
      </w:r>
      <w:r w:rsidR="00123900" w:rsidRPr="00993CA6">
        <w:rPr>
          <w:sz w:val="24"/>
        </w:rPr>
        <w:t xml:space="preserve"> </w:t>
      </w:r>
      <w:r w:rsidR="00123900" w:rsidRPr="00993CA6">
        <w:rPr>
          <w:sz w:val="24"/>
        </w:rPr>
        <w:tab/>
      </w:r>
      <w:r w:rsidRPr="00993CA6">
        <w:rPr>
          <w:sz w:val="24"/>
        </w:rPr>
        <w:t>EUT L 45, 24.2.2022.</w:t>
      </w:r>
    </w:p>
  </w:footnote>
  <w:footnote w:id="2">
    <w:p w:rsidR="00FF3A4E" w:rsidRPr="00993CA6" w:rsidRDefault="00FF3A4E" w:rsidP="00123900">
      <w:pPr>
        <w:pStyle w:val="FootnoteText"/>
        <w:ind w:left="567" w:hanging="567"/>
        <w:rPr>
          <w:sz w:val="24"/>
        </w:rPr>
      </w:pPr>
      <w:r w:rsidRPr="00993CA6">
        <w:rPr>
          <w:rStyle w:val="FootnoteReference"/>
          <w:sz w:val="24"/>
          <w:lang w:val="sv-SE"/>
        </w:rPr>
        <w:footnoteRef/>
      </w:r>
      <w:r w:rsidR="00123900" w:rsidRPr="00993CA6">
        <w:rPr>
          <w:sz w:val="24"/>
        </w:rPr>
        <w:t xml:space="preserve"> </w:t>
      </w:r>
      <w:r w:rsidR="00123900" w:rsidRPr="00993CA6">
        <w:rPr>
          <w:sz w:val="24"/>
        </w:rPr>
        <w:tab/>
      </w:r>
      <w:r w:rsidRPr="00993CA6">
        <w:rPr>
          <w:sz w:val="24"/>
        </w:rPr>
        <w:t>EUT C, C/2023/2, 12.10.2023.</w:t>
      </w:r>
    </w:p>
  </w:footnote>
  <w:footnote w:id="3">
    <w:p w:rsidR="00FF3A4E" w:rsidRPr="00993CA6" w:rsidRDefault="00FF3A4E" w:rsidP="00123900">
      <w:pPr>
        <w:pStyle w:val="FootnoteText"/>
        <w:ind w:left="567" w:hanging="567"/>
        <w:rPr>
          <w:sz w:val="24"/>
        </w:rPr>
      </w:pPr>
      <w:r w:rsidRPr="00993CA6">
        <w:rPr>
          <w:rStyle w:val="FootnoteReference"/>
          <w:sz w:val="24"/>
          <w:lang w:val="sv-SE"/>
        </w:rPr>
        <w:footnoteRef/>
      </w:r>
      <w:r w:rsidR="00123900" w:rsidRPr="00993CA6">
        <w:rPr>
          <w:sz w:val="24"/>
        </w:rPr>
        <w:t xml:space="preserve"> </w:t>
      </w:r>
      <w:r w:rsidR="00123900" w:rsidRPr="00993CA6">
        <w:rPr>
          <w:sz w:val="24"/>
        </w:rPr>
        <w:tab/>
      </w:r>
      <w:r w:rsidRPr="00993CA6">
        <w:rPr>
          <w:sz w:val="24"/>
        </w:rPr>
        <w:t>EUT C, C/2023/103, 4.10.2023.</w:t>
      </w:r>
    </w:p>
  </w:footnote>
  <w:footnote w:id="4">
    <w:p w:rsidR="00FF3A4E" w:rsidRPr="00993CA6" w:rsidRDefault="00FF3A4E" w:rsidP="00123900">
      <w:pPr>
        <w:pStyle w:val="FootnoteText"/>
        <w:ind w:left="567" w:hanging="567"/>
        <w:rPr>
          <w:sz w:val="24"/>
        </w:rPr>
      </w:pPr>
      <w:r w:rsidRPr="00993CA6">
        <w:rPr>
          <w:rStyle w:val="FootnoteReference"/>
          <w:sz w:val="24"/>
          <w:lang w:val="sv-SE"/>
        </w:rPr>
        <w:footnoteRef/>
      </w:r>
      <w:r w:rsidR="00123900" w:rsidRPr="00993CA6">
        <w:rPr>
          <w:sz w:val="24"/>
        </w:rPr>
        <w:t xml:space="preserve"> </w:t>
      </w:r>
      <w:r w:rsidR="00123900" w:rsidRPr="00993CA6">
        <w:rPr>
          <w:sz w:val="24"/>
        </w:rPr>
        <w:tab/>
      </w:r>
      <w:r w:rsidRPr="00993CA6">
        <w:rPr>
          <w:sz w:val="24"/>
        </w:rPr>
        <w:t>EUT C, C/2023/112, 12.10.2023.</w:t>
      </w:r>
    </w:p>
  </w:footnote>
  <w:footnote w:id="5">
    <w:p w:rsidR="00FF3A4E" w:rsidRPr="00993CA6" w:rsidRDefault="00FF3A4E" w:rsidP="00123900">
      <w:pPr>
        <w:pStyle w:val="FootnoteText"/>
        <w:ind w:left="567" w:hanging="567"/>
        <w:rPr>
          <w:sz w:val="24"/>
        </w:rPr>
      </w:pPr>
      <w:r w:rsidRPr="00993CA6">
        <w:rPr>
          <w:rStyle w:val="FootnoteReference"/>
          <w:sz w:val="24"/>
          <w:lang w:val="sv-SE"/>
        </w:rPr>
        <w:footnoteRef/>
      </w:r>
      <w:r w:rsidR="00123900" w:rsidRPr="00993CA6">
        <w:rPr>
          <w:sz w:val="24"/>
        </w:rPr>
        <w:t xml:space="preserve"> </w:t>
      </w:r>
      <w:r w:rsidR="00123900" w:rsidRPr="00993CA6">
        <w:rPr>
          <w:sz w:val="24"/>
        </w:rPr>
        <w:tab/>
      </w:r>
      <w:r w:rsidRPr="00993CA6">
        <w:rPr>
          <w:sz w:val="24"/>
        </w:rPr>
        <w:t>EUT L 193, 30.7.2018, s. 1.</w:t>
      </w:r>
    </w:p>
  </w:footnote>
  <w:footnote w:id="6">
    <w:p w:rsidR="00FF3A4E" w:rsidRPr="00993CA6" w:rsidRDefault="00FF3A4E" w:rsidP="00123900">
      <w:pPr>
        <w:pStyle w:val="FootnoteText"/>
        <w:ind w:left="567" w:hanging="567"/>
        <w:rPr>
          <w:sz w:val="24"/>
        </w:rPr>
      </w:pPr>
      <w:r w:rsidRPr="00993CA6">
        <w:rPr>
          <w:rStyle w:val="FootnoteReference"/>
          <w:sz w:val="24"/>
          <w:lang w:val="sv-SE"/>
        </w:rPr>
        <w:footnoteRef/>
      </w:r>
      <w:r w:rsidR="00123900" w:rsidRPr="00993CA6">
        <w:rPr>
          <w:sz w:val="24"/>
        </w:rPr>
        <w:t xml:space="preserve"> </w:t>
      </w:r>
      <w:r w:rsidR="00123900" w:rsidRPr="00993CA6">
        <w:rPr>
          <w:sz w:val="24"/>
        </w:rPr>
        <w:tab/>
      </w:r>
      <w:r w:rsidRPr="00993CA6">
        <w:rPr>
          <w:sz w:val="24"/>
        </w:rPr>
        <w:t>EUT C 324, 1.10.2020, s. 8.</w:t>
      </w:r>
    </w:p>
  </w:footnote>
  <w:footnote w:id="7">
    <w:p w:rsidR="00FF3A4E" w:rsidRPr="00993CA6" w:rsidRDefault="00FF3A4E" w:rsidP="00123900">
      <w:pPr>
        <w:pStyle w:val="FootnoteText"/>
        <w:ind w:left="567" w:hanging="567"/>
        <w:rPr>
          <w:sz w:val="24"/>
        </w:rPr>
      </w:pPr>
      <w:r w:rsidRPr="00993CA6">
        <w:rPr>
          <w:rStyle w:val="FootnoteReference"/>
          <w:sz w:val="24"/>
          <w:lang w:val="sv-SE"/>
        </w:rPr>
        <w:footnoteRef/>
      </w:r>
      <w:r w:rsidR="00123900" w:rsidRPr="00993CA6">
        <w:rPr>
          <w:sz w:val="24"/>
        </w:rPr>
        <w:t xml:space="preserve"> </w:t>
      </w:r>
      <w:r w:rsidR="00123900" w:rsidRPr="00993CA6">
        <w:rPr>
          <w:sz w:val="24"/>
        </w:rPr>
        <w:tab/>
      </w:r>
      <w:r w:rsidRPr="00993CA6">
        <w:rPr>
          <w:sz w:val="24"/>
        </w:rPr>
        <w:t xml:space="preserve">EUT C 32, 27.1.2023, </w:t>
      </w:r>
      <w:r w:rsidR="007D1C64" w:rsidRPr="00993CA6">
        <w:rPr>
          <w:sz w:val="24"/>
        </w:rPr>
        <w:t>s</w:t>
      </w:r>
      <w:r w:rsidRPr="00993CA6">
        <w:rPr>
          <w:sz w:val="24"/>
        </w:rPr>
        <w:t>. 42.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390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390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390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3/2024"/>
    <w:docVar w:name="dvlangue" w:val="SV"/>
    <w:docVar w:name="dvnumam" w:val="0"/>
    <w:docVar w:name="dvpe" w:val="753.484"/>
    <w:docVar w:name="dvrapporteur" w:val="Föredragande: "/>
    <w:docVar w:name="dvtitre" w:val="Europaparlamentets beslut av den xx xx 2024 om ansvarsfrihet för genomförandet av Europeiska unionens allmänna budget för budgetåret 2022, avsnitt VII – Regionkommittén(2023/2136(DEC))"/>
  </w:docVars>
  <w:rsids>
    <w:rsidRoot w:val="00E05D3D"/>
    <w:rsid w:val="00001F3F"/>
    <w:rsid w:val="00002272"/>
    <w:rsid w:val="00064002"/>
    <w:rsid w:val="000677B9"/>
    <w:rsid w:val="000831BA"/>
    <w:rsid w:val="000A42CC"/>
    <w:rsid w:val="000E7DD9"/>
    <w:rsid w:val="0010095E"/>
    <w:rsid w:val="00123900"/>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5A02"/>
    <w:rsid w:val="00560270"/>
    <w:rsid w:val="005C2568"/>
    <w:rsid w:val="006037C0"/>
    <w:rsid w:val="006631B6"/>
    <w:rsid w:val="00680577"/>
    <w:rsid w:val="006F74FA"/>
    <w:rsid w:val="00731ADD"/>
    <w:rsid w:val="00731DE4"/>
    <w:rsid w:val="00734777"/>
    <w:rsid w:val="00747932"/>
    <w:rsid w:val="00751A4A"/>
    <w:rsid w:val="00756632"/>
    <w:rsid w:val="00762C74"/>
    <w:rsid w:val="00786EC0"/>
    <w:rsid w:val="007D1690"/>
    <w:rsid w:val="007D1C64"/>
    <w:rsid w:val="007E22AD"/>
    <w:rsid w:val="00817416"/>
    <w:rsid w:val="00842779"/>
    <w:rsid w:val="00845393"/>
    <w:rsid w:val="00865F67"/>
    <w:rsid w:val="00872C52"/>
    <w:rsid w:val="00881A7B"/>
    <w:rsid w:val="008840E5"/>
    <w:rsid w:val="00887B3E"/>
    <w:rsid w:val="008C2AC6"/>
    <w:rsid w:val="00930C23"/>
    <w:rsid w:val="0093193B"/>
    <w:rsid w:val="009509D8"/>
    <w:rsid w:val="00950B64"/>
    <w:rsid w:val="00981893"/>
    <w:rsid w:val="00993CA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5D3D"/>
    <w:rsid w:val="00E365E1"/>
    <w:rsid w:val="00E820A4"/>
    <w:rsid w:val="00EA5F6B"/>
    <w:rsid w:val="00EB006A"/>
    <w:rsid w:val="00EB4772"/>
    <w:rsid w:val="00ED169E"/>
    <w:rsid w:val="00ED4235"/>
    <w:rsid w:val="00F04346"/>
    <w:rsid w:val="00F075DC"/>
    <w:rsid w:val="00F149E9"/>
    <w:rsid w:val="00F5134D"/>
    <w:rsid w:val="00F74202"/>
    <w:rsid w:val="00F87713"/>
    <w:rsid w:val="00FB4360"/>
    <w:rsid w:val="00FD0C70"/>
    <w:rsid w:val="00FF3A4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5CCD7"/>
  <w15:chartTrackingRefBased/>
  <w15:docId w15:val="{352821A5-619B-4188-8548-198415861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F3A4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F3A4E"/>
    <w:pPr>
      <w:spacing w:before="480" w:after="240"/>
    </w:pPr>
  </w:style>
  <w:style w:type="paragraph" w:customStyle="1" w:styleId="PageHeading">
    <w:name w:val="PageHeading"/>
    <w:basedOn w:val="Normal"/>
    <w:rsid w:val="00FF3A4E"/>
    <w:pPr>
      <w:keepNext/>
      <w:spacing w:after="480"/>
      <w:jc w:val="center"/>
    </w:pPr>
    <w:rPr>
      <w:rFonts w:ascii="Arial" w:hAnsi="Arial" w:cs="Arial"/>
      <w:b/>
    </w:rPr>
  </w:style>
  <w:style w:type="paragraph" w:customStyle="1" w:styleId="NormalBold">
    <w:name w:val="NormalBold"/>
    <w:basedOn w:val="Normal"/>
    <w:rsid w:val="00FF3A4E"/>
    <w:rPr>
      <w:b/>
    </w:rPr>
  </w:style>
  <w:style w:type="paragraph" w:customStyle="1" w:styleId="NormalHanging12a">
    <w:name w:val="NormalHanging12a"/>
    <w:basedOn w:val="Normal"/>
    <w:link w:val="NormalHanging12aChar"/>
    <w:qFormat/>
    <w:rsid w:val="00FF3A4E"/>
    <w:pPr>
      <w:spacing w:after="240"/>
      <w:ind w:left="567" w:hanging="567"/>
    </w:pPr>
  </w:style>
  <w:style w:type="paragraph" w:styleId="Header">
    <w:name w:val="header"/>
    <w:basedOn w:val="Normal"/>
    <w:link w:val="HeaderChar"/>
    <w:rsid w:val="00FF3A4E"/>
    <w:pPr>
      <w:tabs>
        <w:tab w:val="center" w:pos="4513"/>
        <w:tab w:val="right" w:pos="9026"/>
      </w:tabs>
    </w:pPr>
  </w:style>
  <w:style w:type="character" w:customStyle="1" w:styleId="HeaderChar">
    <w:name w:val="Header Char"/>
    <w:basedOn w:val="DefaultParagraphFont"/>
    <w:link w:val="Header"/>
    <w:rsid w:val="00FF3A4E"/>
    <w:rPr>
      <w:sz w:val="24"/>
      <w:lang w:val="sv-SE"/>
    </w:rPr>
  </w:style>
  <w:style w:type="paragraph" w:customStyle="1" w:styleId="EPFooter">
    <w:name w:val="EPFooter"/>
    <w:basedOn w:val="Normal"/>
    <w:rsid w:val="00FF3A4E"/>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FF3A4E"/>
    <w:rPr>
      <w:sz w:val="24"/>
      <w:lang w:val="sv-SE"/>
    </w:rPr>
  </w:style>
  <w:style w:type="paragraph" w:styleId="BalloonText">
    <w:name w:val="Balloon Text"/>
    <w:basedOn w:val="Normal"/>
    <w:link w:val="BalloonTextChar"/>
    <w:rsid w:val="00001F3F"/>
    <w:rPr>
      <w:rFonts w:ascii="Segoe UI" w:hAnsi="Segoe UI" w:cs="Segoe UI"/>
      <w:sz w:val="18"/>
      <w:szCs w:val="18"/>
    </w:rPr>
  </w:style>
  <w:style w:type="character" w:customStyle="1" w:styleId="BalloonTextChar">
    <w:name w:val="Balloon Text Char"/>
    <w:basedOn w:val="DefaultParagraphFont"/>
    <w:link w:val="BalloonText"/>
    <w:rsid w:val="00001F3F"/>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B8B60B-9F44-4D4C-A8AB-EA748F941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5820</Words>
  <Characters>37931</Characters>
  <Application>Microsoft Office Word</Application>
  <DocSecurity>0</DocSecurity>
  <Lines>316</Lines>
  <Paragraphs>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ANDERSSON Terese</cp:lastModifiedBy>
  <cp:revision>2</cp:revision>
  <cp:lastPrinted>2004-11-19T15:42:00Z</cp:lastPrinted>
  <dcterms:created xsi:type="dcterms:W3CDTF">2024-05-16T12:56:00Z</dcterms:created>
  <dcterms:modified xsi:type="dcterms:W3CDTF">2024-05-16T12:56:00Z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P9_TA(2024)0233_</vt:lpwstr>
  </property>
  <property fmtid="{D5CDD505-2E9C-101B-9397-08002B2CF9AE}" pid="4" name="&lt;Type&gt;">
    <vt:lpwstr>RR</vt:lpwstr>
  </property>
</Properties>
</file>