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6FE9" w:rsidTr="0010095E">
        <w:trPr>
          <w:trHeight w:hRule="exact" w:val="1418"/>
        </w:trPr>
        <w:tc>
          <w:tcPr>
            <w:tcW w:w="6804" w:type="dxa"/>
            <w:shd w:val="clear" w:color="auto" w:fill="auto"/>
            <w:vAlign w:val="center"/>
          </w:tcPr>
          <w:p w:rsidR="00751A4A" w:rsidRPr="008A6FE9" w:rsidRDefault="006C44D2" w:rsidP="0010095E">
            <w:pPr>
              <w:pStyle w:val="EPName"/>
            </w:pPr>
            <w:r w:rsidRPr="008A6FE9">
              <w:t>Европейски</w:t>
            </w:r>
            <w:r w:rsidR="008A3EA1" w:rsidRPr="008A6FE9">
              <w:t xml:space="preserve"> парламент</w:t>
            </w:r>
          </w:p>
          <w:p w:rsidR="00751A4A" w:rsidRPr="008A6FE9" w:rsidRDefault="00817416" w:rsidP="00756632">
            <w:pPr>
              <w:pStyle w:val="EPTerm"/>
              <w:rPr>
                <w:rStyle w:val="HideTWBExt"/>
                <w:noProof w:val="0"/>
                <w:vanish w:val="0"/>
                <w:color w:val="auto"/>
              </w:rPr>
            </w:pPr>
            <w:r w:rsidRPr="008A6FE9">
              <w:t>2019</w:t>
            </w:r>
            <w:r w:rsidR="006C44D2">
              <w:t> – </w:t>
            </w:r>
            <w:r w:rsidRPr="008A6FE9">
              <w:t>2024</w:t>
            </w:r>
          </w:p>
        </w:tc>
        <w:tc>
          <w:tcPr>
            <w:tcW w:w="2268" w:type="dxa"/>
            <w:shd w:val="clear" w:color="auto" w:fill="auto"/>
          </w:tcPr>
          <w:p w:rsidR="00751A4A" w:rsidRPr="008A6FE9" w:rsidRDefault="00187494" w:rsidP="0010095E">
            <w:pPr>
              <w:pStyle w:val="EPLogo"/>
            </w:pPr>
            <w:r w:rsidRPr="008A6FE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A6FE9" w:rsidRDefault="00D058B8" w:rsidP="004C5D52">
      <w:pPr>
        <w:pStyle w:val="LineTop"/>
      </w:pPr>
    </w:p>
    <w:p w:rsidR="00680577" w:rsidRPr="008A6FE9" w:rsidRDefault="008A3EA1" w:rsidP="00680577">
      <w:pPr>
        <w:pStyle w:val="EPBodyTA1"/>
      </w:pPr>
      <w:r w:rsidRPr="008A6FE9">
        <w:t>ПРИЕТИ ТЕКСТОВЕ</w:t>
      </w:r>
    </w:p>
    <w:p w:rsidR="00D058B8" w:rsidRPr="008A6FE9" w:rsidRDefault="00D058B8" w:rsidP="00D058B8">
      <w:pPr>
        <w:pStyle w:val="LineBottom"/>
      </w:pPr>
    </w:p>
    <w:p w:rsidR="008A3EA1" w:rsidRPr="000024F8" w:rsidRDefault="008A3EA1" w:rsidP="008A3EA1">
      <w:pPr>
        <w:pStyle w:val="ATHeading1"/>
        <w:rPr>
          <w:lang w:val="en-GB"/>
        </w:rPr>
      </w:pPr>
      <w:bookmarkStart w:id="0" w:name="TANumber"/>
      <w:r w:rsidRPr="008A6FE9">
        <w:t>P9_TA(2024)0</w:t>
      </w:r>
      <w:bookmarkEnd w:id="0"/>
      <w:r w:rsidR="000024F8">
        <w:rPr>
          <w:lang w:val="en-GB"/>
        </w:rPr>
        <w:t>234</w:t>
      </w:r>
    </w:p>
    <w:p w:rsidR="008A3EA1" w:rsidRPr="008A6FE9" w:rsidRDefault="008A3EA1" w:rsidP="008A3EA1">
      <w:pPr>
        <w:pStyle w:val="ATHeading2"/>
      </w:pPr>
      <w:bookmarkStart w:id="1" w:name="title"/>
      <w:r w:rsidRPr="008A6FE9">
        <w:t>Освобождаване от отговорност във връзка с изпълнението на бюджета за 2022 г.: Общ бюджет на ЕС – Европейски омбудсман</w:t>
      </w:r>
      <w:bookmarkEnd w:id="1"/>
    </w:p>
    <w:p w:rsidR="008A3EA1" w:rsidRPr="008A6FE9" w:rsidRDefault="008A3EA1" w:rsidP="008A3EA1">
      <w:pPr>
        <w:rPr>
          <w:i/>
          <w:vanish/>
        </w:rPr>
      </w:pPr>
      <w:r w:rsidRPr="008A6FE9">
        <w:rPr>
          <w:i/>
        </w:rPr>
        <w:fldChar w:fldCharType="begin"/>
      </w:r>
      <w:r w:rsidRPr="008A6FE9">
        <w:rPr>
          <w:i/>
        </w:rPr>
        <w:instrText xml:space="preserve"> TC"(</w:instrText>
      </w:r>
      <w:bookmarkStart w:id="2" w:name="DocNumber"/>
      <w:r w:rsidRPr="008A6FE9">
        <w:rPr>
          <w:i/>
        </w:rPr>
        <w:instrText>A9-0084/2024</w:instrText>
      </w:r>
      <w:bookmarkEnd w:id="2"/>
      <w:r w:rsidRPr="008A6FE9">
        <w:rPr>
          <w:i/>
        </w:rPr>
        <w:instrText xml:space="preserve"> - Докладчик: Люк Минг Фланаган)"\l3 \n&gt; \* MERGEFORMAT </w:instrText>
      </w:r>
      <w:r w:rsidRPr="008A6FE9">
        <w:rPr>
          <w:i/>
        </w:rPr>
        <w:fldChar w:fldCharType="end"/>
      </w:r>
    </w:p>
    <w:p w:rsidR="008A3EA1" w:rsidRPr="008A6FE9" w:rsidRDefault="008A3EA1" w:rsidP="008A3EA1">
      <w:pPr>
        <w:rPr>
          <w:vanish/>
        </w:rPr>
      </w:pPr>
      <w:bookmarkStart w:id="3" w:name="Commission"/>
      <w:r w:rsidRPr="008A6FE9">
        <w:rPr>
          <w:vanish/>
        </w:rPr>
        <w:t>Комисия по бюджетен контрол</w:t>
      </w:r>
      <w:bookmarkEnd w:id="3"/>
    </w:p>
    <w:p w:rsidR="008A3EA1" w:rsidRPr="008A6FE9" w:rsidRDefault="008A3EA1" w:rsidP="008A3EA1">
      <w:pPr>
        <w:rPr>
          <w:vanish/>
        </w:rPr>
      </w:pPr>
      <w:bookmarkStart w:id="4" w:name="PE"/>
      <w:r w:rsidRPr="008A6FE9">
        <w:rPr>
          <w:vanish/>
        </w:rPr>
        <w:t>PE753.486</w:t>
      </w:r>
      <w:bookmarkEnd w:id="4"/>
    </w:p>
    <w:p w:rsidR="008A3EA1" w:rsidRPr="008A6FE9" w:rsidRDefault="005651D5" w:rsidP="006C44D2">
      <w:pPr>
        <w:pStyle w:val="ATHeading3"/>
      </w:pPr>
      <w:bookmarkStart w:id="5" w:name="Sujet"/>
      <w:r>
        <w:t xml:space="preserve">1. </w:t>
      </w:r>
      <w:r w:rsidR="008A3EA1" w:rsidRPr="008A6FE9">
        <w:t xml:space="preserve">Решение на Европейския парламент от </w:t>
      </w:r>
      <w:r>
        <w:t>11 април</w:t>
      </w:r>
      <w:r w:rsidR="008A3EA1" w:rsidRPr="008A6FE9">
        <w:t xml:space="preserve"> 2024 г. относно освобождаването от отговор</w:t>
      </w:r>
      <w:bookmarkStart w:id="6" w:name="_GoBack"/>
      <w:bookmarkEnd w:id="6"/>
      <w:r w:rsidR="008A3EA1" w:rsidRPr="008A6FE9">
        <w:t>ност във връзка с изпълнението на общия бюджет на Европейския съюз за финансовата 2022 година, раздел VIII ‒ Европейски омбудсман</w:t>
      </w:r>
      <w:bookmarkEnd w:id="5"/>
      <w:r w:rsidR="008A3EA1" w:rsidRPr="008A6FE9">
        <w:t xml:space="preserve"> </w:t>
      </w:r>
      <w:bookmarkStart w:id="7" w:name="References"/>
      <w:r w:rsidR="008A3EA1" w:rsidRPr="008A6FE9">
        <w:t>(2023/2137(DEC))</w:t>
      </w:r>
      <w:bookmarkEnd w:id="7"/>
    </w:p>
    <w:p w:rsidR="00F53152" w:rsidRPr="008A6FE9" w:rsidRDefault="00F53152" w:rsidP="00F53152">
      <w:pPr>
        <w:pStyle w:val="EPComma"/>
      </w:pPr>
      <w:bookmarkStart w:id="8" w:name="TextBodyBegin"/>
      <w:bookmarkEnd w:id="8"/>
      <w:r w:rsidRPr="008A6FE9">
        <w:rPr>
          <w:i/>
        </w:rPr>
        <w:t>Европейският парламент</w:t>
      </w:r>
      <w:r w:rsidRPr="008A6FE9">
        <w:t>,</w:t>
      </w:r>
    </w:p>
    <w:p w:rsidR="00F53152" w:rsidRPr="008A6FE9" w:rsidRDefault="00F53152" w:rsidP="00F53152">
      <w:pPr>
        <w:pStyle w:val="NormalHanging12a"/>
      </w:pPr>
      <w:r w:rsidRPr="008A6FE9">
        <w:t>–</w:t>
      </w:r>
      <w:r w:rsidRPr="008A6FE9">
        <w:tab/>
        <w:t>като взе предвид общия бюджет на Европейския съюз за финансовата 2022 година</w:t>
      </w:r>
      <w:r w:rsidRPr="008A6FE9">
        <w:rPr>
          <w:rStyle w:val="FootnoteReference"/>
        </w:rPr>
        <w:footnoteReference w:id="1"/>
      </w:r>
      <w:r w:rsidRPr="008A6FE9">
        <w:t>,</w:t>
      </w:r>
    </w:p>
    <w:p w:rsidR="00F53152" w:rsidRPr="008A6FE9" w:rsidRDefault="00F53152" w:rsidP="00F53152">
      <w:pPr>
        <w:pStyle w:val="NormalHanging12a"/>
      </w:pPr>
      <w:r w:rsidRPr="008A6FE9">
        <w:t>–</w:t>
      </w:r>
      <w:r w:rsidRPr="008A6FE9">
        <w:tab/>
        <w:t>като взе предвид консолидираните годишни отчети на Европейския съюз за финансовата 2022 година (COM(2023)0391 – C9</w:t>
      </w:r>
      <w:r w:rsidRPr="008A6FE9">
        <w:noBreakHyphen/>
        <w:t>0256/2023)</w:t>
      </w:r>
      <w:r w:rsidRPr="008A6FE9">
        <w:rPr>
          <w:rStyle w:val="FootnoteReference"/>
        </w:rPr>
        <w:footnoteReference w:id="2"/>
      </w:r>
      <w:r w:rsidRPr="008A6FE9">
        <w:t>,</w:t>
      </w:r>
    </w:p>
    <w:p w:rsidR="00F53152" w:rsidRPr="008A6FE9" w:rsidRDefault="00F53152" w:rsidP="00F53152">
      <w:pPr>
        <w:pStyle w:val="NormalHanging12a"/>
      </w:pPr>
      <w:r w:rsidRPr="008A6FE9">
        <w:t>–</w:t>
      </w:r>
      <w:r w:rsidRPr="008A6FE9">
        <w:tab/>
        <w:t>като взе предвид годишния отчет за дейността на Европейския омбудсман за 2022 г. и доклада му за бюджетното и финансовото управление за финансовата 2022 година,</w:t>
      </w:r>
    </w:p>
    <w:p w:rsidR="00F53152" w:rsidRPr="008A6FE9" w:rsidRDefault="00F53152" w:rsidP="00F53152">
      <w:pPr>
        <w:pStyle w:val="NormalHanging12a"/>
      </w:pPr>
      <w:r w:rsidRPr="008A6FE9">
        <w:t>–</w:t>
      </w:r>
      <w:r w:rsidRPr="008A6FE9">
        <w:tab/>
        <w:t>като взе предвид годишния доклад на Сметната палата относно изпълнението на бюджета за финансовата 2022 година, придружен от отговорите на институциите</w:t>
      </w:r>
      <w:r w:rsidRPr="008A6FE9">
        <w:rPr>
          <w:rStyle w:val="FootnoteReference"/>
        </w:rPr>
        <w:footnoteReference w:id="3"/>
      </w:r>
      <w:r w:rsidRPr="008A6FE9">
        <w:t>,</w:t>
      </w:r>
    </w:p>
    <w:p w:rsidR="00F53152" w:rsidRPr="008A6FE9" w:rsidRDefault="00F53152" w:rsidP="00F53152">
      <w:pPr>
        <w:pStyle w:val="NormalHanging12a"/>
      </w:pPr>
      <w:r w:rsidRPr="008A6FE9">
        <w:t>–</w:t>
      </w:r>
      <w:r w:rsidRPr="008A6FE9">
        <w:tab/>
        <w:t>като взе предвид декларацията за достоверност</w:t>
      </w:r>
      <w:r w:rsidRPr="008A6FE9">
        <w:rPr>
          <w:rStyle w:val="FootnoteReference"/>
        </w:rPr>
        <w:footnoteReference w:id="4"/>
      </w:r>
      <w:r w:rsidRPr="008A6FE9">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F53152" w:rsidRPr="008A6FE9" w:rsidRDefault="00F53152" w:rsidP="00F53152">
      <w:pPr>
        <w:pStyle w:val="NormalHanging12a"/>
      </w:pPr>
      <w:r w:rsidRPr="008A6FE9">
        <w:t>–</w:t>
      </w:r>
      <w:r w:rsidRPr="008A6FE9">
        <w:tab/>
        <w:t>като взе предвид член 314, параграф 10 и членове 317, 318 и 319 от Договора за функционирането на Европейския съюз,</w:t>
      </w:r>
    </w:p>
    <w:p w:rsidR="00F53152" w:rsidRPr="008A6FE9" w:rsidRDefault="00F53152" w:rsidP="00F53152">
      <w:pPr>
        <w:pStyle w:val="NormalHanging12a"/>
      </w:pPr>
      <w:r w:rsidRPr="008A6FE9">
        <w:t>–</w:t>
      </w:r>
      <w:r w:rsidRPr="008A6FE9">
        <w:tab/>
        <w:t xml:space="preserve">като взе предвид Регламент (ЕС, Евратом) 2018/1046 на Европейския парламент и на Съвета от 18 юли 2018 г. за финансовите правила, приложими за общия </w:t>
      </w:r>
      <w:r w:rsidRPr="008A6FE9">
        <w:lastRenderedPageBreak/>
        <w:t>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8A6FE9">
        <w:rPr>
          <w:rStyle w:val="FootnoteReference"/>
        </w:rPr>
        <w:footnoteReference w:id="5"/>
      </w:r>
      <w:r w:rsidRPr="008A6FE9">
        <w:t>, и по-специално членове 59, 118, 260, 261 и 262 от него,</w:t>
      </w:r>
    </w:p>
    <w:p w:rsidR="00F53152" w:rsidRPr="008A6FE9" w:rsidRDefault="00F53152" w:rsidP="00F53152">
      <w:pPr>
        <w:pStyle w:val="NormalHanging12a"/>
      </w:pPr>
      <w:r w:rsidRPr="008A6FE9">
        <w:t>–</w:t>
      </w:r>
      <w:r w:rsidRPr="008A6FE9">
        <w:tab/>
        <w:t>като взе предвид член 100 и приложение V към своя Правилник за дейността,</w:t>
      </w:r>
    </w:p>
    <w:p w:rsidR="00F53152" w:rsidRPr="008A6FE9" w:rsidRDefault="00F53152" w:rsidP="00F53152">
      <w:pPr>
        <w:pStyle w:val="NormalHanging12a"/>
      </w:pPr>
      <w:r w:rsidRPr="008A6FE9">
        <w:t>–</w:t>
      </w:r>
      <w:r w:rsidRPr="008A6FE9">
        <w:tab/>
        <w:t>като взе предвид доклада на комисията по бюджетен контрол (A9-0084/2024),</w:t>
      </w:r>
    </w:p>
    <w:p w:rsidR="00F53152" w:rsidRPr="008A6FE9" w:rsidRDefault="00F53152" w:rsidP="00F53152">
      <w:pPr>
        <w:pStyle w:val="NormalHanging12a"/>
      </w:pPr>
      <w:r w:rsidRPr="008A6FE9">
        <w:t>1.</w:t>
      </w:r>
      <w:r w:rsidRPr="008A6FE9">
        <w:tab/>
        <w:t>освобождава от отговорност Европейския омбудсман във връзка с изпълнението на бюджета на Европейския омбудсман за финансовата 2022 година;</w:t>
      </w:r>
    </w:p>
    <w:p w:rsidR="00F53152" w:rsidRPr="008A6FE9" w:rsidRDefault="00F53152" w:rsidP="00F53152">
      <w:pPr>
        <w:pStyle w:val="NormalHanging12a"/>
      </w:pPr>
      <w:r w:rsidRPr="008A6FE9">
        <w:t>2.</w:t>
      </w:r>
      <w:r w:rsidRPr="008A6FE9">
        <w:tab/>
        <w:t>представя своите забележки в резолюцията по-долу;</w:t>
      </w:r>
    </w:p>
    <w:p w:rsidR="00F53152" w:rsidRPr="008A6FE9" w:rsidRDefault="00F53152" w:rsidP="00F53152">
      <w:pPr>
        <w:pStyle w:val="NormalHanging12a"/>
      </w:pPr>
      <w:r w:rsidRPr="008A6FE9">
        <w:t>3.</w:t>
      </w:r>
      <w:r w:rsidRPr="008A6FE9">
        <w:tab/>
        <w:t xml:space="preserve">възлага на своя председател да предаде настоящото решение, както и резолюцията, която е неразделна част от него, на Европейския омбудсман, Европейския съвет, Съвета, Комисията, Сметната палата, Съда на Европейския съюз, Европейския надзорен орган по защита на данните и Европейската служба за външна дейност и да осигури публикуването им в </w:t>
      </w:r>
      <w:r w:rsidRPr="008A6FE9">
        <w:rPr>
          <w:i/>
        </w:rPr>
        <w:t>Официален вестник на Европейския съюз</w:t>
      </w:r>
      <w:r w:rsidRPr="008A6FE9">
        <w:t xml:space="preserve"> (серия L).</w:t>
      </w:r>
    </w:p>
    <w:p w:rsidR="00F53152" w:rsidRPr="008A6FE9" w:rsidRDefault="00F53152" w:rsidP="00F53152"/>
    <w:p w:rsidR="00F53152" w:rsidRPr="008A6FE9" w:rsidRDefault="00F53152" w:rsidP="00F53152">
      <w:pPr>
        <w:pStyle w:val="PageHeading"/>
        <w:sectPr w:rsidR="00F53152" w:rsidRPr="008A6FE9" w:rsidSect="008A6FE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53152" w:rsidRPr="008A6FE9" w:rsidRDefault="00F53152" w:rsidP="005651D5">
      <w:pPr>
        <w:pStyle w:val="ATHeading3"/>
      </w:pPr>
      <w:bookmarkStart w:id="9" w:name="_Toc161660608"/>
      <w:r w:rsidRPr="008A6FE9">
        <w:lastRenderedPageBreak/>
        <w:t xml:space="preserve">2. </w:t>
      </w:r>
      <w:r w:rsidR="005651D5">
        <w:t>Резолюция на Е</w:t>
      </w:r>
      <w:r w:rsidR="005651D5" w:rsidRPr="008A6FE9">
        <w:t>вропейския парламент</w:t>
      </w:r>
      <w:bookmarkEnd w:id="9"/>
      <w:r w:rsidR="005651D5">
        <w:t xml:space="preserve"> от 11 април 2024 г., </w:t>
      </w:r>
      <w:r w:rsidRPr="008A6FE9">
        <w:t>съдържащ</w:t>
      </w:r>
      <w:r w:rsidR="005651D5">
        <w:t>а</w:t>
      </w:r>
      <w:r w:rsidRPr="008A6FE9">
        <w:t xml:space="preserve"> забележките, които са неразделна част от решението за освобождаване от отговорност във връзка с изпълнението на общия бюджет на Европейския съюз за финансовата 2022 година, раздел VIII – Европейски омбудсман</w:t>
      </w:r>
      <w:r w:rsidR="005651D5">
        <w:t xml:space="preserve"> </w:t>
      </w:r>
      <w:r w:rsidRPr="008A6FE9">
        <w:t>(2023/2137(DEC))</w:t>
      </w:r>
    </w:p>
    <w:p w:rsidR="00F53152" w:rsidRPr="008A6FE9" w:rsidRDefault="00F53152" w:rsidP="00F53152">
      <w:pPr>
        <w:pStyle w:val="EPComma"/>
      </w:pPr>
      <w:r w:rsidRPr="008A6FE9">
        <w:rPr>
          <w:i/>
        </w:rPr>
        <w:t>Европейският парламент</w:t>
      </w:r>
      <w:r w:rsidRPr="008A6FE9">
        <w:t>,</w:t>
      </w:r>
    </w:p>
    <w:p w:rsidR="00F53152" w:rsidRPr="008A6FE9" w:rsidRDefault="00F53152" w:rsidP="00F53152">
      <w:pPr>
        <w:pStyle w:val="NormalHanging12a"/>
        <w:rPr>
          <w:szCs w:val="24"/>
        </w:rPr>
      </w:pPr>
      <w:r w:rsidRPr="008A6FE9">
        <w:t>–</w:t>
      </w:r>
      <w:r w:rsidRPr="008A6FE9">
        <w:tab/>
        <w:t>като взе предвид своето решение за освобождаване от отговорност във връзка с изпълнението на общия бюджет на Европейския съюз за финансовата 2022 година, раздел VIII ‒ Европейски омбудсман,</w:t>
      </w:r>
    </w:p>
    <w:p w:rsidR="00F53152" w:rsidRPr="008A6FE9" w:rsidRDefault="00F53152" w:rsidP="00F53152">
      <w:pPr>
        <w:pStyle w:val="NormalHanging12a"/>
        <w:rPr>
          <w:szCs w:val="24"/>
        </w:rPr>
      </w:pPr>
      <w:r w:rsidRPr="008A6FE9">
        <w:t>–</w:t>
      </w:r>
      <w:r w:rsidRPr="008A6FE9">
        <w:tab/>
        <w:t>като взе предвид член 100 и приложение V към своя Правилник за дейността,</w:t>
      </w:r>
    </w:p>
    <w:p w:rsidR="00F53152" w:rsidRPr="008A6FE9" w:rsidRDefault="00F53152" w:rsidP="00F53152">
      <w:pPr>
        <w:pStyle w:val="NormalHanging12a"/>
        <w:rPr>
          <w:szCs w:val="24"/>
        </w:rPr>
      </w:pPr>
      <w:r w:rsidRPr="008A6FE9">
        <w:t>–</w:t>
      </w:r>
      <w:r w:rsidRPr="008A6FE9">
        <w:tab/>
        <w:t>като взе предвид доклада на комисията по бюджетен контрол (A9-0084/2024),</w:t>
      </w:r>
    </w:p>
    <w:p w:rsidR="00F53152" w:rsidRPr="008A6FE9" w:rsidRDefault="00F53152" w:rsidP="00F53152">
      <w:pPr>
        <w:pStyle w:val="NormalHanging12a"/>
        <w:rPr>
          <w:szCs w:val="24"/>
        </w:rPr>
      </w:pPr>
      <w:r w:rsidRPr="008A6FE9">
        <w:t>А.</w:t>
      </w:r>
      <w:r w:rsidRPr="008A6FE9">
        <w:tab/>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и добро управление на човешките ресурси;</w:t>
      </w:r>
    </w:p>
    <w:p w:rsidR="00F53152" w:rsidRPr="008A6FE9" w:rsidRDefault="00F53152" w:rsidP="00F53152">
      <w:pPr>
        <w:pStyle w:val="NormalHanging12a"/>
        <w:rPr>
          <w:szCs w:val="24"/>
        </w:rPr>
      </w:pPr>
      <w:r w:rsidRPr="008A6FE9">
        <w:t>Б.</w:t>
      </w:r>
      <w:r w:rsidRPr="008A6FE9">
        <w:tab/>
        <w:t>като има предвид, че член 228 от Договора за функционирането на Европейския съюз предвижда избирането на Европейски омбудсман от Европейския парламент, който е оправомощен да получава жалби от всеки гражданин на Съюза или от всяко физическо или юридическо лице, с пребиваване или седалище в някоя от държавите членки, относно случаи на лошо администриране в действията на институциите, органите, службите или агенциите на Съюза, с изключение на Съда на Европейския съюз при изпълнение на неговите функции; той разглежда жалбите и изготвя доклад по тях;</w:t>
      </w:r>
    </w:p>
    <w:p w:rsidR="00F53152" w:rsidRPr="008A6FE9" w:rsidRDefault="00F53152" w:rsidP="00F53152">
      <w:pPr>
        <w:pStyle w:val="NormalHanging12a"/>
        <w:rPr>
          <w:szCs w:val="24"/>
        </w:rPr>
      </w:pPr>
      <w:r w:rsidRPr="008A6FE9">
        <w:t>В.</w:t>
      </w:r>
      <w:r w:rsidRPr="008A6FE9">
        <w:tab/>
        <w:t>като има предвид, че с Регламент (ЕС, Евратом) 2021/1163 на Европейския парламент от 24 юни 2021 г.</w:t>
      </w:r>
      <w:r w:rsidRPr="008A6FE9">
        <w:rPr>
          <w:rStyle w:val="FootnoteReference"/>
          <w:szCs w:val="24"/>
        </w:rPr>
        <w:footnoteReference w:id="6"/>
      </w:r>
      <w:r w:rsidRPr="008A6FE9">
        <w:t xml:space="preserve"> се установяват правилата и общите условия за изпълнението на функциите на омбудсмана (Устав на Европейския омбудсман);</w:t>
      </w:r>
    </w:p>
    <w:p w:rsidR="00F53152" w:rsidRPr="008A6FE9" w:rsidRDefault="00F53152" w:rsidP="00F53152">
      <w:pPr>
        <w:pStyle w:val="NormalHanging12a"/>
        <w:rPr>
          <w:szCs w:val="24"/>
        </w:rPr>
      </w:pPr>
      <w:r w:rsidRPr="008A6FE9">
        <w:t>Г.</w:t>
      </w:r>
      <w:r w:rsidRPr="008A6FE9">
        <w:tab/>
        <w:t>като има предвид, че решението на Европейския омбудсман за приемане на правила за прилагане понастоящем се преразглежда след приемането на Регламент (ЕС, Евратом) 2021/1163;</w:t>
      </w:r>
    </w:p>
    <w:p w:rsidR="00F53152" w:rsidRPr="008A6FE9" w:rsidRDefault="00F53152" w:rsidP="00F53152">
      <w:pPr>
        <w:pStyle w:val="NormalHanging12a"/>
        <w:rPr>
          <w:szCs w:val="24"/>
        </w:rPr>
      </w:pPr>
      <w:r w:rsidRPr="008A6FE9">
        <w:t>1.</w:t>
      </w:r>
      <w:r w:rsidRPr="008A6FE9">
        <w:tab/>
        <w:t>отбелязва, че бюджетът на Европейския омбудсман („Омбудсмана“) попада в обхвата на функция 7 от МФР „Европейска публична администрация“, която възлиза на общо 11,6 милиарда евро през 2022 г., т.е. 5,9% от бюджетните разходи на Съюза; отбелязва, че бюджетът на Омбудсмана съставлява 0,1% от бюджетните кредити по функция 7 от МФР;</w:t>
      </w:r>
    </w:p>
    <w:p w:rsidR="00F53152" w:rsidRPr="008A6FE9" w:rsidRDefault="00F53152" w:rsidP="00F53152">
      <w:pPr>
        <w:pStyle w:val="NormalHanging12a"/>
        <w:rPr>
          <w:szCs w:val="24"/>
        </w:rPr>
      </w:pPr>
      <w:r w:rsidRPr="008A6FE9">
        <w:t>2.</w:t>
      </w:r>
      <w:r w:rsidRPr="008A6FE9">
        <w:tab/>
        <w:t xml:space="preserve">отбелязва, че в своя годишен доклад за финансовата 2022 година Сметната палата („Палатата“) е проверила извадка от 60 операции в обхвата на функция „Администрация“, което е същият брой като проверените през 2021 г. операции; отбелязва освен това, че Палатата посочва, че административните разходи </w:t>
      </w:r>
      <w:r w:rsidRPr="008A6FE9">
        <w:lastRenderedPageBreak/>
        <w:t>включват разходи за човешки ресурси, в т.ч. пенсии, които през 2022 г. съставляват около 70% от общия размер на административните разходи, и разходи за сгради, оборудване, енергия, комуникации и информационни технологии, и че дългогодишната ѝ работа показва, че разходите в тази област като цяло се характеризират с ниско ниво на риск;</w:t>
      </w:r>
    </w:p>
    <w:p w:rsidR="00F53152" w:rsidRPr="008A6FE9" w:rsidRDefault="00F53152" w:rsidP="00F53152">
      <w:pPr>
        <w:pStyle w:val="NormalHanging12a"/>
        <w:rPr>
          <w:szCs w:val="24"/>
        </w:rPr>
      </w:pPr>
      <w:r w:rsidRPr="008A6FE9">
        <w:t>3.</w:t>
      </w:r>
      <w:r w:rsidRPr="008A6FE9">
        <w:tab/>
        <w:t>отбелязва, че като част от одита за 2022 г. Палатата е разгледала системите за наблюдение и контрол на Омбудсмана, и по-специално прилагането на стандартите за вътрешен контрол, управлението на риска и функционирането на ключови контроли, определени в Регламент (ЕС, Евратом) 2018/1046 („Финансовия регламент“), включително предварителни и последващи проверки на плащанията;</w:t>
      </w:r>
    </w:p>
    <w:p w:rsidR="00F53152" w:rsidRPr="008A6FE9" w:rsidRDefault="00F53152" w:rsidP="00F53152">
      <w:pPr>
        <w:pStyle w:val="NormalHanging12a"/>
        <w:rPr>
          <w:szCs w:val="24"/>
        </w:rPr>
      </w:pPr>
      <w:r w:rsidRPr="008A6FE9">
        <w:t>4.</w:t>
      </w:r>
      <w:r w:rsidRPr="008A6FE9">
        <w:tab/>
        <w:t xml:space="preserve">отбелязва, че 14 (23%) от 60-те операции съдържат грешки, но че въз основа на петте </w:t>
      </w:r>
      <w:proofErr w:type="spellStart"/>
      <w:r w:rsidRPr="008A6FE9">
        <w:t>остойностени</w:t>
      </w:r>
      <w:proofErr w:type="spellEnd"/>
      <w:r w:rsidRPr="008A6FE9">
        <w:t xml:space="preserve"> грешки изчисленият от Палатата процент грешки е под прага на същественост;</w:t>
      </w:r>
    </w:p>
    <w:p w:rsidR="00F53152" w:rsidRPr="008A6FE9" w:rsidRDefault="00F53152" w:rsidP="00F53152">
      <w:pPr>
        <w:pStyle w:val="NormalHanging12a"/>
        <w:rPr>
          <w:szCs w:val="24"/>
        </w:rPr>
      </w:pPr>
      <w:r w:rsidRPr="008A6FE9">
        <w:t>5.</w:t>
      </w:r>
      <w:r w:rsidRPr="008A6FE9">
        <w:tab/>
        <w:t>отбелязва със задоволство, че в годишния си доклад за финансовата 2022 година Палатата заявява, че не е установила никакви конкретни проблеми по отношение на Омбудсмана;</w:t>
      </w:r>
    </w:p>
    <w:p w:rsidR="00F53152" w:rsidRPr="008A6FE9" w:rsidRDefault="00F53152" w:rsidP="00F53152">
      <w:pPr>
        <w:pStyle w:val="NormalHanging12a"/>
        <w:rPr>
          <w:b/>
          <w:i/>
          <w:szCs w:val="24"/>
        </w:rPr>
      </w:pPr>
      <w:r w:rsidRPr="008A6FE9">
        <w:rPr>
          <w:b/>
          <w:i/>
        </w:rPr>
        <w:t>Бюджетно и финансово управление</w:t>
      </w:r>
    </w:p>
    <w:p w:rsidR="00F53152" w:rsidRPr="008A6FE9" w:rsidRDefault="00F53152" w:rsidP="00F53152">
      <w:pPr>
        <w:pStyle w:val="NormalHanging12a"/>
        <w:rPr>
          <w:szCs w:val="24"/>
        </w:rPr>
      </w:pPr>
      <w:r w:rsidRPr="008A6FE9">
        <w:t>6.</w:t>
      </w:r>
      <w:r w:rsidRPr="008A6FE9">
        <w:tab/>
        <w:t>отбелязва, че бюджетът на Омбудсмана възлиза на 12 222 108 EUR през 2022 г., което представлява намаление с 280 000 EUR спрямо 2021 г.; разбира, че това намаление е резултат от рационализиране на бюджета въз основа на действителните потребности;</w:t>
      </w:r>
    </w:p>
    <w:p w:rsidR="00F53152" w:rsidRPr="008A6FE9" w:rsidRDefault="00F53152" w:rsidP="00F53152">
      <w:pPr>
        <w:pStyle w:val="NormalHanging12a"/>
        <w:rPr>
          <w:szCs w:val="24"/>
        </w:rPr>
      </w:pPr>
      <w:r w:rsidRPr="008A6FE9">
        <w:t>7.</w:t>
      </w:r>
      <w:r w:rsidRPr="008A6FE9">
        <w:tab/>
        <w:t>отбелязва, че степента на изпълнение на бюджета през 2022 г. е 96,97%, което е по-високо в сравнение с предходната година, когато степента на изпълнение беше 88,8% поради ограничения, свързани с пандемията от COVID-19;</w:t>
      </w:r>
    </w:p>
    <w:p w:rsidR="00F53152" w:rsidRPr="008A6FE9" w:rsidRDefault="00F53152" w:rsidP="00F53152">
      <w:pPr>
        <w:pStyle w:val="NormalHanging12a"/>
        <w:rPr>
          <w:szCs w:val="24"/>
        </w:rPr>
      </w:pPr>
      <w:r w:rsidRPr="008A6FE9">
        <w:t>8.</w:t>
      </w:r>
      <w:r w:rsidRPr="008A6FE9">
        <w:tab/>
        <w:t xml:space="preserve">отбелязва, че през 2022 г. Омбудсманът е извършил шест бюджетни трансфера по член 29 от Финансовия регламент, за общо 344 460 EUR, или 2,8% от бюджетните кредити за посочената финансова година; отбелязва освен това, че бюджетната номенклатура за позиция „2000“ е разделена на четири </w:t>
      </w:r>
      <w:proofErr w:type="spellStart"/>
      <w:r w:rsidRPr="008A6FE9">
        <w:t>подкатегории</w:t>
      </w:r>
      <w:proofErr w:type="spellEnd"/>
      <w:r w:rsidRPr="008A6FE9">
        <w:t xml:space="preserve"> с цел повишаване на прозрачността на необходимата информация за сградите на Омбудсмана на двете места на работа; потвърждава, че бюджетните кредити, прехвърлени от бюджетната позиция за наеми, не са използвани, тъй като Омбудсманът е платил всички разходи за оборудването на новата сграда на Омбудсмана от бюджета за 2021 г., вместо да ги разсрочи за срок от шест години;</w:t>
      </w:r>
    </w:p>
    <w:p w:rsidR="00F53152" w:rsidRPr="008A6FE9" w:rsidRDefault="00F53152" w:rsidP="00F53152">
      <w:pPr>
        <w:pStyle w:val="NormalHanging12a"/>
        <w:rPr>
          <w:szCs w:val="24"/>
        </w:rPr>
      </w:pPr>
      <w:r w:rsidRPr="008A6FE9">
        <w:t>9.</w:t>
      </w:r>
      <w:r w:rsidRPr="008A6FE9">
        <w:tab/>
        <w:t>оценява факта, че въпреки увеличаването на времето на изпълнение на плащанията от 11,35 през 2021 г. на 13 дни през 2022 г., средното време на изпълнение на плащанията продължава да бъде относително кратко; счита, че въвеждането на система за електронно фактуриране, считано от 2023 г., може единствено да подобри ефективността на процеса на плащане;</w:t>
      </w:r>
    </w:p>
    <w:p w:rsidR="00F53152" w:rsidRPr="008A6FE9" w:rsidRDefault="00F53152" w:rsidP="00F53152">
      <w:pPr>
        <w:pStyle w:val="NormalHanging12a"/>
        <w:rPr>
          <w:szCs w:val="24"/>
        </w:rPr>
      </w:pPr>
      <w:r w:rsidRPr="008A6FE9">
        <w:t>10.</w:t>
      </w:r>
      <w:r w:rsidRPr="008A6FE9">
        <w:tab/>
        <w:t xml:space="preserve">отбелязва, че Омбудсманът не е докладвал за никакво въздействие на агресивната война на Русия срещу Украйна върху неговия бюджет за командировки, обществени поръчки или сгради за 2022 г.; препоръчва Омбудсманът да вземе </w:t>
      </w:r>
      <w:r w:rsidRPr="008A6FE9">
        <w:lastRenderedPageBreak/>
        <w:t>предвид, че следващото годишно преразглеждане на наема и еднократните такси за сгради от страна на Парламента може да доведат до допълнителни разходи в бюджета на Омбудсмана за 2023 г.;</w:t>
      </w:r>
    </w:p>
    <w:p w:rsidR="00F53152" w:rsidRPr="008A6FE9" w:rsidRDefault="00F53152" w:rsidP="00F53152">
      <w:pPr>
        <w:pStyle w:val="NormalHanging12a"/>
        <w:rPr>
          <w:szCs w:val="24"/>
        </w:rPr>
      </w:pPr>
      <w:r w:rsidRPr="008A6FE9">
        <w:t>11.</w:t>
      </w:r>
      <w:r w:rsidRPr="008A6FE9">
        <w:tab/>
        <w:t>отбелязва, че бюджетът за командировки на служителите е намалял от 135 000 EUR през 2021 г. на 120 000 EUR през 2022 г. в резултат на икономии въз основа на поуките, извлечени от пандемията от COVID-19, и широкото използване на видеоконферентно оборудване за вътрешни и външни заседания на двете места на работа;</w:t>
      </w:r>
    </w:p>
    <w:p w:rsidR="00F53152" w:rsidRPr="008A6FE9" w:rsidRDefault="00F53152" w:rsidP="00F53152">
      <w:pPr>
        <w:pStyle w:val="NormalHanging12a"/>
        <w:rPr>
          <w:b/>
          <w:i/>
          <w:szCs w:val="24"/>
        </w:rPr>
      </w:pPr>
      <w:r w:rsidRPr="008A6FE9">
        <w:rPr>
          <w:b/>
          <w:i/>
        </w:rPr>
        <w:t>Вътрешно управление, резултати от дейността и вътрешен контрол</w:t>
      </w:r>
    </w:p>
    <w:p w:rsidR="00F53152" w:rsidRPr="008A6FE9" w:rsidRDefault="00F53152" w:rsidP="00F53152">
      <w:pPr>
        <w:pStyle w:val="NormalHanging12a"/>
        <w:rPr>
          <w:szCs w:val="24"/>
        </w:rPr>
      </w:pPr>
      <w:r w:rsidRPr="008A6FE9">
        <w:t>12.</w:t>
      </w:r>
      <w:r w:rsidRPr="008A6FE9">
        <w:tab/>
        <w:t>отбелязва, че през 2022 г. Омбудсманът е продължил да предприема конкретни действия в съответствие с целите и приоритетите на петгодишната стратегия на Омбудсмана „С поглед към 2024 г.“, както е посочено в неговия годишен план за управление; подчертава по-специално, че Омбудсманът успешно предостави проекта на разпоредби за прилагане на новия устав, уреждащ задълженията на Омбудсмана спрямо Комисията, Съвета и Парламента за консултация в съответствие с годишния план за управление за 2022 г.;</w:t>
      </w:r>
    </w:p>
    <w:p w:rsidR="00F53152" w:rsidRPr="008A6FE9" w:rsidRDefault="00F53152" w:rsidP="00F53152">
      <w:pPr>
        <w:pStyle w:val="NormalHanging12a"/>
        <w:rPr>
          <w:szCs w:val="24"/>
        </w:rPr>
      </w:pPr>
      <w:r w:rsidRPr="008A6FE9">
        <w:t>13.</w:t>
      </w:r>
      <w:r w:rsidRPr="008A6FE9">
        <w:tab/>
        <w:t>подчертава, че през 2022 г., забелязвайки очевидната липса на публична информация, Омбудсманът предварително е отправил запитване към Европейската комисия как ще осигури прозрачност при преговорите по националните планове за възстановяване, как ще гарантира обществен контрол на етапните цели, постигнати от държавите членки, и как ще упражнява надзор над одитите</w:t>
      </w:r>
      <w:r w:rsidRPr="008A6FE9">
        <w:rPr>
          <w:szCs w:val="24"/>
          <w:vertAlign w:val="superscript"/>
        </w:rPr>
        <w:footnoteReference w:id="7"/>
      </w:r>
      <w:r w:rsidRPr="008A6FE9">
        <w:t>;</w:t>
      </w:r>
    </w:p>
    <w:p w:rsidR="00F53152" w:rsidRPr="008A6FE9" w:rsidRDefault="00F53152" w:rsidP="00F53152">
      <w:pPr>
        <w:pStyle w:val="NormalHanging12a"/>
        <w:rPr>
          <w:szCs w:val="24"/>
        </w:rPr>
      </w:pPr>
      <w:r w:rsidRPr="008A6FE9">
        <w:t>14.</w:t>
      </w:r>
      <w:r w:rsidRPr="008A6FE9">
        <w:tab/>
        <w:t>отбелязва, че Омбудсманът е получил 2 223 жалби през 2022 г. в сравнение с 2 192 през 2021 г., 35% от които са били в рамките на правомощията на Омбудсмана; отбелязва освен това, че Омбудсманът е започнал 348 проверки, включително 60 проверки от обществено значение, и е приключил 330 проверки през 2022 г. спрямо 338 започнати и 305 приключени проверки през 2021 г.;</w:t>
      </w:r>
    </w:p>
    <w:p w:rsidR="00F53152" w:rsidRPr="008A6FE9" w:rsidRDefault="00F53152" w:rsidP="00F53152">
      <w:pPr>
        <w:pStyle w:val="NormalHanging12a"/>
        <w:rPr>
          <w:szCs w:val="24"/>
        </w:rPr>
      </w:pPr>
      <w:r w:rsidRPr="008A6FE9">
        <w:t>15.</w:t>
      </w:r>
      <w:r w:rsidRPr="008A6FE9">
        <w:tab/>
        <w:t>отбелязва с голяма загриженост, че Омбудсманът получава много жалби от граждани относно изключително голямо забавяне при получаването на поискан достъп до документи; подкрепя становището на Омбудсмана, че забавеният достъп на практика е отказан достъп и че административните процедури следва да бъдат рационализирани, за да се гарантира, че гражданите получават достъп до документи своевременно</w:t>
      </w:r>
      <w:r w:rsidRPr="008A6FE9">
        <w:rPr>
          <w:szCs w:val="24"/>
          <w:vertAlign w:val="superscript"/>
        </w:rPr>
        <w:footnoteReference w:id="8"/>
      </w:r>
      <w:r w:rsidRPr="008A6FE9">
        <w:t>;</w:t>
      </w:r>
    </w:p>
    <w:p w:rsidR="00F53152" w:rsidRPr="008A6FE9" w:rsidRDefault="00F53152" w:rsidP="00F53152">
      <w:pPr>
        <w:pStyle w:val="NormalHanging12a"/>
        <w:rPr>
          <w:szCs w:val="24"/>
        </w:rPr>
      </w:pPr>
      <w:r w:rsidRPr="008A6FE9">
        <w:t>16.</w:t>
      </w:r>
      <w:r w:rsidRPr="008A6FE9">
        <w:tab/>
        <w:t>приветства разработването на рационализиран процес за работа по проверки във връзка с „липсата на отговор“; приветства също така въвеждането на опростена процедура за разглеждане на жалби „извън правомощията“, като по този начин се намалява времето за разглеждане на такива искания от 15 на три дни; изразява въпреки това загриженост, че средното време за разглеждане на жалба в рамките на правомощията е нараснало от 61 на 91 дни, а средното време за осъществяване на проверка — от 112 на 166 дни, между 2021 и 2022 г.;</w:t>
      </w:r>
    </w:p>
    <w:p w:rsidR="00F53152" w:rsidRPr="008A6FE9" w:rsidRDefault="00F53152" w:rsidP="00F53152">
      <w:pPr>
        <w:pStyle w:val="NormalHanging12a"/>
        <w:rPr>
          <w:szCs w:val="24"/>
        </w:rPr>
      </w:pPr>
      <w:r w:rsidRPr="008A6FE9">
        <w:lastRenderedPageBreak/>
        <w:t>17.</w:t>
      </w:r>
      <w:r w:rsidRPr="008A6FE9">
        <w:tab/>
        <w:t>отбелязва, че етиката и прозрачността са продължили да бъдат важни области на работа за Омбудсмана през 2022 г., като те все така са допринасяли за напредъка, но също така са били изправени пред предизвикателства, и че делът на жалбите, свързани с прозрачността и отчетността, е 32% от всички случаи през 2022 г.;</w:t>
      </w:r>
    </w:p>
    <w:p w:rsidR="00F53152" w:rsidRPr="008A6FE9" w:rsidRDefault="00F53152" w:rsidP="00F53152">
      <w:pPr>
        <w:pStyle w:val="NormalHanging12a"/>
        <w:rPr>
          <w:szCs w:val="24"/>
        </w:rPr>
      </w:pPr>
      <w:r w:rsidRPr="008A6FE9">
        <w:t>18.</w:t>
      </w:r>
      <w:r w:rsidRPr="008A6FE9">
        <w:tab/>
        <w:t xml:space="preserve">отбелязва, че публичният достъп до документи е продължил да бъде основен приоритет за Омбудсмана през 2022 г., като са получени 121 жалби — най-високият брой жалби, регистрирани в рамките на една година, и че проверките са довели до 90 жалби; приветства бързото разглеждане на случаи в областта на публичния достъп до документи от средно 46 работни дни до приключването на разглеждането на жалба и 67 работни дни по отношение на осъществяването само на проверка; разбира, че въпреки увеличаването на броя на случаите делът на ускорените проверки е едва 28% от всички проверки във връзка с публичния достъп до документи спрямо 58% през 2021 г.; приветства констатациите от основните проверки на Комисията и други агенции на Съюза, като </w:t>
      </w:r>
      <w:proofErr w:type="spellStart"/>
      <w:r w:rsidRPr="008A6FE9">
        <w:t>Frontex</w:t>
      </w:r>
      <w:proofErr w:type="spellEnd"/>
      <w:r w:rsidRPr="008A6FE9">
        <w:t>, и институции и органи, като Европейската инвестиционна банка (ЕИБ), що се отнася до тяхното административно управление на исканията за публичен достъп до документи;</w:t>
      </w:r>
    </w:p>
    <w:p w:rsidR="00F53152" w:rsidRPr="008A6FE9" w:rsidRDefault="00F53152" w:rsidP="00F53152">
      <w:pPr>
        <w:pStyle w:val="NormalHanging12a"/>
        <w:rPr>
          <w:szCs w:val="24"/>
        </w:rPr>
      </w:pPr>
      <w:r w:rsidRPr="008A6FE9">
        <w:t>19.</w:t>
      </w:r>
      <w:r w:rsidRPr="008A6FE9">
        <w:tab/>
        <w:t>припомня, че според Европейския омбудсман ограниченията на достъпа до документи, и по-специално до законодателни документи, следва да бъдат изключение и да се свеждат до абсолютно необходимото; припомня също така, че всяко решение за отказ на публичен достъп до документи трябва да се основава на ясно и строго определени правни изключения, придружени с мотивирана и конкретна обосновка, която да даде възможност на гражданите да разберат отказа на достъп и да използват ефективно съществуващите правни средства за обжалване; счита, че един по-проактивен подход ще спомогне за гарантирането на ефективна прозрачност и за предотвратяването на скъпи и утежнени съдебни спорове между граждани и институции</w:t>
      </w:r>
      <w:r w:rsidRPr="008A6FE9">
        <w:rPr>
          <w:szCs w:val="24"/>
          <w:vertAlign w:val="superscript"/>
        </w:rPr>
        <w:footnoteReference w:id="9"/>
      </w:r>
      <w:r w:rsidRPr="008A6FE9">
        <w:t>;</w:t>
      </w:r>
    </w:p>
    <w:p w:rsidR="00F53152" w:rsidRPr="008A6FE9" w:rsidRDefault="00F53152" w:rsidP="00F53152">
      <w:pPr>
        <w:pStyle w:val="NormalHanging12a"/>
        <w:rPr>
          <w:b/>
          <w:i/>
          <w:szCs w:val="24"/>
        </w:rPr>
      </w:pPr>
      <w:r w:rsidRPr="008A6FE9">
        <w:rPr>
          <w:b/>
          <w:i/>
        </w:rPr>
        <w:t>Човешки ресурси, равенство и благосъстояние на служителите</w:t>
      </w:r>
    </w:p>
    <w:p w:rsidR="00F53152" w:rsidRPr="008A6FE9" w:rsidRDefault="00F53152" w:rsidP="00F53152">
      <w:pPr>
        <w:pStyle w:val="NormalHanging12a"/>
        <w:rPr>
          <w:szCs w:val="24"/>
        </w:rPr>
      </w:pPr>
      <w:r w:rsidRPr="008A6FE9">
        <w:t>20.</w:t>
      </w:r>
      <w:r w:rsidRPr="008A6FE9">
        <w:tab/>
        <w:t>отбелязва, че съставът на служителите по отношение на статуса и длъжностните характеристики остава стабилен през последните години, с общо 74 служители в края на 2022 г., същият както през 2021 г.; отбелязва освен това, че през 2022 г. за Омбудсмана са работили 39 длъжностни лица спрямо съответно 37 и 38 през 2020 и 2021 г., 28 срочно наети служители спрямо 28 и 30 съответно през 2020 и 2021 г. и седем договорно наети служители спрямо осем и шест съответно през 2020 и 2021 г.; отбелязва, че през 2022 г. равен дял от около 40% от служителите са изпълнявали административни функции (човешки ресурси, финанси, управление на процеси), от една страна, и 40% са разглеждали жалби и извършвали проверки, от друга страна;</w:t>
      </w:r>
    </w:p>
    <w:p w:rsidR="00F53152" w:rsidRPr="008A6FE9" w:rsidRDefault="00F53152" w:rsidP="00F53152">
      <w:pPr>
        <w:pStyle w:val="NormalHanging12a"/>
        <w:rPr>
          <w:szCs w:val="24"/>
        </w:rPr>
      </w:pPr>
      <w:r w:rsidRPr="008A6FE9">
        <w:t>21.</w:t>
      </w:r>
      <w:r w:rsidRPr="008A6FE9">
        <w:tab/>
        <w:t>изразява съжаление, че длъжността генерален секретар е свободна от 1 септември 2022 г.;</w:t>
      </w:r>
    </w:p>
    <w:p w:rsidR="00F53152" w:rsidRPr="008A6FE9" w:rsidRDefault="00F53152" w:rsidP="00F53152">
      <w:pPr>
        <w:pStyle w:val="NormalHanging12a"/>
        <w:rPr>
          <w:szCs w:val="24"/>
        </w:rPr>
      </w:pPr>
      <w:r w:rsidRPr="008A6FE9">
        <w:t>22.</w:t>
      </w:r>
      <w:r w:rsidRPr="008A6FE9">
        <w:tab/>
        <w:t xml:space="preserve">отбелязва, че през 2022 г. Омбудсманът е отправил покана за изразяване на интерес с цел създаване на резервен списък с кандидати с оглед на по-бързото назначаване на срочно наети служители; очаква с интерес да получи информация </w:t>
      </w:r>
      <w:r w:rsidRPr="008A6FE9">
        <w:lastRenderedPageBreak/>
        <w:t>относно повишението на ефективността, постигнато чрез тази процедура;</w:t>
      </w:r>
    </w:p>
    <w:p w:rsidR="00F53152" w:rsidRPr="008A6FE9" w:rsidRDefault="00F53152" w:rsidP="00F53152">
      <w:pPr>
        <w:pStyle w:val="NormalHanging12a"/>
        <w:rPr>
          <w:szCs w:val="24"/>
        </w:rPr>
      </w:pPr>
      <w:r w:rsidRPr="008A6FE9">
        <w:t>23.</w:t>
      </w:r>
      <w:r w:rsidRPr="008A6FE9">
        <w:tab/>
        <w:t>отбелязва, че Омбудсманът е успял да осигури представителство на 18 националности сред своите служители благодарение на проактивната комуникация и достигането до по-разнообразна аудитория, по-специално чрез каналите на социалните медии; настоятелно призовава Омбудсмана да продължи да полага усилия за постигане на балансирано географско разпределение на граждани от всички държави членки сред своите служители;</w:t>
      </w:r>
    </w:p>
    <w:p w:rsidR="00F53152" w:rsidRPr="008A6FE9" w:rsidRDefault="00F53152" w:rsidP="00F53152">
      <w:pPr>
        <w:pStyle w:val="NormalHanging12a"/>
        <w:rPr>
          <w:szCs w:val="24"/>
        </w:rPr>
      </w:pPr>
      <w:r w:rsidRPr="008A6FE9">
        <w:t>24.</w:t>
      </w:r>
      <w:r w:rsidRPr="008A6FE9">
        <w:tab/>
        <w:t>отбелязва, че по отношение на баланса между половете за Омбудсмана работят повече жени, отколкото мъже, във всички категории служители, особено на управленско равнище, с общо представителство от 67% жени и 33% мъже спрямо 68% жени и 32% мъже през 2021 г.; насърчава Омбудсмана да продължи усилията си за постигане на баланс между половете сред служителите;</w:t>
      </w:r>
    </w:p>
    <w:p w:rsidR="00F53152" w:rsidRPr="008A6FE9" w:rsidRDefault="00F53152" w:rsidP="00F53152">
      <w:pPr>
        <w:pStyle w:val="NormalHanging12a"/>
        <w:rPr>
          <w:szCs w:val="24"/>
        </w:rPr>
      </w:pPr>
      <w:r w:rsidRPr="008A6FE9">
        <w:t>25.</w:t>
      </w:r>
      <w:r w:rsidRPr="008A6FE9">
        <w:tab/>
        <w:t>отбелязва, че през 2022 г. Омбудсманът въведе своята нова политика относно работното време и хибридния модел на работа, приета през октомври 2021 г., която включва разпоредби например относно работата от разстояние, включително от чужбина, предоставянето на ергономично оборудване за работа от дома, работата на непълно работно време, родителския отпуск, гъвкавото работно време и правото на откъсване от работната среда, и приветства факта, че тя се прилага за всички категории служители; приветства общия резултат от проучване сред служителите, проведено през 2023 г., което показва обща степен на удовлетвореност на 97% от служителите от хибридните и гъвкавите схеми на работа;</w:t>
      </w:r>
    </w:p>
    <w:p w:rsidR="00F53152" w:rsidRPr="008A6FE9" w:rsidRDefault="00F53152" w:rsidP="00F53152">
      <w:pPr>
        <w:pStyle w:val="NormalHanging12a"/>
        <w:rPr>
          <w:szCs w:val="24"/>
        </w:rPr>
      </w:pPr>
      <w:r w:rsidRPr="008A6FE9">
        <w:t>26.</w:t>
      </w:r>
      <w:r w:rsidRPr="008A6FE9">
        <w:tab/>
        <w:t>потвърждава, че ръководителите имат добра представа за работното натоварване на служителите, наблюдават редовно разпределението на работата и внасят корекции, когато е необходимо; отбелязва, че медицинската служба на Европейския парламент, която разглежда медицинските въпроси, свързани със служителите на Омбудсмана, не е уведомила Омбудсмана за дългосрочни заболявания, причинени от професионално изчерпване;</w:t>
      </w:r>
    </w:p>
    <w:p w:rsidR="00F53152" w:rsidRPr="008A6FE9" w:rsidRDefault="00F53152" w:rsidP="00F53152">
      <w:pPr>
        <w:pStyle w:val="NormalHanging12a"/>
        <w:rPr>
          <w:szCs w:val="24"/>
        </w:rPr>
      </w:pPr>
      <w:r w:rsidRPr="008A6FE9">
        <w:t>27.</w:t>
      </w:r>
      <w:r w:rsidRPr="008A6FE9">
        <w:tab/>
        <w:t>високо оценява факта, че през 2022 г. не са докладвани случаи на тормоз; насърчава Омбудсмана да продължи усилията си за осигуряване на работна среда без сексуален и психически тормоз, по-специално чрез повишаване на осведомеността и обучение; отбелязва със задоволство, че проучване, проведено в контекста на вътрешен одит на етичната рамка, показва, че в началото на 2023 г. 90% от служителите са били запознати с политиката и насоките относно тормоза;</w:t>
      </w:r>
    </w:p>
    <w:p w:rsidR="00F53152" w:rsidRPr="008A6FE9" w:rsidRDefault="00F53152" w:rsidP="00F53152">
      <w:pPr>
        <w:pStyle w:val="NormalHanging12a"/>
        <w:rPr>
          <w:szCs w:val="24"/>
        </w:rPr>
      </w:pPr>
      <w:r w:rsidRPr="008A6FE9">
        <w:t>28.</w:t>
      </w:r>
      <w:r w:rsidRPr="008A6FE9">
        <w:tab/>
        <w:t>приветства факта, че през 2022 г. 18 платени стажанти са започнали работа за Омбудсмана спрямо 16 през 2021 г., като те се възползват от възнаграждения и същите условия на работа като другите служители; насърчава Омбудсмана да започне прилагането, както е планирано за 2023 г., на схема за стажове, предназначена за млади хора с увреждания;</w:t>
      </w:r>
    </w:p>
    <w:p w:rsidR="00F53152" w:rsidRPr="008A6FE9" w:rsidRDefault="00F53152" w:rsidP="00F53152">
      <w:pPr>
        <w:pStyle w:val="NormalHanging12a"/>
        <w:keepNext/>
        <w:keepLines/>
        <w:rPr>
          <w:b/>
          <w:i/>
          <w:szCs w:val="24"/>
        </w:rPr>
      </w:pPr>
      <w:r w:rsidRPr="008A6FE9">
        <w:rPr>
          <w:b/>
          <w:i/>
        </w:rPr>
        <w:t>Етична рамка и прозрачност</w:t>
      </w:r>
    </w:p>
    <w:p w:rsidR="00F53152" w:rsidRPr="008A6FE9" w:rsidRDefault="00F53152" w:rsidP="00F53152">
      <w:pPr>
        <w:pStyle w:val="NormalHanging12a"/>
        <w:rPr>
          <w:szCs w:val="24"/>
        </w:rPr>
      </w:pPr>
      <w:r w:rsidRPr="008A6FE9">
        <w:t>29.</w:t>
      </w:r>
      <w:r w:rsidRPr="008A6FE9">
        <w:tab/>
        <w:t xml:space="preserve">приветства продължаващите усилия за укрепване и повишаване на осведомеността относно етичната рамка на институцията; отбелязва, че във връзка с това Омбудсманът е организирал представяне на политиката на </w:t>
      </w:r>
      <w:r w:rsidRPr="008A6FE9">
        <w:lastRenderedPageBreak/>
        <w:t>Омбудсмана относно външните дейности, обучение относно тормоза и обедна сесия относно конфликтите на интереси за всички служители; отбелязва освен това, че формулярите за декларациите за конфликти на интереси, външни дейности, публикации и упражняване на професионална дейност след напускане на публичната администрация на Съюза са били преразгледани, за да се осигури последователно прилагане на Правилника за длъжностните лица и на вътрешните правила; приветства вътрешния одит на етичната рамка на Омбудсмана, започнат през 2022 г. и чиито резултати ще бъдат взети предвид с цел по-нататъшно усъвършенстване на практиките в тази област;</w:t>
      </w:r>
    </w:p>
    <w:p w:rsidR="00F53152" w:rsidRPr="008A6FE9" w:rsidRDefault="00F53152" w:rsidP="00F53152">
      <w:pPr>
        <w:pStyle w:val="NormalHanging12a"/>
      </w:pPr>
      <w:r w:rsidRPr="008A6FE9">
        <w:t>30.</w:t>
      </w:r>
      <w:r w:rsidRPr="008A6FE9">
        <w:tab/>
        <w:t>отбелязва, че стратегията на Омбудсмана за борба с измамите се основава до голяма степен на съществуващата етична рамка и на принципа на разделение на задълженията за финансовите функции; отбелязва със задоволство, че през 2022 г. не са докладвани случаи на конфликт на интереси и на подаване на сигнали за нередности;</w:t>
      </w:r>
    </w:p>
    <w:p w:rsidR="00F53152" w:rsidRPr="008A6FE9" w:rsidRDefault="00F53152" w:rsidP="00F53152">
      <w:pPr>
        <w:pStyle w:val="NormalHanging12a"/>
        <w:rPr>
          <w:szCs w:val="24"/>
        </w:rPr>
      </w:pPr>
      <w:r w:rsidRPr="008A6FE9">
        <w:t>31.</w:t>
      </w:r>
      <w:r w:rsidRPr="008A6FE9">
        <w:tab/>
        <w:t>изразява съжаление, че Омбудсманът не се е присъединил официално към регистъра на ЕС за прозрачност, създаден с Междуинституционалното споразумение от 20 май 2021 г. между Европейския парламент, Съвета на Европейския съюз и Европейската комисия за задължителен регистър за прозрачност, но е привел практиките си в съответствие с принципите на регистъра за прозрачност, като проверява дали ораторите и събеседниците, участващи в организираните от Омбудсмана прояви или срещи, са регистрирани в него; приветства високата степен на прозрачност, постигната от Омбудсмана чрез публикуването на уебсайта на институцията на информация относно проверки, командировки, срещи и събития, в които участва омбудсманът Емили О’Райли;</w:t>
      </w:r>
    </w:p>
    <w:p w:rsidR="00F53152" w:rsidRPr="008A6FE9" w:rsidRDefault="00F53152" w:rsidP="00F53152">
      <w:pPr>
        <w:pStyle w:val="NormalHanging12a"/>
        <w:rPr>
          <w:szCs w:val="24"/>
        </w:rPr>
      </w:pPr>
      <w:r w:rsidRPr="008A6FE9">
        <w:t>32.</w:t>
      </w:r>
      <w:r w:rsidRPr="008A6FE9">
        <w:tab/>
        <w:t>призовава Омбудсмана периодично да информира бюджетния орган за трудностите, срещнати в неговата работа по прозрачността и отчетността на Механизма за възстановяване и устойчивост;</w:t>
      </w:r>
    </w:p>
    <w:p w:rsidR="00F53152" w:rsidRPr="008A6FE9" w:rsidRDefault="00F53152" w:rsidP="00F53152">
      <w:pPr>
        <w:pStyle w:val="NormalHanging12a"/>
        <w:rPr>
          <w:szCs w:val="24"/>
        </w:rPr>
      </w:pPr>
      <w:r w:rsidRPr="008A6FE9">
        <w:t>33.</w:t>
      </w:r>
      <w:r w:rsidRPr="008A6FE9">
        <w:tab/>
        <w:t>приветства факта, че през 2022 г. Омбудсманът публикува ръководство за обществеността относно правото на публичен достъп до документи, съдържащо информация относно оптималните начини за упражняване на това право;</w:t>
      </w:r>
    </w:p>
    <w:p w:rsidR="00F53152" w:rsidRPr="008A6FE9" w:rsidRDefault="00F53152" w:rsidP="00F53152">
      <w:pPr>
        <w:pStyle w:val="NormalHanging12a"/>
        <w:rPr>
          <w:b/>
          <w:i/>
          <w:szCs w:val="24"/>
        </w:rPr>
      </w:pPr>
      <w:r w:rsidRPr="008A6FE9">
        <w:rPr>
          <w:b/>
          <w:i/>
        </w:rPr>
        <w:t>Цифровизация, киберсигурност и защита на данните</w:t>
      </w:r>
    </w:p>
    <w:p w:rsidR="00F53152" w:rsidRPr="008A6FE9" w:rsidRDefault="00F53152" w:rsidP="00F53152">
      <w:pPr>
        <w:pStyle w:val="NormalHanging12a"/>
        <w:rPr>
          <w:szCs w:val="24"/>
        </w:rPr>
      </w:pPr>
      <w:r w:rsidRPr="008A6FE9">
        <w:t>34.</w:t>
      </w:r>
      <w:r w:rsidRPr="008A6FE9">
        <w:tab/>
        <w:t>поздравява Омбудсмана за активното насърчаване на цифровизацията с цел намаляване на използването на хартия и улесняване на обмена и съхранението на документи; отбелязва, че разходите за информационни технологии през 2022 г. са намалели с 48% в сравнение с 2021 г., тъй като не са били необходими конкретни инвестиции за увеличаване на цифровизацията; приветства широкото използване на видеоконферентна връзка и излъчване по интернет, които са намалили необходимостта от пътуване;</w:t>
      </w:r>
    </w:p>
    <w:p w:rsidR="00F53152" w:rsidRPr="008A6FE9" w:rsidRDefault="00F53152" w:rsidP="00F53152">
      <w:pPr>
        <w:pStyle w:val="NormalHanging12a"/>
        <w:rPr>
          <w:szCs w:val="24"/>
        </w:rPr>
      </w:pPr>
      <w:r w:rsidRPr="008A6FE9">
        <w:t>35.</w:t>
      </w:r>
      <w:r w:rsidRPr="008A6FE9">
        <w:tab/>
        <w:t xml:space="preserve">отбелязва, че по отношение на информационните технологии Омбудсманът разчита на рамката на Парламента за инфраструктура и киберсигурност и си сътрудничи тясно с Комисията по отношение на интегрирането и поддръжката на корпоративните инструменти на Съюза (SYSPER, ABAC, </w:t>
      </w:r>
      <w:proofErr w:type="spellStart"/>
      <w:r w:rsidRPr="008A6FE9">
        <w:t>MiPS</w:t>
      </w:r>
      <w:proofErr w:type="spellEnd"/>
      <w:r w:rsidRPr="008A6FE9">
        <w:t xml:space="preserve"> и ARES) и използването на рамкови договори в областта на информационните технологии; отбелязва, че като се има предвид ограниченият му контрол върху данните, </w:t>
      </w:r>
      <w:r w:rsidRPr="008A6FE9">
        <w:lastRenderedPageBreak/>
        <w:t xml:space="preserve">Омбудсманът е сключил споразумения за нивото на обслужване със съответните институции, за да гарантира, че обработването на лични данни е в съответствие с приложимата правна рамка; отбелязва със задоволство, че Омбудсманът не е бил обект на </w:t>
      </w:r>
      <w:proofErr w:type="spellStart"/>
      <w:r w:rsidRPr="008A6FE9">
        <w:t>кибератаки</w:t>
      </w:r>
      <w:proofErr w:type="spellEnd"/>
      <w:r w:rsidRPr="008A6FE9">
        <w:t xml:space="preserve"> през 2022 г.;</w:t>
      </w:r>
    </w:p>
    <w:p w:rsidR="00F53152" w:rsidRPr="008A6FE9" w:rsidRDefault="00F53152" w:rsidP="00F53152">
      <w:pPr>
        <w:pStyle w:val="NormalHanging12a"/>
        <w:rPr>
          <w:szCs w:val="24"/>
        </w:rPr>
      </w:pPr>
      <w:r w:rsidRPr="008A6FE9">
        <w:t>36.</w:t>
      </w:r>
      <w:r w:rsidRPr="008A6FE9">
        <w:tab/>
        <w:t>насърчава Омбудсмана да работи в тясно сътрудничество с ENISA (Агенцията на Европейския съюз за киберсигурност); предлага да се организират редовно актуализирани програми за обучение по киберсигурност за всички служители на Омбудсмана;</w:t>
      </w:r>
    </w:p>
    <w:p w:rsidR="00F53152" w:rsidRPr="008A6FE9" w:rsidRDefault="00F53152" w:rsidP="00F53152">
      <w:pPr>
        <w:pStyle w:val="NormalHanging12a"/>
        <w:rPr>
          <w:szCs w:val="24"/>
        </w:rPr>
      </w:pPr>
      <w:r w:rsidRPr="008A6FE9">
        <w:t>37.</w:t>
      </w:r>
      <w:r w:rsidRPr="008A6FE9">
        <w:tab/>
        <w:t>отбелязва със задоволство, че през 2022 г. Омбудсманът е приключил четири действия от плана за действие от пет точки, приет след изготвянето на Доклад за вътрешен одит № 21/03 относно прегледа на рамката на институцията за защита на данните, насочен към допълнително повишаване на ефикасността и ефективността на обработването на лични данни от институцията;</w:t>
      </w:r>
    </w:p>
    <w:p w:rsidR="00F53152" w:rsidRPr="008A6FE9" w:rsidRDefault="00F53152" w:rsidP="00F53152">
      <w:pPr>
        <w:pStyle w:val="NormalHanging12a"/>
        <w:rPr>
          <w:szCs w:val="24"/>
        </w:rPr>
      </w:pPr>
      <w:r w:rsidRPr="008A6FE9">
        <w:t>38.</w:t>
      </w:r>
      <w:r w:rsidRPr="008A6FE9">
        <w:tab/>
        <w:t>отбелязва, че през 2022 г. Европейският надзорен орган по защита на данните („ЕНОЗД“) е предоставил обратна информация относно жалба от гражданин, в която се твърди, че информацията относно защитата на данните, предоставена от Омбудсмана в неговото стандартно потвърждение за получаване, е недостатъчна; отбелязва със задоволство, че ЕНОЗД е приключил случая без по-нататъшни действия, след като Омбудсманът е въвел в своя образец предложените промени;</w:t>
      </w:r>
    </w:p>
    <w:p w:rsidR="00F53152" w:rsidRDefault="00F53152" w:rsidP="00F53152">
      <w:pPr>
        <w:pStyle w:val="NormalHanging12a"/>
      </w:pPr>
      <w:r w:rsidRPr="008A6FE9">
        <w:t>39.</w:t>
      </w:r>
      <w:r w:rsidRPr="008A6FE9">
        <w:tab/>
        <w:t>приветства факта, че понастоящем се въвежда система за електронно фактуриране в сътрудничество с Европейската комисия (ГД „Цифрови услуги“); изисква от Омбудсмана да представи подробен график за пълното въвеждане на системата за електронно фактуриране;</w:t>
      </w:r>
    </w:p>
    <w:p w:rsidR="000024F8" w:rsidRPr="0024569B" w:rsidRDefault="000024F8" w:rsidP="00F53152">
      <w:pPr>
        <w:pStyle w:val="NormalHanging12a"/>
        <w:rPr>
          <w:bCs/>
          <w:iCs/>
          <w:szCs w:val="24"/>
        </w:rPr>
      </w:pPr>
      <w:r>
        <w:rPr>
          <w:bCs/>
          <w:iCs/>
          <w:lang w:val="en-GB"/>
        </w:rPr>
        <w:t>40</w:t>
      </w:r>
      <w:r w:rsidRPr="009266C0">
        <w:rPr>
          <w:bCs/>
          <w:iCs/>
        </w:rPr>
        <w:t>.</w:t>
      </w:r>
      <w:r w:rsidRPr="0024569B">
        <w:rPr>
          <w:bCs/>
          <w:iCs/>
        </w:rPr>
        <w:tab/>
      </w:r>
      <w:proofErr w:type="gramStart"/>
      <w:r w:rsidRPr="009266C0">
        <w:rPr>
          <w:bCs/>
          <w:iCs/>
        </w:rPr>
        <w:t>поздравява</w:t>
      </w:r>
      <w:proofErr w:type="gramEnd"/>
      <w:r w:rsidRPr="009266C0">
        <w:rPr>
          <w:bCs/>
          <w:iCs/>
        </w:rPr>
        <w:t xml:space="preserve"> Омбудсмана за това, че използва изключително софтуер с отворен код на своя уебсайт и че дава приоритет на използването на инструменти с отворен код за вътрешни цели, когато това е възможно;</w:t>
      </w:r>
    </w:p>
    <w:p w:rsidR="00F53152" w:rsidRPr="008A6FE9" w:rsidRDefault="00F53152" w:rsidP="00F53152">
      <w:pPr>
        <w:pStyle w:val="NormalHanging12a"/>
        <w:ind w:left="0" w:firstLine="0"/>
        <w:rPr>
          <w:b/>
          <w:i/>
          <w:szCs w:val="24"/>
        </w:rPr>
      </w:pPr>
      <w:r w:rsidRPr="008A6FE9">
        <w:rPr>
          <w:b/>
          <w:i/>
        </w:rPr>
        <w:t>Сгради</w:t>
      </w:r>
    </w:p>
    <w:p w:rsidR="00F53152" w:rsidRPr="008A6FE9" w:rsidRDefault="00AF5BCC" w:rsidP="00F53152">
      <w:pPr>
        <w:pStyle w:val="NormalHanging12a"/>
        <w:rPr>
          <w:szCs w:val="24"/>
        </w:rPr>
      </w:pPr>
      <w:r>
        <w:t>41</w:t>
      </w:r>
      <w:r w:rsidR="00F53152" w:rsidRPr="008A6FE9">
        <w:t>.</w:t>
      </w:r>
      <w:r w:rsidR="00F53152" w:rsidRPr="008A6FE9">
        <w:tab/>
        <w:t>отбелязва, че след преместването на офиса на Омбудсмана в Брюксел в нови помещения, предоставени от Парламента през 2021 г., сградата е била организирана като съвместно работно пространство със съвсем малко на брой индивидуални офиси и с гъвкави съоръжения за провеждане на заседания; оценява положително факта, че Омбудсманът не практикува споделяне на работни станции и че всички служители имат свое собствено бюро с просторно място за съхранение; изразява загриженост, че Омбудсманът не е организирал проучване сред служителите преди преместването в съвместното работно пространство в офиса в Брюксел; отбелязва, че общо проучване сред служителите, проведено през 2023 г., показва, че по-голямата част от служителите са отговорили положително на новите физически условия; високо оценява също така факта, че преди преместването служителите са били информирани за някои решения относно оборудването на работното пространство, например за цветовите гами;</w:t>
      </w:r>
    </w:p>
    <w:p w:rsidR="00F53152" w:rsidRPr="008A6FE9" w:rsidRDefault="00AF5BCC" w:rsidP="00F53152">
      <w:pPr>
        <w:pStyle w:val="NormalHanging12a"/>
        <w:rPr>
          <w:szCs w:val="24"/>
        </w:rPr>
      </w:pPr>
      <w:r>
        <w:t>42</w:t>
      </w:r>
      <w:r w:rsidR="00F53152" w:rsidRPr="008A6FE9">
        <w:t>.</w:t>
      </w:r>
      <w:r w:rsidR="00F53152" w:rsidRPr="008A6FE9">
        <w:tab/>
        <w:t xml:space="preserve">отбелязва, че Омбудсманът е върнал 20,5% от площта, отдадена му под наем от Парламента в Страсбург по искане на последния, и че впоследствие наемът е бил </w:t>
      </w:r>
      <w:r w:rsidR="00F53152" w:rsidRPr="008A6FE9">
        <w:lastRenderedPageBreak/>
        <w:t>намален;</w:t>
      </w:r>
    </w:p>
    <w:p w:rsidR="00F53152" w:rsidRPr="008A6FE9" w:rsidRDefault="00AF5BCC" w:rsidP="00F53152">
      <w:pPr>
        <w:pStyle w:val="NormalHanging12a"/>
        <w:rPr>
          <w:szCs w:val="24"/>
        </w:rPr>
      </w:pPr>
      <w:r>
        <w:t>43</w:t>
      </w:r>
      <w:r w:rsidR="00F53152" w:rsidRPr="008A6FE9">
        <w:t>.</w:t>
      </w:r>
      <w:r w:rsidR="00F53152" w:rsidRPr="008A6FE9">
        <w:tab/>
        <w:t>припомня, че Омбудсманът не притежава собствени сгради, а наема сграда в Брюксел и офис пространство в Страсбург; отбелязва със задоволство, че сградата „</w:t>
      </w:r>
      <w:proofErr w:type="spellStart"/>
      <w:r w:rsidR="00F53152" w:rsidRPr="008A6FE9">
        <w:t>Хавел</w:t>
      </w:r>
      <w:proofErr w:type="spellEnd"/>
      <w:r w:rsidR="00F53152" w:rsidRPr="008A6FE9">
        <w:t>“ в Страсбург е напълно достъпна за лица с намалена подвижност или други увреждания и изразява силно съжаление, че е необходимо да се подобри достъпността на сградата под наем в Брюксел; призовава Парламента да подобри достъпността на сградата, отдадена под наем на Омбудсмана в Брюксел;</w:t>
      </w:r>
    </w:p>
    <w:p w:rsidR="00F53152" w:rsidRPr="008A6FE9" w:rsidRDefault="00F53152" w:rsidP="00F53152">
      <w:pPr>
        <w:pStyle w:val="NormalHanging12a"/>
        <w:ind w:left="0" w:firstLine="0"/>
        <w:rPr>
          <w:b/>
          <w:i/>
          <w:szCs w:val="24"/>
        </w:rPr>
      </w:pPr>
      <w:r w:rsidRPr="008A6FE9">
        <w:rPr>
          <w:b/>
          <w:i/>
        </w:rPr>
        <w:t>Околна среда и устойчивост</w:t>
      </w:r>
    </w:p>
    <w:p w:rsidR="00F53152" w:rsidRPr="008A6FE9" w:rsidRDefault="00AF5BCC" w:rsidP="00F53152">
      <w:pPr>
        <w:pStyle w:val="NormalHanging12a"/>
        <w:rPr>
          <w:szCs w:val="24"/>
        </w:rPr>
      </w:pPr>
      <w:r>
        <w:t>44</w:t>
      </w:r>
      <w:r w:rsidR="00F53152" w:rsidRPr="008A6FE9">
        <w:t>.</w:t>
      </w:r>
      <w:r w:rsidR="00F53152" w:rsidRPr="008A6FE9">
        <w:tab/>
        <w:t>приветства факта, че през годините Омбудсманът намали своя отпечатък върху околната среда, по-специално чрез цифровизацията на своите процеси и публикации, като годишния доклад, премахването на индивидуалните принтери и мерките за повишаване на устойчивостта на организираните прояви; отбелязва, че по отношение на отпечатъка върху околната среда на ползваните сгради Омбудсманът разчита на мерките, предприети от Парламента в качеството му на собственик на сградите; потвърждава, че Омбудсманът изпрати искане до Парламента, изразено в рамките на процедурата по освобождаване от отговорност във връзка с изпълнението на бюджета за 2021 г., за монтиране на слънчеви панели на покрива на неговите сгради;</w:t>
      </w:r>
    </w:p>
    <w:p w:rsidR="00F53152" w:rsidRPr="008A6FE9" w:rsidRDefault="00AF5BCC" w:rsidP="00F53152">
      <w:pPr>
        <w:pStyle w:val="NormalHanging12a"/>
        <w:rPr>
          <w:szCs w:val="24"/>
        </w:rPr>
      </w:pPr>
      <w:r>
        <w:t>45</w:t>
      </w:r>
      <w:r w:rsidR="00F53152" w:rsidRPr="008A6FE9">
        <w:t>.</w:t>
      </w:r>
      <w:r w:rsidR="00F53152" w:rsidRPr="008A6FE9">
        <w:tab/>
        <w:t>отбелязва, че Омбудсманът е продължил да насърчава устойчивата мобилност през 2022 г., по-специално чрез предоставяне на финансова подкрепа за годишните абонаменти за обществения транспорт, чрез ограничаване на наличните места за паркиране на автомобили и чрез усъвършенстване на съоръженията и на възможностите за паркиране за велосипедистите;</w:t>
      </w:r>
    </w:p>
    <w:p w:rsidR="00F53152" w:rsidRPr="008A6FE9" w:rsidRDefault="00F53152" w:rsidP="00F53152">
      <w:pPr>
        <w:pStyle w:val="NormalHanging12a"/>
        <w:ind w:left="0" w:firstLine="0"/>
        <w:rPr>
          <w:b/>
          <w:i/>
          <w:szCs w:val="24"/>
        </w:rPr>
      </w:pPr>
      <w:r w:rsidRPr="008A6FE9">
        <w:rPr>
          <w:b/>
          <w:i/>
        </w:rPr>
        <w:t>Междуинституционално сътрудничество</w:t>
      </w:r>
    </w:p>
    <w:p w:rsidR="00F53152" w:rsidRPr="008A6FE9" w:rsidRDefault="00AF5BCC" w:rsidP="00F53152">
      <w:pPr>
        <w:pStyle w:val="NormalHanging12a"/>
        <w:rPr>
          <w:szCs w:val="24"/>
        </w:rPr>
      </w:pPr>
      <w:r>
        <w:t>46</w:t>
      </w:r>
      <w:r w:rsidR="00F53152" w:rsidRPr="008A6FE9">
        <w:t>.</w:t>
      </w:r>
      <w:r w:rsidR="00F53152" w:rsidRPr="008A6FE9">
        <w:tab/>
        <w:t xml:space="preserve">приветства финансовите и административните икономии, постигнати чрез междуинституционално сътрудничество, и по-специално широкия набор от споразумения за нивото на обслужване, сключени с Парламента и Комисията, и участието в междуинституционални процедури за възлагане на обществени поръчки; отбелязва, че през 2022 г. Омбудсманът е развил нови полезни взаимодействия с други институции и е подписал споразумения относно предоставянето на услуги за използването на удостоверенията за квалифициран подпис от разстояние от Комисията и относно предоставянето на услуги от </w:t>
      </w:r>
      <w:proofErr w:type="spellStart"/>
      <w:r w:rsidR="00F53152" w:rsidRPr="008A6FE9">
        <w:t>фронтофиса</w:t>
      </w:r>
      <w:proofErr w:type="spellEnd"/>
      <w:r w:rsidR="00F53152" w:rsidRPr="008A6FE9">
        <w:t xml:space="preserve"> за персонала и от бюрото за информация на Парламента;</w:t>
      </w:r>
    </w:p>
    <w:p w:rsidR="00F53152" w:rsidRPr="008A6FE9" w:rsidRDefault="00AF5BCC" w:rsidP="00F53152">
      <w:pPr>
        <w:pStyle w:val="NormalHanging12a"/>
        <w:rPr>
          <w:szCs w:val="24"/>
        </w:rPr>
      </w:pPr>
      <w:r>
        <w:t>47</w:t>
      </w:r>
      <w:r w:rsidR="00F53152" w:rsidRPr="008A6FE9">
        <w:t>.</w:t>
      </w:r>
      <w:r w:rsidR="00F53152" w:rsidRPr="008A6FE9">
        <w:tab/>
        <w:t xml:space="preserve">признава, че е важно да се поддържа високо равнище на обмен и сътрудничество с Европейската мрежа на омбудсманите; приветства организирането през 2022 г. на годишната конференция и тематичния </w:t>
      </w:r>
      <w:proofErr w:type="spellStart"/>
      <w:r w:rsidR="00F53152" w:rsidRPr="008A6FE9">
        <w:t>уебинар</w:t>
      </w:r>
      <w:proofErr w:type="spellEnd"/>
      <w:r w:rsidR="00F53152" w:rsidRPr="008A6FE9">
        <w:t xml:space="preserve"> на Европейската мрежа на омбудсманите като важни дискусионни форуми по актуални въпроси, които оказват въздействие върху работата на омбудсманите в цяла Европа;</w:t>
      </w:r>
    </w:p>
    <w:p w:rsidR="00F53152" w:rsidRPr="008A6FE9" w:rsidRDefault="00AF5BCC" w:rsidP="00F53152">
      <w:pPr>
        <w:pStyle w:val="NormalHanging12a"/>
        <w:rPr>
          <w:szCs w:val="24"/>
        </w:rPr>
      </w:pPr>
      <w:r>
        <w:t>48</w:t>
      </w:r>
      <w:r w:rsidR="00F53152" w:rsidRPr="008A6FE9">
        <w:t>.</w:t>
      </w:r>
      <w:r w:rsidR="00F53152" w:rsidRPr="008A6FE9">
        <w:tab/>
        <w:t xml:space="preserve">приветства сътрудничеството, което Омбудсманът поддържа с Европейската прокуратура, Европейската сметна палата (ЕСП) и Европейската служба за борба с измамите (OLAF), с цел избягване на дублирането на разследвания и обсъждане на теми от взаимен интерес, като усъвършенстването на надзорната рамка на Съюза; приветства също така каналите за сътрудничество, въведени съвместно с </w:t>
      </w:r>
      <w:r w:rsidR="00F53152" w:rsidRPr="008A6FE9">
        <w:lastRenderedPageBreak/>
        <w:t>ЕНОЗД, за осигуряване на бързи кръстосани консултации в ежедневната работа на двете институции и меморандума за разбирателство, очертаващ съответните правомощия на всяка институция с цел избягване на дублирането на процедури;</w:t>
      </w:r>
    </w:p>
    <w:p w:rsidR="00F53152" w:rsidRPr="008A6FE9" w:rsidRDefault="00AF5BCC" w:rsidP="00F53152">
      <w:pPr>
        <w:pStyle w:val="NormalHanging12a"/>
        <w:rPr>
          <w:szCs w:val="24"/>
        </w:rPr>
      </w:pPr>
      <w:r>
        <w:t>49</w:t>
      </w:r>
      <w:r w:rsidR="00F53152" w:rsidRPr="008A6FE9">
        <w:t>.</w:t>
      </w:r>
      <w:r w:rsidR="00F53152" w:rsidRPr="008A6FE9">
        <w:tab/>
        <w:t>приветства тясното сътрудничество на Омбудсмана с компетентните комисии на Европейския парламент във връзка с важни проверки или чрез пряко представяне на работата на заседанията на комисиите, или чрез изпращане на информация до председателите на комисии; подчертава, че стратегическите инициативи и проверки, осъществявани от Омбудсмана, са от основно значение за подобряване на прозрачността и отчетността на администрацията на Съюза;</w:t>
      </w:r>
    </w:p>
    <w:p w:rsidR="00F53152" w:rsidRPr="008A6FE9" w:rsidRDefault="00F53152" w:rsidP="00F53152">
      <w:pPr>
        <w:pStyle w:val="NormalHanging12a"/>
        <w:rPr>
          <w:b/>
          <w:i/>
          <w:szCs w:val="24"/>
        </w:rPr>
      </w:pPr>
      <w:r w:rsidRPr="008A6FE9">
        <w:rPr>
          <w:b/>
          <w:i/>
        </w:rPr>
        <w:t>Комуникация</w:t>
      </w:r>
    </w:p>
    <w:p w:rsidR="00F53152" w:rsidRPr="008A6FE9" w:rsidRDefault="00AF5BCC" w:rsidP="00F53152">
      <w:pPr>
        <w:pStyle w:val="NormalHanging12a"/>
        <w:rPr>
          <w:szCs w:val="24"/>
        </w:rPr>
      </w:pPr>
      <w:r>
        <w:t>50</w:t>
      </w:r>
      <w:r w:rsidR="00F53152" w:rsidRPr="008A6FE9">
        <w:t>.</w:t>
      </w:r>
      <w:r w:rsidR="00F53152" w:rsidRPr="008A6FE9">
        <w:tab/>
        <w:t>отбелязва, че общият бюджет за дейности за комуникация или популяризиране се е увеличил от 92 100 EUR на 132 400 EUR, т.е. с 43,8%, между 2021 и 2022 г.; поздравява Омбудсмана за разработването на всеобхватна комуникационна стратегия, която е допринесла за повишаване на информираността на специализираната публика и широката общественост; отбелязва, че европейските медии са публикували 60% повече статии в пресата за Омбудсмана в сравнение с 2021 г.;</w:t>
      </w:r>
    </w:p>
    <w:p w:rsidR="00F53152" w:rsidRPr="008A6FE9" w:rsidRDefault="00AF5BCC" w:rsidP="00F53152">
      <w:pPr>
        <w:pStyle w:val="NormalHanging12a"/>
        <w:rPr>
          <w:szCs w:val="24"/>
        </w:rPr>
      </w:pPr>
      <w:r>
        <w:t>51</w:t>
      </w:r>
      <w:r w:rsidR="00F53152" w:rsidRPr="008A6FE9">
        <w:t>.</w:t>
      </w:r>
      <w:r w:rsidR="00F53152" w:rsidRPr="008A6FE9">
        <w:tab/>
        <w:t>приветства усилията на Омбудсмана за повишаване на осведомеността на гражданите относно ролята на Омбудсмана и възможността за прибягване до него в случай на лошо администриране от страна на институция на Съюза; признава усилията, предприети за предоставяне на прозрачна информация и за публикуване на данни в информативен и удобен за ползване формат на уебсайта на Омбудсмана, въпреки че тези данни не са налични в отворен формат; приветства приемането на нов знак и визуална идентичност, за да се повиши видимостта на работата на Омбудсмана и той да стане разпознаваем като орган на Съюза;</w:t>
      </w:r>
    </w:p>
    <w:p w:rsidR="00F53152" w:rsidRPr="008A6FE9" w:rsidRDefault="00AF5BCC" w:rsidP="00F53152">
      <w:pPr>
        <w:pStyle w:val="NormalHanging12a"/>
        <w:rPr>
          <w:szCs w:val="24"/>
        </w:rPr>
      </w:pPr>
      <w:r>
        <w:t>52</w:t>
      </w:r>
      <w:r w:rsidR="00F53152" w:rsidRPr="008A6FE9">
        <w:t>.</w:t>
      </w:r>
      <w:r w:rsidR="00F53152" w:rsidRPr="008A6FE9">
        <w:tab/>
        <w:t>оценява факта, че Омбудсманът използва автоматизиран инструмент за превода на случаи на уебсайта и изисква от Омбудсмана да осигури безпроблемен и навременен превод на разглежданите случаи на всички езици;</w:t>
      </w:r>
    </w:p>
    <w:p w:rsidR="00F53152" w:rsidRPr="008A6FE9" w:rsidRDefault="00AF5BCC" w:rsidP="005651D5">
      <w:pPr>
        <w:ind w:left="567" w:hanging="567"/>
      </w:pPr>
      <w:r>
        <w:t>53</w:t>
      </w:r>
      <w:r w:rsidR="00F53152" w:rsidRPr="008A6FE9">
        <w:t>.</w:t>
      </w:r>
      <w:r w:rsidR="00F53152" w:rsidRPr="008A6FE9">
        <w:tab/>
        <w:t xml:space="preserve">отбелязва, че Омбудсманът има профили в социалните медии </w:t>
      </w:r>
      <w:proofErr w:type="spellStart"/>
      <w:r w:rsidR="00F53152" w:rsidRPr="008A6FE9">
        <w:rPr>
          <w:i/>
        </w:rPr>
        <w:t>Instagram</w:t>
      </w:r>
      <w:proofErr w:type="spellEnd"/>
      <w:r w:rsidR="00F53152" w:rsidRPr="008A6FE9">
        <w:t xml:space="preserve">, </w:t>
      </w:r>
      <w:proofErr w:type="spellStart"/>
      <w:r w:rsidR="00F53152" w:rsidRPr="008A6FE9">
        <w:rPr>
          <w:i/>
        </w:rPr>
        <w:t>LinkedIn</w:t>
      </w:r>
      <w:proofErr w:type="spellEnd"/>
      <w:r w:rsidR="00F53152" w:rsidRPr="008A6FE9">
        <w:t xml:space="preserve">, </w:t>
      </w:r>
      <w:r w:rsidR="00F53152" w:rsidRPr="008A6FE9">
        <w:rPr>
          <w:i/>
        </w:rPr>
        <w:t>X</w:t>
      </w:r>
      <w:r w:rsidR="00F53152" w:rsidRPr="008A6FE9">
        <w:t xml:space="preserve"> (бивш </w:t>
      </w:r>
      <w:proofErr w:type="spellStart"/>
      <w:r w:rsidR="00F53152" w:rsidRPr="008A6FE9">
        <w:rPr>
          <w:i/>
        </w:rPr>
        <w:t>Twitter</w:t>
      </w:r>
      <w:proofErr w:type="spellEnd"/>
      <w:r w:rsidR="00F53152" w:rsidRPr="008A6FE9">
        <w:t xml:space="preserve">), където новите последователи и процентът на ангажираност са били по-високи през 2022 г., отколкото през предходните години; приветства участието на Омбудсмана в пилотен проект, ръководен от ЕНОЗД, който има за цел да привлече институциите на Съюза в </w:t>
      </w:r>
      <w:r w:rsidR="00F53152" w:rsidRPr="008A6FE9">
        <w:rPr>
          <w:i/>
          <w:iCs/>
        </w:rPr>
        <w:t>EU </w:t>
      </w:r>
      <w:proofErr w:type="spellStart"/>
      <w:r w:rsidR="00F53152" w:rsidRPr="008A6FE9">
        <w:rPr>
          <w:i/>
          <w:iCs/>
        </w:rPr>
        <w:t>Voice</w:t>
      </w:r>
      <w:proofErr w:type="spellEnd"/>
      <w:r w:rsidR="00F53152" w:rsidRPr="008A6FE9">
        <w:t xml:space="preserve"> и </w:t>
      </w:r>
      <w:r w:rsidR="00F53152" w:rsidRPr="008A6FE9">
        <w:rPr>
          <w:i/>
          <w:iCs/>
        </w:rPr>
        <w:t>EU </w:t>
      </w:r>
      <w:proofErr w:type="spellStart"/>
      <w:r w:rsidR="00F53152" w:rsidRPr="008A6FE9">
        <w:rPr>
          <w:i/>
          <w:iCs/>
        </w:rPr>
        <w:t>Video</w:t>
      </w:r>
      <w:proofErr w:type="spellEnd"/>
      <w:r w:rsidR="00F53152" w:rsidRPr="008A6FE9">
        <w:t xml:space="preserve">, които са две безплатни мрежи на социалните медии с отворен код на база софтуера </w:t>
      </w:r>
      <w:proofErr w:type="spellStart"/>
      <w:r w:rsidR="00F53152" w:rsidRPr="008A6FE9">
        <w:rPr>
          <w:i/>
          <w:iCs/>
        </w:rPr>
        <w:t>Mastodon</w:t>
      </w:r>
      <w:proofErr w:type="spellEnd"/>
      <w:r w:rsidR="00F53152" w:rsidRPr="008A6FE9">
        <w:t xml:space="preserve">, даващи възможност на институциите на Съюза да взаимодействат с обществеността чрез споделяне на текстове, изображения, видеоматериали и </w:t>
      </w:r>
      <w:proofErr w:type="spellStart"/>
      <w:r w:rsidR="00F53152" w:rsidRPr="008A6FE9">
        <w:t>подкастове</w:t>
      </w:r>
      <w:proofErr w:type="spellEnd"/>
      <w:r w:rsidR="00F53152" w:rsidRPr="008A6FE9">
        <w:t>.</w:t>
      </w:r>
    </w:p>
    <w:p w:rsidR="00E365E1" w:rsidRPr="008A6FE9" w:rsidRDefault="00E365E1" w:rsidP="00F53152">
      <w:bookmarkStart w:id="10" w:name="TextBodyEnd"/>
      <w:bookmarkEnd w:id="10"/>
    </w:p>
    <w:sectPr w:rsidR="00E365E1" w:rsidRPr="008A6FE9" w:rsidSect="008A6FE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3EA1" w:rsidRPr="008A6FE9" w:rsidRDefault="008A3EA1">
      <w:r w:rsidRPr="008A6FE9">
        <w:separator/>
      </w:r>
    </w:p>
  </w:endnote>
  <w:endnote w:type="continuationSeparator" w:id="0">
    <w:p w:rsidR="008A3EA1" w:rsidRPr="008A6FE9" w:rsidRDefault="008A3EA1">
      <w:r w:rsidRPr="008A6F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152" w:rsidRPr="008A6FE9" w:rsidRDefault="00F53152" w:rsidP="0088089B">
    <w:pPr>
      <w:pStyle w:val="EPFooter"/>
    </w:pPr>
    <w:r w:rsidRPr="008A6FE9">
      <w:t>PE</w:t>
    </w:r>
    <w:r w:rsidRPr="008A6FE9">
      <w:rPr>
        <w:rStyle w:val="HideTWBExt"/>
      </w:rPr>
      <w:t>&lt;NoPE&gt;</w:t>
    </w:r>
    <w:r w:rsidRPr="008A6FE9">
      <w:t>753.486</w:t>
    </w:r>
    <w:r w:rsidRPr="008A6FE9">
      <w:rPr>
        <w:rStyle w:val="HideTWBExt"/>
      </w:rPr>
      <w:t>&lt;/NoPE&gt;&lt;Version&gt;</w:t>
    </w:r>
    <w:r w:rsidRPr="008A6FE9">
      <w:t>v02-00</w:t>
    </w:r>
    <w:r w:rsidRPr="008A6FE9">
      <w:rPr>
        <w:rStyle w:val="HideTWBExt"/>
      </w:rPr>
      <w:t>&lt;/Version&gt;</w:t>
    </w:r>
    <w:r w:rsidRPr="008A6FE9">
      <w:tab/>
    </w:r>
    <w:r w:rsidRPr="008A6FE9">
      <w:fldChar w:fldCharType="begin"/>
    </w:r>
    <w:r w:rsidRPr="008A6FE9">
      <w:instrText xml:space="preserve"> PAGE  \* MERGEFORMAT </w:instrText>
    </w:r>
    <w:r w:rsidRPr="008A6FE9">
      <w:fldChar w:fldCharType="separate"/>
    </w:r>
    <w:r w:rsidR="008A6FE9" w:rsidRPr="008A6FE9">
      <w:rPr>
        <w:noProof/>
      </w:rPr>
      <w:t>2</w:t>
    </w:r>
    <w:r w:rsidRPr="008A6FE9">
      <w:fldChar w:fldCharType="end"/>
    </w:r>
    <w:r w:rsidRPr="008A6FE9">
      <w:t>/</w:t>
    </w:r>
    <w:r w:rsidR="009266C0">
      <w:fldChar w:fldCharType="begin"/>
    </w:r>
    <w:r w:rsidR="009266C0">
      <w:instrText xml:space="preserve"> NUMPAGES  \* MERGEFORMAT </w:instrText>
    </w:r>
    <w:r w:rsidR="009266C0">
      <w:fldChar w:fldCharType="separate"/>
    </w:r>
    <w:r w:rsidR="008A6FE9" w:rsidRPr="008A6FE9">
      <w:rPr>
        <w:noProof/>
      </w:rPr>
      <w:t>10</w:t>
    </w:r>
    <w:r w:rsidR="009266C0">
      <w:rPr>
        <w:noProof/>
      </w:rPr>
      <w:fldChar w:fldCharType="end"/>
    </w:r>
    <w:r w:rsidRPr="008A6FE9">
      <w:tab/>
    </w:r>
    <w:r w:rsidRPr="008A6FE9">
      <w:rPr>
        <w:rStyle w:val="HideTWBExt"/>
      </w:rPr>
      <w:t>&lt;PathFdR&gt;</w:t>
    </w:r>
    <w:r w:rsidRPr="008A6FE9">
      <w:t>RR\1298678BG.docx</w:t>
    </w:r>
    <w:r w:rsidRPr="008A6FE9">
      <w:rPr>
        <w:rStyle w:val="HideTWBExt"/>
      </w:rPr>
      <w:t>&lt;/PathFdR&gt;</w:t>
    </w:r>
  </w:p>
  <w:p w:rsidR="00F53152" w:rsidRPr="008A6FE9" w:rsidRDefault="00F53152" w:rsidP="0088089B">
    <w:pPr>
      <w:pStyle w:val="EPFooter2"/>
    </w:pPr>
    <w:r w:rsidRPr="008A6FE9">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152" w:rsidRPr="008A6FE9" w:rsidRDefault="00F53152" w:rsidP="0088089B">
    <w:pPr>
      <w:pStyle w:val="EPFooter"/>
    </w:pPr>
    <w:r w:rsidRPr="008A6FE9">
      <w:rPr>
        <w:rStyle w:val="HideTWBExt"/>
      </w:rPr>
      <w:t>&lt;PathFdR&gt;</w:t>
    </w:r>
    <w:r w:rsidRPr="008A6FE9">
      <w:t>RR\1298678BG.docx</w:t>
    </w:r>
    <w:r w:rsidRPr="008A6FE9">
      <w:rPr>
        <w:rStyle w:val="HideTWBExt"/>
      </w:rPr>
      <w:t>&lt;/PathFdR&gt;</w:t>
    </w:r>
    <w:r w:rsidRPr="008A6FE9">
      <w:tab/>
    </w:r>
    <w:r w:rsidRPr="008A6FE9">
      <w:tab/>
      <w:t>PE</w:t>
    </w:r>
    <w:r w:rsidRPr="008A6FE9">
      <w:rPr>
        <w:rStyle w:val="HideTWBExt"/>
      </w:rPr>
      <w:t>&lt;NoPE&gt;</w:t>
    </w:r>
    <w:r w:rsidRPr="008A6FE9">
      <w:t>753.486</w:t>
    </w:r>
    <w:r w:rsidRPr="008A6FE9">
      <w:rPr>
        <w:rStyle w:val="HideTWBExt"/>
      </w:rPr>
      <w:t>&lt;/NoPE&gt;&lt;Version&gt;</w:t>
    </w:r>
    <w:r w:rsidRPr="008A6FE9">
      <w:t>v02-00</w:t>
    </w:r>
    <w:r w:rsidRPr="008A6FE9">
      <w:rPr>
        <w:rStyle w:val="HideTWBExt"/>
      </w:rPr>
      <w:t>&lt;/Version&gt;</w:t>
    </w:r>
  </w:p>
  <w:p w:rsidR="00F53152" w:rsidRPr="008A6FE9" w:rsidRDefault="00F53152" w:rsidP="0088089B">
    <w:pPr>
      <w:pStyle w:val="EPFooter2"/>
    </w:pPr>
    <w:r w:rsidRPr="008A6FE9">
      <w:t>BG</w:t>
    </w:r>
    <w:r w:rsidRPr="008A6FE9">
      <w:tab/>
    </w:r>
    <w:r w:rsidRPr="008A6FE9">
      <w:rPr>
        <w:b w:val="0"/>
        <w:i/>
        <w:color w:val="C0C0C0"/>
        <w:sz w:val="22"/>
      </w:rPr>
      <w:t>Единство в многообразието</w:t>
    </w:r>
    <w:r w:rsidRPr="008A6FE9">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FE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FE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F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3EA1" w:rsidRPr="008A6FE9" w:rsidRDefault="008A3EA1">
      <w:r w:rsidRPr="008A6FE9">
        <w:separator/>
      </w:r>
    </w:p>
  </w:footnote>
  <w:footnote w:type="continuationSeparator" w:id="0">
    <w:p w:rsidR="008A3EA1" w:rsidRPr="008A6FE9" w:rsidRDefault="008A3EA1">
      <w:r w:rsidRPr="008A6FE9">
        <w:continuationSeparator/>
      </w:r>
    </w:p>
  </w:footnote>
  <w:footnote w:id="1">
    <w:p w:rsidR="00F53152" w:rsidRPr="008A6FE9" w:rsidRDefault="00F53152" w:rsidP="008A6FE9">
      <w:pPr>
        <w:pStyle w:val="FootnoteText"/>
        <w:ind w:left="567" w:hanging="567"/>
        <w:rPr>
          <w:sz w:val="24"/>
          <w:lang w:val="bg-BG"/>
        </w:rPr>
      </w:pPr>
      <w:r w:rsidRPr="008A6FE9">
        <w:rPr>
          <w:rStyle w:val="FootnoteReference"/>
          <w:sz w:val="24"/>
          <w:lang w:val="bg-BG"/>
        </w:rPr>
        <w:footnoteRef/>
      </w:r>
      <w:r w:rsidR="008A6FE9" w:rsidRPr="008A6FE9">
        <w:rPr>
          <w:sz w:val="24"/>
          <w:lang w:val="bg-BG"/>
        </w:rPr>
        <w:t xml:space="preserve"> </w:t>
      </w:r>
      <w:r w:rsidR="008A6FE9" w:rsidRPr="008A6FE9">
        <w:rPr>
          <w:sz w:val="24"/>
          <w:lang w:val="bg-BG"/>
        </w:rPr>
        <w:tab/>
      </w:r>
      <w:r w:rsidRPr="008A6FE9">
        <w:rPr>
          <w:sz w:val="24"/>
          <w:lang w:val="bg-BG"/>
        </w:rPr>
        <w:t>ОВ L 45, 24.2.2022 г.</w:t>
      </w:r>
    </w:p>
  </w:footnote>
  <w:footnote w:id="2">
    <w:p w:rsidR="00F53152" w:rsidRPr="008A6FE9" w:rsidRDefault="00F53152" w:rsidP="008A6FE9">
      <w:pPr>
        <w:pStyle w:val="FootnoteText"/>
        <w:ind w:left="567" w:hanging="567"/>
        <w:rPr>
          <w:sz w:val="24"/>
          <w:lang w:val="bg-BG"/>
        </w:rPr>
      </w:pPr>
      <w:r w:rsidRPr="008A6FE9">
        <w:rPr>
          <w:rStyle w:val="FootnoteReference"/>
          <w:sz w:val="24"/>
          <w:lang w:val="bg-BG"/>
        </w:rPr>
        <w:footnoteRef/>
      </w:r>
      <w:r w:rsidR="008A6FE9" w:rsidRPr="008A6FE9">
        <w:rPr>
          <w:sz w:val="24"/>
          <w:lang w:val="bg-BG"/>
        </w:rPr>
        <w:t xml:space="preserve"> </w:t>
      </w:r>
      <w:r w:rsidR="008A6FE9" w:rsidRPr="008A6FE9">
        <w:rPr>
          <w:sz w:val="24"/>
          <w:lang w:val="bg-BG"/>
        </w:rPr>
        <w:tab/>
      </w:r>
      <w:r w:rsidRPr="008A6FE9">
        <w:rPr>
          <w:sz w:val="24"/>
          <w:lang w:val="bg-BG"/>
        </w:rPr>
        <w:t>ОВ C, C/2023/2, 12.10.2023 г.</w:t>
      </w:r>
    </w:p>
  </w:footnote>
  <w:footnote w:id="3">
    <w:p w:rsidR="00F53152" w:rsidRPr="008A6FE9" w:rsidRDefault="00F53152" w:rsidP="008A6FE9">
      <w:pPr>
        <w:pStyle w:val="FootnoteText"/>
        <w:ind w:left="567" w:hanging="567"/>
        <w:rPr>
          <w:sz w:val="24"/>
          <w:lang w:val="bg-BG"/>
        </w:rPr>
      </w:pPr>
      <w:r w:rsidRPr="008A6FE9">
        <w:rPr>
          <w:rStyle w:val="FootnoteReference"/>
          <w:sz w:val="24"/>
          <w:lang w:val="bg-BG"/>
        </w:rPr>
        <w:footnoteRef/>
      </w:r>
      <w:r w:rsidR="008A6FE9" w:rsidRPr="008A6FE9">
        <w:rPr>
          <w:sz w:val="24"/>
          <w:lang w:val="bg-BG"/>
        </w:rPr>
        <w:t xml:space="preserve"> </w:t>
      </w:r>
      <w:r w:rsidR="008A6FE9" w:rsidRPr="008A6FE9">
        <w:rPr>
          <w:sz w:val="24"/>
          <w:lang w:val="bg-BG"/>
        </w:rPr>
        <w:tab/>
      </w:r>
      <w:r w:rsidRPr="008A6FE9">
        <w:rPr>
          <w:sz w:val="24"/>
          <w:lang w:val="bg-BG"/>
        </w:rPr>
        <w:t>ОВ C, C/2023/103, 4.10.2023 г.</w:t>
      </w:r>
    </w:p>
  </w:footnote>
  <w:footnote w:id="4">
    <w:p w:rsidR="00F53152" w:rsidRPr="008A6FE9" w:rsidRDefault="00F53152" w:rsidP="008A6FE9">
      <w:pPr>
        <w:pStyle w:val="FootnoteText"/>
        <w:ind w:left="567" w:hanging="567"/>
        <w:rPr>
          <w:sz w:val="24"/>
          <w:lang w:val="bg-BG"/>
        </w:rPr>
      </w:pPr>
      <w:r w:rsidRPr="008A6FE9">
        <w:rPr>
          <w:rStyle w:val="FootnoteReference"/>
          <w:sz w:val="24"/>
          <w:lang w:val="bg-BG"/>
        </w:rPr>
        <w:footnoteRef/>
      </w:r>
      <w:r w:rsidR="008A6FE9" w:rsidRPr="008A6FE9">
        <w:rPr>
          <w:sz w:val="24"/>
          <w:lang w:val="bg-BG"/>
        </w:rPr>
        <w:t xml:space="preserve"> </w:t>
      </w:r>
      <w:r w:rsidR="008A6FE9" w:rsidRPr="008A6FE9">
        <w:rPr>
          <w:sz w:val="24"/>
          <w:lang w:val="bg-BG"/>
        </w:rPr>
        <w:tab/>
      </w:r>
      <w:r w:rsidRPr="008A6FE9">
        <w:rPr>
          <w:sz w:val="24"/>
          <w:lang w:val="bg-BG"/>
        </w:rPr>
        <w:t>ОВ C, C/2023/112, 12.10.2023 г.</w:t>
      </w:r>
    </w:p>
  </w:footnote>
  <w:footnote w:id="5">
    <w:p w:rsidR="00F53152" w:rsidRPr="008A6FE9" w:rsidRDefault="00F53152" w:rsidP="008A6FE9">
      <w:pPr>
        <w:pStyle w:val="FootnoteText"/>
        <w:ind w:left="567" w:hanging="567"/>
        <w:rPr>
          <w:sz w:val="24"/>
          <w:szCs w:val="24"/>
          <w:lang w:val="bg-BG"/>
        </w:rPr>
      </w:pPr>
      <w:r w:rsidRPr="008A6FE9">
        <w:rPr>
          <w:rStyle w:val="FootnoteReference"/>
          <w:sz w:val="24"/>
          <w:lang w:val="bg-BG"/>
        </w:rPr>
        <w:footnoteRef/>
      </w:r>
      <w:r w:rsidR="008A6FE9" w:rsidRPr="008A6FE9">
        <w:rPr>
          <w:sz w:val="24"/>
          <w:lang w:val="bg-BG"/>
        </w:rPr>
        <w:t xml:space="preserve"> </w:t>
      </w:r>
      <w:r w:rsidR="008A6FE9" w:rsidRPr="008A6FE9">
        <w:rPr>
          <w:sz w:val="24"/>
          <w:lang w:val="bg-BG"/>
        </w:rPr>
        <w:tab/>
      </w:r>
      <w:r w:rsidRPr="008A6FE9">
        <w:rPr>
          <w:sz w:val="24"/>
          <w:lang w:val="bg-BG"/>
        </w:rPr>
        <w:t>ОВ L 193, 30.7.2018 г., стр. 1.</w:t>
      </w:r>
    </w:p>
  </w:footnote>
  <w:footnote w:id="6">
    <w:p w:rsidR="00F53152" w:rsidRPr="008A6FE9" w:rsidRDefault="00F53152" w:rsidP="008A6FE9">
      <w:pPr>
        <w:pStyle w:val="FootnoteText"/>
        <w:ind w:left="567" w:hanging="567"/>
        <w:rPr>
          <w:sz w:val="24"/>
          <w:lang w:val="bg-BG"/>
        </w:rPr>
      </w:pPr>
      <w:r w:rsidRPr="008A6FE9">
        <w:rPr>
          <w:rStyle w:val="FootnoteReference"/>
          <w:sz w:val="24"/>
          <w:lang w:val="bg-BG"/>
        </w:rPr>
        <w:footnoteRef/>
      </w:r>
      <w:r w:rsidR="008A6FE9" w:rsidRPr="008A6FE9">
        <w:rPr>
          <w:sz w:val="24"/>
          <w:lang w:val="bg-BG"/>
        </w:rPr>
        <w:t xml:space="preserve"> </w:t>
      </w:r>
      <w:r w:rsidR="008A6FE9" w:rsidRPr="008A6FE9">
        <w:rPr>
          <w:sz w:val="24"/>
          <w:lang w:val="bg-BG"/>
        </w:rPr>
        <w:tab/>
      </w:r>
      <w:r w:rsidRPr="008A6FE9">
        <w:rPr>
          <w:sz w:val="24"/>
          <w:lang w:val="bg-BG"/>
        </w:rPr>
        <w:t>ОВ L 253, 16.7.2021 г., стр. 1.</w:t>
      </w:r>
    </w:p>
  </w:footnote>
  <w:footnote w:id="7">
    <w:p w:rsidR="00F53152" w:rsidRPr="008A6FE9" w:rsidRDefault="00F53152" w:rsidP="008A6FE9">
      <w:pPr>
        <w:pStyle w:val="FootnoteText"/>
        <w:ind w:left="567" w:hanging="567"/>
        <w:rPr>
          <w:sz w:val="24"/>
          <w:lang w:val="bg-BG"/>
        </w:rPr>
      </w:pPr>
      <w:r w:rsidRPr="008A6FE9">
        <w:rPr>
          <w:rStyle w:val="FootnoteReference"/>
          <w:sz w:val="24"/>
          <w:lang w:val="bg-BG"/>
        </w:rPr>
        <w:footnoteRef/>
      </w:r>
      <w:r w:rsidR="008A6FE9" w:rsidRPr="008A6FE9">
        <w:rPr>
          <w:sz w:val="24"/>
          <w:lang w:val="bg-BG"/>
        </w:rPr>
        <w:t xml:space="preserve"> </w:t>
      </w:r>
      <w:r w:rsidR="008A6FE9" w:rsidRPr="008A6FE9">
        <w:rPr>
          <w:sz w:val="24"/>
          <w:lang w:val="bg-BG"/>
        </w:rPr>
        <w:tab/>
      </w:r>
      <w:r w:rsidRPr="008A6FE9">
        <w:rPr>
          <w:sz w:val="24"/>
          <w:lang w:val="bg-BG"/>
        </w:rPr>
        <w:t>https://www.ombudsman.europa.eu/bg/news-document/bg/152993.</w:t>
      </w:r>
    </w:p>
  </w:footnote>
  <w:footnote w:id="8">
    <w:p w:rsidR="00F53152" w:rsidRPr="008A6FE9" w:rsidRDefault="00F53152" w:rsidP="008A6FE9">
      <w:pPr>
        <w:pStyle w:val="FootnoteText"/>
        <w:ind w:left="567" w:hanging="567"/>
        <w:rPr>
          <w:sz w:val="24"/>
          <w:lang w:val="bg-BG"/>
        </w:rPr>
      </w:pPr>
      <w:r w:rsidRPr="008A6FE9">
        <w:rPr>
          <w:rStyle w:val="FootnoteReference"/>
          <w:sz w:val="24"/>
          <w:lang w:val="bg-BG"/>
        </w:rPr>
        <w:footnoteRef/>
      </w:r>
      <w:r w:rsidR="008A6FE9" w:rsidRPr="008A6FE9">
        <w:rPr>
          <w:sz w:val="24"/>
          <w:lang w:val="bg-BG"/>
        </w:rPr>
        <w:t xml:space="preserve"> </w:t>
      </w:r>
      <w:r w:rsidR="008A6FE9" w:rsidRPr="008A6FE9">
        <w:rPr>
          <w:sz w:val="24"/>
          <w:lang w:val="bg-BG"/>
        </w:rPr>
        <w:tab/>
      </w:r>
      <w:r w:rsidRPr="008A6FE9">
        <w:rPr>
          <w:sz w:val="24"/>
          <w:lang w:val="bg-BG"/>
        </w:rPr>
        <w:t>https://www.europarl.europa.eu/doceo/document/TA-9-2023-0295_BG.html.</w:t>
      </w:r>
    </w:p>
  </w:footnote>
  <w:footnote w:id="9">
    <w:p w:rsidR="00F53152" w:rsidRPr="008A6FE9" w:rsidRDefault="00F53152" w:rsidP="008A6FE9">
      <w:pPr>
        <w:pStyle w:val="FootnoteText"/>
        <w:ind w:left="567" w:hanging="567"/>
        <w:rPr>
          <w:sz w:val="24"/>
          <w:lang w:val="bg-BG"/>
        </w:rPr>
      </w:pPr>
      <w:r w:rsidRPr="008A6FE9">
        <w:rPr>
          <w:rStyle w:val="FootnoteReference"/>
          <w:sz w:val="24"/>
          <w:lang w:val="bg-BG"/>
        </w:rPr>
        <w:footnoteRef/>
      </w:r>
      <w:r w:rsidR="008A6FE9" w:rsidRPr="008A6FE9">
        <w:rPr>
          <w:sz w:val="24"/>
          <w:lang w:val="bg-BG"/>
        </w:rPr>
        <w:t xml:space="preserve"> </w:t>
      </w:r>
      <w:r w:rsidR="008A6FE9" w:rsidRPr="008A6FE9">
        <w:rPr>
          <w:sz w:val="24"/>
          <w:lang w:val="bg-BG"/>
        </w:rPr>
        <w:tab/>
      </w:r>
      <w:r w:rsidRPr="008A6FE9">
        <w:rPr>
          <w:sz w:val="24"/>
          <w:lang w:val="bg-BG"/>
        </w:rPr>
        <w:t>https://www.europarl.europa.eu/doceo/document/TA-9-2023-0295_BG.html.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FE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FE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F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4/2024"/>
    <w:docVar w:name="dvlangue" w:val="BG"/>
    <w:docVar w:name="dvnumam" w:val="0"/>
    <w:docVar w:name="dvpe" w:val="753.486"/>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общия бюджет на Европейския съюз за финансовата 2022 година, раздел VIII ‒ Европейски омбудсман(2023/2137(DEC))"/>
  </w:docVars>
  <w:rsids>
    <w:rsidRoot w:val="008A3EA1"/>
    <w:rsid w:val="00002272"/>
    <w:rsid w:val="000024F8"/>
    <w:rsid w:val="00064002"/>
    <w:rsid w:val="000677B9"/>
    <w:rsid w:val="000831BA"/>
    <w:rsid w:val="000A42CC"/>
    <w:rsid w:val="000E7DD9"/>
    <w:rsid w:val="0010095E"/>
    <w:rsid w:val="00125B37"/>
    <w:rsid w:val="00187494"/>
    <w:rsid w:val="001F32AE"/>
    <w:rsid w:val="0024569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51D5"/>
    <w:rsid w:val="005C2568"/>
    <w:rsid w:val="006037C0"/>
    <w:rsid w:val="006631B6"/>
    <w:rsid w:val="00680577"/>
    <w:rsid w:val="006C44D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EA1"/>
    <w:rsid w:val="008A6FE9"/>
    <w:rsid w:val="008C2AC6"/>
    <w:rsid w:val="009266C0"/>
    <w:rsid w:val="00930C23"/>
    <w:rsid w:val="0093193B"/>
    <w:rsid w:val="009509D8"/>
    <w:rsid w:val="00950B64"/>
    <w:rsid w:val="00981893"/>
    <w:rsid w:val="00A1687D"/>
    <w:rsid w:val="00A43E52"/>
    <w:rsid w:val="00A4678D"/>
    <w:rsid w:val="00A778C7"/>
    <w:rsid w:val="00AB441E"/>
    <w:rsid w:val="00AB6293"/>
    <w:rsid w:val="00AE0928"/>
    <w:rsid w:val="00AF3B82"/>
    <w:rsid w:val="00AF5BCC"/>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315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C753F92-FD46-4F33-8B6D-7AD56EF2E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5315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53152"/>
    <w:pPr>
      <w:spacing w:before="480" w:after="240"/>
    </w:pPr>
  </w:style>
  <w:style w:type="paragraph" w:customStyle="1" w:styleId="PageHeading">
    <w:name w:val="PageHeading"/>
    <w:basedOn w:val="Normal"/>
    <w:rsid w:val="00F53152"/>
    <w:pPr>
      <w:keepNext/>
      <w:spacing w:after="480"/>
      <w:jc w:val="center"/>
    </w:pPr>
    <w:rPr>
      <w:rFonts w:ascii="Arial" w:hAnsi="Arial" w:cs="Arial"/>
      <w:b/>
    </w:rPr>
  </w:style>
  <w:style w:type="paragraph" w:customStyle="1" w:styleId="NormalBold">
    <w:name w:val="NormalBold"/>
    <w:basedOn w:val="Normal"/>
    <w:rsid w:val="00F53152"/>
    <w:rPr>
      <w:b/>
    </w:rPr>
  </w:style>
  <w:style w:type="paragraph" w:customStyle="1" w:styleId="NormalHanging12a">
    <w:name w:val="NormalHanging12a"/>
    <w:basedOn w:val="Normal"/>
    <w:link w:val="NormalHanging12aChar"/>
    <w:qFormat/>
    <w:rsid w:val="00F53152"/>
    <w:pPr>
      <w:spacing w:after="240"/>
      <w:ind w:left="567" w:hanging="567"/>
    </w:pPr>
  </w:style>
  <w:style w:type="paragraph" w:styleId="Header">
    <w:name w:val="header"/>
    <w:basedOn w:val="Normal"/>
    <w:link w:val="HeaderChar"/>
    <w:rsid w:val="00F53152"/>
    <w:pPr>
      <w:tabs>
        <w:tab w:val="center" w:pos="4513"/>
        <w:tab w:val="right" w:pos="9026"/>
      </w:tabs>
    </w:pPr>
  </w:style>
  <w:style w:type="character" w:customStyle="1" w:styleId="HeaderChar">
    <w:name w:val="Header Char"/>
    <w:basedOn w:val="DefaultParagraphFont"/>
    <w:link w:val="Header"/>
    <w:rsid w:val="00F53152"/>
    <w:rPr>
      <w:sz w:val="24"/>
      <w:lang w:val="bg-BG"/>
    </w:rPr>
  </w:style>
  <w:style w:type="paragraph" w:customStyle="1" w:styleId="EPFooter">
    <w:name w:val="EPFooter"/>
    <w:basedOn w:val="Normal"/>
    <w:rsid w:val="00F5315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53152"/>
    <w:rPr>
      <w:sz w:val="24"/>
      <w:lang w:val="bg-BG"/>
    </w:rPr>
  </w:style>
  <w:style w:type="paragraph" w:styleId="BalloonText">
    <w:name w:val="Balloon Text"/>
    <w:basedOn w:val="Normal"/>
    <w:link w:val="BalloonTextChar"/>
    <w:rsid w:val="000024F8"/>
    <w:rPr>
      <w:rFonts w:ascii="Segoe UI" w:hAnsi="Segoe UI" w:cs="Segoe UI"/>
      <w:sz w:val="18"/>
      <w:szCs w:val="18"/>
    </w:rPr>
  </w:style>
  <w:style w:type="character" w:customStyle="1" w:styleId="BalloonTextChar">
    <w:name w:val="Balloon Text Char"/>
    <w:basedOn w:val="DefaultParagraphFont"/>
    <w:link w:val="BalloonText"/>
    <w:rsid w:val="000024F8"/>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60FD1-9404-4711-BBED-EC41BD643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4156</Words>
  <Characters>24292</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2024-04-11T14:04:00Z</dcterms:created>
  <dcterms:modified xsi:type="dcterms:W3CDTF">2024-04-11T14:04:00Z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A9-0084/2024</vt:lpwstr>
  </property>
  <property fmtid="{D5CDD505-2E9C-101B-9397-08002B2CF9AE}" pid="4" name="&lt;Type&gt;">
    <vt:lpwstr>RR</vt:lpwstr>
  </property>
</Properties>
</file>