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3E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3E4C" w:rsidRDefault="00A37A87" w:rsidP="0010095E">
            <w:pPr>
              <w:pStyle w:val="EPName"/>
            </w:pPr>
            <w:r w:rsidRPr="00113E4C">
              <w:t>Evropský parlament</w:t>
            </w:r>
          </w:p>
          <w:p w:rsidR="00751A4A" w:rsidRPr="00113E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3E4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13E4C" w:rsidRDefault="00187494" w:rsidP="0010095E">
            <w:pPr>
              <w:pStyle w:val="EPLogo"/>
            </w:pPr>
            <w:r w:rsidRPr="00113E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3E4C" w:rsidRDefault="00D058B8" w:rsidP="004C5D52">
      <w:pPr>
        <w:pStyle w:val="LineTop"/>
      </w:pPr>
    </w:p>
    <w:p w:rsidR="00680577" w:rsidRPr="00113E4C" w:rsidRDefault="00A37A87" w:rsidP="00680577">
      <w:pPr>
        <w:pStyle w:val="EPBodyTA1"/>
      </w:pPr>
      <w:r w:rsidRPr="00113E4C">
        <w:t>PŘIJATÉ TEXTY</w:t>
      </w:r>
    </w:p>
    <w:p w:rsidR="00D058B8" w:rsidRPr="00113E4C" w:rsidRDefault="00D058B8" w:rsidP="00D058B8">
      <w:pPr>
        <w:pStyle w:val="LineBottom"/>
      </w:pPr>
    </w:p>
    <w:p w:rsidR="00A37A87" w:rsidRPr="00113E4C" w:rsidRDefault="00A37A87" w:rsidP="00A37A87">
      <w:pPr>
        <w:pStyle w:val="ATHeading1"/>
      </w:pPr>
      <w:bookmarkStart w:id="0" w:name="TANumber"/>
      <w:r w:rsidRPr="00113E4C">
        <w:t>P9_TA(2024)0</w:t>
      </w:r>
      <w:bookmarkEnd w:id="0"/>
      <w:r w:rsidR="00B44939">
        <w:t>234</w:t>
      </w:r>
    </w:p>
    <w:p w:rsidR="00A37A87" w:rsidRPr="00113E4C" w:rsidRDefault="00A37A87" w:rsidP="00A37A87">
      <w:pPr>
        <w:pStyle w:val="ATHeading2"/>
      </w:pPr>
      <w:bookmarkStart w:id="1" w:name="title"/>
      <w:r w:rsidRPr="00113E4C">
        <w:t>Udělení absolutoria za rok 2022: souhrnný rozpočet EU – Evropský veřejný ochránce práv</w:t>
      </w:r>
      <w:bookmarkEnd w:id="1"/>
    </w:p>
    <w:p w:rsidR="00A37A87" w:rsidRPr="00113E4C" w:rsidRDefault="00A37A87" w:rsidP="00A37A87">
      <w:pPr>
        <w:rPr>
          <w:i/>
          <w:vanish/>
        </w:rPr>
      </w:pPr>
      <w:r w:rsidRPr="00113E4C">
        <w:rPr>
          <w:i/>
        </w:rPr>
        <w:fldChar w:fldCharType="begin"/>
      </w:r>
      <w:r w:rsidRPr="00113E4C">
        <w:rPr>
          <w:i/>
        </w:rPr>
        <w:instrText xml:space="preserve"> TC"(</w:instrText>
      </w:r>
      <w:bookmarkStart w:id="2" w:name="DocNumber"/>
      <w:r w:rsidRPr="00113E4C">
        <w:rPr>
          <w:i/>
        </w:rPr>
        <w:instrText>A9-0084/2024</w:instrText>
      </w:r>
      <w:bookmarkEnd w:id="2"/>
      <w:r w:rsidRPr="00113E4C">
        <w:rPr>
          <w:i/>
        </w:rPr>
        <w:instrText xml:space="preserve"> - Zpravodaj: Luke Ming </w:instrText>
      </w:r>
      <w:proofErr w:type="spellStart"/>
      <w:r w:rsidRPr="00113E4C">
        <w:rPr>
          <w:i/>
        </w:rPr>
        <w:instrText>Flanagan</w:instrText>
      </w:r>
      <w:proofErr w:type="spellEnd"/>
      <w:r w:rsidRPr="00113E4C">
        <w:rPr>
          <w:i/>
        </w:rPr>
        <w:instrText xml:space="preserve">)"\l3 \n&gt; \* MERGEFORMAT </w:instrText>
      </w:r>
      <w:r w:rsidRPr="00113E4C">
        <w:rPr>
          <w:i/>
        </w:rPr>
        <w:fldChar w:fldCharType="end"/>
      </w:r>
    </w:p>
    <w:p w:rsidR="00A37A87" w:rsidRPr="00113E4C" w:rsidRDefault="00A37A87" w:rsidP="00A37A87">
      <w:pPr>
        <w:rPr>
          <w:vanish/>
        </w:rPr>
      </w:pPr>
      <w:bookmarkStart w:id="3" w:name="Commission"/>
      <w:r w:rsidRPr="00113E4C">
        <w:rPr>
          <w:vanish/>
        </w:rPr>
        <w:t>Výbor pro rozpočtovou kontrolu</w:t>
      </w:r>
      <w:bookmarkEnd w:id="3"/>
    </w:p>
    <w:p w:rsidR="00A37A87" w:rsidRPr="00113E4C" w:rsidRDefault="00A37A87" w:rsidP="00A37A87">
      <w:pPr>
        <w:rPr>
          <w:vanish/>
        </w:rPr>
      </w:pPr>
      <w:bookmarkStart w:id="4" w:name="PE"/>
      <w:r w:rsidRPr="00113E4C">
        <w:rPr>
          <w:vanish/>
        </w:rPr>
        <w:t>PE753.486</w:t>
      </w:r>
      <w:bookmarkEnd w:id="4"/>
    </w:p>
    <w:p w:rsidR="00A37A87" w:rsidRPr="00113E4C" w:rsidRDefault="00A37A87" w:rsidP="00A37A87">
      <w:pPr>
        <w:pStyle w:val="ATHeading3"/>
      </w:pPr>
      <w:bookmarkStart w:id="5" w:name="Sujet"/>
      <w:r w:rsidRPr="00113E4C">
        <w:t xml:space="preserve">1. Rozhodnutí </w:t>
      </w:r>
      <w:r w:rsidR="00CB6A5C">
        <w:t>Evropského parlamentu ze dne 11. dubna</w:t>
      </w:r>
      <w:r w:rsidRPr="00113E4C">
        <w:t xml:space="preserve"> 2024 o udělení absolutoria za plnění souhrnného rozpočtu Evropské unie na rozpočtový rok 2022, oddíl VIII – Evropský veřejný ochránce práv</w:t>
      </w:r>
      <w:bookmarkEnd w:id="5"/>
      <w:r w:rsidRPr="00113E4C">
        <w:t xml:space="preserve"> </w:t>
      </w:r>
      <w:bookmarkStart w:id="6" w:name="References"/>
      <w:r w:rsidRPr="00113E4C">
        <w:t>(2023/2137(DEC))</w:t>
      </w:r>
      <w:bookmarkEnd w:id="6"/>
    </w:p>
    <w:p w:rsidR="00460FB5" w:rsidRPr="00113E4C" w:rsidRDefault="00460FB5" w:rsidP="00460FB5">
      <w:pPr>
        <w:pStyle w:val="EPComma"/>
      </w:pPr>
      <w:bookmarkStart w:id="7" w:name="TextBodyBegin"/>
      <w:bookmarkEnd w:id="7"/>
      <w:r w:rsidRPr="00113E4C">
        <w:rPr>
          <w:i/>
        </w:rPr>
        <w:t>Evropský parlament</w:t>
      </w:r>
      <w:r w:rsidRPr="00113E4C">
        <w:t>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souhrnný rozpočet Evropské unie na rozpočtový rok 2022</w:t>
      </w:r>
      <w:r w:rsidRPr="00113E4C">
        <w:rPr>
          <w:rStyle w:val="FootnoteReference"/>
        </w:rPr>
        <w:footnoteReference w:id="1"/>
      </w:r>
      <w:r w:rsidRPr="00113E4C">
        <w:t>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konsolidovanou účetní závěrku Evropské unie za rozpočtový rok 2022 (</w:t>
      </w:r>
      <w:proofErr w:type="gramStart"/>
      <w:r w:rsidRPr="00113E4C">
        <w:t>COM(2023</w:t>
      </w:r>
      <w:proofErr w:type="gramEnd"/>
      <w:r w:rsidRPr="00113E4C">
        <w:t>)0391 – C9</w:t>
      </w:r>
      <w:r w:rsidRPr="00113E4C">
        <w:noBreakHyphen/>
        <w:t>0256/2023)</w:t>
      </w:r>
      <w:r w:rsidRPr="00113E4C">
        <w:rPr>
          <w:rStyle w:val="FootnoteReference"/>
        </w:rPr>
        <w:footnoteReference w:id="2"/>
      </w:r>
      <w:r w:rsidRPr="00113E4C">
        <w:t>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výroční zprávu o činnosti evropského veřejného ochránce práv (EVOP) za rok 2022 a na jeho zprávu o rozpočtovém a finančním řízení za rozpočtový rok 2022,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výroční zprávu Účetního dvora o plnění rozpočtu na rozpočtový rok 2022 spolu s odpověďmi orgánů</w:t>
      </w:r>
      <w:r w:rsidRPr="00113E4C">
        <w:rPr>
          <w:rStyle w:val="FootnoteReference"/>
        </w:rPr>
        <w:footnoteReference w:id="3"/>
      </w:r>
      <w:r w:rsidRPr="00113E4C">
        <w:t>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prohlášení o věrohodnosti</w:t>
      </w:r>
      <w:r w:rsidRPr="00113E4C">
        <w:rPr>
          <w:rStyle w:val="FootnoteReference"/>
        </w:rPr>
        <w:footnoteReference w:id="4"/>
      </w:r>
      <w:r w:rsidRPr="00113E4C">
        <w:t xml:space="preserve"> účetnictví a o legalitě a správnosti uskutečněných operací, které předložil Účetní dvůr za rozpočtový rok 2022 podle článku 287 Smlouvy o fungování Evropské unie,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čl. 314 odst. 10 a články 317, 318 a 319 Smlouvy o fungování Evropské unie,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 xml:space="preserve">s 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 rozhodnutí č. </w:t>
      </w:r>
      <w:r w:rsidR="00CB6A5C">
        <w:t>541/2014/</w:t>
      </w:r>
      <w:r w:rsidRPr="00113E4C">
        <w:t>EU a zrušuje nařízení (EU, Euratom) č. 966/2012</w:t>
      </w:r>
      <w:r w:rsidRPr="00113E4C">
        <w:rPr>
          <w:rStyle w:val="FootnoteReference"/>
        </w:rPr>
        <w:footnoteReference w:id="5"/>
      </w:r>
      <w:r w:rsidRPr="00113E4C">
        <w:t xml:space="preserve">, a zejména </w:t>
      </w:r>
      <w:r w:rsidRPr="00113E4C">
        <w:lastRenderedPageBreak/>
        <w:t>na články 59, 118, 260, 261 a 262 tohoto nařízení,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článek 100 a přílohu V jednacího řádu,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zprávu Výboru pro rozpočtovou kontrolu (A9</w:t>
      </w:r>
      <w:r w:rsidRPr="00113E4C">
        <w:noBreakHyphen/>
        <w:t>0084/2024),</w:t>
      </w:r>
    </w:p>
    <w:p w:rsidR="00460FB5" w:rsidRPr="00113E4C" w:rsidRDefault="00460FB5" w:rsidP="00460FB5">
      <w:pPr>
        <w:pStyle w:val="NormalHanging12a"/>
      </w:pPr>
      <w:r w:rsidRPr="00113E4C">
        <w:t>1.</w:t>
      </w:r>
      <w:r w:rsidRPr="00113E4C">
        <w:tab/>
        <w:t>uděluje absolutorium evropské veřejné ochránkyni práv za plnění rozpočtu evropského veřejného ochránce práv za rozpočtový rok;</w:t>
      </w:r>
    </w:p>
    <w:p w:rsidR="00460FB5" w:rsidRPr="00113E4C" w:rsidRDefault="00460FB5" w:rsidP="00460FB5">
      <w:pPr>
        <w:pStyle w:val="NormalHanging12a"/>
      </w:pPr>
      <w:r w:rsidRPr="00113E4C">
        <w:t>2.</w:t>
      </w:r>
      <w:r w:rsidRPr="00113E4C">
        <w:tab/>
        <w:t>předkládá své připomínky v dále uvedeném usnesení;</w:t>
      </w:r>
    </w:p>
    <w:p w:rsidR="00460FB5" w:rsidRPr="00113E4C" w:rsidRDefault="00460FB5" w:rsidP="00460FB5">
      <w:pPr>
        <w:pStyle w:val="NormalHanging12a"/>
      </w:pPr>
      <w:r w:rsidRPr="00113E4C">
        <w:t>3.</w:t>
      </w:r>
      <w:r w:rsidRPr="00113E4C">
        <w:tab/>
        <w:t>pověřuje svou předsedkyni, aby předala toto rozhodnutí a usnesení, které je jeho nedílnou součástí, evropské veřejné ochránkyni práv, Evropské radě, Radě, Komisi, Účetnímu dvoru, Soudnímu dvoru Evropské unie, evropskému inspektorovi ochrany údajů a Evropské službě pro vnější činnost a aby zajistila jejich zveřejnění v </w:t>
      </w:r>
      <w:r w:rsidRPr="00113E4C">
        <w:rPr>
          <w:i/>
        </w:rPr>
        <w:t>Úředním věstníku Evropské unie</w:t>
      </w:r>
      <w:r w:rsidRPr="00113E4C">
        <w:t xml:space="preserve"> (řada L).</w:t>
      </w:r>
    </w:p>
    <w:p w:rsidR="00460FB5" w:rsidRPr="00113E4C" w:rsidRDefault="00460FB5" w:rsidP="00460FB5"/>
    <w:p w:rsidR="00460FB5" w:rsidRPr="00113E4C" w:rsidRDefault="00460FB5" w:rsidP="00460FB5">
      <w:pPr>
        <w:pStyle w:val="PageHeading"/>
        <w:sectPr w:rsidR="00460FB5" w:rsidRPr="00113E4C" w:rsidSect="00113E4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60FB5" w:rsidRPr="00CB6A5C" w:rsidRDefault="00460FB5" w:rsidP="00CB6A5C">
      <w:pPr>
        <w:pStyle w:val="PageHeading"/>
        <w:jc w:val="left"/>
        <w:rPr>
          <w:rFonts w:ascii="Times New Roman" w:hAnsi="Times New Roman" w:cs="Times New Roman"/>
        </w:rPr>
      </w:pPr>
      <w:bookmarkStart w:id="8" w:name="_Toc161834509"/>
      <w:r w:rsidRPr="00CB6A5C">
        <w:rPr>
          <w:rFonts w:ascii="Times New Roman" w:hAnsi="Times New Roman" w:cs="Times New Roman"/>
        </w:rPr>
        <w:lastRenderedPageBreak/>
        <w:t xml:space="preserve">2. </w:t>
      </w:r>
      <w:r w:rsidR="00CB6A5C" w:rsidRPr="00CB6A5C">
        <w:rPr>
          <w:rFonts w:ascii="Times New Roman" w:hAnsi="Times New Roman" w:cs="Times New Roman"/>
        </w:rPr>
        <w:t>Usnesení Evropského parlamentu</w:t>
      </w:r>
      <w:bookmarkEnd w:id="8"/>
      <w:r w:rsidR="00CB6A5C" w:rsidRPr="00CB6A5C">
        <w:rPr>
          <w:rFonts w:ascii="Times New Roman" w:hAnsi="Times New Roman" w:cs="Times New Roman"/>
        </w:rPr>
        <w:t xml:space="preserve"> ze dne 11. dubna 2024 obsahující</w:t>
      </w:r>
      <w:r w:rsidRPr="00CB6A5C">
        <w:rPr>
          <w:rFonts w:ascii="Times New Roman" w:hAnsi="Times New Roman" w:cs="Times New Roman"/>
        </w:rPr>
        <w:t xml:space="preserve"> připomínky, které jsou nedílnou součástí rozhodnutí o plnění souhrnného rozpočtu Evropské unie na rozpočtový rok 2022, oddíl VIII – Evropský veřejný ochránce práv</w:t>
      </w:r>
      <w:r w:rsidR="00CB6A5C" w:rsidRPr="00CB6A5C">
        <w:rPr>
          <w:rFonts w:ascii="Times New Roman" w:hAnsi="Times New Roman" w:cs="Times New Roman"/>
        </w:rPr>
        <w:t xml:space="preserve"> </w:t>
      </w:r>
      <w:r w:rsidRPr="00CB6A5C">
        <w:rPr>
          <w:rFonts w:ascii="Times New Roman" w:hAnsi="Times New Roman" w:cs="Times New Roman"/>
        </w:rPr>
        <w:t>(2023/2137(DEC))</w:t>
      </w:r>
    </w:p>
    <w:p w:rsidR="00460FB5" w:rsidRPr="00113E4C" w:rsidRDefault="00460FB5" w:rsidP="00460FB5">
      <w:pPr>
        <w:pStyle w:val="EPComma"/>
      </w:pPr>
      <w:r w:rsidRPr="00113E4C">
        <w:rPr>
          <w:i/>
        </w:rPr>
        <w:t>Evropský parlament</w:t>
      </w:r>
      <w:r w:rsidRPr="00113E4C">
        <w:t>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své rozhodnutí o udělení absolutoria za plnění souhrnného rozpočtu Evropské unie na rozpočtový rok 2022, oddíl VIII – Evropský veřejný ochránce práv,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článek 100 a přílohu V jednacího řádu,</w:t>
      </w:r>
    </w:p>
    <w:p w:rsidR="00460FB5" w:rsidRPr="00113E4C" w:rsidRDefault="00460FB5" w:rsidP="00460FB5">
      <w:pPr>
        <w:pStyle w:val="NormalHanging12a"/>
      </w:pPr>
      <w:r w:rsidRPr="00113E4C">
        <w:t>–</w:t>
      </w:r>
      <w:r w:rsidRPr="00113E4C">
        <w:tab/>
        <w:t>s ohledem na zprávu Výboru pro rozpočtovou kontrolu (A9</w:t>
      </w:r>
      <w:r w:rsidRPr="00113E4C">
        <w:noBreakHyphen/>
        <w:t>0084/2024),</w:t>
      </w:r>
    </w:p>
    <w:p w:rsidR="00460FB5" w:rsidRPr="00113E4C" w:rsidRDefault="00460FB5" w:rsidP="00460FB5">
      <w:pPr>
        <w:pStyle w:val="NormalHanging12a"/>
      </w:pPr>
      <w:r w:rsidRPr="00113E4C">
        <w:t>A.</w:t>
      </w:r>
      <w:r w:rsidRPr="00113E4C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:rsidR="00460FB5" w:rsidRPr="00113E4C" w:rsidRDefault="00460FB5" w:rsidP="00460FB5">
      <w:pPr>
        <w:pStyle w:val="NormalHanging12a"/>
      </w:pPr>
      <w:r w:rsidRPr="00113E4C">
        <w:t>B.</w:t>
      </w:r>
      <w:r w:rsidRPr="00113E4C">
        <w:tab/>
        <w:t>vzhledem k tomu, že článek 228 Smlouvy o fungování Evropské unie stanoví, že Evropský parlament volí evropského veřejného ochránce práv, který je oprávněn přijímat od kteréhokoli občana Unie nebo od fyzické či právnické osoby s bydlištěm nebo sídlem v členském státě stížnosti týkající se nesprávného úředního postupu orgánů, institucí nebo jiných subjektů Unie, s výjimkou Soudního dvora Evropské unie při výkonu jeho soudních pravomocí; evropský veřejný ochránce práv tyto stížnosti posuzuje a vydává o nich zprávy;</w:t>
      </w:r>
    </w:p>
    <w:p w:rsidR="00460FB5" w:rsidRPr="00113E4C" w:rsidRDefault="00460FB5" w:rsidP="00460FB5">
      <w:pPr>
        <w:pStyle w:val="NormalHanging12a"/>
      </w:pPr>
      <w:r w:rsidRPr="00113E4C">
        <w:t>C.</w:t>
      </w:r>
      <w:r w:rsidRPr="00113E4C">
        <w:tab/>
        <w:t>vzhledem k tomu, že nařízení Evropského parlamentu (EU, Euratom) 2021/1163 ze dne 24. června 2021</w:t>
      </w:r>
      <w:r w:rsidRPr="00113E4C">
        <w:rPr>
          <w:rStyle w:val="FootnoteReference"/>
        </w:rPr>
        <w:footnoteReference w:id="6"/>
      </w:r>
      <w:r w:rsidRPr="00113E4C">
        <w:t xml:space="preserve"> stanoví pravidla a obecné podmínky výkonu funkce veřejného ochránce práv (statut evropského veřejného ochránce práv);</w:t>
      </w:r>
    </w:p>
    <w:p w:rsidR="00460FB5" w:rsidRPr="00113E4C" w:rsidRDefault="00460FB5" w:rsidP="00460FB5">
      <w:pPr>
        <w:pStyle w:val="NormalHanging12a"/>
      </w:pPr>
      <w:r w:rsidRPr="00113E4C">
        <w:t>D.</w:t>
      </w:r>
      <w:r w:rsidRPr="00113E4C">
        <w:tab/>
        <w:t>vzhledem k tomu, že rozhodnutí EVOP, kterým se přijímají prováděcí pravidla, prochází v současné době procesem revize po přijetí nařízení (EU, Euratom) 2021/1163;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1.</w:t>
      </w:r>
      <w:r w:rsidRPr="00113E4C">
        <w:tab/>
        <w:t>konstatuje, že rozpočet evropského veřejného ochránce práv (dále jen „EVOP“) spadá do okruhu 7 VFR „Evropská veřejná správa“, který v roce 2022 činil celkem 11,6 miliardy EUR, tj. 5,9 % rozpočtových výdajů Unie; konstatuje, že rozpočet EVOP představoval 0,1 % prostředků okruhu 7 VFR;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2.</w:t>
      </w:r>
      <w:r w:rsidRPr="00113E4C">
        <w:tab/>
        <w:t>konstatuje, že Evropský účetní dvůr (dále jen „Účetní dvůr“) ve výroční zprávě za rozpočtový rok 2022 zkoumal vzorek 60 transakcí v oddílu Správa, což je stejný počet, jako v roce 2021; dále uvádí, že Účetní dvůr píše, že správní výdaje zahrnují výdaje na lidské zdroje včetně důchodů, které v roce 2022 představovaly přibližně 70 % celkových správních výdajů, a výdaje na budovy, vybavení, energie, komunikace a informační technologie, a že z jeho dlouholeté práce vyplývá, že tyto výdaje celkově vykazují nízké riziko;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3.</w:t>
      </w:r>
      <w:r w:rsidRPr="00113E4C">
        <w:tab/>
        <w:t>konstatuje, že Účetní dvůr v rámci svého auditu za rok 2022 prověřil systémy dohledu a kontroly EVOP, zejména provádění norem vnitřní kontroly, řízení rizik a fungování klíčových kontrol definovaných v nařízení (EU, Euratom) 2018/1046 (dále jen „finanční nařízení“), včetně kontrol ex ante a ex post u plateb;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4.</w:t>
      </w:r>
      <w:r w:rsidRPr="00113E4C">
        <w:tab/>
        <w:t>konstatuje, že 14 (23 %) z 60 transakcí obsahovalo chyby, ale že Účetní dvůr na základě pěti chyb, které byly vyčísleny, odhaduje míru chyb pod prahem významnosti;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5.</w:t>
      </w:r>
      <w:r w:rsidRPr="00113E4C">
        <w:tab/>
        <w:t>s uspokojením konstatuje, že Účetní dvůr ve výroční zprávě za rozpočtový rok 2022 uvádí, že nezjistil žádné specifické problémy týkající se EVOP;</w:t>
      </w:r>
    </w:p>
    <w:p w:rsidR="00460FB5" w:rsidRPr="00113E4C" w:rsidRDefault="00460FB5" w:rsidP="00460FB5">
      <w:pPr>
        <w:pStyle w:val="NormalHanging12a"/>
        <w:rPr>
          <w:b/>
          <w:i/>
          <w:szCs w:val="24"/>
        </w:rPr>
      </w:pPr>
      <w:r w:rsidRPr="00113E4C">
        <w:rPr>
          <w:b/>
          <w:i/>
        </w:rPr>
        <w:t>Rozpočtové a finanční řízení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6.</w:t>
      </w:r>
      <w:r w:rsidRPr="00113E4C">
        <w:tab/>
        <w:t>konstatuje, že rozpočet EVOP v roce 2022 činil 12 222 108 EUR, což představuje snížení o 280 000 EUR oproti roku 2021; chápe, že toto snížení je výsledkem racionalizace rozpočtu na základě skutečných potřeb;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7.</w:t>
      </w:r>
      <w:r w:rsidRPr="00113E4C">
        <w:tab/>
        <w:t>konstatuje, že míra plnění rozpočtu v roce 2022 činila 96,97 %, což je více než v předchozím roce, kdy míra plnění činila 88,8 % v důsledku omezení souvisejících s pandemií COVID-19;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8.</w:t>
      </w:r>
      <w:r w:rsidRPr="00113E4C">
        <w:tab/>
        <w:t>konstatuje, že v průběhu roku 2022 uskutečnil EVOP šest rozpočtových převodů podle článku 29 finančního nařízení, které dosáhly celkové výše 344 460 EUR neboli 2,8 % prostředků na daný rozpočtový rok; dále bere na vědomí, že rozpočtová nomenklatura pro položku „2000“ byla rozdělena do čtyř podkategorií, aby se zvýšila transparentnost informací potřebných pro budovy EVOP na obou pracovištích; uznává, že prostředky převedené z rozpočtového bodu nájemné nebyly využity, protože EVOP uhradil veškeré náklady na vybavení nové budovy EVOP prostřednictvím rozpočtu na rok 2021, místo aby je rozložil do šesti let;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9.</w:t>
      </w:r>
      <w:r w:rsidRPr="00113E4C">
        <w:tab/>
        <w:t>oceňuje, že i přes prodloužení doby splatnosti z 11,35 na 13 dnů v letech 2021–2022 je průměrná doba splatnosti i nadále relativně krátká; je přesvědčen, že zavedení systému elektronické fakturace od roku 2023 může pouze zlepšit efektivitu platebního procesu;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10.</w:t>
      </w:r>
      <w:r w:rsidRPr="00113E4C">
        <w:tab/>
        <w:t>uvádí, že EVOP nekonstatoval žádný dopad ruské útočné války proti Ukrajině na rozpočet určený na služební cesty, veřejné zakázky nebo budovy na rok 2022; doporučuje, aby EVOP vzal v úvahu, že příští každoroční revize nájemného a paušálních poplatků za budovy Parlamentem může vést k dodatečným nákladům v rozpočtu EVOP na rok 2023;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11.</w:t>
      </w:r>
      <w:r w:rsidRPr="00113E4C">
        <w:tab/>
        <w:t xml:space="preserve">konstatuje, že rozpočet na služební cesty zaměstnanců se snížil </w:t>
      </w:r>
      <w:proofErr w:type="gramStart"/>
      <w:r w:rsidRPr="00113E4C">
        <w:t>ze</w:t>
      </w:r>
      <w:proofErr w:type="gramEnd"/>
      <w:r w:rsidRPr="00113E4C">
        <w:t xml:space="preserve"> 135 000 EUR v roce 2021 na 120 000 EUR v roce 2022 díky úsporám vycházejícím ze zkušeností získaných z pandemie COVID-19 a širokého využívání videokonferenčních zařízení pro interní a externí schůzky na obou pracovních místech;</w:t>
      </w:r>
    </w:p>
    <w:p w:rsidR="00460FB5" w:rsidRPr="00113E4C" w:rsidRDefault="00460FB5" w:rsidP="00460FB5">
      <w:pPr>
        <w:pStyle w:val="NormalHanging12a"/>
        <w:rPr>
          <w:b/>
          <w:i/>
          <w:szCs w:val="24"/>
        </w:rPr>
      </w:pPr>
      <w:r w:rsidRPr="00113E4C">
        <w:rPr>
          <w:b/>
          <w:i/>
        </w:rPr>
        <w:t>Vnitřní řízení, výkonnost a vnitřní kontrola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12.</w:t>
      </w:r>
      <w:r w:rsidRPr="00113E4C">
        <w:tab/>
        <w:t>konstatuje, že v průběhu roku 2022 EVOP pokračoval v provádění konkrétních opatření v souladu s cíli a prioritami pětileté strategie EVOP „Směrem k roku 2024“, jak je uvedeno v jeho ročním plánu řízení; zejména zdůrazňuje, že EVOP předložil Komisi, Radě a Parlamentu ke konzultaci návrh prováděcích ustanovení k novému statutu upravujícímu povinnosti veřejného ochránce práv v souladu s ročním plánem řízení na rok 2022;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13.</w:t>
      </w:r>
      <w:r w:rsidRPr="00113E4C">
        <w:tab/>
        <w:t>zdůrazňuje, že EVOP, který v roce 2022 zaznamenal zjevnou absenci veřejných informací, se předběžně dotázal Evropské komise, jak zajistí transparentnost při jednáních o národních plánech na podporu oživení, jak zaručí veřejnou kontrolu milníků, jichž členské státy dosáhly, a jak bude dohlížet na audity</w:t>
      </w:r>
      <w:r w:rsidRPr="00113E4C">
        <w:rPr>
          <w:szCs w:val="24"/>
          <w:vertAlign w:val="superscript"/>
        </w:rPr>
        <w:footnoteReference w:id="7"/>
      </w:r>
      <w:r w:rsidRPr="00113E4C">
        <w:t>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14.</w:t>
      </w:r>
      <w:r w:rsidRPr="00113E4C">
        <w:tab/>
        <w:t>konstatuje, že EVOP v roce 2022 obdržel 2 223 stížností oproti 2 192 stížnostem v roce 2021, z nichž 35 % spadalo do jeho působnosti; dále konstatuje, že EVOP v roce 2022 zahájil 348 šetření, včetně 60 šetření veřejného významu, a uzavřel 330 šetření, zatímco v roce 2021 zahájil 338 šetření a uzavřel 305 šetření;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15.</w:t>
      </w:r>
      <w:r w:rsidRPr="00113E4C">
        <w:tab/>
        <w:t>s velkým znepokojením konstatuje, že EVOP dostává mnoho stížností občanů na extrémní zpoždění při získávání přístupu k požadovaným dokumentům; podporuje názor EVOP, že opožděný přístup fakticky znamená odepřený přístup a že je nutné zjednodušit administrativní postupy, aby se zajistilo, že občané získají přístup k dokumentům včas</w:t>
      </w:r>
      <w:r w:rsidRPr="00113E4C">
        <w:rPr>
          <w:szCs w:val="24"/>
          <w:vertAlign w:val="superscript"/>
        </w:rPr>
        <w:footnoteReference w:id="8"/>
      </w:r>
      <w:r w:rsidRPr="00113E4C">
        <w:t>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16.</w:t>
      </w:r>
      <w:r w:rsidRPr="00113E4C">
        <w:tab/>
        <w:t>vítá vypracování zjednodušeného postupu pro řešení dotazů, které nebyly zodpovězeny; rovněž vítá zavedení zjednodušeného postupu pro vyřizování stížností „mimo mandát“, čímž se doba vyřizování těchto žádostí zkrátí z 15 dnů na 3 dny; je nicméně znepokojen tím, že průměrná doba vyřízení stížnosti v rámci mandátu se mezi lety 2021 a 2022 prodloužila z 61 na 91 dní a průměrná doba vyřízení šetření ze 112 na 166 dní;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17.</w:t>
      </w:r>
      <w:r w:rsidRPr="00113E4C">
        <w:tab/>
        <w:t>konstatuje, že etika a transparentnost zůstaly v roce 2022 důležitými oblastmi činnosti EVOP, které i nadále přispívaly k pokroku, ale také čelily výzvám, a že počet stížností týkajících se transparentnosti a odpovědnosti činil v roce 2022 32 % všech případů;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18.</w:t>
      </w:r>
      <w:r w:rsidRPr="00113E4C">
        <w:tab/>
        <w:t>konstatuje, že přístup veřejnosti k dokumentům byl pro EVOP i v roce 2022 klíčovou prioritou, neboť obdržel 121 stížností, což je nejvyšší počet zaznamenaný během jednoho roku, a výsledkem šetření bylo 90 stížností; vítá rychlé vyřizování případů v oblasti přístupu veřejnosti k dokumentům, kdy do uzavření stížnosti zbývá v průměru 46 pracovních dnů a v případě dotazů 67 pracovních dnů; chápe, že navzdory nárůstu počtu případů představuje podíl zrychlených šetření pouze 28 % všech šetření v oblasti přístupu veřejnosti k dokumentům, zatímco v roce 2021 to bylo 58 %; vítá závěry velkých šetření týkajících se Komise a dalších agentur Unie, jako je agentura FRONTEX, a institucí a orgánů, jako je EIB, ohledně jejich administrativního řízení žádostí o přístup veřejnosti k dokumentům;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19.</w:t>
      </w:r>
      <w:r w:rsidRPr="00113E4C">
        <w:tab/>
        <w:t>připomíná, že podle EVOP by omezení přístupu k dokumentům, zejména k legislativním dokumentům, měla být uplatňována jen výjimečně a pouze v rozsahu, který je naprosto nutný; dále připomíná, že každé rozhodnutí o odepření přístupu veřejnosti k dokumentům se musí zakládat na jasně a striktně vymezených zákonných výjimkách, doložených racionálním a konkrétním odůvodněním, tak aby občané mohli zamítnutí přístupu pochopit a účinně využít dostupné opravné právní prostředky; je toho názoru, že by proaktivnější přístup pomohl zajistit skutečnou transparentnost a předcházet nákladným a zatěžujícím soudním sporům mezi občany a orgány</w:t>
      </w:r>
      <w:r w:rsidRPr="00113E4C">
        <w:rPr>
          <w:szCs w:val="24"/>
          <w:vertAlign w:val="superscript"/>
        </w:rPr>
        <w:footnoteReference w:id="9"/>
      </w:r>
      <w:r w:rsidRPr="00113E4C">
        <w:t>;</w:t>
      </w:r>
    </w:p>
    <w:p w:rsidR="00460FB5" w:rsidRPr="00113E4C" w:rsidRDefault="00460FB5" w:rsidP="00460FB5">
      <w:pPr>
        <w:pStyle w:val="NormalHanging12a"/>
        <w:rPr>
          <w:b/>
          <w:i/>
          <w:szCs w:val="24"/>
        </w:rPr>
      </w:pPr>
      <w:r w:rsidRPr="00113E4C">
        <w:rPr>
          <w:b/>
          <w:i/>
        </w:rPr>
        <w:t>Lidské zdroje, rovnost a pracovní podmínky zaměstnanců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20.</w:t>
      </w:r>
      <w:r w:rsidRPr="00113E4C">
        <w:tab/>
        <w:t>konstatuje, že složení zaměstnanců z hlediska postavení a pracovních profilů zůstalo v posledních letech stabilní a na konci roku 2022 jich bylo celkem 74, tedy stejný počet jako v roce 2021; dále konstatuje, že bylo u EVOP zaměstnáno 39 úředníků v roce 2022 oproti 37 v roce 2020 a 38 v roce 2021, dále zde bylo zaměstnáno 28 dočasných zaměstnanců v roce 2022 oproti 28 v roce 2020 a 30 v roce 2021 a nakonec 7 smluvních zaměstnanců v roce 2022 oproti 8 v roce 2020 a 6 v roce 2021; konstatuje, že v roce 2022 se stejný podíl zaměstnanců, přibližně 40 %, zabýval na jedné straně administrativou (personalistika, finance, řízení procesů) a 40 % stížnostmi a dotazy na straně druhé;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21.</w:t>
      </w:r>
      <w:r w:rsidRPr="00113E4C">
        <w:tab/>
        <w:t>s politováním konstatuje, že místo generálního tajemníka je od 1. září 2022 neobsazeno;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22.</w:t>
      </w:r>
      <w:r w:rsidRPr="00113E4C">
        <w:tab/>
        <w:t>konstatuje, že v roce 2022 EVOP vyhlásil výzvu k vyjádření zájmu s cílem vytvořit si zásobu kandidátů, aby bylo možné rychleji přijímat dočasné zaměstnance; se zájmem bude sledovat, jak tento postup zvýší efektivitu;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23.</w:t>
      </w:r>
      <w:r w:rsidRPr="00113E4C">
        <w:tab/>
        <w:t>konstatuje, že se orgánu EVOP podařilo díky proaktivní komunikaci a oslovování různorodějšího publika, zejména prostřednictvím kanálů sociálních médií, dosáhnout zastoupení 18 státních příslušností mezi svými zaměstnanci; žádá EVOP, aby ve svém personálním obsazení i nadále usiloval o dosažení rovnováhy mezi státními příslušníky všech členských států;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24.</w:t>
      </w:r>
      <w:r w:rsidRPr="00113E4C">
        <w:tab/>
        <w:t>konstatuje, že pokud jde o genderovou vyváženost, zaměstnává EVOP ve všech kategoriích zaměstnanců více žen než mužů, zejména na úrovni vedení, přičemž celkové zastoupení žen je 67 % a mužů 33 %, zatímco v roce 2021 to bylo 68 % žen a 32 % mužů; vybízí EVOP, aby pokračoval ve svém úsilí o dosažení vyváženého zastoupení žen a mužů mezi zaměstnanci;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25.</w:t>
      </w:r>
      <w:r w:rsidRPr="00113E4C">
        <w:tab/>
        <w:t>konstatuje, že v roce 2022 EVOP zavedl novou politiku týkající se pracovní doby a hybridní práce, která byla přijata v říjnu 2021 a která zahrnuje například ustanovení o práci na dálku, včetně práce ze zahraničí, ustanovení o poskytování ergonomického vybavení pro práci z domova, o práci na částečný úvazek, rodičovské dovolené, pružné pracovní době a právu odpojit se, a vítá, že se vztahuje na všechny kategorie zaměstnanců; vítá celkový výsledek průzkumu mezi zaměstnanci provedeného v roce 2023, který ukázal, že s hybridními a flexibilními pracovními režimy je obecně spokojeno 97 % zaměstnanců;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26.</w:t>
      </w:r>
      <w:r w:rsidRPr="00113E4C">
        <w:tab/>
        <w:t>bere na vědomí, že vedoucí pracovníci mají dobrý přehled o pracovní zátěži zaměstnanců, pravidelně sledují rozdělení práce a v případě potřeby ji dolaďují; konstatuje, že lékařská služba Evropského parlamentu, která se zabývá lékařskými záležitostmi týkajícími se zaměstnanců EVOP, neinformovala EVOP o žádné dlouhodobé nemoci, kterou by způsobilo tzv. vyhoření;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27.</w:t>
      </w:r>
      <w:r w:rsidRPr="00113E4C">
        <w:tab/>
        <w:t>oceňuje, že v roce 2022 nebyl nahlášen žádný případ obtěžování; vybízí EVOP, aby pokračoval ve svém úsilí o zajištění pracovního prostředí bez sexuálního a psychického obtěžování, zejména prostřednictvím zvyšování povědomí a odborné přípravy; s uspokojením konstatuje, že průzkum provedený v rámci interního auditu etického rámce ukázal, že na začátku roku 2023 znalo politiku a pokyny týkající se obtěžování 90 % zaměstnanců;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28.</w:t>
      </w:r>
      <w:r w:rsidRPr="00113E4C">
        <w:tab/>
        <w:t>vítá, že EVOP přijal v roce 2022 18 placených stážistů (v roce 2021 jich bylo 16), kteří mají k dispozici balíček odměn a stejné pracovní podmínky jako ostatní zaměstnanci; vybízí EVOP, aby podle plánu na rok 2023 zahájil program stáží určený pro mladé lidi se zdravotním postižením;</w:t>
      </w:r>
    </w:p>
    <w:p w:rsidR="00460FB5" w:rsidRPr="00113E4C" w:rsidRDefault="00460FB5" w:rsidP="00460FB5">
      <w:pPr>
        <w:pStyle w:val="NormalHanging12a"/>
        <w:rPr>
          <w:b/>
          <w:i/>
          <w:szCs w:val="24"/>
        </w:rPr>
      </w:pPr>
      <w:r w:rsidRPr="00113E4C">
        <w:rPr>
          <w:b/>
          <w:i/>
        </w:rPr>
        <w:t>Etický rámec a transparentnost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29.</w:t>
      </w:r>
      <w:r w:rsidRPr="00113E4C">
        <w:tab/>
        <w:t>vítá pokračující úsilí o posílení a zvýšení povědomí o etickém rámci orgánu; konstatuje, že EVOP v této souvislosti uspořádal prezentaci politiky EVOP týkající se externích aktivit, školení o obtěžování a školení v polední pauze o střetu zájmů pro všechny zaměstnance; dále konstatuje, že byly revidovány formuláře pro prohlášení o střetu zájmů, externích aktivitách, publikacích a výkonu profesní činnosti po odchodu z veřejné služby Unie, aby bylo zajištěno jednotné uplatňování služebního řádu a vnitřních předpisů; vítá interní audit etického rámce EVOP, který byl zahájen v roce 2022 a jehož výsledky budou zohledněny v zájmu dalšího zlepšování postupů v této oblasti;</w:t>
      </w:r>
    </w:p>
    <w:p w:rsidR="00460FB5" w:rsidRPr="00113E4C" w:rsidRDefault="00460FB5" w:rsidP="00460FB5">
      <w:pPr>
        <w:pStyle w:val="NormalHanging12a"/>
      </w:pPr>
      <w:r w:rsidRPr="00113E4C">
        <w:t>30.</w:t>
      </w:r>
      <w:r w:rsidRPr="00113E4C">
        <w:tab/>
        <w:t>konstatuje, že strategie EVOP v oblasti boje proti podvodům je z velké části založena na existujícím etickém rámci a na zásadě oddělení povinností u finančních funkcí; s uspokojením konstatuje, že v roce 2022 nebyly zaznamenány žádné případy střetu zájmů ani případy oznamování korupce;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31.</w:t>
      </w:r>
      <w:r w:rsidRPr="00113E4C">
        <w:tab/>
        <w:t>s politováním konstatuje, že EVOP se formálně nepřipojil k rejstříku transparentnosti EU, který byl zřízen na základě interinstitucionální dohody ze dne 20. května 2021 mezi Evropským parlamentem, Radou Evropské unie a Evropskou komisí o povinném rejstříku transparentnosti, ale přizpůsobil své postupy zásadám rejstříku transparentnosti a kontroluje, zda jsou v něm zapsáni řečníci nebo účastníci akcí nebo schůzí pořádaných EVOP; vítá vysokou míru transparentnosti, které EVOP dosáhl tím, že na svých internetových stránkách zveřejňuje informace o šetřeních, misích, schůzích a akcích, jichž EVOP účastní;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32.</w:t>
      </w:r>
      <w:r w:rsidRPr="00113E4C">
        <w:tab/>
        <w:t>vyzývá EVOP, aby pravidelně informoval rozpočtový orgán o obtížích, s nimiž se potýká při své práci na transparentnosti a odpovědnosti Nástroje pro oživení a odolnost;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33.</w:t>
      </w:r>
      <w:r w:rsidRPr="00113E4C">
        <w:tab/>
        <w:t>vítá skutečnost, že EVOP zveřejnil v roce 2022 příručku pro veřejnost o právu veřejnosti na přístup k dokumentům, která obsahuje informace o tom, jak toto právo nejlépe uplatnit;</w:t>
      </w:r>
    </w:p>
    <w:p w:rsidR="00460FB5" w:rsidRPr="00113E4C" w:rsidRDefault="00460FB5" w:rsidP="00460FB5">
      <w:pPr>
        <w:pStyle w:val="NormalHanging12a"/>
        <w:rPr>
          <w:b/>
          <w:i/>
          <w:szCs w:val="24"/>
        </w:rPr>
      </w:pPr>
      <w:r w:rsidRPr="00113E4C">
        <w:rPr>
          <w:b/>
          <w:i/>
        </w:rPr>
        <w:t>Digitalizace, kybernetická bezpečnost a ochrana údajů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34.</w:t>
      </w:r>
      <w:r w:rsidRPr="00113E4C">
        <w:tab/>
        <w:t>blahopřeje EVOP k aktivní podpoře digitalizace s cílem omezit používání papíru a usnadnit výměnu a uchovávání dokumentů; konstatuje, že výdaje na IT se v roce 2022 oproti roku 2021 snížily o 48 %, protože nebylo třeba žádných zvláštních investic na posílení digitalizace; vítá všeobecné využívání videokonferencí a </w:t>
      </w:r>
      <w:proofErr w:type="spellStart"/>
      <w:r w:rsidRPr="00113E4C">
        <w:t>streamingu</w:t>
      </w:r>
      <w:proofErr w:type="spellEnd"/>
      <w:r w:rsidRPr="00113E4C">
        <w:t xml:space="preserve"> přes internet, které snížily nutnost cestování;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35.</w:t>
      </w:r>
      <w:r w:rsidRPr="00113E4C">
        <w:tab/>
        <w:t xml:space="preserve">konstatuje, že pokud jde o IT, EVOP se spoléhá na infrastrukturu a rámec kybernetické bezpečnosti Parlamentu a úzce spolupracuje s Komisí, pokud jde o integraci a údržbu podnikových nástrojů Unie (SYSPER, ABAC, </w:t>
      </w:r>
      <w:proofErr w:type="spellStart"/>
      <w:r w:rsidRPr="00113E4C">
        <w:t>MiPS</w:t>
      </w:r>
      <w:proofErr w:type="spellEnd"/>
      <w:r w:rsidRPr="00113E4C">
        <w:t xml:space="preserve"> a ARES) a využívání rámcových smluv v oblasti IT; konstatuje, že vzhledem k jeho omezené míře kontroly nad údaji uzavřel EVOP s dotčenými orgány dohody o poskytování služeb (SLA), aby zajistil, že nakládání s osobními údaji bude v souladu s platným právním rámcem; s uspokojením konstatuje, že EVOP se v roce 2022 nesetkal s žádným kybernetickým útokem;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36.</w:t>
      </w:r>
      <w:r w:rsidRPr="00113E4C">
        <w:tab/>
        <w:t>vybízí EVOP, aby úzce spolupracoval s agenturou ENISA (Agentura Evropské unie pro kybernetickou bezpečnost): navrhuje, aby byla všem zaměstnancům EVOP nabízena pravidelně aktualizovaná školení týkající se kybernetické bezpečnosti;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37.</w:t>
      </w:r>
      <w:r w:rsidRPr="00113E4C">
        <w:tab/>
        <w:t>s uspokojením konstatuje, že EVOP v roce 2022 dokončil čtyři opatření z pětibodového akčního plánu přijatého na základě zprávy interního auditu č. 21/03 o přezkumu rámce orgánu pro ochranu údajů, jehož cílem je další zvýšení účinnosti a efektivity zpracování osobních údajů orgánem;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38.</w:t>
      </w:r>
      <w:r w:rsidRPr="00113E4C">
        <w:tab/>
        <w:t>konstatuje, že v roce 2022 poskytl evropský inspektor ochrany údajů (dále jen „EIOÚ“) zpětnou vazbu týkající se stížnosti občana, který namítal, že informace o ochraně údajů poskytnuté EVOP v jeho standardním potvrzení o přijetí jsou nedostatečné; s uspokojením konstatuje, že EIOÚ uzavřel případ bez dalších opatření poté, co EVOP zanesl navrhované změny do svého vzoru;</w:t>
      </w:r>
    </w:p>
    <w:p w:rsidR="00460FB5" w:rsidRDefault="00460FB5" w:rsidP="00460FB5">
      <w:pPr>
        <w:pStyle w:val="NormalHanging12a"/>
      </w:pPr>
      <w:r w:rsidRPr="00113E4C">
        <w:t>39.</w:t>
      </w:r>
      <w:r w:rsidRPr="00113E4C">
        <w:tab/>
        <w:t>vítá skutečnost, že ve spolupráci s Evropskou komisí (GŘ DIGIT) se v současné době zavádí systém elektronické fakturace; žádá EVOP, aby stanovil podrobný harmonogram pro plné zavedení systému elektronické fakturace;</w:t>
      </w:r>
    </w:p>
    <w:p w:rsidR="00B44939" w:rsidRPr="00113E4C" w:rsidRDefault="00B44939" w:rsidP="00460FB5">
      <w:pPr>
        <w:pStyle w:val="NormalHanging12a"/>
        <w:rPr>
          <w:szCs w:val="24"/>
        </w:rPr>
      </w:pPr>
      <w:r>
        <w:rPr>
          <w:szCs w:val="24"/>
        </w:rPr>
        <w:t>40</w:t>
      </w:r>
      <w:r w:rsidRPr="00B44939">
        <w:rPr>
          <w:szCs w:val="24"/>
        </w:rPr>
        <w:t>.</w:t>
      </w:r>
      <w:r w:rsidRPr="00B44939">
        <w:rPr>
          <w:szCs w:val="24"/>
        </w:rPr>
        <w:tab/>
        <w:t>blahopřeje Evropskému veřejnému ochránci práv k tomu, že na svých internetových stránkách používal výhradně software s otevřeným zdrojovým kódem a že pro interní účely ve vhodných případech přednostně využíval nástroje s otevřeným zdrojovým kódem;</w:t>
      </w:r>
    </w:p>
    <w:p w:rsidR="00460FB5" w:rsidRPr="00113E4C" w:rsidRDefault="00460FB5" w:rsidP="00460FB5">
      <w:pPr>
        <w:pStyle w:val="NormalHanging12a"/>
        <w:ind w:left="0" w:firstLine="0"/>
        <w:rPr>
          <w:b/>
          <w:i/>
          <w:szCs w:val="24"/>
        </w:rPr>
      </w:pPr>
      <w:r w:rsidRPr="00113E4C">
        <w:rPr>
          <w:b/>
          <w:i/>
        </w:rPr>
        <w:t>Budovy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</w:t>
      </w:r>
      <w:r w:rsidR="00B44939">
        <w:t>1</w:t>
      </w:r>
      <w:r w:rsidRPr="00113E4C">
        <w:t>.</w:t>
      </w:r>
      <w:r w:rsidRPr="00113E4C">
        <w:tab/>
        <w:t>konstatuje, že po přestěhování bruselské kanceláře EVOP do nových prostor, které poskytl Parlament v roce 2021, byla budova uspořádána jako společný pracovní prostor pro spolupráci s velmi malým počtem individuálních kanceláří a flexibilními prostorami pro společná jednání; pozitivně hodnotí, že EVOP nepraktikuje sdílení pracovních stolů (tzv. hot-</w:t>
      </w:r>
      <w:proofErr w:type="spellStart"/>
      <w:r w:rsidRPr="00113E4C">
        <w:t>desking</w:t>
      </w:r>
      <w:proofErr w:type="spellEnd"/>
      <w:r w:rsidRPr="00113E4C">
        <w:t>) a že všichni zaměstnanci mají k dispozici vlastní stůl s dostatečným úložným prostorem; je znepokojen tím, že EVOP před přestěhováním do společných kancelářských prostor v bruselské kanceláři nezorganizoval žádný průzkum mezi zaměstnanci; konstatuje, že obecný průzkum mezi zaměstnanci provedený v roce 2023 ukázal, že většina zaměstnanců reagovala na nové fyzické uspořádání kladně; oceňuje také, že zaměstnanci byli před stěhováním informováni o některých rozhodnutích týkajících se vybavení pracovních prostor, například o barevném řešení;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</w:t>
      </w:r>
      <w:r w:rsidR="00B44939">
        <w:t>2</w:t>
      </w:r>
      <w:r w:rsidRPr="00113E4C">
        <w:t>.</w:t>
      </w:r>
      <w:r w:rsidRPr="00113E4C">
        <w:tab/>
        <w:t>konstatuje, že EVOP na žádost Parlamentu vrátil 20,5 % plochy pronajaté Parlamentem ve Štrasburku a že jeho nájemné bylo následně sníženo;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</w:t>
      </w:r>
      <w:r w:rsidR="00B44939">
        <w:t>3</w:t>
      </w:r>
      <w:r w:rsidRPr="00113E4C">
        <w:t>.</w:t>
      </w:r>
      <w:r w:rsidRPr="00113E4C">
        <w:tab/>
        <w:t>připomíná, že EVOP nemá vlastní budovy, ale pronajímá si budovu v Bruselu a kancelářské prostory ve Štrasburku; s uspokojením konstatuje, že Havlova budova ve Štrasburku je plně přístupná osobám s omezenou schopností pohybu a orientace nebo jiným zdravotním postižením, a s hlubokým politováním konstatuje, že přístupnost pronajaté budovy v Bruselu je třeba zlepšit; vyzývá Parlament, aby zlepšil přístupnost budovy pronajaté EVOP v Bruselu;</w:t>
      </w:r>
    </w:p>
    <w:p w:rsidR="00460FB5" w:rsidRPr="00113E4C" w:rsidRDefault="00460FB5" w:rsidP="00460FB5">
      <w:pPr>
        <w:pStyle w:val="NormalHanging12a"/>
        <w:ind w:left="0" w:firstLine="0"/>
        <w:rPr>
          <w:b/>
          <w:i/>
          <w:szCs w:val="24"/>
        </w:rPr>
      </w:pPr>
      <w:r w:rsidRPr="00113E4C">
        <w:rPr>
          <w:b/>
          <w:i/>
        </w:rPr>
        <w:t>Životní prostředí a udržitelnost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</w:t>
      </w:r>
      <w:r w:rsidR="00B44939">
        <w:t>4</w:t>
      </w:r>
      <w:r w:rsidRPr="00113E4C">
        <w:t>.</w:t>
      </w:r>
      <w:r w:rsidRPr="00113E4C">
        <w:tab/>
        <w:t>vítá, že EVOP v průběhu let snížil svou ekologickou stopu, zejména díky digitalizaci svých procesů a publikací, jako je výroční zpráva, odstranění individuálních tiskáren a opatřením na zajištění udržitelnějšího průběhu akcí; konstatuje, že pokud jde o ekologickou stopu jeho budov, spoléhá EVOP na opatření, která přijal Parlament jako vlastník budov; bere na vědomí, že EVOP předá Parlamentu žádost o instalaci solárních panelů na střechu svých budov, která byla vyjádřena v absolutoriu za rok 2021;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</w:t>
      </w:r>
      <w:r w:rsidR="00B44939">
        <w:t>5</w:t>
      </w:r>
      <w:r w:rsidRPr="00113E4C">
        <w:t>.</w:t>
      </w:r>
      <w:r w:rsidRPr="00113E4C">
        <w:tab/>
        <w:t>konstatuje, že EVOP v roce 2022 i nadále podporoval udržitelnou mobilitu, zejména poskytováním finanční podpory na roční předplatné veřejné dopravy, omezováním dostupných parkovacích míst a zlepšováním zázemí a parkování pro cyklisty;</w:t>
      </w:r>
    </w:p>
    <w:p w:rsidR="00460FB5" w:rsidRPr="00113E4C" w:rsidRDefault="00460FB5" w:rsidP="00460FB5">
      <w:pPr>
        <w:pStyle w:val="NormalHanging12a"/>
        <w:ind w:left="0" w:firstLine="0"/>
        <w:rPr>
          <w:b/>
          <w:i/>
          <w:szCs w:val="24"/>
        </w:rPr>
      </w:pPr>
      <w:r w:rsidRPr="00113E4C">
        <w:rPr>
          <w:b/>
          <w:i/>
        </w:rPr>
        <w:t>Interinstitucionální spolupráce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</w:t>
      </w:r>
      <w:r w:rsidR="00B44939">
        <w:t>6</w:t>
      </w:r>
      <w:r w:rsidRPr="00113E4C">
        <w:t>.</w:t>
      </w:r>
      <w:r w:rsidRPr="00113E4C">
        <w:tab/>
        <w:t xml:space="preserve">vítá finanční a administrativní úspory dosažené díky interinstitucionální spolupráci, zejména široké škále dohod o poskytování služeb uzavřených s Parlamentem a Komisí a účasti na interinstitucionálních zadávacích řízeních; konstatuje, že EVOP v roce 2022 rozvinul nové synergie s dalšími institucemi a uzavřel dohody o poskytování služeb pro využívání kvalifikovaných podpisových certifikátů na dálku Komisí a o poskytování služeb oddělením front </w:t>
      </w:r>
      <w:proofErr w:type="spellStart"/>
      <w:r w:rsidRPr="00113E4C">
        <w:t>office</w:t>
      </w:r>
      <w:proofErr w:type="spellEnd"/>
      <w:r w:rsidRPr="00113E4C">
        <w:t xml:space="preserve"> pro zaměstnance a sekcí informační přepážka Parlamentu;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</w:t>
      </w:r>
      <w:r w:rsidR="00B44939">
        <w:t>7</w:t>
      </w:r>
      <w:r w:rsidRPr="00113E4C">
        <w:t>.</w:t>
      </w:r>
      <w:r w:rsidRPr="00113E4C">
        <w:tab/>
        <w:t xml:space="preserve">uznává, že je důležité udržovat vysokou úroveň výměny a koordinace s Evropskou sítí veřejných ochránců práv (ENO); </w:t>
      </w:r>
      <w:proofErr w:type="gramStart"/>
      <w:r w:rsidRPr="00113E4C">
        <w:t>vítá</w:t>
      </w:r>
      <w:proofErr w:type="gramEnd"/>
      <w:r w:rsidRPr="00113E4C">
        <w:t xml:space="preserve"> pořádání výroční konference </w:t>
      </w:r>
      <w:proofErr w:type="gramStart"/>
      <w:r w:rsidRPr="00113E4C">
        <w:t>ENO</w:t>
      </w:r>
      <w:proofErr w:type="gramEnd"/>
      <w:r w:rsidRPr="00113E4C">
        <w:t xml:space="preserve"> a tematického </w:t>
      </w:r>
      <w:proofErr w:type="spellStart"/>
      <w:r w:rsidRPr="00113E4C">
        <w:t>webináře</w:t>
      </w:r>
      <w:proofErr w:type="spellEnd"/>
      <w:r w:rsidRPr="00113E4C">
        <w:t xml:space="preserve"> jako důležitých diskusních fór o aktuálních otázkách, které mají dopad na práci veřejných ochránců práv v celé Evropě v roce 2022;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</w:t>
      </w:r>
      <w:r w:rsidR="00B44939">
        <w:t>8</w:t>
      </w:r>
      <w:r w:rsidRPr="00113E4C">
        <w:t>.</w:t>
      </w:r>
      <w:r w:rsidRPr="00113E4C">
        <w:tab/>
        <w:t>vítá spolupráci, kterou EVOP udržuje s Evropským úřadem pro ochranu osobních údajů, Evropským účetním dvorem a Evropským úřadem pro boj proti podvodům, jejímž cílem je zabránit zdvojování vyšetřování a projednávat témata společného zájmu, jako je zlepšení rámce dohledu Unie; rovněž vítá zavedené kanály spolupráce s evropským inspektorem ochrany údajů, které mají zajistit rychlou vzájemnou konzultaci v každodenní práci obou orgánů, a memorandum o porozumění, které vymezuje příslušné pravomoci obou orgánů a jehož cílem je zamezit zdvojování postupů;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4</w:t>
      </w:r>
      <w:r w:rsidR="00B44939">
        <w:t>9</w:t>
      </w:r>
      <w:r w:rsidRPr="00113E4C">
        <w:t>.</w:t>
      </w:r>
      <w:r w:rsidRPr="00113E4C">
        <w:tab/>
        <w:t>oceňuje, že v rámci významných šetření EVOP úzce spolupracuje s příslušnými výbory Evropského parlamentu, které informuje o své činnosti buď formou prezentací přímo na schůzích výboru, nebo prostřednictvím informací zasílaných předsedům; zdůrazňuje, že strategické iniciativy a šetření EVOP jsou klíčové pro zlepšení transparentnosti a odpovědnosti správy Unie;</w:t>
      </w:r>
    </w:p>
    <w:p w:rsidR="00460FB5" w:rsidRPr="00113E4C" w:rsidRDefault="00460FB5" w:rsidP="00460FB5">
      <w:pPr>
        <w:pStyle w:val="NormalHanging12a"/>
        <w:rPr>
          <w:b/>
          <w:i/>
          <w:szCs w:val="24"/>
        </w:rPr>
      </w:pPr>
      <w:r w:rsidRPr="00113E4C">
        <w:rPr>
          <w:b/>
          <w:i/>
        </w:rPr>
        <w:t>Komunikace</w:t>
      </w:r>
    </w:p>
    <w:p w:rsidR="00460FB5" w:rsidRPr="00113E4C" w:rsidRDefault="00B44939" w:rsidP="00460FB5">
      <w:pPr>
        <w:pStyle w:val="NormalHanging12a"/>
        <w:rPr>
          <w:szCs w:val="24"/>
        </w:rPr>
      </w:pPr>
      <w:r>
        <w:t>50</w:t>
      </w:r>
      <w:r w:rsidR="00460FB5" w:rsidRPr="00113E4C">
        <w:t>.</w:t>
      </w:r>
      <w:r w:rsidR="00460FB5" w:rsidRPr="00113E4C">
        <w:tab/>
        <w:t>konstatuje, že celkový rozpočet na komunikační a propagační činnosti se mezi lety 2021 a 2022 zvýšil z 92 100 EUR na 132 400 EUR, tj. o 43,8 %; blahopřeje EVOP k vypracování komplexní komunikační strategie, která přispěla k většímu oslovení specializovaného publika i široké veřejnosti; konstatuje, že evropská média vydala o 60 % více článků o veřejném ochránci práv než v roce 2021;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5</w:t>
      </w:r>
      <w:r w:rsidR="00B44939">
        <w:t>1</w:t>
      </w:r>
      <w:r w:rsidRPr="00113E4C">
        <w:t>.</w:t>
      </w:r>
      <w:r w:rsidRPr="00113E4C">
        <w:tab/>
        <w:t>vítá úsilí EVOP o zvýšení informovanosti občanů, pokud jde o úlohu veřejného ochránce práv a možnost obrátit se na něj v případě nesprávného úředního postupu orgánu Unie; oceňuje úsilí vynaložené na poskytování transparentních informací a zveřejňování údajů v informativním a uživatelsky vstřícném formátu na internetových stránkách EVOP, ačkoli tyto údaje nejsou k dispozici v otevřeném formátu; vítá přijetí nového loga a vizuální identity, aby se zvýšila viditelnost práce EVOP a aby byl rozpoznatelný jako orgán Unie;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5</w:t>
      </w:r>
      <w:r w:rsidR="00B44939">
        <w:t>2</w:t>
      </w:r>
      <w:r w:rsidRPr="00113E4C">
        <w:t>.</w:t>
      </w:r>
      <w:r w:rsidRPr="00113E4C">
        <w:tab/>
        <w:t>oceňuje, že EVOP používá automatizovaný nástroj pro překlad případů na internetových stránkách, a žádá EVOP, aby zajistil hladký a včasný překlad svých případů do všech jazyků;</w:t>
      </w:r>
    </w:p>
    <w:p w:rsidR="00460FB5" w:rsidRPr="00113E4C" w:rsidRDefault="00460FB5" w:rsidP="00460FB5">
      <w:pPr>
        <w:pStyle w:val="NormalHanging12a"/>
        <w:rPr>
          <w:szCs w:val="24"/>
        </w:rPr>
      </w:pPr>
      <w:r w:rsidRPr="00113E4C">
        <w:t>5</w:t>
      </w:r>
      <w:r w:rsidR="00B44939">
        <w:t>3</w:t>
      </w:r>
      <w:r w:rsidRPr="00113E4C">
        <w:t>.</w:t>
      </w:r>
      <w:r w:rsidRPr="00113E4C">
        <w:tab/>
        <w:t xml:space="preserve">konstatuje, že EVOP má účty na sociálních sítích </w:t>
      </w:r>
      <w:proofErr w:type="spellStart"/>
      <w:r w:rsidRPr="00113E4C">
        <w:t>Instagram</w:t>
      </w:r>
      <w:proofErr w:type="spellEnd"/>
      <w:r w:rsidRPr="00113E4C">
        <w:t xml:space="preserve">, </w:t>
      </w:r>
      <w:proofErr w:type="spellStart"/>
      <w:r w:rsidRPr="00113E4C">
        <w:t>LinkedIn</w:t>
      </w:r>
      <w:proofErr w:type="spellEnd"/>
      <w:r w:rsidRPr="00113E4C">
        <w:t xml:space="preserve"> a X (dříve </w:t>
      </w:r>
      <w:proofErr w:type="spellStart"/>
      <w:r w:rsidRPr="00113E4C">
        <w:t>Twitter</w:t>
      </w:r>
      <w:proofErr w:type="spellEnd"/>
      <w:r w:rsidRPr="00113E4C">
        <w:t>), kde byl v roce 2022 nárůst počtu sledujících a míra zapojení vyšší než v předchozích letech; vítá účast EVOP na pilotním projektu vedeném evropským inspektorem ochrany údajů, jehož cílem je zapojit orgány Unie do EU-</w:t>
      </w:r>
      <w:proofErr w:type="spellStart"/>
      <w:r w:rsidRPr="00113E4C">
        <w:t>Voice</w:t>
      </w:r>
      <w:proofErr w:type="spellEnd"/>
      <w:r w:rsidRPr="00113E4C">
        <w:t xml:space="preserve"> a EU-Video, což jsou dvě bezplatné sociální sítě s otevřeným zdrojovým kódem založené na softwaru </w:t>
      </w:r>
      <w:proofErr w:type="spellStart"/>
      <w:r w:rsidRPr="00113E4C">
        <w:t>Mastodon</w:t>
      </w:r>
      <w:proofErr w:type="spellEnd"/>
      <w:r w:rsidRPr="00113E4C">
        <w:t>, které umožňují orgánům Unie komunikovat s veřejností prostřednictvím sdílení textů, obrázků, videí a </w:t>
      </w:r>
      <w:proofErr w:type="spellStart"/>
      <w:r w:rsidRPr="00113E4C">
        <w:t>podcastů</w:t>
      </w:r>
      <w:proofErr w:type="spellEnd"/>
      <w:r w:rsidRPr="00113E4C">
        <w:t>.</w:t>
      </w:r>
    </w:p>
    <w:p w:rsidR="00460FB5" w:rsidRPr="00113E4C" w:rsidRDefault="00460FB5" w:rsidP="00460FB5">
      <w:pPr>
        <w:widowControl/>
        <w:rPr>
          <w:szCs w:val="24"/>
        </w:rPr>
      </w:pPr>
    </w:p>
    <w:p w:rsidR="00460FB5" w:rsidRPr="00113E4C" w:rsidRDefault="00460FB5" w:rsidP="00460FB5"/>
    <w:sectPr w:rsidR="00460FB5" w:rsidRPr="00113E4C" w:rsidSect="00113E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A87" w:rsidRPr="00113E4C" w:rsidRDefault="00A37A87">
      <w:r w:rsidRPr="00113E4C">
        <w:separator/>
      </w:r>
    </w:p>
  </w:endnote>
  <w:endnote w:type="continuationSeparator" w:id="0">
    <w:p w:rsidR="00A37A87" w:rsidRPr="00113E4C" w:rsidRDefault="00A37A87">
      <w:r w:rsidRPr="00113E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FB5" w:rsidRPr="00113E4C" w:rsidRDefault="00460FB5" w:rsidP="008A76E7">
    <w:pPr>
      <w:pStyle w:val="EPFooter"/>
    </w:pPr>
    <w:r w:rsidRPr="00113E4C">
      <w:t>PE</w:t>
    </w:r>
    <w:r w:rsidRPr="00113E4C">
      <w:rPr>
        <w:rStyle w:val="HideTWBExt"/>
      </w:rPr>
      <w:t>&lt;</w:t>
    </w:r>
    <w:proofErr w:type="spellStart"/>
    <w:r w:rsidRPr="00113E4C">
      <w:rPr>
        <w:rStyle w:val="HideTWBExt"/>
      </w:rPr>
      <w:t>NoPE</w:t>
    </w:r>
    <w:proofErr w:type="spellEnd"/>
    <w:r w:rsidRPr="00113E4C">
      <w:rPr>
        <w:rStyle w:val="HideTWBExt"/>
      </w:rPr>
      <w:t>&gt;</w:t>
    </w:r>
    <w:r w:rsidRPr="00113E4C">
      <w:t>753.486</w:t>
    </w:r>
    <w:r w:rsidRPr="00113E4C">
      <w:rPr>
        <w:rStyle w:val="HideTWBExt"/>
      </w:rPr>
      <w:t>&lt;/</w:t>
    </w:r>
    <w:proofErr w:type="spellStart"/>
    <w:r w:rsidRPr="00113E4C">
      <w:rPr>
        <w:rStyle w:val="HideTWBExt"/>
      </w:rPr>
      <w:t>NoPE</w:t>
    </w:r>
    <w:proofErr w:type="spellEnd"/>
    <w:r w:rsidRPr="00113E4C">
      <w:rPr>
        <w:rStyle w:val="HideTWBExt"/>
      </w:rPr>
      <w:t>&gt;&lt;Version&gt;</w:t>
    </w:r>
    <w:r w:rsidRPr="00113E4C">
      <w:t>v02-00</w:t>
    </w:r>
    <w:r w:rsidRPr="00113E4C">
      <w:rPr>
        <w:rStyle w:val="HideTWBExt"/>
      </w:rPr>
      <w:t>&lt;/</w:t>
    </w:r>
    <w:proofErr w:type="spellStart"/>
    <w:r w:rsidRPr="00113E4C">
      <w:rPr>
        <w:rStyle w:val="HideTWBExt"/>
      </w:rPr>
      <w:t>Version</w:t>
    </w:r>
    <w:proofErr w:type="spellEnd"/>
    <w:r w:rsidRPr="00113E4C">
      <w:rPr>
        <w:rStyle w:val="HideTWBExt"/>
      </w:rPr>
      <w:t>&gt;</w:t>
    </w:r>
    <w:r w:rsidRPr="00113E4C">
      <w:tab/>
    </w:r>
    <w:r w:rsidRPr="00113E4C">
      <w:fldChar w:fldCharType="begin"/>
    </w:r>
    <w:r w:rsidRPr="00113E4C">
      <w:instrText xml:space="preserve"> PAGE  \* MERGEFORMAT </w:instrText>
    </w:r>
    <w:r w:rsidRPr="00113E4C">
      <w:fldChar w:fldCharType="separate"/>
    </w:r>
    <w:r w:rsidRPr="00113E4C">
      <w:rPr>
        <w:noProof/>
      </w:rPr>
      <w:t>2</w:t>
    </w:r>
    <w:r w:rsidRPr="00113E4C">
      <w:fldChar w:fldCharType="end"/>
    </w:r>
    <w:r w:rsidRPr="00113E4C">
      <w:t>/</w:t>
    </w:r>
    <w:r w:rsidR="00A726A1">
      <w:fldChar w:fldCharType="begin"/>
    </w:r>
    <w:r w:rsidR="00A726A1">
      <w:instrText xml:space="preserve"> NUMPAGES  \* MERGEFORMAT </w:instrText>
    </w:r>
    <w:r w:rsidR="00A726A1">
      <w:fldChar w:fldCharType="separate"/>
    </w:r>
    <w:r w:rsidRPr="00113E4C">
      <w:rPr>
        <w:noProof/>
      </w:rPr>
      <w:t>2</w:t>
    </w:r>
    <w:r w:rsidR="00A726A1">
      <w:rPr>
        <w:noProof/>
      </w:rPr>
      <w:fldChar w:fldCharType="end"/>
    </w:r>
    <w:r w:rsidRPr="00113E4C">
      <w:tab/>
    </w:r>
    <w:r w:rsidRPr="00113E4C">
      <w:rPr>
        <w:rStyle w:val="HideTWBExt"/>
      </w:rPr>
      <w:t>&lt;PathFdR&gt;</w:t>
    </w:r>
    <w:r w:rsidRPr="00113E4C">
      <w:t>RR\1298678CS.docx</w:t>
    </w:r>
    <w:r w:rsidRPr="00113E4C">
      <w:rPr>
        <w:rStyle w:val="HideTWBExt"/>
      </w:rPr>
      <w:t>&lt;/</w:t>
    </w:r>
    <w:proofErr w:type="spellStart"/>
    <w:r w:rsidRPr="00113E4C">
      <w:rPr>
        <w:rStyle w:val="HideTWBExt"/>
      </w:rPr>
      <w:t>PathFdR</w:t>
    </w:r>
    <w:proofErr w:type="spellEnd"/>
    <w:r w:rsidRPr="00113E4C">
      <w:rPr>
        <w:rStyle w:val="HideTWBExt"/>
      </w:rPr>
      <w:t>&gt;</w:t>
    </w:r>
  </w:p>
  <w:p w:rsidR="00460FB5" w:rsidRPr="00113E4C" w:rsidRDefault="00460FB5" w:rsidP="008A76E7">
    <w:pPr>
      <w:pStyle w:val="EPFooter2"/>
    </w:pPr>
    <w:r w:rsidRPr="00113E4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FB5" w:rsidRPr="00113E4C" w:rsidRDefault="00460FB5" w:rsidP="008A76E7">
    <w:pPr>
      <w:pStyle w:val="EPFooter"/>
    </w:pPr>
    <w:r w:rsidRPr="00113E4C">
      <w:rPr>
        <w:rStyle w:val="HideTWBExt"/>
      </w:rPr>
      <w:t>&lt;PathFdR&gt;</w:t>
    </w:r>
    <w:r w:rsidRPr="00113E4C">
      <w:t>RR\1298678CS.docx</w:t>
    </w:r>
    <w:r w:rsidRPr="00113E4C">
      <w:rPr>
        <w:rStyle w:val="HideTWBExt"/>
      </w:rPr>
      <w:t>&lt;/</w:t>
    </w:r>
    <w:proofErr w:type="spellStart"/>
    <w:r w:rsidRPr="00113E4C">
      <w:rPr>
        <w:rStyle w:val="HideTWBExt"/>
      </w:rPr>
      <w:t>PathFdR</w:t>
    </w:r>
    <w:proofErr w:type="spellEnd"/>
    <w:r w:rsidRPr="00113E4C">
      <w:rPr>
        <w:rStyle w:val="HideTWBExt"/>
      </w:rPr>
      <w:t>&gt;</w:t>
    </w:r>
    <w:r w:rsidRPr="00113E4C">
      <w:tab/>
    </w:r>
    <w:r w:rsidRPr="00113E4C">
      <w:tab/>
      <w:t>PE</w:t>
    </w:r>
    <w:r w:rsidRPr="00113E4C">
      <w:rPr>
        <w:rStyle w:val="HideTWBExt"/>
      </w:rPr>
      <w:t>&lt;</w:t>
    </w:r>
    <w:proofErr w:type="spellStart"/>
    <w:r w:rsidRPr="00113E4C">
      <w:rPr>
        <w:rStyle w:val="HideTWBExt"/>
      </w:rPr>
      <w:t>NoPE</w:t>
    </w:r>
    <w:proofErr w:type="spellEnd"/>
    <w:r w:rsidRPr="00113E4C">
      <w:rPr>
        <w:rStyle w:val="HideTWBExt"/>
      </w:rPr>
      <w:t>&gt;</w:t>
    </w:r>
    <w:r w:rsidRPr="00113E4C">
      <w:t>753.486</w:t>
    </w:r>
    <w:r w:rsidRPr="00113E4C">
      <w:rPr>
        <w:rStyle w:val="HideTWBExt"/>
      </w:rPr>
      <w:t>&lt;/</w:t>
    </w:r>
    <w:proofErr w:type="spellStart"/>
    <w:r w:rsidRPr="00113E4C">
      <w:rPr>
        <w:rStyle w:val="HideTWBExt"/>
      </w:rPr>
      <w:t>NoPE</w:t>
    </w:r>
    <w:proofErr w:type="spellEnd"/>
    <w:r w:rsidRPr="00113E4C">
      <w:rPr>
        <w:rStyle w:val="HideTWBExt"/>
      </w:rPr>
      <w:t>&gt;&lt;Version&gt;</w:t>
    </w:r>
    <w:r w:rsidRPr="00113E4C">
      <w:t>v02-00</w:t>
    </w:r>
    <w:r w:rsidRPr="00113E4C">
      <w:rPr>
        <w:rStyle w:val="HideTWBExt"/>
      </w:rPr>
      <w:t>&lt;/</w:t>
    </w:r>
    <w:proofErr w:type="spellStart"/>
    <w:r w:rsidRPr="00113E4C">
      <w:rPr>
        <w:rStyle w:val="HideTWBExt"/>
      </w:rPr>
      <w:t>Version</w:t>
    </w:r>
    <w:proofErr w:type="spellEnd"/>
    <w:r w:rsidRPr="00113E4C">
      <w:rPr>
        <w:rStyle w:val="HideTWBExt"/>
      </w:rPr>
      <w:t>&gt;</w:t>
    </w:r>
  </w:p>
  <w:p w:rsidR="00460FB5" w:rsidRPr="00113E4C" w:rsidRDefault="00460FB5" w:rsidP="008A76E7">
    <w:pPr>
      <w:pStyle w:val="EPFooter2"/>
    </w:pPr>
    <w:r w:rsidRPr="00113E4C">
      <w:t>CS</w:t>
    </w:r>
    <w:r w:rsidRPr="00113E4C">
      <w:tab/>
    </w:r>
    <w:r w:rsidRPr="00113E4C">
      <w:rPr>
        <w:b w:val="0"/>
        <w:i/>
        <w:color w:val="C0C0C0"/>
        <w:sz w:val="22"/>
      </w:rPr>
      <w:t>Jednotná v rozmanitosti</w:t>
    </w:r>
    <w:r w:rsidRPr="00113E4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E4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E4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E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A87" w:rsidRPr="00113E4C" w:rsidRDefault="00A37A87">
      <w:r w:rsidRPr="00113E4C">
        <w:separator/>
      </w:r>
    </w:p>
  </w:footnote>
  <w:footnote w:type="continuationSeparator" w:id="0">
    <w:p w:rsidR="00A37A87" w:rsidRPr="00113E4C" w:rsidRDefault="00A37A87">
      <w:r w:rsidRPr="00113E4C">
        <w:continuationSeparator/>
      </w:r>
    </w:p>
  </w:footnote>
  <w:footnote w:id="1">
    <w:p w:rsidR="00460FB5" w:rsidRPr="00113E4C" w:rsidRDefault="00460FB5" w:rsidP="00113E4C">
      <w:pPr>
        <w:pStyle w:val="FootnoteText"/>
        <w:ind w:left="567" w:hanging="567"/>
        <w:rPr>
          <w:sz w:val="24"/>
          <w:lang w:val="cs-CZ"/>
        </w:rPr>
      </w:pPr>
      <w:r w:rsidRPr="00113E4C">
        <w:rPr>
          <w:rStyle w:val="FootnoteReference"/>
          <w:sz w:val="24"/>
          <w:lang w:val="cs-CZ"/>
        </w:rPr>
        <w:footnoteRef/>
      </w:r>
      <w:r w:rsidR="00113E4C" w:rsidRPr="00113E4C">
        <w:rPr>
          <w:sz w:val="24"/>
          <w:lang w:val="cs-CZ"/>
        </w:rPr>
        <w:t xml:space="preserve"> </w:t>
      </w:r>
      <w:r w:rsidR="00113E4C" w:rsidRPr="00113E4C">
        <w:rPr>
          <w:sz w:val="24"/>
          <w:lang w:val="cs-CZ"/>
        </w:rPr>
        <w:tab/>
      </w:r>
      <w:proofErr w:type="spellStart"/>
      <w:r w:rsidRPr="00113E4C">
        <w:rPr>
          <w:sz w:val="24"/>
          <w:lang w:val="cs-CZ"/>
        </w:rPr>
        <w:t>Úř</w:t>
      </w:r>
      <w:proofErr w:type="spellEnd"/>
      <w:r w:rsidRPr="00113E4C">
        <w:rPr>
          <w:sz w:val="24"/>
          <w:lang w:val="cs-CZ"/>
        </w:rPr>
        <w:t xml:space="preserve">. </w:t>
      </w:r>
      <w:proofErr w:type="spellStart"/>
      <w:proofErr w:type="gramStart"/>
      <w:r w:rsidRPr="00113E4C">
        <w:rPr>
          <w:sz w:val="24"/>
          <w:lang w:val="cs-CZ"/>
        </w:rPr>
        <w:t>věst</w:t>
      </w:r>
      <w:proofErr w:type="spellEnd"/>
      <w:proofErr w:type="gramEnd"/>
      <w:r w:rsidRPr="00113E4C">
        <w:rPr>
          <w:sz w:val="24"/>
          <w:lang w:val="cs-CZ"/>
        </w:rPr>
        <w:t xml:space="preserve">. L 45, </w:t>
      </w:r>
      <w:proofErr w:type="gramStart"/>
      <w:r w:rsidRPr="00113E4C">
        <w:rPr>
          <w:sz w:val="24"/>
          <w:lang w:val="cs-CZ"/>
        </w:rPr>
        <w:t>24.2.2022</w:t>
      </w:r>
      <w:proofErr w:type="gramEnd"/>
      <w:r w:rsidRPr="00113E4C">
        <w:rPr>
          <w:sz w:val="24"/>
          <w:lang w:val="cs-CZ"/>
        </w:rPr>
        <w:t>.</w:t>
      </w:r>
    </w:p>
  </w:footnote>
  <w:footnote w:id="2">
    <w:p w:rsidR="00460FB5" w:rsidRPr="00113E4C" w:rsidRDefault="00460FB5" w:rsidP="00113E4C">
      <w:pPr>
        <w:pStyle w:val="FootnoteText"/>
        <w:ind w:left="567" w:hanging="567"/>
        <w:rPr>
          <w:sz w:val="24"/>
          <w:lang w:val="cs-CZ"/>
        </w:rPr>
      </w:pPr>
      <w:r w:rsidRPr="00113E4C">
        <w:rPr>
          <w:rStyle w:val="FootnoteReference"/>
          <w:sz w:val="24"/>
          <w:lang w:val="cs-CZ"/>
        </w:rPr>
        <w:footnoteRef/>
      </w:r>
      <w:r w:rsidR="00113E4C" w:rsidRPr="00113E4C">
        <w:rPr>
          <w:sz w:val="24"/>
          <w:lang w:val="cs-CZ"/>
        </w:rPr>
        <w:t xml:space="preserve"> </w:t>
      </w:r>
      <w:r w:rsidR="00113E4C" w:rsidRPr="00113E4C">
        <w:rPr>
          <w:sz w:val="24"/>
          <w:lang w:val="cs-CZ"/>
        </w:rPr>
        <w:tab/>
      </w:r>
      <w:proofErr w:type="spellStart"/>
      <w:r w:rsidRPr="00113E4C">
        <w:rPr>
          <w:sz w:val="24"/>
          <w:lang w:val="cs-CZ"/>
        </w:rPr>
        <w:t>Úř</w:t>
      </w:r>
      <w:proofErr w:type="spellEnd"/>
      <w:r w:rsidRPr="00113E4C">
        <w:rPr>
          <w:sz w:val="24"/>
          <w:lang w:val="cs-CZ"/>
        </w:rPr>
        <w:t xml:space="preserve">. </w:t>
      </w:r>
      <w:proofErr w:type="spellStart"/>
      <w:proofErr w:type="gramStart"/>
      <w:r w:rsidRPr="00113E4C">
        <w:rPr>
          <w:sz w:val="24"/>
          <w:lang w:val="cs-CZ"/>
        </w:rPr>
        <w:t>věst</w:t>
      </w:r>
      <w:proofErr w:type="spellEnd"/>
      <w:proofErr w:type="gramEnd"/>
      <w:r w:rsidRPr="00113E4C">
        <w:rPr>
          <w:sz w:val="24"/>
          <w:lang w:val="cs-CZ"/>
        </w:rPr>
        <w:t xml:space="preserve">. C, C/2023/2, </w:t>
      </w:r>
      <w:proofErr w:type="gramStart"/>
      <w:r w:rsidRPr="00113E4C">
        <w:rPr>
          <w:sz w:val="24"/>
          <w:lang w:val="cs-CZ"/>
        </w:rPr>
        <w:t>12.10.2023</w:t>
      </w:r>
      <w:proofErr w:type="gramEnd"/>
      <w:r w:rsidRPr="00113E4C">
        <w:rPr>
          <w:sz w:val="24"/>
          <w:lang w:val="cs-CZ"/>
        </w:rPr>
        <w:t>.</w:t>
      </w:r>
    </w:p>
  </w:footnote>
  <w:footnote w:id="3">
    <w:p w:rsidR="00460FB5" w:rsidRPr="00113E4C" w:rsidRDefault="00460FB5" w:rsidP="00113E4C">
      <w:pPr>
        <w:pStyle w:val="FootnoteText"/>
        <w:ind w:left="567" w:hanging="567"/>
        <w:rPr>
          <w:sz w:val="24"/>
          <w:lang w:val="cs-CZ"/>
        </w:rPr>
      </w:pPr>
      <w:r w:rsidRPr="00113E4C">
        <w:rPr>
          <w:rStyle w:val="FootnoteReference"/>
          <w:sz w:val="24"/>
          <w:lang w:val="cs-CZ"/>
        </w:rPr>
        <w:footnoteRef/>
      </w:r>
      <w:r w:rsidR="00113E4C" w:rsidRPr="00113E4C">
        <w:rPr>
          <w:sz w:val="24"/>
          <w:lang w:val="cs-CZ"/>
        </w:rPr>
        <w:t xml:space="preserve"> </w:t>
      </w:r>
      <w:r w:rsidR="00113E4C" w:rsidRPr="00113E4C">
        <w:rPr>
          <w:sz w:val="24"/>
          <w:lang w:val="cs-CZ"/>
        </w:rPr>
        <w:tab/>
      </w:r>
      <w:proofErr w:type="spellStart"/>
      <w:r w:rsidRPr="00113E4C">
        <w:rPr>
          <w:sz w:val="24"/>
          <w:lang w:val="cs-CZ"/>
        </w:rPr>
        <w:t>Úř</w:t>
      </w:r>
      <w:proofErr w:type="spellEnd"/>
      <w:r w:rsidRPr="00113E4C">
        <w:rPr>
          <w:sz w:val="24"/>
          <w:lang w:val="cs-CZ"/>
        </w:rPr>
        <w:t xml:space="preserve">. </w:t>
      </w:r>
      <w:proofErr w:type="spellStart"/>
      <w:proofErr w:type="gramStart"/>
      <w:r w:rsidRPr="00113E4C">
        <w:rPr>
          <w:sz w:val="24"/>
          <w:lang w:val="cs-CZ"/>
        </w:rPr>
        <w:t>věst</w:t>
      </w:r>
      <w:proofErr w:type="spellEnd"/>
      <w:proofErr w:type="gramEnd"/>
      <w:r w:rsidRPr="00113E4C">
        <w:rPr>
          <w:sz w:val="24"/>
          <w:lang w:val="cs-CZ"/>
        </w:rPr>
        <w:t xml:space="preserve">. C, C/2023/103, </w:t>
      </w:r>
      <w:proofErr w:type="gramStart"/>
      <w:r w:rsidRPr="00113E4C">
        <w:rPr>
          <w:sz w:val="24"/>
          <w:lang w:val="cs-CZ"/>
        </w:rPr>
        <w:t>4.10.2023</w:t>
      </w:r>
      <w:proofErr w:type="gramEnd"/>
      <w:r w:rsidRPr="00113E4C">
        <w:rPr>
          <w:sz w:val="24"/>
          <w:lang w:val="cs-CZ"/>
        </w:rPr>
        <w:t>.</w:t>
      </w:r>
    </w:p>
  </w:footnote>
  <w:footnote w:id="4">
    <w:p w:rsidR="00460FB5" w:rsidRPr="00113E4C" w:rsidRDefault="00460FB5" w:rsidP="00113E4C">
      <w:pPr>
        <w:pStyle w:val="FootnoteText"/>
        <w:ind w:left="567" w:hanging="567"/>
        <w:rPr>
          <w:sz w:val="24"/>
          <w:lang w:val="cs-CZ"/>
        </w:rPr>
      </w:pPr>
      <w:r w:rsidRPr="00113E4C">
        <w:rPr>
          <w:rStyle w:val="FootnoteReference"/>
          <w:sz w:val="24"/>
          <w:lang w:val="cs-CZ"/>
        </w:rPr>
        <w:footnoteRef/>
      </w:r>
      <w:r w:rsidR="00113E4C" w:rsidRPr="00113E4C">
        <w:rPr>
          <w:sz w:val="24"/>
          <w:lang w:val="cs-CZ"/>
        </w:rPr>
        <w:t xml:space="preserve"> </w:t>
      </w:r>
      <w:r w:rsidR="00113E4C" w:rsidRPr="00113E4C">
        <w:rPr>
          <w:sz w:val="24"/>
          <w:lang w:val="cs-CZ"/>
        </w:rPr>
        <w:tab/>
      </w:r>
      <w:proofErr w:type="spellStart"/>
      <w:r w:rsidRPr="00113E4C">
        <w:rPr>
          <w:sz w:val="24"/>
          <w:lang w:val="cs-CZ"/>
        </w:rPr>
        <w:t>Úř</w:t>
      </w:r>
      <w:proofErr w:type="spellEnd"/>
      <w:r w:rsidRPr="00113E4C">
        <w:rPr>
          <w:sz w:val="24"/>
          <w:lang w:val="cs-CZ"/>
        </w:rPr>
        <w:t xml:space="preserve">. </w:t>
      </w:r>
      <w:proofErr w:type="spellStart"/>
      <w:proofErr w:type="gramStart"/>
      <w:r w:rsidRPr="00113E4C">
        <w:rPr>
          <w:sz w:val="24"/>
          <w:lang w:val="cs-CZ"/>
        </w:rPr>
        <w:t>věst</w:t>
      </w:r>
      <w:proofErr w:type="spellEnd"/>
      <w:proofErr w:type="gramEnd"/>
      <w:r w:rsidRPr="00113E4C">
        <w:rPr>
          <w:sz w:val="24"/>
          <w:lang w:val="cs-CZ"/>
        </w:rPr>
        <w:t xml:space="preserve">. C, C/2023/112, </w:t>
      </w:r>
      <w:proofErr w:type="gramStart"/>
      <w:r w:rsidRPr="00113E4C">
        <w:rPr>
          <w:sz w:val="24"/>
          <w:lang w:val="cs-CZ"/>
        </w:rPr>
        <w:t>12.10.2023</w:t>
      </w:r>
      <w:proofErr w:type="gramEnd"/>
      <w:r w:rsidRPr="00113E4C">
        <w:rPr>
          <w:sz w:val="24"/>
          <w:lang w:val="cs-CZ"/>
        </w:rPr>
        <w:t>.</w:t>
      </w:r>
    </w:p>
  </w:footnote>
  <w:footnote w:id="5">
    <w:p w:rsidR="00460FB5" w:rsidRPr="00113E4C" w:rsidRDefault="00460FB5" w:rsidP="00113E4C">
      <w:pPr>
        <w:pStyle w:val="FootnoteText"/>
        <w:ind w:left="567" w:hanging="567"/>
        <w:rPr>
          <w:sz w:val="24"/>
          <w:szCs w:val="24"/>
          <w:lang w:val="cs-CZ"/>
        </w:rPr>
      </w:pPr>
      <w:r w:rsidRPr="00113E4C">
        <w:rPr>
          <w:rStyle w:val="FootnoteReference"/>
          <w:sz w:val="24"/>
          <w:lang w:val="cs-CZ"/>
        </w:rPr>
        <w:footnoteRef/>
      </w:r>
      <w:r w:rsidR="00113E4C" w:rsidRPr="00113E4C">
        <w:rPr>
          <w:sz w:val="24"/>
          <w:lang w:val="cs-CZ"/>
        </w:rPr>
        <w:t xml:space="preserve"> </w:t>
      </w:r>
      <w:r w:rsidR="00113E4C" w:rsidRPr="00113E4C">
        <w:rPr>
          <w:sz w:val="24"/>
          <w:lang w:val="cs-CZ"/>
        </w:rPr>
        <w:tab/>
      </w:r>
      <w:proofErr w:type="spellStart"/>
      <w:r w:rsidRPr="00113E4C">
        <w:rPr>
          <w:sz w:val="24"/>
          <w:lang w:val="cs-CZ"/>
        </w:rPr>
        <w:t>Úř</w:t>
      </w:r>
      <w:proofErr w:type="spellEnd"/>
      <w:r w:rsidRPr="00113E4C">
        <w:rPr>
          <w:sz w:val="24"/>
          <w:lang w:val="cs-CZ"/>
        </w:rPr>
        <w:t xml:space="preserve">. </w:t>
      </w:r>
      <w:proofErr w:type="spellStart"/>
      <w:proofErr w:type="gramStart"/>
      <w:r w:rsidRPr="00113E4C">
        <w:rPr>
          <w:sz w:val="24"/>
          <w:lang w:val="cs-CZ"/>
        </w:rPr>
        <w:t>věst</w:t>
      </w:r>
      <w:proofErr w:type="spellEnd"/>
      <w:proofErr w:type="gramEnd"/>
      <w:r w:rsidRPr="00113E4C">
        <w:rPr>
          <w:sz w:val="24"/>
          <w:lang w:val="cs-CZ"/>
        </w:rPr>
        <w:t xml:space="preserve">. L 193, </w:t>
      </w:r>
      <w:proofErr w:type="gramStart"/>
      <w:r w:rsidRPr="00113E4C">
        <w:rPr>
          <w:sz w:val="24"/>
          <w:lang w:val="cs-CZ"/>
        </w:rPr>
        <w:t>30.7.2018</w:t>
      </w:r>
      <w:proofErr w:type="gramEnd"/>
      <w:r w:rsidRPr="00113E4C">
        <w:rPr>
          <w:sz w:val="24"/>
          <w:lang w:val="cs-CZ"/>
        </w:rPr>
        <w:t>, s. 1.</w:t>
      </w:r>
    </w:p>
  </w:footnote>
  <w:footnote w:id="6">
    <w:p w:rsidR="00460FB5" w:rsidRPr="00113E4C" w:rsidRDefault="00460FB5" w:rsidP="00113E4C">
      <w:pPr>
        <w:pStyle w:val="FootnoteText"/>
        <w:ind w:left="567" w:hanging="567"/>
        <w:rPr>
          <w:sz w:val="24"/>
          <w:lang w:val="cs-CZ"/>
        </w:rPr>
      </w:pPr>
      <w:r w:rsidRPr="00113E4C">
        <w:rPr>
          <w:rStyle w:val="FootnoteReference"/>
          <w:sz w:val="24"/>
          <w:lang w:val="cs-CZ"/>
        </w:rPr>
        <w:footnoteRef/>
      </w:r>
      <w:r w:rsidR="00113E4C" w:rsidRPr="00113E4C">
        <w:rPr>
          <w:sz w:val="24"/>
          <w:lang w:val="cs-CZ"/>
        </w:rPr>
        <w:t xml:space="preserve"> </w:t>
      </w:r>
      <w:r w:rsidR="00113E4C" w:rsidRPr="00113E4C">
        <w:rPr>
          <w:sz w:val="24"/>
          <w:lang w:val="cs-CZ"/>
        </w:rPr>
        <w:tab/>
      </w:r>
      <w:proofErr w:type="spellStart"/>
      <w:r w:rsidRPr="00113E4C">
        <w:rPr>
          <w:sz w:val="24"/>
          <w:lang w:val="cs-CZ"/>
        </w:rPr>
        <w:t>Úř</w:t>
      </w:r>
      <w:proofErr w:type="spellEnd"/>
      <w:r w:rsidRPr="00113E4C">
        <w:rPr>
          <w:sz w:val="24"/>
          <w:lang w:val="cs-CZ"/>
        </w:rPr>
        <w:t xml:space="preserve">. </w:t>
      </w:r>
      <w:proofErr w:type="spellStart"/>
      <w:proofErr w:type="gramStart"/>
      <w:r w:rsidRPr="00113E4C">
        <w:rPr>
          <w:sz w:val="24"/>
          <w:lang w:val="cs-CZ"/>
        </w:rPr>
        <w:t>věst</w:t>
      </w:r>
      <w:proofErr w:type="spellEnd"/>
      <w:proofErr w:type="gramEnd"/>
      <w:r w:rsidRPr="00113E4C">
        <w:rPr>
          <w:sz w:val="24"/>
          <w:lang w:val="cs-CZ"/>
        </w:rPr>
        <w:t xml:space="preserve">. L 253, </w:t>
      </w:r>
      <w:proofErr w:type="gramStart"/>
      <w:r w:rsidRPr="00113E4C">
        <w:rPr>
          <w:sz w:val="24"/>
          <w:lang w:val="cs-CZ"/>
        </w:rPr>
        <w:t>16.7.2021</w:t>
      </w:r>
      <w:proofErr w:type="gramEnd"/>
      <w:r w:rsidRPr="00113E4C">
        <w:rPr>
          <w:sz w:val="24"/>
          <w:lang w:val="cs-CZ"/>
        </w:rPr>
        <w:t>, s. 1.</w:t>
      </w:r>
    </w:p>
  </w:footnote>
  <w:footnote w:id="7">
    <w:p w:rsidR="00460FB5" w:rsidRPr="00113E4C" w:rsidRDefault="00460FB5" w:rsidP="00113E4C">
      <w:pPr>
        <w:pStyle w:val="FootnoteText"/>
        <w:ind w:left="567" w:hanging="567"/>
        <w:rPr>
          <w:sz w:val="24"/>
          <w:lang w:val="cs-CZ"/>
        </w:rPr>
      </w:pPr>
      <w:r w:rsidRPr="00113E4C">
        <w:rPr>
          <w:rStyle w:val="FootnoteReference"/>
          <w:sz w:val="24"/>
          <w:lang w:val="cs-CZ"/>
        </w:rPr>
        <w:footnoteRef/>
      </w:r>
      <w:r w:rsidR="00113E4C" w:rsidRPr="00113E4C">
        <w:rPr>
          <w:sz w:val="24"/>
          <w:lang w:val="cs-CZ"/>
        </w:rPr>
        <w:t xml:space="preserve"> </w:t>
      </w:r>
      <w:r w:rsidR="00113E4C" w:rsidRPr="00113E4C">
        <w:rPr>
          <w:sz w:val="24"/>
          <w:lang w:val="cs-CZ"/>
        </w:rPr>
        <w:tab/>
      </w:r>
      <w:r w:rsidRPr="00113E4C">
        <w:rPr>
          <w:sz w:val="24"/>
          <w:lang w:val="cs-CZ"/>
        </w:rPr>
        <w:t>https://</w:t>
      </w:r>
      <w:proofErr w:type="gramStart"/>
      <w:r w:rsidRPr="00113E4C">
        <w:rPr>
          <w:sz w:val="24"/>
          <w:lang w:val="cs-CZ"/>
        </w:rPr>
        <w:t>www</w:t>
      </w:r>
      <w:proofErr w:type="gramEnd"/>
      <w:r w:rsidRPr="00113E4C">
        <w:rPr>
          <w:sz w:val="24"/>
          <w:lang w:val="cs-CZ"/>
        </w:rPr>
        <w:t>.</w:t>
      </w:r>
      <w:proofErr w:type="gramStart"/>
      <w:r w:rsidRPr="00113E4C">
        <w:rPr>
          <w:sz w:val="24"/>
          <w:lang w:val="cs-CZ"/>
        </w:rPr>
        <w:t>ombudsman</w:t>
      </w:r>
      <w:proofErr w:type="gramEnd"/>
      <w:r w:rsidRPr="00113E4C">
        <w:rPr>
          <w:sz w:val="24"/>
          <w:lang w:val="cs-CZ"/>
        </w:rPr>
        <w:t>.europa.eu/cs/news-document/cs/152993</w:t>
      </w:r>
      <w:r w:rsidR="003C5944">
        <w:rPr>
          <w:sz w:val="24"/>
          <w:lang w:val="cs-CZ"/>
        </w:rPr>
        <w:t>.</w:t>
      </w:r>
    </w:p>
  </w:footnote>
  <w:footnote w:id="8">
    <w:p w:rsidR="00460FB5" w:rsidRPr="00113E4C" w:rsidRDefault="00460FB5" w:rsidP="00113E4C">
      <w:pPr>
        <w:pStyle w:val="FootnoteText"/>
        <w:ind w:left="567" w:hanging="567"/>
        <w:rPr>
          <w:sz w:val="24"/>
          <w:lang w:val="cs-CZ"/>
        </w:rPr>
      </w:pPr>
      <w:r w:rsidRPr="00113E4C">
        <w:rPr>
          <w:rStyle w:val="FootnoteReference"/>
          <w:sz w:val="24"/>
          <w:lang w:val="cs-CZ"/>
        </w:rPr>
        <w:footnoteRef/>
      </w:r>
      <w:r w:rsidR="00113E4C" w:rsidRPr="00113E4C">
        <w:rPr>
          <w:sz w:val="24"/>
          <w:lang w:val="cs-CZ"/>
        </w:rPr>
        <w:t xml:space="preserve"> </w:t>
      </w:r>
      <w:r w:rsidR="00113E4C" w:rsidRPr="00113E4C">
        <w:rPr>
          <w:sz w:val="24"/>
          <w:lang w:val="cs-CZ"/>
        </w:rPr>
        <w:tab/>
      </w:r>
      <w:r w:rsidRPr="00113E4C">
        <w:rPr>
          <w:sz w:val="24"/>
          <w:lang w:val="cs-CZ"/>
        </w:rPr>
        <w:t>https://www.europarl.europa.eu/doceo/document/TA-9-2023-0295_CS.html</w:t>
      </w:r>
      <w:r w:rsidR="003C5944">
        <w:rPr>
          <w:sz w:val="24"/>
          <w:lang w:val="cs-CZ"/>
        </w:rPr>
        <w:t>.</w:t>
      </w:r>
    </w:p>
  </w:footnote>
  <w:footnote w:id="9">
    <w:p w:rsidR="00460FB5" w:rsidRPr="00113E4C" w:rsidRDefault="00460FB5" w:rsidP="00113E4C">
      <w:pPr>
        <w:pStyle w:val="FootnoteText"/>
        <w:ind w:left="567" w:hanging="567"/>
        <w:rPr>
          <w:sz w:val="24"/>
          <w:lang w:val="cs-CZ"/>
        </w:rPr>
      </w:pPr>
      <w:r w:rsidRPr="00113E4C">
        <w:rPr>
          <w:rStyle w:val="FootnoteReference"/>
          <w:sz w:val="24"/>
          <w:lang w:val="cs-CZ"/>
        </w:rPr>
        <w:footnoteRef/>
      </w:r>
      <w:r w:rsidR="00113E4C" w:rsidRPr="00113E4C">
        <w:rPr>
          <w:sz w:val="24"/>
          <w:lang w:val="cs-CZ"/>
        </w:rPr>
        <w:t xml:space="preserve"> </w:t>
      </w:r>
      <w:r w:rsidR="00113E4C" w:rsidRPr="00113E4C">
        <w:rPr>
          <w:sz w:val="24"/>
          <w:lang w:val="cs-CZ"/>
        </w:rPr>
        <w:tab/>
      </w:r>
      <w:r w:rsidRPr="00113E4C">
        <w:rPr>
          <w:sz w:val="24"/>
          <w:lang w:val="cs-CZ"/>
        </w:rPr>
        <w:t>https://www.europarl.europa.eu/doceo/document/TA-9-2023-0295_CS.html</w:t>
      </w:r>
      <w:r w:rsidR="003C5944">
        <w:rPr>
          <w:sz w:val="24"/>
          <w:lang w:val="cs-CZ"/>
        </w:rPr>
        <w:t>.</w:t>
      </w:r>
      <w:bookmarkStart w:id="9" w:name="_GoBack"/>
      <w:bookmarkEnd w:id="9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E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E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3E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4/2024"/>
    <w:docVar w:name="dvlangue" w:val="CS"/>
    <w:docVar w:name="dvnumam" w:val="0"/>
    <w:docVar w:name="dvpe" w:val="753.486"/>
    <w:docVar w:name="dvrapporteur" w:val="Zpravodaj: "/>
    <w:docVar w:name="dvtitre" w:val="1. Rozhodnutí Evropského parlamentu ze dne.... 2024 o udělení absolutoria za plnění souhrnného rozpočtu Evropské unie na rozpočtový rok 2022, oddíl VIII – Evropský veřejný ochránce práv(2023/2137(DEC))"/>
  </w:docVars>
  <w:rsids>
    <w:rsidRoot w:val="00A37A87"/>
    <w:rsid w:val="00002272"/>
    <w:rsid w:val="00064002"/>
    <w:rsid w:val="000677B9"/>
    <w:rsid w:val="000831BA"/>
    <w:rsid w:val="000A42CC"/>
    <w:rsid w:val="000E7DD9"/>
    <w:rsid w:val="0010095E"/>
    <w:rsid w:val="00113E4C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5944"/>
    <w:rsid w:val="003E15D4"/>
    <w:rsid w:val="00411CCE"/>
    <w:rsid w:val="0041666E"/>
    <w:rsid w:val="00421060"/>
    <w:rsid w:val="00460FB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7A87"/>
    <w:rsid w:val="00A43E52"/>
    <w:rsid w:val="00A4678D"/>
    <w:rsid w:val="00A726A1"/>
    <w:rsid w:val="00A778C7"/>
    <w:rsid w:val="00AB441E"/>
    <w:rsid w:val="00AB6293"/>
    <w:rsid w:val="00AE0928"/>
    <w:rsid w:val="00AF3B82"/>
    <w:rsid w:val="00B12E95"/>
    <w:rsid w:val="00B22876"/>
    <w:rsid w:val="00B44939"/>
    <w:rsid w:val="00B558F0"/>
    <w:rsid w:val="00BD48FE"/>
    <w:rsid w:val="00BD7BD8"/>
    <w:rsid w:val="00BE6ADC"/>
    <w:rsid w:val="00C05BFE"/>
    <w:rsid w:val="00C23CD4"/>
    <w:rsid w:val="00C61C0C"/>
    <w:rsid w:val="00C941CB"/>
    <w:rsid w:val="00CB6A5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FAC18"/>
  <w15:chartTrackingRefBased/>
  <w15:docId w15:val="{AC4F63EB-A3E5-4D77-A38D-D57BFA2B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60FB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60FB5"/>
    <w:pPr>
      <w:spacing w:before="480" w:after="240"/>
    </w:pPr>
  </w:style>
  <w:style w:type="paragraph" w:customStyle="1" w:styleId="PageHeading">
    <w:name w:val="PageHeading"/>
    <w:basedOn w:val="Normal"/>
    <w:rsid w:val="00460FB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60FB5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460FB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60F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60FB5"/>
    <w:rPr>
      <w:sz w:val="24"/>
      <w:lang w:val="cs-CZ"/>
    </w:rPr>
  </w:style>
  <w:style w:type="paragraph" w:customStyle="1" w:styleId="EPFooter">
    <w:name w:val="EPFooter"/>
    <w:basedOn w:val="Normal"/>
    <w:rsid w:val="00460FB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460FB5"/>
    <w:rPr>
      <w:sz w:val="24"/>
      <w:lang w:val="cs-CZ"/>
    </w:rPr>
  </w:style>
  <w:style w:type="paragraph" w:styleId="Footer">
    <w:name w:val="footer"/>
    <w:basedOn w:val="Normal"/>
    <w:link w:val="FooterChar"/>
    <w:rsid w:val="00CB6A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B6A5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43193-0D64-4B0D-B82C-F84E1536F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3662</Words>
  <Characters>20974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2024-04-11T14:13:00Z</dcterms:created>
  <dcterms:modified xsi:type="dcterms:W3CDTF">2024-04-11T14:13:00Z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A9-0084/2024</vt:lpwstr>
  </property>
  <property fmtid="{D5CDD505-2E9C-101B-9397-08002B2CF9AE}" pid="4" name="&lt;Type&gt;">
    <vt:lpwstr>RR</vt:lpwstr>
  </property>
</Properties>
</file>