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179E" w:rsidTr="0010095E">
        <w:trPr>
          <w:trHeight w:hRule="exact" w:val="1418"/>
        </w:trPr>
        <w:tc>
          <w:tcPr>
            <w:tcW w:w="6804" w:type="dxa"/>
            <w:shd w:val="clear" w:color="auto" w:fill="auto"/>
            <w:vAlign w:val="center"/>
          </w:tcPr>
          <w:p w:rsidR="00751A4A" w:rsidRPr="00C3179E" w:rsidRDefault="001F2849" w:rsidP="0010095E">
            <w:pPr>
              <w:pStyle w:val="EPName"/>
            </w:pPr>
            <w:bookmarkStart w:id="0" w:name="_GoBack"/>
            <w:bookmarkEnd w:id="0"/>
            <w:r w:rsidRPr="00C3179E">
              <w:t>Europa-Parlamentet</w:t>
            </w:r>
          </w:p>
          <w:p w:rsidR="00751A4A" w:rsidRPr="00C3179E" w:rsidRDefault="00817416" w:rsidP="00756632">
            <w:pPr>
              <w:pStyle w:val="EPTerm"/>
              <w:rPr>
                <w:rStyle w:val="HideTWBExt"/>
                <w:noProof w:val="0"/>
                <w:vanish w:val="0"/>
                <w:color w:val="auto"/>
              </w:rPr>
            </w:pPr>
            <w:r w:rsidRPr="00C3179E">
              <w:t>2019-2024</w:t>
            </w:r>
          </w:p>
        </w:tc>
        <w:tc>
          <w:tcPr>
            <w:tcW w:w="2268" w:type="dxa"/>
            <w:shd w:val="clear" w:color="auto" w:fill="auto"/>
          </w:tcPr>
          <w:p w:rsidR="00751A4A" w:rsidRPr="00C3179E" w:rsidRDefault="00187494" w:rsidP="0010095E">
            <w:pPr>
              <w:pStyle w:val="EPLogo"/>
            </w:pPr>
            <w:r w:rsidRPr="00C317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179E" w:rsidRDefault="00D058B8" w:rsidP="004C5D52">
      <w:pPr>
        <w:pStyle w:val="LineTop"/>
      </w:pPr>
    </w:p>
    <w:p w:rsidR="00680577" w:rsidRPr="00C3179E" w:rsidRDefault="001F2849" w:rsidP="00680577">
      <w:pPr>
        <w:pStyle w:val="EPBodyTA1"/>
      </w:pPr>
      <w:r w:rsidRPr="00C3179E">
        <w:t>VEDTAGNE TEKSTER</w:t>
      </w:r>
    </w:p>
    <w:p w:rsidR="00D058B8" w:rsidRPr="00C3179E" w:rsidRDefault="00D058B8" w:rsidP="00D058B8">
      <w:pPr>
        <w:pStyle w:val="LineBottom"/>
      </w:pPr>
    </w:p>
    <w:p w:rsidR="001F2849" w:rsidRPr="00C3179E" w:rsidRDefault="001F2849" w:rsidP="001F2849">
      <w:pPr>
        <w:pStyle w:val="ATHeading1"/>
      </w:pPr>
      <w:bookmarkStart w:id="1" w:name="TANumber"/>
      <w:r w:rsidRPr="00C3179E">
        <w:t>P9_TA(2024)0</w:t>
      </w:r>
      <w:r w:rsidR="00D929A9">
        <w:t>234</w:t>
      </w:r>
      <w:bookmarkEnd w:id="1"/>
    </w:p>
    <w:p w:rsidR="001F2849" w:rsidRPr="00C3179E" w:rsidRDefault="001F2849" w:rsidP="001F2849">
      <w:pPr>
        <w:pStyle w:val="ATHeading2"/>
      </w:pPr>
      <w:bookmarkStart w:id="2" w:name="title"/>
      <w:r w:rsidRPr="00C3179E">
        <w:t>Decharge 2022: EU's almindelige budget – Den Europæiske Ombudsmand</w:t>
      </w:r>
      <w:bookmarkEnd w:id="2"/>
    </w:p>
    <w:p w:rsidR="001F2849" w:rsidRPr="00C3179E" w:rsidRDefault="001F2849" w:rsidP="001F2849">
      <w:pPr>
        <w:rPr>
          <w:i/>
          <w:vanish/>
        </w:rPr>
      </w:pPr>
      <w:r w:rsidRPr="00C3179E">
        <w:rPr>
          <w:i/>
        </w:rPr>
        <w:fldChar w:fldCharType="begin"/>
      </w:r>
      <w:r w:rsidRPr="00C3179E">
        <w:rPr>
          <w:i/>
        </w:rPr>
        <w:instrText xml:space="preserve"> TC"(</w:instrText>
      </w:r>
      <w:bookmarkStart w:id="3" w:name="DocNumber"/>
      <w:r w:rsidRPr="00C3179E">
        <w:rPr>
          <w:i/>
        </w:rPr>
        <w:instrText>A9-0084/2024</w:instrText>
      </w:r>
      <w:bookmarkEnd w:id="3"/>
      <w:r w:rsidRPr="00C3179E">
        <w:rPr>
          <w:i/>
        </w:rPr>
        <w:instrText xml:space="preserve"> - Ordfører: Luke Ming Flanagan)"\l3 \n&gt; \* MERGEFORMAT </w:instrText>
      </w:r>
      <w:r w:rsidRPr="00C3179E">
        <w:rPr>
          <w:i/>
        </w:rPr>
        <w:fldChar w:fldCharType="end"/>
      </w:r>
    </w:p>
    <w:p w:rsidR="001F2849" w:rsidRPr="00C3179E" w:rsidRDefault="001F2849" w:rsidP="001F2849">
      <w:pPr>
        <w:rPr>
          <w:vanish/>
        </w:rPr>
      </w:pPr>
      <w:bookmarkStart w:id="4" w:name="Commission"/>
      <w:r w:rsidRPr="00C3179E">
        <w:rPr>
          <w:vanish/>
        </w:rPr>
        <w:t>Budgetkontroludvalget</w:t>
      </w:r>
      <w:bookmarkEnd w:id="4"/>
    </w:p>
    <w:p w:rsidR="001F2849" w:rsidRPr="00C3179E" w:rsidRDefault="001F2849" w:rsidP="001F2849">
      <w:pPr>
        <w:rPr>
          <w:vanish/>
        </w:rPr>
      </w:pPr>
      <w:bookmarkStart w:id="5" w:name="PE"/>
      <w:r w:rsidRPr="00C3179E">
        <w:rPr>
          <w:vanish/>
        </w:rPr>
        <w:t>PE753.486</w:t>
      </w:r>
      <w:bookmarkEnd w:id="5"/>
    </w:p>
    <w:p w:rsidR="001F2849" w:rsidRPr="00C3179E" w:rsidRDefault="001F2849" w:rsidP="001F2849">
      <w:pPr>
        <w:pStyle w:val="ATHeading3"/>
      </w:pPr>
      <w:bookmarkStart w:id="6" w:name="Sujet"/>
      <w:r w:rsidRPr="00C3179E">
        <w:t>1. Europa-Parlamentets afgørelse af 11. april 2024 om decharge for gennemførelsen af Den Europæiske Unions almindelige budget for regnskabsåret 2022, Sektion VIII – Den Europæiske Ombudsmand</w:t>
      </w:r>
      <w:bookmarkEnd w:id="6"/>
      <w:r w:rsidRPr="00C3179E">
        <w:t xml:space="preserve"> </w:t>
      </w:r>
      <w:bookmarkStart w:id="7" w:name="References"/>
      <w:r w:rsidRPr="00C3179E">
        <w:t>(2023/2137(DEC))</w:t>
      </w:r>
      <w:bookmarkEnd w:id="7"/>
    </w:p>
    <w:p w:rsidR="002D2819" w:rsidRPr="00C3179E" w:rsidRDefault="002D2819" w:rsidP="002D2819">
      <w:pPr>
        <w:pStyle w:val="EPComma"/>
      </w:pPr>
      <w:bookmarkStart w:id="8" w:name="TextBodyBegin"/>
      <w:bookmarkEnd w:id="8"/>
      <w:r w:rsidRPr="00C3179E">
        <w:rPr>
          <w:i/>
        </w:rPr>
        <w:t>Europa-Parlamentet</w:t>
      </w:r>
      <w:r w:rsidRPr="00C3179E">
        <w:t>,</w:t>
      </w:r>
    </w:p>
    <w:p w:rsidR="002D2819" w:rsidRPr="00C3179E" w:rsidRDefault="002D2819" w:rsidP="002D2819">
      <w:pPr>
        <w:pStyle w:val="NormalHanging12a"/>
      </w:pPr>
      <w:r w:rsidRPr="00C3179E">
        <w:t>–</w:t>
      </w:r>
      <w:r w:rsidRPr="00C3179E">
        <w:tab/>
        <w:t>der henviser til Den Europæiske Unions almindelige budget for regnskabsåret 2022</w:t>
      </w:r>
      <w:r w:rsidRPr="00C3179E">
        <w:rPr>
          <w:rStyle w:val="FootnoteReference"/>
        </w:rPr>
        <w:footnoteReference w:id="1"/>
      </w:r>
      <w:r w:rsidRPr="00C3179E">
        <w:t>,</w:t>
      </w:r>
    </w:p>
    <w:p w:rsidR="002D2819" w:rsidRPr="00C3179E" w:rsidRDefault="002D2819" w:rsidP="002D2819">
      <w:pPr>
        <w:pStyle w:val="NormalHanging12a"/>
      </w:pPr>
      <w:r w:rsidRPr="00C3179E">
        <w:t>–</w:t>
      </w:r>
      <w:r w:rsidRPr="00C3179E">
        <w:tab/>
        <w:t>der henviser til Den Europæiske Unions konsoliderede årsregnskab for regnskabsåret 2022 (COM(2023)0391 – C9</w:t>
      </w:r>
      <w:r w:rsidRPr="00C3179E">
        <w:noBreakHyphen/>
        <w:t>0256/2023)</w:t>
      </w:r>
      <w:r w:rsidRPr="00C3179E">
        <w:rPr>
          <w:rStyle w:val="FootnoteReference"/>
        </w:rPr>
        <w:footnoteReference w:id="2"/>
      </w:r>
      <w:r w:rsidRPr="00C3179E">
        <w:t>,</w:t>
      </w:r>
    </w:p>
    <w:p w:rsidR="002D2819" w:rsidRPr="00C3179E" w:rsidRDefault="002D2819" w:rsidP="002D2819">
      <w:pPr>
        <w:pStyle w:val="NormalHanging12a"/>
      </w:pPr>
      <w:r w:rsidRPr="00C3179E">
        <w:t>–</w:t>
      </w:r>
      <w:r w:rsidRPr="00C3179E">
        <w:tab/>
        <w:t>der henviser til Den Europæiske Ombudsmands årlige aktivitetsrapport for 2022 og dens beretning om den budgetmæssige og økonomiske forvaltning i regnskabsåret 2022,</w:t>
      </w:r>
    </w:p>
    <w:p w:rsidR="002D2819" w:rsidRPr="00C3179E" w:rsidRDefault="002D2819" w:rsidP="002D2819">
      <w:pPr>
        <w:pStyle w:val="NormalHanging12a"/>
      </w:pPr>
      <w:r w:rsidRPr="00C3179E">
        <w:t>–</w:t>
      </w:r>
      <w:r w:rsidRPr="00C3179E">
        <w:tab/>
        <w:t>der henviser til Revisionsrettens årsberetning om budgetgennemførelsen i regnskabsåret 2022, med institutionernes svar</w:t>
      </w:r>
      <w:r w:rsidRPr="00C3179E">
        <w:rPr>
          <w:rStyle w:val="FootnoteReference"/>
        </w:rPr>
        <w:footnoteReference w:id="3"/>
      </w:r>
      <w:r w:rsidRPr="00C3179E">
        <w:t>,</w:t>
      </w:r>
    </w:p>
    <w:p w:rsidR="002D2819" w:rsidRPr="00C3179E" w:rsidRDefault="002D2819" w:rsidP="002D2819">
      <w:pPr>
        <w:pStyle w:val="NormalHanging12a"/>
      </w:pPr>
      <w:r w:rsidRPr="00C3179E">
        <w:t>–</w:t>
      </w:r>
      <w:r w:rsidRPr="00C3179E">
        <w:tab/>
        <w:t>der henviser til Revisionsrettens erklæring for regnskabsåret 2022 om regnskabernes rigtighed</w:t>
      </w:r>
      <w:r w:rsidRPr="00C3179E">
        <w:rPr>
          <w:rStyle w:val="FootnoteReference"/>
        </w:rPr>
        <w:footnoteReference w:id="4"/>
      </w:r>
      <w:r w:rsidRPr="00C3179E">
        <w:t xml:space="preserve"> og de underliggende transaktioners lovlighed og formelle rigtighed, jf. artikel 287 i traktaten om Den Europæiske Unions funktionsmåde,</w:t>
      </w:r>
    </w:p>
    <w:p w:rsidR="002D2819" w:rsidRPr="00C3179E" w:rsidRDefault="002D2819" w:rsidP="002D2819">
      <w:pPr>
        <w:pStyle w:val="NormalHanging12a"/>
      </w:pPr>
      <w:r w:rsidRPr="00C3179E">
        <w:t>–</w:t>
      </w:r>
      <w:r w:rsidRPr="00C3179E">
        <w:tab/>
        <w:t>der henviser til artikel 314, stk. 10, og artikel 317, 318 og 319 i traktaten om Den Europæiske Unions funktionsmåde,</w:t>
      </w:r>
    </w:p>
    <w:p w:rsidR="002D2819" w:rsidRPr="00C3179E" w:rsidRDefault="002D2819" w:rsidP="002D2819">
      <w:pPr>
        <w:pStyle w:val="NormalHanging12a"/>
      </w:pPr>
      <w:r w:rsidRPr="00C3179E">
        <w:t>–</w:t>
      </w:r>
      <w:r w:rsidRPr="00C3179E">
        <w:tab/>
        <w:t xml:space="preserve">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r w:rsidRPr="00C3179E">
        <w:lastRenderedPageBreak/>
        <w:t>Euratom) nr. 966/2012</w:t>
      </w:r>
      <w:r w:rsidRPr="00C3179E">
        <w:rPr>
          <w:rStyle w:val="FootnoteReference"/>
        </w:rPr>
        <w:footnoteReference w:id="5"/>
      </w:r>
      <w:r w:rsidRPr="00C3179E">
        <w:t>, særlig artikel 59, 118, 260, 261 og 262,</w:t>
      </w:r>
    </w:p>
    <w:p w:rsidR="002D2819" w:rsidRPr="00C3179E" w:rsidRDefault="002D2819" w:rsidP="002D2819">
      <w:pPr>
        <w:pStyle w:val="NormalHanging12a"/>
      </w:pPr>
      <w:r w:rsidRPr="00C3179E">
        <w:t>–</w:t>
      </w:r>
      <w:r w:rsidRPr="00C3179E">
        <w:tab/>
        <w:t>der henviser til forretningsordenens artikel 100 og bilag V,</w:t>
      </w:r>
    </w:p>
    <w:p w:rsidR="002D2819" w:rsidRPr="00C3179E" w:rsidRDefault="002D2819" w:rsidP="002D2819">
      <w:pPr>
        <w:pStyle w:val="NormalHanging12a"/>
      </w:pPr>
      <w:r w:rsidRPr="00C3179E">
        <w:t>–</w:t>
      </w:r>
      <w:r w:rsidRPr="00C3179E">
        <w:tab/>
        <w:t>der henviser til betænkning fra Budgetkontroludvalget (A9-0084/2024),</w:t>
      </w:r>
    </w:p>
    <w:p w:rsidR="002D2819" w:rsidRPr="00C3179E" w:rsidRDefault="002D2819" w:rsidP="002D2819">
      <w:pPr>
        <w:pStyle w:val="NormalHanging12a"/>
      </w:pPr>
      <w:r w:rsidRPr="00C3179E">
        <w:t>1.</w:t>
      </w:r>
      <w:r w:rsidRPr="00C3179E">
        <w:tab/>
        <w:t>meddeler Den Europæiske Ombudsmand decharge for gennemførelsen af budgettet for Den Europæiske Ombudsmand for regnskabsåret 2022;</w:t>
      </w:r>
    </w:p>
    <w:p w:rsidR="002D2819" w:rsidRPr="00C3179E" w:rsidRDefault="002D2819" w:rsidP="002D2819">
      <w:pPr>
        <w:pStyle w:val="NormalHanging12a"/>
      </w:pPr>
      <w:r w:rsidRPr="00C3179E">
        <w:t>2.</w:t>
      </w:r>
      <w:r w:rsidRPr="00C3179E">
        <w:tab/>
        <w:t>fremsætter sine bemærkninger i nedenstående beslutning;</w:t>
      </w:r>
    </w:p>
    <w:p w:rsidR="002D2819" w:rsidRPr="00C3179E" w:rsidRDefault="002D2819" w:rsidP="002D2819">
      <w:pPr>
        <w:pStyle w:val="NormalHanging12a"/>
      </w:pPr>
      <w:r w:rsidRPr="00C3179E">
        <w:t>3.</w:t>
      </w:r>
      <w:r w:rsidRPr="00C3179E">
        <w:tab/>
        <w:t xml:space="preserve">pålægger sin formand at sende denne afgørelse og beslutningen, der er en integrerende del heraf, til Den Europæiske Ombudsmand, Det Europæiske Råd, Rådet, Kommissionen, Revisionsretten, Den Europæiske Unions Domstol, Den Europæiske Tilsynsførende for Databeskyttelse og Tjenesten for EU's Optræden Udadtil og drage omsorg for, at de offentliggøres i </w:t>
      </w:r>
      <w:r w:rsidRPr="00C3179E">
        <w:rPr>
          <w:i/>
          <w:iCs/>
        </w:rPr>
        <w:t>Den Europæiske Unions Tidende</w:t>
      </w:r>
      <w:r w:rsidRPr="00C3179E">
        <w:t xml:space="preserve"> (L-udgaven).</w:t>
      </w:r>
    </w:p>
    <w:p w:rsidR="002D2819" w:rsidRPr="00C3179E" w:rsidRDefault="002D2819" w:rsidP="002D2819"/>
    <w:p w:rsidR="002D2819" w:rsidRPr="00C3179E" w:rsidRDefault="002D2819" w:rsidP="002D2819">
      <w:pPr>
        <w:pStyle w:val="PageHeading"/>
        <w:sectPr w:rsidR="002D2819" w:rsidRPr="00C3179E" w:rsidSect="005D2AA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D2819" w:rsidRPr="00C3179E" w:rsidRDefault="002D2819" w:rsidP="00935340">
      <w:pPr>
        <w:pStyle w:val="ATHeading3"/>
      </w:pPr>
      <w:bookmarkStart w:id="9" w:name="_Toc161076161"/>
      <w:bookmarkStart w:id="10" w:name="_Toc161730625"/>
      <w:r w:rsidRPr="00C3179E">
        <w:lastRenderedPageBreak/>
        <w:t xml:space="preserve">2. </w:t>
      </w:r>
      <w:r w:rsidR="00935340" w:rsidRPr="00C3179E">
        <w:t>Europa-Parlamentets beslutning</w:t>
      </w:r>
      <w:bookmarkEnd w:id="9"/>
      <w:bookmarkEnd w:id="10"/>
      <w:r w:rsidR="00935340" w:rsidRPr="00C3179E">
        <w:t xml:space="preserve"> af 11. april 2024 </w:t>
      </w:r>
      <w:r w:rsidRPr="00C3179E">
        <w:t>med bemærkningerne, der er en integrerende del af afgørelsen om decharge for gennemførelsen af Den Europæiske Unions almindelige budget for regnskabsåret 2022, Sektion VIII – Den Europæiske Ombudsmand</w:t>
      </w:r>
      <w:r w:rsidR="00935340" w:rsidRPr="00C3179E">
        <w:t xml:space="preserve"> </w:t>
      </w:r>
      <w:r w:rsidRPr="00C3179E">
        <w:t>(2023/2137(DEC))</w:t>
      </w:r>
    </w:p>
    <w:p w:rsidR="002D2819" w:rsidRPr="00C3179E" w:rsidRDefault="002D2819" w:rsidP="002D2819">
      <w:pPr>
        <w:pStyle w:val="EPComma"/>
      </w:pPr>
      <w:r w:rsidRPr="00C3179E">
        <w:rPr>
          <w:i/>
          <w:iCs/>
        </w:rPr>
        <w:t>Europa-Parlamentet,</w:t>
      </w:r>
    </w:p>
    <w:p w:rsidR="002D2819" w:rsidRPr="00C3179E" w:rsidRDefault="002D2819" w:rsidP="002D2819">
      <w:pPr>
        <w:pStyle w:val="NormalHanging12a"/>
        <w:rPr>
          <w:szCs w:val="24"/>
        </w:rPr>
      </w:pPr>
      <w:r w:rsidRPr="00C3179E">
        <w:t>–</w:t>
      </w:r>
      <w:r w:rsidRPr="00C3179E">
        <w:tab/>
        <w:t>der henviser til sin afgørelse om decharge for gennemførelsen af Den Europæiske Unions almindelige budget for regnskabsåret 2022, Sektion VIII – Den Europæiske Ombudsmand,</w:t>
      </w:r>
    </w:p>
    <w:p w:rsidR="002D2819" w:rsidRPr="00C3179E" w:rsidRDefault="002D2819" w:rsidP="002D2819">
      <w:pPr>
        <w:pStyle w:val="NormalHanging12a"/>
        <w:rPr>
          <w:szCs w:val="24"/>
        </w:rPr>
      </w:pPr>
      <w:r w:rsidRPr="00C3179E">
        <w:t>–</w:t>
      </w:r>
      <w:r w:rsidRPr="00C3179E">
        <w:tab/>
        <w:t>der henviser til forretningsordenens artikel 100 og bilag V,</w:t>
      </w:r>
    </w:p>
    <w:p w:rsidR="002D2819" w:rsidRPr="00C3179E" w:rsidRDefault="002D2819" w:rsidP="002D2819">
      <w:pPr>
        <w:pStyle w:val="NormalHanging12a"/>
        <w:rPr>
          <w:szCs w:val="24"/>
        </w:rPr>
      </w:pPr>
      <w:r w:rsidRPr="00C3179E">
        <w:t>–</w:t>
      </w:r>
      <w:r w:rsidRPr="00C3179E">
        <w:tab/>
        <w:t>der henviser til betænkning fra Budgetkontroludvalget (A9-0084/2024),</w:t>
      </w:r>
    </w:p>
    <w:p w:rsidR="002D2819" w:rsidRPr="00C3179E" w:rsidRDefault="002D2819" w:rsidP="002D2819">
      <w:pPr>
        <w:pStyle w:val="NormalHanging12a"/>
        <w:rPr>
          <w:szCs w:val="24"/>
        </w:rPr>
      </w:pPr>
      <w:r w:rsidRPr="00C3179E">
        <w:t>A.</w:t>
      </w:r>
      <w:r w:rsidRPr="00C3179E">
        <w:tab/>
        <w:t>der henviser til, at dechargemyndigheden inden for rammerne af dechargeproceduren gerne vil understrege, at det er særligt vigtigt at styrke EU-institutionernes demokratiske legitimitet yderligere ved at forbedre gennemsigtigheden og ansvarligheden, gennemføre begrebet resultatbaseret budgettering og sørge for god forvaltning af de menneskelige ressourcer;</w:t>
      </w:r>
    </w:p>
    <w:p w:rsidR="002D2819" w:rsidRPr="00C3179E" w:rsidRDefault="002D2819" w:rsidP="002D2819">
      <w:pPr>
        <w:pStyle w:val="NormalHanging12a"/>
        <w:rPr>
          <w:szCs w:val="24"/>
        </w:rPr>
      </w:pPr>
      <w:r w:rsidRPr="00C3179E">
        <w:t>B.</w:t>
      </w:r>
      <w:r w:rsidRPr="00C3179E">
        <w:tab/>
        <w:t>der henviser til, at Europa-Parlamentet i henhold til artikel 228 i traktaten om Den Europæiske Unions funktionsmåde skal vælge en europæisk ombudsmand, der er beføjet til at modtage klager fra enhver unionsborger eller enhver fysisk eller juridisk person med bopæl eller hjemsted i en medlemsstat over tilfælde af fejl eller forsømmelser i forbindelse med handlinger foretaget af Unionens institutioner, organer, kontorer og agenturer med undtagelse af Den Europæiske Unions Domstol under udøvelsen af dens domstolsfunktioner; der henviser til, at Den Europæiske Ombudsmand skal undersøge klagerne og aflægge beretning herom;</w:t>
      </w:r>
    </w:p>
    <w:p w:rsidR="002D2819" w:rsidRPr="00C3179E" w:rsidRDefault="002D2819" w:rsidP="002D2819">
      <w:pPr>
        <w:pStyle w:val="NormalHanging12a"/>
        <w:rPr>
          <w:szCs w:val="24"/>
        </w:rPr>
      </w:pPr>
      <w:r w:rsidRPr="00C3179E">
        <w:t>C.</w:t>
      </w:r>
      <w:r w:rsidRPr="00C3179E">
        <w:tab/>
        <w:t>der henviser til, at Europa-Parlamentets forordning (EU, Euratom) 2021/1163 af 24. juni 2021</w:t>
      </w:r>
      <w:r w:rsidRPr="00C3179E">
        <w:rPr>
          <w:rStyle w:val="FootnoteReference"/>
          <w:szCs w:val="24"/>
        </w:rPr>
        <w:footnoteReference w:id="6"/>
      </w:r>
      <w:r w:rsidRPr="00C3179E">
        <w:t xml:space="preserve"> fastlægger Ombudsmandens statut og de almindelige betingelser for udøvelsen af dennes hverv (Den Europæiske Ombudsmands statut);</w:t>
      </w:r>
    </w:p>
    <w:p w:rsidR="002D2819" w:rsidRPr="00C3179E" w:rsidRDefault="002D2819" w:rsidP="002D2819">
      <w:pPr>
        <w:pStyle w:val="NormalHanging12a"/>
        <w:rPr>
          <w:szCs w:val="24"/>
        </w:rPr>
      </w:pPr>
      <w:r w:rsidRPr="00C3179E">
        <w:t>D.</w:t>
      </w:r>
      <w:r w:rsidRPr="00C3179E">
        <w:tab/>
        <w:t>der henviser til, at Den Europæiske Ombudsmands afgørelse om vedtagelse af gennemførelsesbestemmelser i øjeblikket er ved at blive revideret efter vedtagelsen af forordning (EU, Euratom) 2021/1163;</w:t>
      </w:r>
    </w:p>
    <w:p w:rsidR="002D2819" w:rsidRPr="00C3179E" w:rsidRDefault="002D2819" w:rsidP="002D2819">
      <w:pPr>
        <w:pStyle w:val="NormalHanging12a"/>
        <w:rPr>
          <w:szCs w:val="24"/>
        </w:rPr>
      </w:pPr>
      <w:r w:rsidRPr="00C3179E">
        <w:t>1.</w:t>
      </w:r>
      <w:r w:rsidRPr="00C3179E">
        <w:tab/>
        <w:t>bemærker, at Den Europæiske Ombudsmands ("Ombudsmandens") budget falder ind under FFR-udgiftsområde 7, "Europæisk offentlig forvaltning", som i 2022 beløb sig til i alt 11,6 mia. EUR eller 5,9 % af Unionens udgifter; bemærker, at Ombudsmandens budget udgjorde 0,1 % af bevillingerne under FFR-udgiftsområde 7;</w:t>
      </w:r>
    </w:p>
    <w:p w:rsidR="002D2819" w:rsidRPr="00C3179E" w:rsidRDefault="002D2819" w:rsidP="002D2819">
      <w:pPr>
        <w:pStyle w:val="NormalHanging12a"/>
        <w:rPr>
          <w:szCs w:val="24"/>
        </w:rPr>
      </w:pPr>
      <w:r w:rsidRPr="00C3179E">
        <w:t>2.</w:t>
      </w:r>
      <w:r w:rsidRPr="00C3179E">
        <w:tab/>
        <w:t>bemærker, at Revisionsretten i sin årsberetning for regnskabsåret 2022 undersøgte en stikprøve på 60 transaktioner under "Administration", hvilket er det samme antal som i 2021; bemærker endvidere, at Revisionsretten anfører, at administrationsudgifter omfatter udgifter til menneskelige ressourcer, herunder pensioner, som i 2022 tegnede sig for ca. 70 % af de samlede administrationsudgifter, samt til bygninger, udstyr, energi, kommunikation og informationsteknologi, og at dens revisioner gennem mange år viser, at der generelt kun er lav risiko forbundet med disse udgifter;</w:t>
      </w:r>
    </w:p>
    <w:p w:rsidR="002D2819" w:rsidRPr="00C3179E" w:rsidRDefault="002D2819" w:rsidP="002D2819">
      <w:pPr>
        <w:pStyle w:val="NormalHanging12a"/>
        <w:rPr>
          <w:szCs w:val="24"/>
        </w:rPr>
      </w:pPr>
      <w:r w:rsidRPr="00C3179E">
        <w:t>3.</w:t>
      </w:r>
      <w:r w:rsidRPr="00C3179E">
        <w:tab/>
        <w:t>noterer sig, at Revisionsretten som led i sin revision for 2022 undersøgte Ombudsmandens overvågnings- og kontrolsystemer, navnlig gennemførelsen af interne kontrolstandarder, risikostyring og centrale kontrollers funktion som defineret i forordning (EU, Euratom) 2018/1046 ("finansforordningen"), herunder forudgående og efterfølgende kontrol af betalinger;</w:t>
      </w:r>
    </w:p>
    <w:p w:rsidR="002D2819" w:rsidRPr="00C3179E" w:rsidRDefault="002D2819" w:rsidP="002D2819">
      <w:pPr>
        <w:pStyle w:val="NormalHanging12a"/>
        <w:rPr>
          <w:szCs w:val="24"/>
        </w:rPr>
      </w:pPr>
      <w:r w:rsidRPr="00C3179E">
        <w:t>4.</w:t>
      </w:r>
      <w:r w:rsidRPr="00C3179E">
        <w:tab/>
        <w:t>bemærker, at 14 (23 %) af de 60 transaktioner var behæftet med fejl, men at Revisionsretten på grundlag af de fem fejl, der blev kvantificeret, anslår, at fejlforekomsten er under væsentlighedstærsklen;</w:t>
      </w:r>
    </w:p>
    <w:p w:rsidR="002D2819" w:rsidRPr="00C3179E" w:rsidRDefault="002D2819" w:rsidP="002D2819">
      <w:pPr>
        <w:pStyle w:val="NormalHanging12a"/>
        <w:rPr>
          <w:szCs w:val="24"/>
        </w:rPr>
      </w:pPr>
      <w:r w:rsidRPr="00C3179E">
        <w:t>5.</w:t>
      </w:r>
      <w:r w:rsidRPr="00C3179E">
        <w:tab/>
        <w:t>noterer sig med tilfredshed, at Revisionsretten i årsberetningen for regnskabsåret 2022 anfører, at den ikke konstaterede nogen specifikke forhold vedrørende Ombudsmanden;</w:t>
      </w:r>
    </w:p>
    <w:p w:rsidR="002D2819" w:rsidRPr="00C3179E" w:rsidRDefault="002D2819" w:rsidP="002D2819">
      <w:pPr>
        <w:pStyle w:val="NormalHanging12a"/>
        <w:rPr>
          <w:b/>
          <w:i/>
          <w:szCs w:val="24"/>
        </w:rPr>
      </w:pPr>
      <w:r w:rsidRPr="00C3179E">
        <w:rPr>
          <w:b/>
          <w:i/>
        </w:rPr>
        <w:t>Budgetmæssig og økonomisk forvaltning</w:t>
      </w:r>
    </w:p>
    <w:p w:rsidR="002D2819" w:rsidRPr="00C3179E" w:rsidRDefault="002D2819" w:rsidP="002D2819">
      <w:pPr>
        <w:pStyle w:val="NormalHanging12a"/>
        <w:rPr>
          <w:szCs w:val="24"/>
        </w:rPr>
      </w:pPr>
      <w:r w:rsidRPr="00C3179E">
        <w:t>6.</w:t>
      </w:r>
      <w:r w:rsidRPr="00C3179E">
        <w:tab/>
        <w:t>bemærker, at Ombudsmandens budget beløb sig til 12 222 108 EUR i 2022, hvilket svarer til et fald på 280 000 EUR i forhold til 2021; forstår, at dette fald er resultatet af en rationalisering af budgettet baseret på de faktiske behov;</w:t>
      </w:r>
    </w:p>
    <w:p w:rsidR="002D2819" w:rsidRPr="00C3179E" w:rsidRDefault="002D2819" w:rsidP="002D2819">
      <w:pPr>
        <w:pStyle w:val="NormalHanging12a"/>
        <w:rPr>
          <w:szCs w:val="24"/>
        </w:rPr>
      </w:pPr>
      <w:r w:rsidRPr="00C3179E">
        <w:t>7.</w:t>
      </w:r>
      <w:r w:rsidRPr="00C3179E">
        <w:tab/>
        <w:t>bemærker, at budgetgennemførelsesgraden var på 96,97 % i 2022, hvilket er højere end det foregående år, hvor gennemførelsesgraden var på 88,8 % på grund af restriktioner i forbindelse med covid-19-pandemien;</w:t>
      </w:r>
    </w:p>
    <w:p w:rsidR="002D2819" w:rsidRPr="00C3179E" w:rsidRDefault="002D2819" w:rsidP="002D2819">
      <w:pPr>
        <w:pStyle w:val="NormalHanging12a"/>
        <w:rPr>
          <w:szCs w:val="24"/>
        </w:rPr>
      </w:pPr>
      <w:r w:rsidRPr="00C3179E">
        <w:t>8.</w:t>
      </w:r>
      <w:r w:rsidRPr="00C3179E">
        <w:tab/>
        <w:t>bemærker, at Ombudsmanden i løbet af 2022 foretog seks budgetoverførsler i henhold til finansforordningens artikel 29, svarende til i alt 344 460 EUR eller 2,8 % af regnskabsårets bevillinger; bemærker endvidere, at budgetkontoplanen for post "2000" blev opdelt i fire underkategorier for at øge gennemsigtigheden af de krævede oplysninger vedrørende Ombudsmandens bygninger på begge arbejdssteder; anerkender, at de bevillinger, der blev overført fra budgetposten til leje, ikke blev uudnyttet, fordi Ombudsmanden betalte alle omkostninger i forbindelse med indretningen af Ombudsmandens nye bygning via 2021-budgettet i stedet for at sprede dem over seks år;</w:t>
      </w:r>
    </w:p>
    <w:p w:rsidR="002D2819" w:rsidRPr="00C3179E" w:rsidRDefault="002D2819" w:rsidP="002D2819">
      <w:pPr>
        <w:pStyle w:val="NormalHanging12a"/>
        <w:rPr>
          <w:szCs w:val="24"/>
        </w:rPr>
      </w:pPr>
      <w:r w:rsidRPr="00C3179E">
        <w:t>9.</w:t>
      </w:r>
      <w:r w:rsidRPr="00C3179E">
        <w:tab/>
        <w:t>glæder sig over, at den gennemsnitlige betalingstid fortsat er relativt kort, selv om betalingstiden er steget fra 11,35 til 13 dage fra 2021 til 2022; mener, at indførelsen af et elektronisk faktureringssystem fra 2023 kun kan forbedre betalingsprocessens effektivitet;</w:t>
      </w:r>
    </w:p>
    <w:p w:rsidR="002D2819" w:rsidRPr="00C3179E" w:rsidRDefault="002D2819" w:rsidP="002D2819">
      <w:pPr>
        <w:pStyle w:val="NormalHanging12a"/>
        <w:rPr>
          <w:szCs w:val="24"/>
        </w:rPr>
      </w:pPr>
      <w:r w:rsidRPr="00C3179E">
        <w:t>10.</w:t>
      </w:r>
      <w:r w:rsidRPr="00C3179E">
        <w:tab/>
        <w:t>bemærker, at Ombudsmanden ikke rapporterede om nogen indvirkning af Ruslands angrebskrig mod Ukraine på dets 2022-budget for tjenesterejser, indkøb eller bygninger; henstiller, at Ombudsmanden tager hensyn til, at Parlamentets næste årlige revision af lejen og de faste bygningsudgifter kan føre til yderligere omkostninger i Ombudsmandens budget for 2023;</w:t>
      </w:r>
    </w:p>
    <w:p w:rsidR="002D2819" w:rsidRPr="00C3179E" w:rsidRDefault="002D2819" w:rsidP="002D2819">
      <w:pPr>
        <w:pStyle w:val="NormalHanging12a"/>
        <w:rPr>
          <w:szCs w:val="24"/>
        </w:rPr>
      </w:pPr>
      <w:r w:rsidRPr="00C3179E">
        <w:t>11.</w:t>
      </w:r>
      <w:r w:rsidRPr="00C3179E">
        <w:tab/>
        <w:t>bemærker, at budgettet for tjenesterejser for personale faldt fra 135 000 EUR i 2021 til 120 000 EUR i 2022 som følge af besparelser baseret på erfaringerne fra covid-19-pandemien og den udbredte anvendelse af videokonferencefaciliteter til interne og eksterne møder på begge arbejdssteder;</w:t>
      </w:r>
    </w:p>
    <w:p w:rsidR="002D2819" w:rsidRPr="00C3179E" w:rsidRDefault="002D2819" w:rsidP="002D2819">
      <w:pPr>
        <w:pStyle w:val="NormalHanging12a"/>
        <w:rPr>
          <w:b/>
          <w:i/>
          <w:szCs w:val="24"/>
        </w:rPr>
      </w:pPr>
      <w:r w:rsidRPr="00C3179E">
        <w:rPr>
          <w:b/>
          <w:i/>
        </w:rPr>
        <w:t>Intern forvaltning, performance og intern kontrol</w:t>
      </w:r>
    </w:p>
    <w:p w:rsidR="002D2819" w:rsidRPr="00C3179E" w:rsidRDefault="002D2819" w:rsidP="002D2819">
      <w:pPr>
        <w:pStyle w:val="NormalHanging12a"/>
        <w:rPr>
          <w:szCs w:val="24"/>
        </w:rPr>
      </w:pPr>
      <w:r w:rsidRPr="00C3179E">
        <w:t>12.</w:t>
      </w:r>
      <w:r w:rsidRPr="00C3179E">
        <w:tab/>
        <w:t>bemærker, at Ombudsmanden i løbet af 2022 fortsatte med at gennemføre specifikke foranstaltninger i overensstemmelse med målene og prioriteterne i Ombudsmandens femårige strategi "På vej mod 2024" som fastsat i Ombudsmandens årlige forvaltningsplan; fremhæver navnlig, at Ombudsmanden med succes leverede udkastet til gennemførelsesbestemmelser til den nye statut for Ombudsmandens hverv til Kommissionen, Rådet og Parlamentet med henblik på høring i overensstemmelse med den årlige forvaltningsplan for 2022;</w:t>
      </w:r>
    </w:p>
    <w:p w:rsidR="002D2819" w:rsidRPr="00C3179E" w:rsidRDefault="002D2819" w:rsidP="002D2819">
      <w:pPr>
        <w:pStyle w:val="NormalHanging12a"/>
        <w:rPr>
          <w:szCs w:val="24"/>
        </w:rPr>
      </w:pPr>
      <w:r w:rsidRPr="00C3179E">
        <w:t>13.</w:t>
      </w:r>
      <w:r w:rsidRPr="00C3179E">
        <w:tab/>
        <w:t>understreger, at Ombudsmanden i 2022 på baggrund af den åbenlyse mangel på offentlige informationer på forhånd spurgte Europa-Kommissionen, hvordan den vil sikre gennemsigtighed i forhandlingerne om de nationale genopretningsplaner, hvordan den vil sikre offentlig kontrol med de milepæle, som medlemsstaterne havde nået, og hvordan den vil føre tilsyn med revisionerne</w:t>
      </w:r>
      <w:r w:rsidRPr="00C3179E">
        <w:rPr>
          <w:szCs w:val="24"/>
          <w:vertAlign w:val="superscript"/>
        </w:rPr>
        <w:footnoteReference w:id="7"/>
      </w:r>
      <w:r w:rsidRPr="00C3179E">
        <w:t>;</w:t>
      </w:r>
    </w:p>
    <w:p w:rsidR="002D2819" w:rsidRPr="00C3179E" w:rsidRDefault="002D2819" w:rsidP="002D2819">
      <w:pPr>
        <w:pStyle w:val="NormalHanging12a"/>
        <w:rPr>
          <w:szCs w:val="24"/>
        </w:rPr>
      </w:pPr>
      <w:r w:rsidRPr="00C3179E">
        <w:t>14.</w:t>
      </w:r>
      <w:r w:rsidRPr="00C3179E">
        <w:tab/>
        <w:t>bemærker, at Ombudsmanden modtog 2 223 klager i 2022 sammenlignet med 2 192 i 2021, hvoraf 35 % lå inden for Ombudsmandens mandat; bemærker endvidere, at Ombudsmanden indledte 348 undersøgelser, herunder 60 undersøgelser af offentlig betydning, og afsluttede 330 undersøgelser i 2022 sammenlignet med, at der i 2021 blev indledt 338 undersøgelser og afsluttet 305;</w:t>
      </w:r>
    </w:p>
    <w:p w:rsidR="002D2819" w:rsidRPr="00C3179E" w:rsidRDefault="002D2819" w:rsidP="002D2819">
      <w:pPr>
        <w:pStyle w:val="NormalHanging12a"/>
        <w:rPr>
          <w:szCs w:val="24"/>
        </w:rPr>
      </w:pPr>
      <w:r w:rsidRPr="00C3179E">
        <w:t>15.</w:t>
      </w:r>
      <w:r w:rsidRPr="00C3179E">
        <w:tab/>
        <w:t>bemærker med stor bekymring, at Ombudsmanden modtager mange klager fra borgerne over ekstreme forsinkelser med hensyn til at få adgang til de ønskede dokumenter; støtter Ombudsmandens synspunkt om, at forsinket adgang reelt er et afslag på adgang, og at de administrative processer bør strømlines for at sikre, at borgerne får aktindsigt rettidigt</w:t>
      </w:r>
      <w:r w:rsidRPr="00C3179E">
        <w:rPr>
          <w:szCs w:val="24"/>
          <w:vertAlign w:val="superscript"/>
        </w:rPr>
        <w:footnoteReference w:id="8"/>
      </w:r>
      <w:r w:rsidRPr="00C3179E">
        <w:t>;</w:t>
      </w:r>
    </w:p>
    <w:p w:rsidR="002D2819" w:rsidRPr="00C3179E" w:rsidRDefault="002D2819" w:rsidP="002D2819">
      <w:pPr>
        <w:pStyle w:val="NormalHanging12a"/>
        <w:rPr>
          <w:szCs w:val="24"/>
        </w:rPr>
      </w:pPr>
      <w:r w:rsidRPr="00C3179E">
        <w:t>16.</w:t>
      </w:r>
      <w:r w:rsidRPr="00C3179E">
        <w:tab/>
        <w:t>glæder sig over udviklingen af en strømlinet proces til håndtering af undersøgelser vedrørende "manglende svar"; glæder sig ligeledes over indførelsen af en forenklet procedure for behandling af klager "uden for mandatet", hvilket reducerer behandlingstiden for sådanne anmodninger fra 15 dage til tre dage; er ikke desto mindre bekymret over, at den gennemsnitlige tid for behandling af en klage inden for mandatet steg fra 61 til 91 dage, og at den gennemsnitlige behandlingstid for en undersøgelse steg fra 112 til 166 dage mellem 2021 og 2022;</w:t>
      </w:r>
    </w:p>
    <w:p w:rsidR="002D2819" w:rsidRPr="00C3179E" w:rsidRDefault="002D2819" w:rsidP="002D2819">
      <w:pPr>
        <w:pStyle w:val="NormalHanging12a"/>
        <w:rPr>
          <w:szCs w:val="24"/>
        </w:rPr>
      </w:pPr>
      <w:r w:rsidRPr="00C3179E">
        <w:t>17.</w:t>
      </w:r>
      <w:r w:rsidRPr="00C3179E">
        <w:tab/>
        <w:t>bemærker, at etik og gennemsigtighed i 2022 fortsat har været vigtige arbejdsområder for Ombudsmanden, hvor der fortsat blev gjort fremskridt, men hvor der også var udfordringer, og at antallet af klager vedrørende gennemsigtighed og ansvarlighed udgjorde 32 % af alle sager i 2022;</w:t>
      </w:r>
    </w:p>
    <w:p w:rsidR="002D2819" w:rsidRPr="00C3179E" w:rsidRDefault="002D2819" w:rsidP="002D2819">
      <w:pPr>
        <w:pStyle w:val="NormalHanging12a"/>
        <w:rPr>
          <w:szCs w:val="24"/>
        </w:rPr>
      </w:pPr>
      <w:r w:rsidRPr="00C3179E">
        <w:t>18.</w:t>
      </w:r>
      <w:r w:rsidRPr="00C3179E">
        <w:tab/>
        <w:t>bemærker, at aktindsigt fortsat har været en vigtig prioritet for Ombudsmanden i 2022 med 121 modtagne klager, det højeste registrerede antal inden for et år, og at undersøgelserne resulterede i 90 klager; glæder sig over den hurtige behandling af sager vedrørende aktindsigt med gennemsnitligt 46 arbejdsdage indtil afslutningen af klagen og 67 arbejdsdage for så vidt angår undersøgelser alene; forstår, at andelen af hasteundersøgelser på trods af stigningen i antallet af sager kun udgjorde 28 % af alle begæringer om aktindsigt sammenlignet med 58 % i 2021; glæder sig over resultaterne af større undersøgelser vedrørende Kommissionen og andre EU-agenturer såsom Frontex og institutioner og organer såsom EIB om deres administrative forvaltning af begæringer om aktindsigt;</w:t>
      </w:r>
    </w:p>
    <w:p w:rsidR="002D2819" w:rsidRPr="00C3179E" w:rsidRDefault="002D2819" w:rsidP="002D2819">
      <w:pPr>
        <w:pStyle w:val="NormalHanging12a"/>
        <w:rPr>
          <w:szCs w:val="24"/>
        </w:rPr>
      </w:pPr>
      <w:r w:rsidRPr="00C3179E">
        <w:t>19.</w:t>
      </w:r>
      <w:r w:rsidRPr="00C3179E">
        <w:tab/>
        <w:t>minder om, at indskrænkninger i aktindsigten, navnlig i forhold til lovgivningsmæssige dokumenter, ifølge Den Europæiske Ombudsmand bør være undtagelsen og begrænses til det absolut nødvendige; minder også om, at enhver afgørelse, der giver afslag på aktindsigt, skal baseres på klare og nøje definerede juridiske undtagelser og ledsages af en argumenteret og specifik begrundelse, der giver borgeren mulighed for at forstå afslaget på aktindsigt og for effektivt at gøre brug af de tilgængelige retsmidler; mener, at en mere proaktiv tilgang vil bidrage til at sikre effektiv gennemsigtighed og forhindre dyre og besværlige retstvister mellem borgere og institutioner</w:t>
      </w:r>
      <w:r w:rsidRPr="00C3179E">
        <w:rPr>
          <w:szCs w:val="24"/>
          <w:vertAlign w:val="superscript"/>
        </w:rPr>
        <w:footnoteReference w:id="9"/>
      </w:r>
      <w:r w:rsidRPr="00C3179E">
        <w:t>;</w:t>
      </w:r>
    </w:p>
    <w:p w:rsidR="002D2819" w:rsidRPr="00C3179E" w:rsidRDefault="002D2819" w:rsidP="002D2819">
      <w:pPr>
        <w:pStyle w:val="NormalHanging12a"/>
        <w:rPr>
          <w:b/>
          <w:i/>
          <w:szCs w:val="24"/>
        </w:rPr>
      </w:pPr>
      <w:r w:rsidRPr="00C3179E">
        <w:rPr>
          <w:b/>
          <w:i/>
        </w:rPr>
        <w:t>Menneskelige ressourcer, ligestilling og personalets trivsel</w:t>
      </w:r>
    </w:p>
    <w:p w:rsidR="002D2819" w:rsidRPr="00C3179E" w:rsidRDefault="002D2819" w:rsidP="002D2819">
      <w:pPr>
        <w:pStyle w:val="NormalHanging12a"/>
        <w:rPr>
          <w:szCs w:val="24"/>
        </w:rPr>
      </w:pPr>
      <w:r w:rsidRPr="00C3179E">
        <w:t>20.</w:t>
      </w:r>
      <w:r w:rsidRPr="00C3179E">
        <w:tab/>
        <w:t>bemærker, at personalets sammensætning med hensyn til status og jobprofiler har været stabil i de seneste år med i alt 74 ansatte ved udgangen af 2022, hvilket er det samme antal som i 2021; bemærker endvidere, at 39 tjenestemænd i 2022 var ansat ved Ombudsmanden sammenlignet med 37 og 38 i henholdsvis 2020 og 2021, og at der var 28 midlertidigt ansatte sammenlignet med 28 og 30 i henholdsvis 2020 og 2021 og syv kontraktansatte sammenlignet med otte og seks i henholdsvis 2020 og 2021; bemærker, at en ligelig andel på ca. 40 % af personalet i 2022 beskæftigede sig med administration (HR, finans, procesforvaltning) på den ene side og 40 % på den anden side behandlede klager og undersøgelser;</w:t>
      </w:r>
    </w:p>
    <w:p w:rsidR="002D2819" w:rsidRPr="00C3179E" w:rsidRDefault="002D2819" w:rsidP="002D2819">
      <w:pPr>
        <w:pStyle w:val="NormalHanging12a"/>
        <w:rPr>
          <w:szCs w:val="24"/>
        </w:rPr>
      </w:pPr>
      <w:r w:rsidRPr="00C3179E">
        <w:t>21.</w:t>
      </w:r>
      <w:r w:rsidRPr="00C3179E">
        <w:tab/>
        <w:t>beklager, at stillingen som generalsekretær har været ledig siden den 1. september 2022;</w:t>
      </w:r>
    </w:p>
    <w:p w:rsidR="002D2819" w:rsidRPr="00C3179E" w:rsidRDefault="002D2819" w:rsidP="002D2819">
      <w:pPr>
        <w:pStyle w:val="NormalHanging12a"/>
        <w:rPr>
          <w:szCs w:val="24"/>
        </w:rPr>
      </w:pPr>
      <w:r w:rsidRPr="00C3179E">
        <w:t>22.</w:t>
      </w:r>
      <w:r w:rsidRPr="00C3179E">
        <w:tab/>
        <w:t>bemærker, at Ombudsmanden i 2022 iværksatte en indkaldelse af interessetilkendegivelser for at oprette en pulje af kandidater med henblik på hurtigere ansættelse af midlertidigt ansatte; er interesseret i opfølgningen på de effektivitetsgevinster, som denne procedure medfører;</w:t>
      </w:r>
    </w:p>
    <w:p w:rsidR="002D2819" w:rsidRPr="00C3179E" w:rsidRDefault="002D2819" w:rsidP="002D2819">
      <w:pPr>
        <w:pStyle w:val="NormalHanging12a"/>
        <w:rPr>
          <w:szCs w:val="24"/>
        </w:rPr>
      </w:pPr>
      <w:r w:rsidRPr="00C3179E">
        <w:t>23.</w:t>
      </w:r>
      <w:r w:rsidRPr="00C3179E">
        <w:tab/>
        <w:t>bemærker, at Ombudsmanden har formået at have 18 nationaliteter repræsenteret i sit personale takket være proaktiv kommunikation og opsøgende arbejde over for et mere forskelligartet publikum, navnlig gennem sociale mediekanaler; opfordrer indtrængende Ombudsmanden til at fortsætte sine bestræbelser på at opnå en afbalanceret geografisk fordeling af statsborgere fra alle medlemsstater blandt sit personale;</w:t>
      </w:r>
    </w:p>
    <w:p w:rsidR="002D2819" w:rsidRPr="00C3179E" w:rsidRDefault="002D2819" w:rsidP="002D2819">
      <w:pPr>
        <w:pStyle w:val="NormalHanging12a"/>
        <w:rPr>
          <w:szCs w:val="24"/>
        </w:rPr>
      </w:pPr>
      <w:r w:rsidRPr="00C3179E">
        <w:t>24.</w:t>
      </w:r>
      <w:r w:rsidRPr="00C3179E">
        <w:tab/>
        <w:t>bemærker, at Ombudsmanden med hensyn til kønsbalance beskæftiger flere kvinder end mænd i alle personalekategorier, navnlig på ledelsesniveau, med en samlet fordeling på 67 % kvinder og 33 % mænd sammenlignet med 68 % kvinder og 32 % mænd i 2021; tilskynder Ombudsmanden til at fortsætte sine bestræbelser på at opnå en ligelig kønsfordeling blandt personalet;</w:t>
      </w:r>
    </w:p>
    <w:p w:rsidR="002D2819" w:rsidRPr="00C3179E" w:rsidRDefault="002D2819" w:rsidP="002D2819">
      <w:pPr>
        <w:pStyle w:val="NormalHanging12a"/>
        <w:rPr>
          <w:szCs w:val="24"/>
        </w:rPr>
      </w:pPr>
      <w:r w:rsidRPr="00C3179E">
        <w:t>25.</w:t>
      </w:r>
      <w:r w:rsidRPr="00C3179E">
        <w:tab/>
        <w:t>bemærker, at Ombudsmanden i 2022 indførte sin nye politik for arbejdstid og hybridarbejde, der blev vedtaget i oktober 2021, og som f.eks. omfatter bestemmelser om telearbejde, herunder fra udlandet, ergonomisk udstyr til hjemmearbejde, deltidsarbejde, forældreorlov, flekstid og retten til at være offline, og glæder sig over, at den finder anvendelse på alle personalekategorier; glæder sig over det samlede resultat af en personaleundersøgelse, der blev gennemført i 2023, og som viste en generel tilfredshedsgrad på 97 % blandt personalet med hensyn til hybride og fleksible arbejdsordninger;</w:t>
      </w:r>
    </w:p>
    <w:p w:rsidR="002D2819" w:rsidRPr="00C3179E" w:rsidRDefault="002D2819" w:rsidP="002D2819">
      <w:pPr>
        <w:pStyle w:val="NormalHanging12a"/>
        <w:rPr>
          <w:szCs w:val="24"/>
        </w:rPr>
      </w:pPr>
      <w:r w:rsidRPr="00C3179E">
        <w:t>26.</w:t>
      </w:r>
      <w:r w:rsidRPr="00C3179E">
        <w:tab/>
        <w:t>anerkender, at lederne har et godt overblik over personalets arbejdsbyrde, overvåger arbejdsfordelingen regelmæssigt og finjusterer den, når det er nødvendigt; bemærker, at Europa-Parlamentets Lægetjeneste, som behandler lægelige spørgsmål vedrørende Ombudsmandens personale, ikke underrettede Ombudsmanden om nogen langtidssygemeldinger, der skyldtes udbrændthed;</w:t>
      </w:r>
    </w:p>
    <w:p w:rsidR="002D2819" w:rsidRPr="00C3179E" w:rsidRDefault="002D2819" w:rsidP="002D2819">
      <w:pPr>
        <w:pStyle w:val="NormalHanging12a"/>
        <w:rPr>
          <w:szCs w:val="24"/>
        </w:rPr>
      </w:pPr>
      <w:r w:rsidRPr="00C3179E">
        <w:t>27.</w:t>
      </w:r>
      <w:r w:rsidRPr="00C3179E">
        <w:tab/>
        <w:t>glæder sig over, at der ikke blev indberettet nogen sager vedrørende chikane i 2022; opfordrer Ombudsmanden til at fortsætte sine bestræbelser på at sikre et arbejdsmiljø uden seksuel og psykisk chikane, navnlig gennem bevidstgørelse og uddannelse; bemærker med tilfredshed, at en undersøgelse foretaget i forbindelse med en intern revision af den etiske ramme har vist, at 90 % af personalet i begyndelsen af 2023 var bekendt med politikken og retningslinjerne vedrørende chikane;</w:t>
      </w:r>
    </w:p>
    <w:p w:rsidR="002D2819" w:rsidRPr="00C3179E" w:rsidRDefault="002D2819" w:rsidP="002D2819">
      <w:pPr>
        <w:pStyle w:val="NormalHanging12a"/>
        <w:rPr>
          <w:szCs w:val="24"/>
        </w:rPr>
      </w:pPr>
      <w:r w:rsidRPr="00C3179E">
        <w:t>28.</w:t>
      </w:r>
      <w:r w:rsidRPr="00C3179E">
        <w:tab/>
        <w:t>glæder sig over, at Ombudsmanden hilste 18 lønnede praktikanter velkommen i 2022 sammenlignet med 16 i 2021, som nyder godt af en lønpakke og de samme arbejdsordninger som resten af personalet; opfordrer Ombudsmanden til som planlagt i 2023 at iværksætte en praktikordning for unge med handicap;</w:t>
      </w:r>
    </w:p>
    <w:p w:rsidR="002D2819" w:rsidRPr="00C3179E" w:rsidRDefault="002D2819" w:rsidP="002D2819">
      <w:pPr>
        <w:pStyle w:val="NormalHanging12a"/>
        <w:rPr>
          <w:b/>
          <w:i/>
          <w:szCs w:val="24"/>
        </w:rPr>
      </w:pPr>
      <w:r w:rsidRPr="00C3179E">
        <w:rPr>
          <w:b/>
          <w:i/>
        </w:rPr>
        <w:t>Etiske rammer og gennemsigtighed</w:t>
      </w:r>
    </w:p>
    <w:p w:rsidR="002D2819" w:rsidRPr="00C3179E" w:rsidRDefault="002D2819" w:rsidP="002D2819">
      <w:pPr>
        <w:pStyle w:val="NormalHanging12a"/>
        <w:rPr>
          <w:szCs w:val="24"/>
        </w:rPr>
      </w:pPr>
      <w:r w:rsidRPr="00C3179E">
        <w:t>29.</w:t>
      </w:r>
      <w:r w:rsidRPr="00C3179E">
        <w:tab/>
        <w:t>glæder sig over de fortsatte bestræbelser på at styrke og øge bevidstheden om institutionens etiske rammer; bemærker, at Ombudsmanden i denne forbindelse arrangerede en præsentation af Ombudsmandens politik for eksterne aktiviteter, et kursus vedrørende chikane og et frokostmøde om interessekonflikter for alle medarbejdere; bemærker endvidere, at formularerne til erklæringer om interessekonflikter, eksterne aktiviteter, publikationer og udøvelse af erhvervsmæssig virksomhed efter udtræden af Unionens offentlige tjeneste blev revideret for at sikre en konsekvent anvendelse af personalevedtægten og de interne regler; glæder sig over den interne revision af Ombudsmandens etiske ramme, der blev iværksat i 2022, og hvis resultater vil blive taget i betragtning for yderligere at forbedre praksis på dette område;</w:t>
      </w:r>
    </w:p>
    <w:p w:rsidR="002D2819" w:rsidRPr="00C3179E" w:rsidRDefault="002D2819" w:rsidP="002D2819">
      <w:pPr>
        <w:pStyle w:val="NormalHanging12a"/>
      </w:pPr>
      <w:r w:rsidRPr="00C3179E">
        <w:t>30.</w:t>
      </w:r>
      <w:r w:rsidRPr="00C3179E">
        <w:tab/>
        <w:t>bemærker, at Ombudsmandens strategi til bekæmpelse af svig i vid udstrækning er baseret på den eksisterende etiske ramme og princippet om adskillelse af opgaver i forbindelse med finansielle funktioner; bemærker med tilfredshed, at der ikke blev indberettet tilfælde af interessekonflikter og tilfælde af whistleblowing i 2022;</w:t>
      </w:r>
    </w:p>
    <w:p w:rsidR="002D2819" w:rsidRPr="00C3179E" w:rsidRDefault="002D2819" w:rsidP="002D2819">
      <w:pPr>
        <w:pStyle w:val="NormalHanging12a"/>
        <w:rPr>
          <w:szCs w:val="24"/>
        </w:rPr>
      </w:pPr>
      <w:r w:rsidRPr="00C3179E">
        <w:t>31.</w:t>
      </w:r>
      <w:r w:rsidRPr="00C3179E">
        <w:tab/>
        <w:t>beklager, at Ombudsmanden ikke formelt tilsluttede sig EU's åbenhedsregister, der blev oprettet ved den interinstitutionelle aftale af 20. maj 2021 mellem Europa-Parlamentet, Rådet for Den Europæiske Union og Europa-Kommissionen om et obligatorisk åbenhedsregister, men har tilpasset sine praksisser til principperne i åbenhedsregistret ved at kontrollere, at talere eller samtalepartnere i arrangementer eller møder arrangeret af Ombudsmanden er registreret deri; glæder sig over den høje grad af åbenhed, som Ombudsmanden har opnået gennem offentliggørelsen på sit websted af oplysninger om undersøgelser, tjenesterejser, møder og arrangementer, som Ombudsmanden deltager i;</w:t>
      </w:r>
    </w:p>
    <w:p w:rsidR="002D2819" w:rsidRPr="00C3179E" w:rsidRDefault="002D2819" w:rsidP="002D2819">
      <w:pPr>
        <w:pStyle w:val="NormalHanging12a"/>
        <w:rPr>
          <w:szCs w:val="24"/>
        </w:rPr>
      </w:pPr>
      <w:r w:rsidRPr="00C3179E">
        <w:t>32.</w:t>
      </w:r>
      <w:r w:rsidRPr="00C3179E">
        <w:tab/>
        <w:t>opfordrer Ombudsmanden til regelmæssigt at underrette budgetmyndigheden om de vanskeligheder, der er opstået i dens arbejde med hensyn til gennemsigtighed og ansvarlighed i forbindelse med genopretnings- og resiliensfaciliteten;</w:t>
      </w:r>
    </w:p>
    <w:p w:rsidR="002D2819" w:rsidRPr="00C3179E" w:rsidRDefault="002D2819" w:rsidP="002D2819">
      <w:pPr>
        <w:pStyle w:val="NormalHanging12a"/>
        <w:rPr>
          <w:szCs w:val="24"/>
        </w:rPr>
      </w:pPr>
      <w:r w:rsidRPr="00C3179E">
        <w:t>33.</w:t>
      </w:r>
      <w:r w:rsidRPr="00C3179E">
        <w:tab/>
        <w:t>glæder sig over, at Ombudsmanden i 2022 offentliggjorde en vejledning til offentligheden om retten til aktindsigt med oplysninger om, hvordan denne ret bedst kan udøves;</w:t>
      </w:r>
    </w:p>
    <w:p w:rsidR="002D2819" w:rsidRPr="00C3179E" w:rsidRDefault="002D2819" w:rsidP="002D2819">
      <w:pPr>
        <w:pStyle w:val="NormalHanging12a"/>
        <w:rPr>
          <w:b/>
          <w:i/>
          <w:szCs w:val="24"/>
        </w:rPr>
      </w:pPr>
      <w:r w:rsidRPr="00C3179E">
        <w:rPr>
          <w:b/>
          <w:i/>
        </w:rPr>
        <w:t>Digitalisering, cybersikkerhed og databeskyttelse</w:t>
      </w:r>
    </w:p>
    <w:p w:rsidR="002D2819" w:rsidRPr="00C3179E" w:rsidRDefault="002D2819" w:rsidP="002D2819">
      <w:pPr>
        <w:pStyle w:val="NormalHanging12a"/>
        <w:rPr>
          <w:szCs w:val="24"/>
        </w:rPr>
      </w:pPr>
      <w:r w:rsidRPr="00C3179E">
        <w:t>34.</w:t>
      </w:r>
      <w:r w:rsidRPr="00C3179E">
        <w:tab/>
        <w:t>lykønsker Ombudsmanden med aktivt at fremme digitalisering for at mindske brugen af papir og lette udvekslingen og lagringen af dokumenter; bemærker, at IT-udgifterne i 2022 faldt med 48 % i forhold til 2021, da der ikke var behov for specifikke investeringer for at styrke digitaliseringen; glæder sig over den generelle anvendelse af videokonferencer og webstreaming, som har mindsket behovet for rejser;</w:t>
      </w:r>
    </w:p>
    <w:p w:rsidR="002D2819" w:rsidRPr="00C3179E" w:rsidRDefault="002D2819" w:rsidP="002D2819">
      <w:pPr>
        <w:pStyle w:val="NormalHanging12a"/>
        <w:rPr>
          <w:szCs w:val="24"/>
        </w:rPr>
      </w:pPr>
      <w:r w:rsidRPr="00C3179E">
        <w:t>35.</w:t>
      </w:r>
      <w:r w:rsidRPr="00C3179E">
        <w:tab/>
        <w:t>bemærker, at Ombudsmanden med hensyn til IT er afhængig af Parlamentets infrastruktur- og cybersikkerhedsramme og arbejder tæt sammen med Kommissionen om integration og vedligeholdelse af Unionens institutionsinterne værktøjer (Sysper, ABAC, MiPS og Ares) og brugen af IT-rammekontrakter; bemærker, at Ombudsmanden, i betragtning af at dens kontrol med dataene er begrænset, indgik serviceleveranceaftaler med de berørte institutioner for at sikre, at behandlingen af personoplysninger er i overensstemmelse med den gældende retlige ramme; bemærker med tilfredshed, at Ombudsmanden ikke blev udsat for cyberangreb i 2022;</w:t>
      </w:r>
    </w:p>
    <w:p w:rsidR="002D2819" w:rsidRPr="00C3179E" w:rsidRDefault="002D2819" w:rsidP="002D2819">
      <w:pPr>
        <w:pStyle w:val="NormalHanging12a"/>
        <w:rPr>
          <w:szCs w:val="24"/>
        </w:rPr>
      </w:pPr>
      <w:r w:rsidRPr="00C3179E">
        <w:t>36.</w:t>
      </w:r>
      <w:r w:rsidRPr="00C3179E">
        <w:tab/>
        <w:t>opfordrer Ombudsmanden til at arbejde tæt sammen med ENISA (Den Europæiske Unions Agentur for Cybersikkerhed); foreslår, at alt personale ved Ombudsmanden tilbydes regelmæssigt ajourførte cybersikkerhedsrelaterede uddannelsesprogrammer;</w:t>
      </w:r>
    </w:p>
    <w:p w:rsidR="002D2819" w:rsidRPr="00C3179E" w:rsidRDefault="002D2819" w:rsidP="002D2819">
      <w:pPr>
        <w:pStyle w:val="NormalHanging12a"/>
        <w:rPr>
          <w:szCs w:val="24"/>
        </w:rPr>
      </w:pPr>
      <w:r w:rsidRPr="00C3179E">
        <w:t>37.</w:t>
      </w:r>
      <w:r w:rsidRPr="00C3179E">
        <w:tab/>
        <w:t>bemærker med tilfredshed, at Ombudsmanden i 2022 afsluttede fire foranstaltninger i den fempunktshandlingsplan, der blev vedtaget efter den interne revisionsberetning 21/03 om revisionen af institutionens databeskyttelsesramme, med henblik på yderligere at øge effektiviteten af institutionens behandling af personoplysninger;</w:t>
      </w:r>
    </w:p>
    <w:p w:rsidR="002D2819" w:rsidRPr="00C3179E" w:rsidRDefault="002D2819" w:rsidP="002D2819">
      <w:pPr>
        <w:pStyle w:val="NormalHanging12a"/>
        <w:rPr>
          <w:szCs w:val="24"/>
        </w:rPr>
      </w:pPr>
      <w:r w:rsidRPr="00C3179E">
        <w:t>38.</w:t>
      </w:r>
      <w:r w:rsidRPr="00C3179E">
        <w:tab/>
        <w:t>bemærker, at Den Europæiske Tilsynsførende for Databeskyttelse ("EDPS") i 2022 gav feedback vedrørende en klage fra en borger, som hævdede, at de oplysninger om databeskyttelse, som Ombudsmanden gav i sin standardkvittering for modtagelse, var utilstrækkelige; bemærker med tilfredshed, at EDPS afsluttede sagen uden yderligere foranstaltninger, efter at Ombudsmanden havde indført de foreslåede ændringer i sin model;</w:t>
      </w:r>
    </w:p>
    <w:p w:rsidR="00DD2C34" w:rsidRDefault="002D2819" w:rsidP="00DD2C34">
      <w:pPr>
        <w:pStyle w:val="NormalHanging12a"/>
      </w:pPr>
      <w:r w:rsidRPr="00C3179E">
        <w:t>39.</w:t>
      </w:r>
      <w:r w:rsidRPr="00C3179E">
        <w:tab/>
        <w:t>glæder sig over, at et elektronisk faktureringssystem i øjeblikket er i gang med at blive gennemført i samarbejde med Kommissionen (GD DIGIT); anmoder Ombudsmanden om at fastlægge en tidsplan for den fulde gennemførelse af det elektroniske faktureringssystem;</w:t>
      </w:r>
    </w:p>
    <w:p w:rsidR="00DD2C34" w:rsidRPr="00DD2C34" w:rsidRDefault="00DD2C34" w:rsidP="00DD2C34">
      <w:pPr>
        <w:pStyle w:val="NormalHanging12a"/>
      </w:pPr>
      <w:r>
        <w:t>40.</w:t>
      </w:r>
      <w:r>
        <w:tab/>
      </w:r>
      <w:r w:rsidRPr="00DD2C34">
        <w:t>lykønsker Ombudsmanden med udelukkende at anvende open source-software på sit websted og med at prioritere anvendelsen af open source-værktøjer til interne formål, hvor det er muligt;</w:t>
      </w:r>
    </w:p>
    <w:p w:rsidR="002D2819" w:rsidRPr="00C3179E" w:rsidRDefault="002D2819" w:rsidP="002D2819">
      <w:pPr>
        <w:pStyle w:val="NormalHanging12a"/>
        <w:ind w:left="0" w:firstLine="0"/>
        <w:rPr>
          <w:b/>
          <w:i/>
          <w:szCs w:val="24"/>
        </w:rPr>
      </w:pPr>
      <w:r w:rsidRPr="00C3179E">
        <w:rPr>
          <w:b/>
          <w:i/>
        </w:rPr>
        <w:t>Bygninger</w:t>
      </w:r>
    </w:p>
    <w:p w:rsidR="002D2819" w:rsidRPr="00C3179E" w:rsidRDefault="002D2819" w:rsidP="002D2819">
      <w:pPr>
        <w:pStyle w:val="NormalHanging12a"/>
        <w:rPr>
          <w:szCs w:val="24"/>
        </w:rPr>
      </w:pPr>
      <w:r w:rsidRPr="00C3179E">
        <w:t>4</w:t>
      </w:r>
      <w:r w:rsidR="00DD2C34">
        <w:t>1</w:t>
      </w:r>
      <w:r w:rsidRPr="00C3179E">
        <w:t>.</w:t>
      </w:r>
      <w:r w:rsidRPr="00C3179E">
        <w:tab/>
        <w:t>bemærker, at bygningen efter Ombudsmandens flytning af kontoret i Bruxelles til nye faciliteter, som Parlamentet stillede til rådighed i 2021, blev organiseret som et samarbejdsbaseret arbejdsområde med meget få individuelle kontorer og fleksible samarbejdsbaserede mødefaciliteter; noterer sig med tilfredshed, at Ombudsmanden ikke praktiserer hotdesking, og at alle medarbejdere har deres eget bord med gode opbevaringsmuligheder; er bekymret over, at Ombudsmanden ikke gennemførte nogen personaleundersøgelse forud for flytningen til de samarbejdsbaserede arbejdsområder på kontoret i Bruxelles; bemærker, at en generel personaleundersøgelse, der blev gennemført i 2023, viste, at størstedelen af personalet svarede positivt på de nye fysiske rammer; glæder sig også over, at personalet blev holdt underrettet om visse beslutninger vedrørende indretning af arbejdsområdet, såsom farvesystemer, inden flytningen;</w:t>
      </w:r>
    </w:p>
    <w:p w:rsidR="002D2819" w:rsidRPr="00C3179E" w:rsidRDefault="00DE05C1" w:rsidP="002D2819">
      <w:pPr>
        <w:pStyle w:val="NormalHanging12a"/>
        <w:rPr>
          <w:szCs w:val="24"/>
        </w:rPr>
      </w:pPr>
      <w:r>
        <w:t>42</w:t>
      </w:r>
      <w:r w:rsidR="002D2819" w:rsidRPr="00C3179E">
        <w:t>.</w:t>
      </w:r>
      <w:r w:rsidR="002D2819" w:rsidRPr="00C3179E">
        <w:tab/>
        <w:t>bemærker, at Ombudsmanden returnerede 20,5 % af det areal, som Parlamentet lejede i Strasbourg efter anmodning fra sidstnævnte, og at lejen efterfølgende blev reduceret;</w:t>
      </w:r>
    </w:p>
    <w:p w:rsidR="002D2819" w:rsidRPr="00C3179E" w:rsidRDefault="00DE05C1" w:rsidP="002D2819">
      <w:pPr>
        <w:pStyle w:val="NormalHanging12a"/>
        <w:rPr>
          <w:szCs w:val="24"/>
        </w:rPr>
      </w:pPr>
      <w:r>
        <w:t>43</w:t>
      </w:r>
      <w:r w:rsidR="002D2819" w:rsidRPr="00C3179E">
        <w:t>.</w:t>
      </w:r>
      <w:r w:rsidR="002D2819" w:rsidRPr="00C3179E">
        <w:tab/>
        <w:t>minder om, at Ombudsmanden ikke ejer sine egne bygninger, men lejer en bygning i Bruxelles og kontorlokaler i Strasbourg; bemærker med tilfredshed, at HAVEL-bygningen i Strasbourg er fuldt tilgængelig for personer med nedsat mobilitet eller andre handicap, og beklager dybt, at adgangen til den bygning, der lejes i Bruxelles, trænger til forbedring; opfordrer Parlamentet til at forbedre adgangen til den bygning, der lejes til Ombudsmanden i Bruxelles;</w:t>
      </w:r>
    </w:p>
    <w:p w:rsidR="002D2819" w:rsidRPr="00C3179E" w:rsidRDefault="002D2819" w:rsidP="002D2819">
      <w:pPr>
        <w:pStyle w:val="NormalHanging12a"/>
        <w:ind w:left="0" w:firstLine="0"/>
        <w:rPr>
          <w:b/>
          <w:i/>
          <w:szCs w:val="24"/>
        </w:rPr>
      </w:pPr>
      <w:r w:rsidRPr="00C3179E">
        <w:rPr>
          <w:b/>
          <w:i/>
        </w:rPr>
        <w:t>Miljø og bæredygtighed</w:t>
      </w:r>
    </w:p>
    <w:p w:rsidR="002D2819" w:rsidRPr="00C3179E" w:rsidRDefault="00DE05C1" w:rsidP="002D2819">
      <w:pPr>
        <w:pStyle w:val="NormalHanging12a"/>
        <w:rPr>
          <w:szCs w:val="24"/>
        </w:rPr>
      </w:pPr>
      <w:r>
        <w:t>44</w:t>
      </w:r>
      <w:r w:rsidR="002D2819" w:rsidRPr="00C3179E">
        <w:t>.</w:t>
      </w:r>
      <w:r w:rsidR="002D2819" w:rsidRPr="00C3179E">
        <w:tab/>
        <w:t>glæder sig over, at Ombudsmanden i årenes løb har reduceret sit miljøaftryk, navnlig gennem digitalisering af sine processer og publikationer såsom årsberetningen, fjernelse af individuelle printere og foranstaltninger til at gøre arrangementer mere bæredygtige; bemærker, at Ombudsmanden med hensyn til sine bygningers miljømæssige fodaftryk baserer sig på de foranstaltninger, som Parlamentet har truffet i sin egenskab af ejer af bygningerne; anerkender, at Ombudsmanden har sendt sin anmodning til Parlamentet, som blev fremsat i forbindelse med decharge for 2021, om installation af solpaneler på taget af sine bygninger;</w:t>
      </w:r>
    </w:p>
    <w:p w:rsidR="002D2819" w:rsidRPr="00C3179E" w:rsidRDefault="00DE05C1" w:rsidP="002D2819">
      <w:pPr>
        <w:pStyle w:val="NormalHanging12a"/>
        <w:rPr>
          <w:szCs w:val="24"/>
        </w:rPr>
      </w:pPr>
      <w:r>
        <w:t>45</w:t>
      </w:r>
      <w:r w:rsidR="002D2819" w:rsidRPr="00C3179E">
        <w:t>.</w:t>
      </w:r>
      <w:r w:rsidR="002D2819" w:rsidRPr="00C3179E">
        <w:tab/>
        <w:t>bemærker, at Ombudsmanden fortsatte med at fremme bæredygtig mobilitet i 2022, navnlig ved at yde finansiel støtte til årlige abonnementer til offentlig transport, ved at begrænse tilgængelige parkeringspladser til biler og ved at forbedre faciliteter og parkering for cyklister;</w:t>
      </w:r>
    </w:p>
    <w:p w:rsidR="002D2819" w:rsidRPr="00C3179E" w:rsidRDefault="002D2819" w:rsidP="002D2819">
      <w:pPr>
        <w:pStyle w:val="NormalHanging12a"/>
        <w:ind w:left="0" w:firstLine="0"/>
        <w:rPr>
          <w:b/>
          <w:i/>
          <w:szCs w:val="24"/>
        </w:rPr>
      </w:pPr>
      <w:r w:rsidRPr="00C3179E">
        <w:rPr>
          <w:b/>
          <w:i/>
        </w:rPr>
        <w:t>Interinstitutionelt samarbejde</w:t>
      </w:r>
    </w:p>
    <w:p w:rsidR="002D2819" w:rsidRPr="00C3179E" w:rsidRDefault="00DE05C1" w:rsidP="002D2819">
      <w:pPr>
        <w:pStyle w:val="NormalHanging12a"/>
        <w:rPr>
          <w:szCs w:val="24"/>
        </w:rPr>
      </w:pPr>
      <w:r>
        <w:t>46</w:t>
      </w:r>
      <w:r w:rsidR="002D2819" w:rsidRPr="00C3179E">
        <w:t>.</w:t>
      </w:r>
      <w:r w:rsidR="002D2819" w:rsidRPr="00C3179E">
        <w:tab/>
        <w:t>glæder sig over de finansielle og administrative besparelser, der er opnået gennem interinstitutionelt samarbejde, navnlig den brede vifte af serviceleveranceaftaler, der er indgået med Parlamentet og Kommissionen, og deltagelsen i interinstitutionelle udbudsprocedurer; bemærker, at Ombudsmanden i 2022 udviklede nye synergier med andre institutioner og underskrev aftaler om levering af tjenesteydelser med henblik på anvendelse af attester til kvalificeret fjernsignering fra Kommissionen og levering af tjenesteydelser fra Parlamentets Staff Front Office og informationsskranke (Info Desk);</w:t>
      </w:r>
    </w:p>
    <w:p w:rsidR="002D2819" w:rsidRPr="00C3179E" w:rsidRDefault="00DE05C1" w:rsidP="002D2819">
      <w:pPr>
        <w:pStyle w:val="NormalHanging12a"/>
        <w:rPr>
          <w:szCs w:val="24"/>
        </w:rPr>
      </w:pPr>
      <w:r>
        <w:t>47</w:t>
      </w:r>
      <w:r w:rsidR="002D2819" w:rsidRPr="00C3179E">
        <w:t>.</w:t>
      </w:r>
      <w:r w:rsidR="002D2819" w:rsidRPr="00C3179E">
        <w:tab/>
        <w:t>anerkender betydningen af at opretholde et højt niveau af udveksling og samarbejde med Det europæiske netværk af ombudsmænd (ENO); glæder sig over afholdelsen af ENO's årlige konference og tematiske webinar som vigtige diskussionsfora om aktuelle emner, der har indvirkning på ombudsmændenes arbejde i hele Europa i 2022;</w:t>
      </w:r>
    </w:p>
    <w:p w:rsidR="002D2819" w:rsidRPr="00C3179E" w:rsidRDefault="00DE05C1" w:rsidP="002D2819">
      <w:pPr>
        <w:pStyle w:val="NormalHanging12a"/>
        <w:rPr>
          <w:szCs w:val="24"/>
        </w:rPr>
      </w:pPr>
      <w:r>
        <w:t>48</w:t>
      </w:r>
      <w:r w:rsidR="002D2819" w:rsidRPr="00C3179E">
        <w:t>.</w:t>
      </w:r>
      <w:r w:rsidR="002D2819" w:rsidRPr="00C3179E">
        <w:tab/>
        <w:t>glæder sig over det samarbejde, som Ombudsmanden opretholder med EPPO, Revisionsretten og OLAF med henblik på at undgå dobbeltarbejde i forbindelse med undersøgelser og drøfte emner af fælles interesse såsom forbedring af Unionens tilsynsramme; glæder sig ligeledes over de samarbejdskanaler, der er etableret med EDPS for at sikre hurtige krydshøringer i begge institutioners daglige arbejde, og det aftalememorandum, der afgrænser hver institutions respektive kompetencer med henblik på at undgå overlapning af procedurer;</w:t>
      </w:r>
    </w:p>
    <w:p w:rsidR="002D2819" w:rsidRPr="00C3179E" w:rsidRDefault="00DE05C1" w:rsidP="002D2819">
      <w:pPr>
        <w:pStyle w:val="NormalHanging12a"/>
        <w:rPr>
          <w:szCs w:val="24"/>
        </w:rPr>
      </w:pPr>
      <w:r>
        <w:t>49</w:t>
      </w:r>
      <w:r w:rsidR="002D2819" w:rsidRPr="00C3179E">
        <w:t>.</w:t>
      </w:r>
      <w:r w:rsidR="002D2819" w:rsidRPr="00C3179E">
        <w:tab/>
        <w:t>glæder sig over, at Ombudsmanden har et tæt samarbejde med Europa-Parlamentets relevante udvalg om vigtige undersøgelser, hvorved man enten præsenterer arbejdet direkte på udvalgsmøder eller sender oplysninger til udvalgsformændene; fremhæver, at Ombudsmandens strategiske initiativer og undersøgelser er afgørende for at forbedre EU-forvaltningens gennemsigtighed og ansvarlighed;</w:t>
      </w:r>
    </w:p>
    <w:p w:rsidR="002D2819" w:rsidRPr="00C3179E" w:rsidRDefault="002D2819" w:rsidP="002D2819">
      <w:pPr>
        <w:pStyle w:val="NormalHanging12a"/>
        <w:rPr>
          <w:b/>
          <w:i/>
          <w:szCs w:val="24"/>
        </w:rPr>
      </w:pPr>
      <w:r w:rsidRPr="00C3179E">
        <w:rPr>
          <w:b/>
          <w:i/>
        </w:rPr>
        <w:t>Kommunikation</w:t>
      </w:r>
    </w:p>
    <w:p w:rsidR="002D2819" w:rsidRPr="00C3179E" w:rsidRDefault="00DE05C1" w:rsidP="002D2819">
      <w:pPr>
        <w:pStyle w:val="NormalHanging12a"/>
        <w:rPr>
          <w:szCs w:val="24"/>
        </w:rPr>
      </w:pPr>
      <w:r>
        <w:t>50</w:t>
      </w:r>
      <w:r w:rsidR="002D2819" w:rsidRPr="00C3179E">
        <w:t>.</w:t>
      </w:r>
      <w:r w:rsidR="002D2819" w:rsidRPr="00C3179E">
        <w:tab/>
        <w:t>bemærker, at det samlede budget til kommunikations- og PR-aktiviteter steg fra 92 100 EUR til 132 400 EUR, dvs. 43,8 %, mellem 2021 og 2022; lykønsker Ombudsmanden med udviklingen af en omfattende kommunikationsstrategi, der har bidraget til at øge det opsøgende arbejde over for specialiserede målgrupper og den brede offentlighed; bemærker, at de europæiske medier offentliggjorde 60 % flere presseartikler om Ombudsmanden sammenlignet med 2021;</w:t>
      </w:r>
    </w:p>
    <w:p w:rsidR="002D2819" w:rsidRPr="00C3179E" w:rsidRDefault="00DE05C1" w:rsidP="002D2819">
      <w:pPr>
        <w:pStyle w:val="NormalHanging12a"/>
        <w:rPr>
          <w:szCs w:val="24"/>
        </w:rPr>
      </w:pPr>
      <w:r>
        <w:t>51</w:t>
      </w:r>
      <w:r w:rsidR="002D2819" w:rsidRPr="00C3179E">
        <w:t>.</w:t>
      </w:r>
      <w:r w:rsidR="002D2819" w:rsidRPr="00C3179E">
        <w:tab/>
        <w:t>glæder sig over Ombudsmandens bestræbelser på at øge borgernes bevidsthed om Ombudsmandens rolle og muligheden for at gøre brug heraf i tilfælde af fejl eller forsømmelser begået af en EU-institution; anerkender den indsats, der er gjort for at tilvejebringe gennemsigtige oplysninger og offentliggøre data i et informativt og brugervenligt format på Ombudsmandens websted, selv om sådanne data ikke er tilgængelige i et åbent format; glæder sig over vedtagelsen af et nyt logo og en ny visuel identitet for at øge synligheden af Ombudsmandens arbejde og gøre den genkendelig som et EU-organ;</w:t>
      </w:r>
    </w:p>
    <w:p w:rsidR="002D2819" w:rsidRPr="00C3179E" w:rsidRDefault="00DE05C1" w:rsidP="002D2819">
      <w:pPr>
        <w:pStyle w:val="NormalHanging12a"/>
        <w:rPr>
          <w:szCs w:val="24"/>
        </w:rPr>
      </w:pPr>
      <w:r>
        <w:t>52</w:t>
      </w:r>
      <w:r w:rsidR="002D2819" w:rsidRPr="00C3179E">
        <w:t>.</w:t>
      </w:r>
      <w:r w:rsidR="002D2819" w:rsidRPr="00C3179E">
        <w:tab/>
        <w:t>glæder sig over Ombudsmandens brug af et automatiseret værktøj til oversættelse af sager på webstedet og anmoder Ombudsmanden om at sikre en gnidningsløs og rettidig oversættelse af deres sager til alle sprog;</w:t>
      </w:r>
    </w:p>
    <w:p w:rsidR="002D2819" w:rsidRPr="00C3179E" w:rsidRDefault="00DE05C1" w:rsidP="002D2819">
      <w:pPr>
        <w:pStyle w:val="NormalHanging12a"/>
        <w:rPr>
          <w:szCs w:val="24"/>
        </w:rPr>
      </w:pPr>
      <w:r>
        <w:t>53</w:t>
      </w:r>
      <w:r w:rsidR="002D2819" w:rsidRPr="00C3179E">
        <w:t>.</w:t>
      </w:r>
      <w:r w:rsidR="002D2819" w:rsidRPr="00C3179E">
        <w:tab/>
        <w:t>bemærker, at Ombudsmanden har konti på de sociale medier på Instagram, LinkedIn, X (tidligere Twitter), hvor væksten i følgere og engagementsraterne var højere i 2022 end i tidligere år; lykønsker Ombudsmandens deltagelse i et pilotprojekt, der gennemføres under ledelse af EDPS, og som har til formål at få EU's institutioner til at anvende EU-Voice og EU-Video, som er to gratis open source-baserede sociale medienetværk baseret på Mastodonsoftware, og som gør det muligt for EU's institutioner at interagere med offentligheden ved at dele tekster, billeder, videoer og podcasts.</w:t>
      </w:r>
    </w:p>
    <w:sectPr w:rsidR="002D2819" w:rsidRPr="00C3179E" w:rsidSect="005D2AA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849" w:rsidRPr="005D2AAC" w:rsidRDefault="001F2849">
      <w:r w:rsidRPr="005D2AAC">
        <w:separator/>
      </w:r>
    </w:p>
  </w:endnote>
  <w:endnote w:type="continuationSeparator" w:id="0">
    <w:p w:rsidR="001F2849" w:rsidRPr="005D2AAC" w:rsidRDefault="001F2849">
      <w:r w:rsidRPr="005D2A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819" w:rsidRPr="005D2AAC" w:rsidRDefault="002D2819" w:rsidP="0010037E">
    <w:pPr>
      <w:pStyle w:val="EPFooter"/>
    </w:pPr>
    <w:r w:rsidRPr="005D2AAC">
      <w:t>PE</w:t>
    </w:r>
    <w:r w:rsidRPr="005D2AAC">
      <w:rPr>
        <w:rStyle w:val="HideTWBExt"/>
      </w:rPr>
      <w:t>&lt;NoPE&gt;</w:t>
    </w:r>
    <w:r w:rsidRPr="005D2AAC">
      <w:t>753.486</w:t>
    </w:r>
    <w:r w:rsidRPr="005D2AAC">
      <w:rPr>
        <w:rStyle w:val="HideTWBExt"/>
      </w:rPr>
      <w:t>&lt;/NoPE&gt;&lt;Version&gt;</w:t>
    </w:r>
    <w:r w:rsidRPr="005D2AAC">
      <w:t>v02-00</w:t>
    </w:r>
    <w:r w:rsidRPr="005D2AAC">
      <w:rPr>
        <w:rStyle w:val="HideTWBExt"/>
      </w:rPr>
      <w:t>&lt;/Version&gt;</w:t>
    </w:r>
    <w:r w:rsidRPr="005D2AAC">
      <w:tab/>
    </w:r>
    <w:r w:rsidRPr="005D2AAC">
      <w:fldChar w:fldCharType="begin"/>
    </w:r>
    <w:r w:rsidRPr="005D2AAC">
      <w:instrText xml:space="preserve"> PAGE  \* MERGEFORMAT </w:instrText>
    </w:r>
    <w:r w:rsidRPr="005D2AAC">
      <w:fldChar w:fldCharType="separate"/>
    </w:r>
    <w:r w:rsidRPr="005D2AAC">
      <w:rPr>
        <w:noProof/>
      </w:rPr>
      <w:t>2</w:t>
    </w:r>
    <w:r w:rsidRPr="005D2AAC">
      <w:fldChar w:fldCharType="end"/>
    </w:r>
    <w:r w:rsidRPr="005D2AAC">
      <w:t>/</w:t>
    </w:r>
    <w:r w:rsidR="00E52B4D">
      <w:fldChar w:fldCharType="begin"/>
    </w:r>
    <w:r w:rsidR="00E52B4D">
      <w:instrText xml:space="preserve"> NUMPAGES  \* MERGEFORMAT </w:instrText>
    </w:r>
    <w:r w:rsidR="00E52B4D">
      <w:fldChar w:fldCharType="separate"/>
    </w:r>
    <w:r w:rsidRPr="005D2AAC">
      <w:rPr>
        <w:noProof/>
      </w:rPr>
      <w:t>2</w:t>
    </w:r>
    <w:r w:rsidR="00E52B4D">
      <w:rPr>
        <w:noProof/>
      </w:rPr>
      <w:fldChar w:fldCharType="end"/>
    </w:r>
    <w:r w:rsidRPr="005D2AAC">
      <w:tab/>
    </w:r>
    <w:r w:rsidRPr="005D2AAC">
      <w:rPr>
        <w:rStyle w:val="HideTWBExt"/>
      </w:rPr>
      <w:t>&lt;PathFdR&gt;</w:t>
    </w:r>
    <w:r w:rsidRPr="005D2AAC">
      <w:t>RR\1298678DA.docx</w:t>
    </w:r>
    <w:r w:rsidRPr="005D2AAC">
      <w:rPr>
        <w:rStyle w:val="HideTWBExt"/>
      </w:rPr>
      <w:t>&lt;/PathFdR&gt;</w:t>
    </w:r>
  </w:p>
  <w:p w:rsidR="002D2819" w:rsidRPr="005D2AAC" w:rsidRDefault="002D2819" w:rsidP="0010037E">
    <w:pPr>
      <w:pStyle w:val="EPFooter2"/>
    </w:pPr>
    <w:r w:rsidRPr="005D2AAC">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819" w:rsidRPr="005D2AAC" w:rsidRDefault="002D2819" w:rsidP="0010037E">
    <w:pPr>
      <w:pStyle w:val="EPFooter"/>
    </w:pPr>
    <w:r w:rsidRPr="005D2AAC">
      <w:rPr>
        <w:rStyle w:val="HideTWBExt"/>
      </w:rPr>
      <w:t>&lt;PathFdR&gt;</w:t>
    </w:r>
    <w:r w:rsidRPr="005D2AAC">
      <w:t>RR\1298678DA.docx</w:t>
    </w:r>
    <w:r w:rsidRPr="005D2AAC">
      <w:rPr>
        <w:rStyle w:val="HideTWBExt"/>
      </w:rPr>
      <w:t>&lt;/PathFdR&gt;</w:t>
    </w:r>
    <w:r w:rsidRPr="005D2AAC">
      <w:tab/>
    </w:r>
    <w:r w:rsidRPr="005D2AAC">
      <w:tab/>
      <w:t>PE</w:t>
    </w:r>
    <w:r w:rsidRPr="005D2AAC">
      <w:rPr>
        <w:rStyle w:val="HideTWBExt"/>
      </w:rPr>
      <w:t>&lt;NoPE&gt;</w:t>
    </w:r>
    <w:r w:rsidRPr="005D2AAC">
      <w:t>753.486</w:t>
    </w:r>
    <w:r w:rsidRPr="005D2AAC">
      <w:rPr>
        <w:rStyle w:val="HideTWBExt"/>
      </w:rPr>
      <w:t>&lt;/NoPE&gt;&lt;Version&gt;</w:t>
    </w:r>
    <w:r w:rsidRPr="005D2AAC">
      <w:t>v02-00</w:t>
    </w:r>
    <w:r w:rsidRPr="005D2AAC">
      <w:rPr>
        <w:rStyle w:val="HideTWBExt"/>
      </w:rPr>
      <w:t>&lt;/Version&gt;</w:t>
    </w:r>
  </w:p>
  <w:p w:rsidR="002D2819" w:rsidRPr="005D2AAC" w:rsidRDefault="002D2819" w:rsidP="0010037E">
    <w:pPr>
      <w:pStyle w:val="EPFooter2"/>
    </w:pPr>
    <w:r w:rsidRPr="005D2AAC">
      <w:t>DA</w:t>
    </w:r>
    <w:r w:rsidRPr="005D2AAC">
      <w:tab/>
    </w:r>
    <w:r w:rsidRPr="005D2AAC">
      <w:rPr>
        <w:b w:val="0"/>
        <w:i/>
        <w:color w:val="C0C0C0"/>
        <w:sz w:val="22"/>
      </w:rPr>
      <w:t>Forenet i mangfoldighed</w:t>
    </w:r>
    <w:r w:rsidRPr="005D2AAC">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2AA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2AA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2A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849" w:rsidRPr="005D2AAC" w:rsidRDefault="001F2849">
      <w:r w:rsidRPr="005D2AAC">
        <w:separator/>
      </w:r>
    </w:p>
  </w:footnote>
  <w:footnote w:type="continuationSeparator" w:id="0">
    <w:p w:rsidR="001F2849" w:rsidRPr="005D2AAC" w:rsidRDefault="001F2849">
      <w:r w:rsidRPr="005D2AAC">
        <w:continuationSeparator/>
      </w:r>
    </w:p>
  </w:footnote>
  <w:footnote w:id="1">
    <w:p w:rsidR="002D2819" w:rsidRPr="005D2AAC" w:rsidRDefault="002D2819" w:rsidP="005D2AAC">
      <w:pPr>
        <w:pStyle w:val="FootnoteText"/>
        <w:ind w:left="567" w:hanging="567"/>
        <w:rPr>
          <w:sz w:val="24"/>
          <w:lang w:val="da-DK"/>
        </w:rPr>
      </w:pPr>
      <w:r w:rsidRPr="005D2AAC">
        <w:rPr>
          <w:rStyle w:val="FootnoteReference"/>
          <w:sz w:val="24"/>
          <w:lang w:val="da-DK"/>
        </w:rPr>
        <w:footnoteRef/>
      </w:r>
      <w:r w:rsidR="005D2AAC" w:rsidRPr="005D2AAC">
        <w:rPr>
          <w:sz w:val="24"/>
          <w:lang w:val="da-DK"/>
        </w:rPr>
        <w:t xml:space="preserve"> </w:t>
      </w:r>
      <w:r w:rsidR="005D2AAC" w:rsidRPr="005D2AAC">
        <w:rPr>
          <w:sz w:val="24"/>
          <w:lang w:val="da-DK"/>
        </w:rPr>
        <w:tab/>
      </w:r>
      <w:r w:rsidRPr="005D2AAC">
        <w:rPr>
          <w:sz w:val="24"/>
          <w:lang w:val="da-DK"/>
        </w:rPr>
        <w:t>EUT L 45 af 24.2.2022.</w:t>
      </w:r>
    </w:p>
  </w:footnote>
  <w:footnote w:id="2">
    <w:p w:rsidR="002D2819" w:rsidRPr="005D2AAC" w:rsidRDefault="002D2819" w:rsidP="005D2AAC">
      <w:pPr>
        <w:pStyle w:val="FootnoteText"/>
        <w:ind w:left="567" w:hanging="567"/>
        <w:rPr>
          <w:sz w:val="24"/>
          <w:lang w:val="da-DK"/>
        </w:rPr>
      </w:pPr>
      <w:r w:rsidRPr="005D2AAC">
        <w:rPr>
          <w:rStyle w:val="FootnoteReference"/>
          <w:sz w:val="24"/>
          <w:lang w:val="da-DK"/>
        </w:rPr>
        <w:footnoteRef/>
      </w:r>
      <w:r w:rsidR="005D2AAC" w:rsidRPr="005D2AAC">
        <w:rPr>
          <w:sz w:val="24"/>
          <w:lang w:val="da-DK"/>
        </w:rPr>
        <w:t xml:space="preserve"> </w:t>
      </w:r>
      <w:r w:rsidR="005D2AAC" w:rsidRPr="005D2AAC">
        <w:rPr>
          <w:sz w:val="24"/>
          <w:lang w:val="da-DK"/>
        </w:rPr>
        <w:tab/>
      </w:r>
      <w:r w:rsidRPr="005D2AAC">
        <w:rPr>
          <w:sz w:val="24"/>
          <w:lang w:val="da-DK"/>
        </w:rPr>
        <w:t>EUT C, C/2023/2, 12.10.2023.</w:t>
      </w:r>
    </w:p>
  </w:footnote>
  <w:footnote w:id="3">
    <w:p w:rsidR="002D2819" w:rsidRPr="00D929A9" w:rsidRDefault="002D2819" w:rsidP="005D2AAC">
      <w:pPr>
        <w:pStyle w:val="FootnoteText"/>
        <w:ind w:left="567" w:hanging="567"/>
        <w:rPr>
          <w:sz w:val="24"/>
        </w:rPr>
      </w:pPr>
      <w:r w:rsidRPr="005D2AAC">
        <w:rPr>
          <w:rStyle w:val="FootnoteReference"/>
          <w:sz w:val="24"/>
          <w:lang w:val="da-DK"/>
        </w:rPr>
        <w:footnoteRef/>
      </w:r>
      <w:r w:rsidR="005D2AAC" w:rsidRPr="00D929A9">
        <w:rPr>
          <w:sz w:val="24"/>
        </w:rPr>
        <w:t xml:space="preserve"> </w:t>
      </w:r>
      <w:r w:rsidR="005D2AAC" w:rsidRPr="00D929A9">
        <w:rPr>
          <w:sz w:val="24"/>
        </w:rPr>
        <w:tab/>
      </w:r>
      <w:r w:rsidRPr="00D929A9">
        <w:rPr>
          <w:sz w:val="24"/>
        </w:rPr>
        <w:t>EUT C, C/2023/103, 4.10.2023.</w:t>
      </w:r>
    </w:p>
  </w:footnote>
  <w:footnote w:id="4">
    <w:p w:rsidR="002D2819" w:rsidRPr="00D929A9" w:rsidRDefault="002D2819" w:rsidP="005D2AAC">
      <w:pPr>
        <w:pStyle w:val="FootnoteText"/>
        <w:ind w:left="567" w:hanging="567"/>
        <w:rPr>
          <w:sz w:val="24"/>
        </w:rPr>
      </w:pPr>
      <w:r w:rsidRPr="005D2AAC">
        <w:rPr>
          <w:rStyle w:val="FootnoteReference"/>
          <w:sz w:val="24"/>
          <w:lang w:val="da-DK"/>
        </w:rPr>
        <w:footnoteRef/>
      </w:r>
      <w:r w:rsidR="005D2AAC" w:rsidRPr="00D929A9">
        <w:rPr>
          <w:sz w:val="24"/>
        </w:rPr>
        <w:t xml:space="preserve"> </w:t>
      </w:r>
      <w:r w:rsidR="005D2AAC" w:rsidRPr="00D929A9">
        <w:rPr>
          <w:sz w:val="24"/>
        </w:rPr>
        <w:tab/>
      </w:r>
      <w:r w:rsidRPr="00D929A9">
        <w:rPr>
          <w:sz w:val="24"/>
        </w:rPr>
        <w:t>EUT C, C/2023/112, 12.10.2023.</w:t>
      </w:r>
    </w:p>
  </w:footnote>
  <w:footnote w:id="5">
    <w:p w:rsidR="002D2819" w:rsidRPr="005D2AAC" w:rsidRDefault="002D2819" w:rsidP="005D2AAC">
      <w:pPr>
        <w:pStyle w:val="FootnoteText"/>
        <w:ind w:left="567" w:hanging="567"/>
        <w:rPr>
          <w:sz w:val="24"/>
          <w:szCs w:val="24"/>
          <w:lang w:val="da-DK"/>
        </w:rPr>
      </w:pPr>
      <w:r w:rsidRPr="005D2AAC">
        <w:rPr>
          <w:rStyle w:val="FootnoteReference"/>
          <w:sz w:val="24"/>
          <w:lang w:val="da-DK"/>
        </w:rPr>
        <w:footnoteRef/>
      </w:r>
      <w:r w:rsidR="005D2AAC" w:rsidRPr="005D2AAC">
        <w:rPr>
          <w:sz w:val="24"/>
          <w:lang w:val="da-DK"/>
        </w:rPr>
        <w:t xml:space="preserve"> </w:t>
      </w:r>
      <w:r w:rsidR="005D2AAC" w:rsidRPr="005D2AAC">
        <w:rPr>
          <w:sz w:val="24"/>
          <w:lang w:val="da-DK"/>
        </w:rPr>
        <w:tab/>
      </w:r>
      <w:r w:rsidRPr="005D2AAC">
        <w:rPr>
          <w:sz w:val="24"/>
          <w:lang w:val="da-DK"/>
        </w:rPr>
        <w:t>EUT L 193 af 30.7.2018, s. 1.</w:t>
      </w:r>
    </w:p>
  </w:footnote>
  <w:footnote w:id="6">
    <w:p w:rsidR="002D2819" w:rsidRPr="005D2AAC" w:rsidRDefault="002D2819" w:rsidP="005D2AAC">
      <w:pPr>
        <w:pStyle w:val="FootnoteText"/>
        <w:ind w:left="567" w:hanging="567"/>
        <w:rPr>
          <w:sz w:val="24"/>
          <w:lang w:val="da-DK"/>
        </w:rPr>
      </w:pPr>
      <w:r w:rsidRPr="005D2AAC">
        <w:rPr>
          <w:rStyle w:val="FootnoteReference"/>
          <w:sz w:val="24"/>
          <w:lang w:val="da-DK"/>
        </w:rPr>
        <w:footnoteRef/>
      </w:r>
      <w:r w:rsidR="005D2AAC" w:rsidRPr="005D2AAC">
        <w:rPr>
          <w:sz w:val="24"/>
          <w:lang w:val="da-DK"/>
        </w:rPr>
        <w:t xml:space="preserve"> </w:t>
      </w:r>
      <w:r w:rsidR="005D2AAC" w:rsidRPr="005D2AAC">
        <w:rPr>
          <w:sz w:val="24"/>
          <w:lang w:val="da-DK"/>
        </w:rPr>
        <w:tab/>
      </w:r>
      <w:r w:rsidRPr="005D2AAC">
        <w:rPr>
          <w:sz w:val="24"/>
          <w:lang w:val="da-DK"/>
        </w:rPr>
        <w:t>EUT L 253 af 16.7.2021, s. 1.</w:t>
      </w:r>
    </w:p>
  </w:footnote>
  <w:footnote w:id="7">
    <w:p w:rsidR="002D2819" w:rsidRPr="005D2AAC" w:rsidRDefault="002D2819" w:rsidP="005D2AAC">
      <w:pPr>
        <w:pStyle w:val="FootnoteText"/>
        <w:ind w:left="567" w:hanging="567"/>
        <w:rPr>
          <w:sz w:val="24"/>
          <w:lang w:val="da-DK"/>
        </w:rPr>
      </w:pPr>
      <w:r w:rsidRPr="005D2AAC">
        <w:rPr>
          <w:rStyle w:val="FootnoteReference"/>
          <w:sz w:val="24"/>
          <w:lang w:val="da-DK"/>
        </w:rPr>
        <w:footnoteRef/>
      </w:r>
      <w:r w:rsidR="005D2AAC" w:rsidRPr="005D2AAC">
        <w:rPr>
          <w:sz w:val="24"/>
          <w:lang w:val="da-DK"/>
        </w:rPr>
        <w:t xml:space="preserve"> </w:t>
      </w:r>
      <w:r w:rsidR="005D2AAC" w:rsidRPr="005D2AAC">
        <w:rPr>
          <w:sz w:val="24"/>
          <w:lang w:val="da-DK"/>
        </w:rPr>
        <w:tab/>
      </w:r>
      <w:r w:rsidRPr="005D2AAC">
        <w:rPr>
          <w:sz w:val="24"/>
          <w:lang w:val="da-DK"/>
        </w:rPr>
        <w:t>https://www.ombudsman.europa.eu/da/news-document/da/152993.</w:t>
      </w:r>
    </w:p>
  </w:footnote>
  <w:footnote w:id="8">
    <w:p w:rsidR="002D2819" w:rsidRPr="005D2AAC" w:rsidRDefault="002D2819" w:rsidP="005D2AAC">
      <w:pPr>
        <w:pStyle w:val="FootnoteText"/>
        <w:ind w:left="567" w:hanging="567"/>
        <w:rPr>
          <w:sz w:val="24"/>
          <w:lang w:val="da-DK"/>
        </w:rPr>
      </w:pPr>
      <w:r w:rsidRPr="005D2AAC">
        <w:rPr>
          <w:rStyle w:val="FootnoteReference"/>
          <w:sz w:val="24"/>
          <w:lang w:val="da-DK"/>
        </w:rPr>
        <w:footnoteRef/>
      </w:r>
      <w:r w:rsidR="005D2AAC" w:rsidRPr="005D2AAC">
        <w:rPr>
          <w:sz w:val="24"/>
          <w:lang w:val="da-DK"/>
        </w:rPr>
        <w:t xml:space="preserve"> </w:t>
      </w:r>
      <w:r w:rsidR="005D2AAC" w:rsidRPr="005D2AAC">
        <w:rPr>
          <w:sz w:val="24"/>
          <w:lang w:val="da-DK"/>
        </w:rPr>
        <w:tab/>
      </w:r>
      <w:r w:rsidRPr="005D2AAC">
        <w:rPr>
          <w:sz w:val="24"/>
          <w:lang w:val="da-DK"/>
        </w:rPr>
        <w:t>https://www.europarl.europa.eu/doceo/document/TA-9-2023-0295_EN.html.</w:t>
      </w:r>
    </w:p>
  </w:footnote>
  <w:footnote w:id="9">
    <w:p w:rsidR="002D2819" w:rsidRPr="005D2AAC" w:rsidRDefault="002D2819" w:rsidP="005D2AAC">
      <w:pPr>
        <w:pStyle w:val="FootnoteText"/>
        <w:ind w:left="567" w:hanging="567"/>
        <w:rPr>
          <w:sz w:val="24"/>
          <w:lang w:val="da-DK"/>
        </w:rPr>
      </w:pPr>
      <w:r w:rsidRPr="005D2AAC">
        <w:rPr>
          <w:rStyle w:val="FootnoteReference"/>
          <w:sz w:val="24"/>
          <w:lang w:val="da-DK"/>
        </w:rPr>
        <w:footnoteRef/>
      </w:r>
      <w:r w:rsidR="005D2AAC" w:rsidRPr="005D2AAC">
        <w:rPr>
          <w:sz w:val="24"/>
          <w:lang w:val="da-DK"/>
        </w:rPr>
        <w:t xml:space="preserve"> </w:t>
      </w:r>
      <w:r w:rsidR="005D2AAC" w:rsidRPr="005D2AAC">
        <w:rPr>
          <w:sz w:val="24"/>
          <w:lang w:val="da-DK"/>
        </w:rPr>
        <w:tab/>
      </w:r>
      <w:r w:rsidRPr="005D2AAC">
        <w:rPr>
          <w:sz w:val="24"/>
          <w:lang w:val="da-DK"/>
        </w:rPr>
        <w:t>https://www.europarl.europa.eu/doceo/document/TA-9-2023-0295_EN.html.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2A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2A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2A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DA"/>
    <w:docVar w:name="dvnumam" w:val="0"/>
    <w:docVar w:name="dvpe" w:val="753.486"/>
    <w:docVar w:name="dvrapporteur" w:val="Ordfører: "/>
    <w:docVar w:name="dvtitre" w:val="1. Europa-Parlamentets afgørelse af 11. april 2024 om decharge for gennemførelsen af Den Europæiske Unions almindelige budget for regnskabsåret 2022, Sektion VIII – Den Europæiske Ombudsmand(2023/2137(DEC))"/>
  </w:docVars>
  <w:rsids>
    <w:rsidRoot w:val="001F2849"/>
    <w:rsid w:val="00002272"/>
    <w:rsid w:val="00064002"/>
    <w:rsid w:val="000677B9"/>
    <w:rsid w:val="000831BA"/>
    <w:rsid w:val="000A42CC"/>
    <w:rsid w:val="000E7DD9"/>
    <w:rsid w:val="0010095E"/>
    <w:rsid w:val="00125B37"/>
    <w:rsid w:val="00187494"/>
    <w:rsid w:val="001F2849"/>
    <w:rsid w:val="001F32AE"/>
    <w:rsid w:val="002767FF"/>
    <w:rsid w:val="002B18FE"/>
    <w:rsid w:val="002B5493"/>
    <w:rsid w:val="002D2819"/>
    <w:rsid w:val="00343214"/>
    <w:rsid w:val="00361C00"/>
    <w:rsid w:val="00395FA1"/>
    <w:rsid w:val="003D0D6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AA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34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79E"/>
    <w:rsid w:val="00C61C0C"/>
    <w:rsid w:val="00C941CB"/>
    <w:rsid w:val="00CC2357"/>
    <w:rsid w:val="00CF071A"/>
    <w:rsid w:val="00CF1384"/>
    <w:rsid w:val="00D058B8"/>
    <w:rsid w:val="00D56C11"/>
    <w:rsid w:val="00D834A0"/>
    <w:rsid w:val="00D872DF"/>
    <w:rsid w:val="00D91E21"/>
    <w:rsid w:val="00D929A9"/>
    <w:rsid w:val="00DA7FCD"/>
    <w:rsid w:val="00DD2C34"/>
    <w:rsid w:val="00DE05C1"/>
    <w:rsid w:val="00E365E1"/>
    <w:rsid w:val="00E52B4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2B26B2-DCE7-47A2-A551-A7138B1A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281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D2819"/>
    <w:pPr>
      <w:spacing w:before="480" w:after="240"/>
    </w:pPr>
  </w:style>
  <w:style w:type="paragraph" w:customStyle="1" w:styleId="PageHeading">
    <w:name w:val="PageHeading"/>
    <w:basedOn w:val="Normal"/>
    <w:rsid w:val="002D2819"/>
    <w:pPr>
      <w:keepNext/>
      <w:spacing w:after="480"/>
      <w:jc w:val="center"/>
    </w:pPr>
    <w:rPr>
      <w:rFonts w:ascii="Arial" w:hAnsi="Arial" w:cs="Arial"/>
      <w:b/>
    </w:rPr>
  </w:style>
  <w:style w:type="paragraph" w:customStyle="1" w:styleId="NormalBold">
    <w:name w:val="NormalBold"/>
    <w:basedOn w:val="Normal"/>
    <w:rsid w:val="002D2819"/>
    <w:rPr>
      <w:b/>
    </w:rPr>
  </w:style>
  <w:style w:type="paragraph" w:customStyle="1" w:styleId="NormalHanging12a">
    <w:name w:val="NormalHanging12a"/>
    <w:basedOn w:val="Normal"/>
    <w:link w:val="NormalHanging12aChar"/>
    <w:qFormat/>
    <w:rsid w:val="002D2819"/>
    <w:pPr>
      <w:spacing w:after="240"/>
      <w:ind w:left="567" w:hanging="567"/>
    </w:pPr>
  </w:style>
  <w:style w:type="paragraph" w:styleId="Header">
    <w:name w:val="header"/>
    <w:basedOn w:val="Normal"/>
    <w:link w:val="HeaderChar"/>
    <w:rsid w:val="002D2819"/>
    <w:pPr>
      <w:tabs>
        <w:tab w:val="center" w:pos="4513"/>
        <w:tab w:val="right" w:pos="9026"/>
      </w:tabs>
    </w:pPr>
  </w:style>
  <w:style w:type="character" w:customStyle="1" w:styleId="HeaderChar">
    <w:name w:val="Header Char"/>
    <w:basedOn w:val="DefaultParagraphFont"/>
    <w:link w:val="Header"/>
    <w:rsid w:val="002D2819"/>
    <w:rPr>
      <w:sz w:val="24"/>
      <w:lang w:val="da-DK"/>
    </w:rPr>
  </w:style>
  <w:style w:type="paragraph" w:customStyle="1" w:styleId="EPFooter">
    <w:name w:val="EPFooter"/>
    <w:basedOn w:val="Normal"/>
    <w:rsid w:val="002D281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D2819"/>
    <w:rPr>
      <w:sz w:val="24"/>
      <w:lang w:val="da-DK"/>
    </w:rPr>
  </w:style>
  <w:style w:type="paragraph" w:styleId="Footer">
    <w:name w:val="footer"/>
    <w:basedOn w:val="Normal"/>
    <w:link w:val="FooterChar"/>
    <w:rsid w:val="00935340"/>
    <w:pPr>
      <w:tabs>
        <w:tab w:val="center" w:pos="4513"/>
        <w:tab w:val="right" w:pos="9026"/>
      </w:tabs>
    </w:pPr>
  </w:style>
  <w:style w:type="character" w:customStyle="1" w:styleId="FooterChar">
    <w:name w:val="Footer Char"/>
    <w:basedOn w:val="DefaultParagraphFont"/>
    <w:link w:val="Footer"/>
    <w:rsid w:val="0093534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EC7F2-6AC1-4A8E-9AD3-367CD8274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3736</Words>
  <Characters>23202</Characters>
  <Application>Microsoft Office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2024-04-11T13:53:00Z</dcterms:created>
  <dcterms:modified xsi:type="dcterms:W3CDTF">2024-04-11T13:53:00Z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A9-0084/2024</vt:lpwstr>
  </property>
  <property fmtid="{D5CDD505-2E9C-101B-9397-08002B2CF9AE}" pid="4" name="&lt;Type&gt;">
    <vt:lpwstr>RR</vt:lpwstr>
  </property>
</Properties>
</file>