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0B03" w:rsidTr="0010095E">
        <w:trPr>
          <w:trHeight w:hRule="exact" w:val="1418"/>
        </w:trPr>
        <w:tc>
          <w:tcPr>
            <w:tcW w:w="6804" w:type="dxa"/>
            <w:shd w:val="clear" w:color="auto" w:fill="auto"/>
            <w:vAlign w:val="center"/>
          </w:tcPr>
          <w:p w:rsidR="00751A4A" w:rsidRPr="00DF0B03" w:rsidRDefault="0002632C" w:rsidP="0010095E">
            <w:pPr>
              <w:pStyle w:val="EPName"/>
            </w:pPr>
            <w:bookmarkStart w:id="0" w:name="_GoBack"/>
            <w:bookmarkEnd w:id="0"/>
            <w:r w:rsidRPr="00DF0B03">
              <w:t>Ευρωπαϊκό Κοινοβούλιο</w:t>
            </w:r>
          </w:p>
          <w:p w:rsidR="00751A4A" w:rsidRPr="00DF0B03" w:rsidRDefault="00817416" w:rsidP="00756632">
            <w:pPr>
              <w:pStyle w:val="EPTerm"/>
              <w:rPr>
                <w:rStyle w:val="HideTWBExt"/>
                <w:noProof w:val="0"/>
                <w:vanish w:val="0"/>
                <w:color w:val="auto"/>
              </w:rPr>
            </w:pPr>
            <w:r w:rsidRPr="00DF0B03">
              <w:t>2019-2024</w:t>
            </w:r>
          </w:p>
        </w:tc>
        <w:tc>
          <w:tcPr>
            <w:tcW w:w="2268" w:type="dxa"/>
            <w:shd w:val="clear" w:color="auto" w:fill="auto"/>
          </w:tcPr>
          <w:p w:rsidR="00751A4A" w:rsidRPr="00DF0B03" w:rsidRDefault="00187494" w:rsidP="0010095E">
            <w:pPr>
              <w:pStyle w:val="EPLogo"/>
            </w:pPr>
            <w:r w:rsidRPr="00DF0B0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F0B03" w:rsidRDefault="00D058B8" w:rsidP="004C5D52">
      <w:pPr>
        <w:pStyle w:val="LineTop"/>
      </w:pPr>
    </w:p>
    <w:p w:rsidR="00680577" w:rsidRPr="00DF0B03" w:rsidRDefault="0002632C" w:rsidP="00680577">
      <w:pPr>
        <w:pStyle w:val="EPBodyTA1"/>
      </w:pPr>
      <w:r w:rsidRPr="00DF0B03">
        <w:t>ΚΕΙΜΕΝΑ ΠΟΥ ΕΓΚΡΙΘΗΚΑΝ</w:t>
      </w:r>
    </w:p>
    <w:p w:rsidR="00D058B8" w:rsidRPr="00DF0B03" w:rsidRDefault="00D058B8" w:rsidP="00D058B8">
      <w:pPr>
        <w:pStyle w:val="LineBottom"/>
      </w:pPr>
    </w:p>
    <w:p w:rsidR="0002632C" w:rsidRPr="00DF0B03" w:rsidRDefault="0002632C" w:rsidP="0002632C">
      <w:pPr>
        <w:pStyle w:val="ATHeading1"/>
      </w:pPr>
      <w:bookmarkStart w:id="1" w:name="TANumber"/>
      <w:r w:rsidRPr="00DF0B03">
        <w:t>P9_TA(2024)0</w:t>
      </w:r>
      <w:r w:rsidR="00A2003C" w:rsidRPr="00DF0B03">
        <w:t>234</w:t>
      </w:r>
      <w:bookmarkEnd w:id="1"/>
    </w:p>
    <w:p w:rsidR="0002632C" w:rsidRPr="00DF0B03" w:rsidRDefault="0002632C" w:rsidP="0002632C">
      <w:pPr>
        <w:pStyle w:val="ATHeading2"/>
      </w:pPr>
      <w:bookmarkStart w:id="2" w:name="title"/>
      <w:r w:rsidRPr="00DF0B03">
        <w:t>Απαλλαγή 2022: Γενικός προϋπολογισμός της ΕΕ – Ευρωπαίος</w:t>
      </w:r>
      <w:r w:rsidR="00A2003C" w:rsidRPr="00DF0B03">
        <w:t xml:space="preserve"> </w:t>
      </w:r>
      <w:r w:rsidRPr="00DF0B03">
        <w:t>Διαμεσολαβητής</w:t>
      </w:r>
      <w:bookmarkEnd w:id="2"/>
    </w:p>
    <w:p w:rsidR="0002632C" w:rsidRPr="00DF0B03" w:rsidRDefault="0002632C" w:rsidP="0002632C">
      <w:pPr>
        <w:rPr>
          <w:i/>
          <w:vanish/>
        </w:rPr>
      </w:pPr>
      <w:r w:rsidRPr="00DF0B03">
        <w:rPr>
          <w:i/>
        </w:rPr>
        <w:fldChar w:fldCharType="begin"/>
      </w:r>
      <w:r w:rsidRPr="00DF0B03">
        <w:rPr>
          <w:i/>
        </w:rPr>
        <w:instrText xml:space="preserve"> TC"(</w:instrText>
      </w:r>
      <w:bookmarkStart w:id="3" w:name="DocNumber"/>
      <w:r w:rsidRPr="00DF0B03">
        <w:rPr>
          <w:i/>
        </w:rPr>
        <w:instrText>A9-0084/2024</w:instrText>
      </w:r>
      <w:bookmarkEnd w:id="3"/>
      <w:r w:rsidRPr="00DF0B03">
        <w:rPr>
          <w:i/>
        </w:rPr>
        <w:instrText xml:space="preserve"> - Εισηγητής: Luke Ming Flanagan)"\l3 \n&gt; \* MERGEFORMAT </w:instrText>
      </w:r>
      <w:r w:rsidRPr="00DF0B03">
        <w:rPr>
          <w:i/>
        </w:rPr>
        <w:fldChar w:fldCharType="end"/>
      </w:r>
    </w:p>
    <w:p w:rsidR="0002632C" w:rsidRPr="00DF0B03" w:rsidRDefault="0002632C" w:rsidP="0002632C">
      <w:pPr>
        <w:rPr>
          <w:vanish/>
        </w:rPr>
      </w:pPr>
      <w:bookmarkStart w:id="4" w:name="Commission"/>
      <w:r w:rsidRPr="00DF0B03">
        <w:rPr>
          <w:vanish/>
        </w:rPr>
        <w:t>Επιτροπή Ελέγχου του Προϋπολογισμού</w:t>
      </w:r>
      <w:bookmarkEnd w:id="4"/>
    </w:p>
    <w:p w:rsidR="0002632C" w:rsidRPr="00DF0B03" w:rsidRDefault="0002632C" w:rsidP="0002632C">
      <w:pPr>
        <w:rPr>
          <w:vanish/>
        </w:rPr>
      </w:pPr>
      <w:bookmarkStart w:id="5" w:name="PE"/>
      <w:r w:rsidRPr="00DF0B03">
        <w:rPr>
          <w:vanish/>
        </w:rPr>
        <w:t>PE753.486</w:t>
      </w:r>
      <w:bookmarkEnd w:id="5"/>
    </w:p>
    <w:p w:rsidR="0002632C" w:rsidRPr="00DF0B03" w:rsidRDefault="004A3E18" w:rsidP="0002632C">
      <w:pPr>
        <w:pStyle w:val="ATHeading3"/>
      </w:pPr>
      <w:bookmarkStart w:id="6" w:name="Sujet"/>
      <w:r w:rsidRPr="00DF0B03">
        <w:t>1. Α</w:t>
      </w:r>
      <w:r w:rsidR="0002632C" w:rsidRPr="00DF0B03">
        <w:t xml:space="preserve">πόφαση του Ευρωπαϊκού Κοινοβουλίου </w:t>
      </w:r>
      <w:r w:rsidRPr="00DF0B03">
        <w:t xml:space="preserve">της </w:t>
      </w:r>
      <w:r w:rsidR="00EA7480" w:rsidRPr="00DF0B03">
        <w:t>11</w:t>
      </w:r>
      <w:r w:rsidRPr="00DF0B03">
        <w:t xml:space="preserve">ης Απριλίου 2024 </w:t>
      </w:r>
      <w:r w:rsidR="0002632C" w:rsidRPr="00DF0B03">
        <w:t>σχετικά με την απαλλαγή όσον αφορά την εκτέλεση του γενικού προϋπολογισμού της Ευρωπαϊκής Ένωσης για το οικονομικό έτος 2022, τμήμα VIII – Ευρωπαίος Διαμεσολαβητής</w:t>
      </w:r>
      <w:bookmarkEnd w:id="6"/>
      <w:r w:rsidR="0002632C" w:rsidRPr="00DF0B03">
        <w:t xml:space="preserve"> </w:t>
      </w:r>
      <w:bookmarkStart w:id="7" w:name="References"/>
      <w:r w:rsidR="0002632C" w:rsidRPr="00DF0B03">
        <w:t>(2023/2137(DEC))</w:t>
      </w:r>
      <w:bookmarkEnd w:id="7"/>
    </w:p>
    <w:p w:rsidR="00507FAC" w:rsidRPr="00DF0B03" w:rsidRDefault="00507FAC" w:rsidP="00507FAC">
      <w:pPr>
        <w:pStyle w:val="EPComma"/>
      </w:pPr>
      <w:bookmarkStart w:id="8" w:name="TextBodyBegin"/>
      <w:bookmarkEnd w:id="8"/>
      <w:r w:rsidRPr="00DF0B03">
        <w:rPr>
          <w:i/>
        </w:rPr>
        <w:t>Το Ευρωπαϊκό Κοινοβούλιο</w:t>
      </w:r>
      <w:r w:rsidRPr="00DF0B03">
        <w:t>,</w:t>
      </w:r>
    </w:p>
    <w:p w:rsidR="00507FAC" w:rsidRPr="00DF0B03" w:rsidRDefault="00507FAC" w:rsidP="00507FAC">
      <w:pPr>
        <w:pStyle w:val="NormalHanging12a"/>
      </w:pPr>
      <w:r w:rsidRPr="00DF0B03">
        <w:t>–</w:t>
      </w:r>
      <w:r w:rsidRPr="00DF0B03">
        <w:tab/>
        <w:t>έχοντας υπόψη τον γενικό προϋπολογισμό της Ευρωπαϊκής Ένωσης για το οικονομικό έτος 2022</w:t>
      </w:r>
      <w:r w:rsidRPr="00DF0B03">
        <w:rPr>
          <w:rStyle w:val="FootnoteReference"/>
        </w:rPr>
        <w:footnoteReference w:id="1"/>
      </w:r>
      <w:r w:rsidRPr="00DF0B03">
        <w:t>,</w:t>
      </w:r>
    </w:p>
    <w:p w:rsidR="00507FAC" w:rsidRPr="00DF0B03" w:rsidRDefault="00507FAC" w:rsidP="00507FAC">
      <w:pPr>
        <w:pStyle w:val="NormalHanging12a"/>
      </w:pPr>
      <w:r w:rsidRPr="00DF0B03">
        <w:t>–</w:t>
      </w:r>
      <w:r w:rsidRPr="00DF0B03">
        <w:tab/>
        <w:t>έχοντας υπόψη τους ενοποιημένους ετήσιους λογαριασμούς της Ευρωπαϊκής Ένωσης για το οικονομικό έτος 2022 (COM(2023)0391 – C9</w:t>
      </w:r>
      <w:r w:rsidRPr="00DF0B03">
        <w:noBreakHyphen/>
        <w:t>0256/2023)</w:t>
      </w:r>
      <w:r w:rsidRPr="00DF0B03">
        <w:rPr>
          <w:rStyle w:val="FootnoteReference"/>
        </w:rPr>
        <w:footnoteReference w:id="2"/>
      </w:r>
      <w:r w:rsidRPr="00DF0B03">
        <w:t>,</w:t>
      </w:r>
    </w:p>
    <w:p w:rsidR="00507FAC" w:rsidRPr="00DF0B03" w:rsidRDefault="00507FAC" w:rsidP="00507FAC">
      <w:pPr>
        <w:pStyle w:val="NormalHanging12a"/>
      </w:pPr>
      <w:r w:rsidRPr="00DF0B03">
        <w:t>–</w:t>
      </w:r>
      <w:r w:rsidRPr="00DF0B03">
        <w:tab/>
        <w:t>έχοντας υπόψη την ετήσια έκθεση δραστηριοτήτων του Ευρωπαίου Διαμεσολαβητή για το έτος 2022 και την έκθεσή του σχετικά με τη δημοσιονομική και χρηματοοικονομική διαχείριση για το οικονομικό έτος 2022,</w:t>
      </w:r>
    </w:p>
    <w:p w:rsidR="00507FAC" w:rsidRPr="00DF0B03" w:rsidRDefault="00507FAC" w:rsidP="00507FAC">
      <w:pPr>
        <w:pStyle w:val="NormalHanging12a"/>
      </w:pPr>
      <w:r w:rsidRPr="00DF0B03">
        <w:t>–</w:t>
      </w:r>
      <w:r w:rsidRPr="00DF0B03">
        <w:tab/>
        <w:t>έχοντας υπόψη την ετήσια έκθεση του Ελεγκτικού Συνεδρίου σχετικά με την εκτέλεση του προϋπολογισμού για το οικονομικό έτος 2022, που συνοδεύεται από τις απαντήσεις των οργάνων</w:t>
      </w:r>
      <w:r w:rsidRPr="00DF0B03">
        <w:rPr>
          <w:rStyle w:val="FootnoteReference"/>
        </w:rPr>
        <w:footnoteReference w:id="3"/>
      </w:r>
      <w:r w:rsidRPr="00DF0B03">
        <w:t>,</w:t>
      </w:r>
    </w:p>
    <w:p w:rsidR="00507FAC" w:rsidRPr="00DF0B03" w:rsidRDefault="00507FAC" w:rsidP="00507FAC">
      <w:pPr>
        <w:pStyle w:val="NormalHanging12a"/>
      </w:pPr>
      <w:r w:rsidRPr="00DF0B03">
        <w:t>–</w:t>
      </w:r>
      <w:r w:rsidRPr="00DF0B03">
        <w:tab/>
        <w:t>έχοντας υπόψη τη δήλωση αξιοπιστίας</w:t>
      </w:r>
      <w:r w:rsidRPr="00DF0B03">
        <w:rPr>
          <w:rStyle w:val="FootnoteReference"/>
        </w:rPr>
        <w:footnoteReference w:id="4"/>
      </w:r>
      <w:r w:rsidRPr="00DF0B03">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507FAC" w:rsidRPr="00DF0B03" w:rsidRDefault="00507FAC" w:rsidP="00507FAC">
      <w:pPr>
        <w:pStyle w:val="NormalHanging12a"/>
      </w:pPr>
      <w:r w:rsidRPr="00DF0B03">
        <w:t>–</w:t>
      </w:r>
      <w:r w:rsidRPr="00DF0B03">
        <w:tab/>
        <w:t>έχοντας υπόψη το άρθρο 314 παράγραφος 10 και τα άρθρα 317, 318 και 319 της Συνθήκης για τη λειτουργία της Ευρωπαϊκής Ένωσης,</w:t>
      </w:r>
    </w:p>
    <w:p w:rsidR="00507FAC" w:rsidRPr="00DF0B03" w:rsidRDefault="00507FAC" w:rsidP="00507FAC">
      <w:pPr>
        <w:pStyle w:val="NormalHanging12a"/>
      </w:pPr>
      <w:r w:rsidRPr="00DF0B03">
        <w:t>–</w:t>
      </w:r>
      <w:r w:rsidRPr="00DF0B03">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w:t>
      </w:r>
      <w:r w:rsidRPr="00DF0B03">
        <w:lastRenderedPageBreak/>
        <w:t>(ΕΕ)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DF0B03">
        <w:rPr>
          <w:rStyle w:val="FootnoteReference"/>
        </w:rPr>
        <w:footnoteReference w:id="5"/>
      </w:r>
      <w:r w:rsidRPr="00DF0B03">
        <w:t>, και ιδίως τα άρθρα 59, 118, 260, 261 και 262,</w:t>
      </w:r>
    </w:p>
    <w:p w:rsidR="00507FAC" w:rsidRPr="00DF0B03" w:rsidRDefault="00507FAC" w:rsidP="00507FAC">
      <w:pPr>
        <w:pStyle w:val="NormalHanging12a"/>
      </w:pPr>
      <w:r w:rsidRPr="00DF0B03">
        <w:t>–</w:t>
      </w:r>
      <w:r w:rsidRPr="00DF0B03">
        <w:tab/>
        <w:t>έχοντας υπόψη το άρθρο 100 και το παράρτημα V του Κανονισμού του,</w:t>
      </w:r>
    </w:p>
    <w:p w:rsidR="00507FAC" w:rsidRPr="00DF0B03" w:rsidRDefault="00507FAC" w:rsidP="00507FAC">
      <w:pPr>
        <w:pStyle w:val="NormalHanging12a"/>
      </w:pPr>
      <w:r w:rsidRPr="00DF0B03">
        <w:t>–</w:t>
      </w:r>
      <w:r w:rsidRPr="00DF0B03">
        <w:tab/>
        <w:t>έχοντας υπόψη την έκθεση της Επιτροπής Ελέγχου του Προϋπολογισμού (A9‑0084/2024),</w:t>
      </w:r>
    </w:p>
    <w:p w:rsidR="00507FAC" w:rsidRPr="00DF0B03" w:rsidRDefault="00507FAC" w:rsidP="00507FAC">
      <w:pPr>
        <w:pStyle w:val="NormalHanging12a"/>
      </w:pPr>
      <w:r w:rsidRPr="00DF0B03">
        <w:t>1.</w:t>
      </w:r>
      <w:r w:rsidRPr="00DF0B03">
        <w:tab/>
        <w:t>χορηγεί απαλλαγή στην Ευρωπαία Διαμεσολαβήτρια όσον αφορά την εκτέλεση του προϋπολογισμού του Γραφείου του Ευρωπαίου Διαμεσολαβητή για το οικονομικό έτος 2022·</w:t>
      </w:r>
    </w:p>
    <w:p w:rsidR="00507FAC" w:rsidRPr="00DF0B03" w:rsidRDefault="00507FAC" w:rsidP="00507FAC">
      <w:pPr>
        <w:pStyle w:val="NormalHanging12a"/>
      </w:pPr>
      <w:r w:rsidRPr="00DF0B03">
        <w:t>2.</w:t>
      </w:r>
      <w:r w:rsidRPr="00DF0B03">
        <w:tab/>
        <w:t>εκθέτει τις παρατηρήσεις του στο ψήφισμα που ακολουθεί·</w:t>
      </w:r>
    </w:p>
    <w:p w:rsidR="00507FAC" w:rsidRPr="00DF0B03" w:rsidRDefault="00507FAC" w:rsidP="00507FAC">
      <w:pPr>
        <w:pStyle w:val="NormalHanging12a"/>
      </w:pPr>
      <w:r w:rsidRPr="00DF0B03">
        <w:t>3.</w:t>
      </w:r>
      <w:r w:rsidRPr="00DF0B03">
        <w:tab/>
        <w:t xml:space="preserve">αναθέτει στην Πρόεδρό του να διαβιβάσει την παρούσα απόφαση και το ψήφισμα που αποτελεί αναπόσπαστο μέρος της στην Ευρωπαία Διαμεσολαβήτρια, στο Ευρωπαϊκό Συμβούλιο, στο Συμβούλιο, στην Επιτροπή, στο Ελεγκτικό Συνέδριο, στο Δικαστήριο της Ευρωπαϊκής Ένωσης, στον Ευρωπαίο Επόπτη Προστασίας Δεδομένων και στην Ευρωπαϊκή Υπηρεσία Εξωτερικής Δράσης, και να μεριμνήσει για τη δημοσίευσή τους στην </w:t>
      </w:r>
      <w:r w:rsidRPr="00DF0B03">
        <w:rPr>
          <w:i/>
          <w:iCs/>
        </w:rPr>
        <w:t>Επίσημη Εφημερίδα της Ευρωπαϊκής Ένωσης</w:t>
      </w:r>
      <w:r w:rsidRPr="00DF0B03">
        <w:t xml:space="preserve"> (σειρά L).</w:t>
      </w:r>
    </w:p>
    <w:p w:rsidR="00507FAC" w:rsidRPr="00DF0B03" w:rsidRDefault="00507FAC" w:rsidP="00507FAC"/>
    <w:p w:rsidR="00507FAC" w:rsidRPr="00DF0B03" w:rsidRDefault="00507FAC" w:rsidP="00507FAC">
      <w:pPr>
        <w:pStyle w:val="PageHeading"/>
        <w:sectPr w:rsidR="00507FAC" w:rsidRPr="00DF0B03" w:rsidSect="00F638A0">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07FAC" w:rsidRPr="00DF0B03" w:rsidRDefault="00507FAC" w:rsidP="00A2003C">
      <w:pPr>
        <w:pStyle w:val="ATHeading3"/>
      </w:pPr>
      <w:bookmarkStart w:id="9" w:name="_Toc161845939"/>
      <w:r w:rsidRPr="00DF0B03">
        <w:lastRenderedPageBreak/>
        <w:t xml:space="preserve">2. </w:t>
      </w:r>
      <w:r w:rsidR="004A3E18" w:rsidRPr="00DF0B03">
        <w:t xml:space="preserve">Ψήφισμα του Ευρωπαϊκού Κοινοβουλίου της </w:t>
      </w:r>
      <w:r w:rsidR="00EA7480" w:rsidRPr="00DF0B03">
        <w:rPr>
          <w:b w:val="0"/>
        </w:rPr>
        <w:t>11</w:t>
      </w:r>
      <w:r w:rsidR="004A3E18" w:rsidRPr="00DF0B03">
        <w:t xml:space="preserve">ης Απριλίου 2024 </w:t>
      </w:r>
      <w:bookmarkEnd w:id="9"/>
      <w:r w:rsidRPr="00DF0B03">
        <w:t>με τις παρατηρήσεις που αποτελούν αναπόσπαστο μέρος της απόφασης σχετικά με την απαλλαγή όσον αφορά την εκτέλεση του γενικού προϋπολογισμού της Ευρωπαϊκής Ένωσης για το οικονομικό έτος 2022, τμήμα VIII – Ευρωπαίος Διαμεσολαβητής</w:t>
      </w:r>
      <w:r w:rsidR="004A3E18" w:rsidRPr="00DF0B03">
        <w:t xml:space="preserve"> </w:t>
      </w:r>
      <w:r w:rsidRPr="00DF0B03">
        <w:t>(2023/2137(DEC))</w:t>
      </w:r>
    </w:p>
    <w:p w:rsidR="00507FAC" w:rsidRPr="00DF0B03" w:rsidRDefault="00507FAC" w:rsidP="00507FAC">
      <w:pPr>
        <w:pStyle w:val="EPComma"/>
      </w:pPr>
      <w:r w:rsidRPr="00DF0B03">
        <w:rPr>
          <w:i/>
        </w:rPr>
        <w:t>Το Ευρωπαϊκό Κοινοβούλιο</w:t>
      </w:r>
      <w:r w:rsidRPr="00DF0B03">
        <w:t>,</w:t>
      </w:r>
    </w:p>
    <w:p w:rsidR="00507FAC" w:rsidRPr="00DF0B03" w:rsidRDefault="00507FAC" w:rsidP="00D87A80">
      <w:pPr>
        <w:pStyle w:val="NormalHanging12a"/>
        <w:widowControl/>
        <w:rPr>
          <w:szCs w:val="24"/>
        </w:rPr>
      </w:pPr>
      <w:r w:rsidRPr="00DF0B03">
        <w:t>–</w:t>
      </w:r>
      <w:r w:rsidRPr="00DF0B03">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2022, τμήμα VIII – Ευρωπαίος Διαμεσολαβητής,</w:t>
      </w:r>
    </w:p>
    <w:p w:rsidR="00507FAC" w:rsidRPr="00DF0B03" w:rsidRDefault="00507FAC" w:rsidP="00D87A80">
      <w:pPr>
        <w:pStyle w:val="NormalHanging12a"/>
        <w:widowControl/>
        <w:rPr>
          <w:szCs w:val="24"/>
        </w:rPr>
      </w:pPr>
      <w:r w:rsidRPr="00DF0B03">
        <w:t>–</w:t>
      </w:r>
      <w:r w:rsidRPr="00DF0B03">
        <w:tab/>
        <w:t>έχοντας υπόψη το άρθρο 100 και το παράρτημα V του Κανονισμού του,</w:t>
      </w:r>
    </w:p>
    <w:p w:rsidR="00507FAC" w:rsidRPr="00DF0B03" w:rsidRDefault="00507FAC" w:rsidP="00D87A80">
      <w:pPr>
        <w:pStyle w:val="NormalHanging12a"/>
        <w:widowControl/>
        <w:rPr>
          <w:szCs w:val="24"/>
        </w:rPr>
      </w:pPr>
      <w:r w:rsidRPr="00DF0B03">
        <w:t>–</w:t>
      </w:r>
      <w:r w:rsidRPr="00DF0B03">
        <w:tab/>
        <w:t>έχοντας υπόψη την έκθεση της Επιτροπής Ελέγχου του Προϋπολογισμού (A9‑0084/2024),</w:t>
      </w:r>
    </w:p>
    <w:p w:rsidR="00507FAC" w:rsidRPr="00DF0B03" w:rsidRDefault="00507FAC" w:rsidP="00D87A80">
      <w:pPr>
        <w:pStyle w:val="NormalHanging12a"/>
        <w:widowControl/>
        <w:rPr>
          <w:szCs w:val="24"/>
        </w:rPr>
      </w:pPr>
      <w:r w:rsidRPr="00DF0B03">
        <w:t>Α.</w:t>
      </w:r>
      <w:r w:rsidRPr="00DF0B03">
        <w:tab/>
        <w:t>λαμβάνοντας υπόψη ότι, στο πλαίσιο της διαδικασίας απαλλαγής, η αρμόδια για την απαλλαγή αρχή επιθυμεί να τονίσει την ιδιαίτερη σημασία που έχουν η περαιτέρω ενίσχυση της δημοκρατικής νομιμοποίησης των θεσμικών οργάνων της Ένωσης, χάρη στη βελτίωση της διαφάνειας και της λογοδοσίας, και η εφαρμογή της προσέγγισης της κατάρτισης του προϋπολογισμού βάσει επιδόσεων και της χρηστής διαχείρισης των ανθρώπινων πόρων·</w:t>
      </w:r>
    </w:p>
    <w:p w:rsidR="00507FAC" w:rsidRPr="00DF0B03" w:rsidRDefault="00507FAC" w:rsidP="00D87A80">
      <w:pPr>
        <w:pStyle w:val="NormalHanging12a"/>
        <w:widowControl/>
        <w:rPr>
          <w:szCs w:val="24"/>
        </w:rPr>
      </w:pPr>
      <w:r w:rsidRPr="00DF0B03">
        <w:t>Β.</w:t>
      </w:r>
      <w:r w:rsidRPr="00DF0B03">
        <w:tab/>
        <w:t>λαμβάνοντας υπόψη ότι το άρθρο 228 της Συνθήκης για τη λειτουργία της Ευρωπαϊκής Ένωσης προβλέπει την εκλογή Ευρωπαίου Διαμεσολαβητή από το Ευρωπαϊκό Κοινοβούλιο, ο οποίος είναι εξουσιοδοτημένος να δέχεται τις καταγγελίες κάθε πολίτη της Ένωσης ή κάθε φυσικού ή νομικού προσώπου που κατοικεί ή έχει την καταστατική έδρα του σε κράτος μέλος, σχετικά με περιπτώσεις κακοδιοίκησης στο πλαίσιο της δράσης των θεσμικών και λοιπών οργάνων ή οργανισμών της Ένωσης, με εξαίρεση το Δικαστήριο της Ευρωπαϊκής Ένωσης κατά την άσκηση των δικαιοδοτικών του καθηκόντων. Εξετάζει τις εν λόγω καταγγελίες και υποβάλλει σχετική έκθεση·</w:t>
      </w:r>
    </w:p>
    <w:p w:rsidR="00507FAC" w:rsidRPr="00DF0B03" w:rsidRDefault="00507FAC" w:rsidP="00D87A80">
      <w:pPr>
        <w:pStyle w:val="NormalHanging12a"/>
        <w:widowControl/>
        <w:rPr>
          <w:szCs w:val="24"/>
        </w:rPr>
      </w:pPr>
      <w:r w:rsidRPr="00DF0B03">
        <w:t>Γ.</w:t>
      </w:r>
      <w:r w:rsidRPr="00DF0B03">
        <w:tab/>
        <w:t>λαμβάνοντας υπόψη ότι ο κανονισμός (ΕΕ, Ευρατόμ) 2021/1163 του Ευρωπαϊκού Κοινοβουλίου της 24ης Ιουνίου 2021</w:t>
      </w:r>
      <w:r w:rsidRPr="00DF0B03">
        <w:rPr>
          <w:rStyle w:val="FootnoteReference"/>
          <w:szCs w:val="24"/>
        </w:rPr>
        <w:footnoteReference w:id="6"/>
      </w:r>
      <w:r w:rsidRPr="00DF0B03">
        <w:t xml:space="preserve"> θεσπίζει το καθεστώς του Ευρωπαίου Διαμεσολαβητή και τους γενικούς όρους άσκησης των καθηκόντων του (καθεστώς του Ευρωπαίου Διαμεσολαβητή)·</w:t>
      </w:r>
    </w:p>
    <w:p w:rsidR="00507FAC" w:rsidRPr="00DF0B03" w:rsidRDefault="00507FAC" w:rsidP="00D87A80">
      <w:pPr>
        <w:pStyle w:val="NormalHanging12a"/>
        <w:widowControl/>
        <w:rPr>
          <w:szCs w:val="24"/>
        </w:rPr>
      </w:pPr>
      <w:r w:rsidRPr="00DF0B03">
        <w:t>Δ.</w:t>
      </w:r>
      <w:r w:rsidRPr="00DF0B03">
        <w:tab/>
        <w:t>λαμβάνοντας υπόψη ότι η απόφαση του Ευρωπαίου Διαμεσολαβητή περί έγκρισης εκτελεστικών διατάξεων τελεί επί του παρόντος υπό αναθεώρηση μετά την έγκριση του κανονισμού (ΕΕ, Ευρατόμ) 2021/1163·</w:t>
      </w:r>
    </w:p>
    <w:p w:rsidR="00507FAC" w:rsidRPr="00DF0B03" w:rsidRDefault="00DF0B03" w:rsidP="00DF0B03">
      <w:pPr>
        <w:pStyle w:val="NormalHanging12a"/>
        <w:widowControl/>
        <w:ind w:left="570" w:hanging="570"/>
        <w:rPr>
          <w:szCs w:val="24"/>
        </w:rPr>
      </w:pPr>
      <w:r w:rsidRPr="00DF0B03">
        <w:rPr>
          <w:szCs w:val="24"/>
        </w:rPr>
        <w:t>1.</w:t>
      </w:r>
      <w:r w:rsidRPr="00DF0B03">
        <w:rPr>
          <w:szCs w:val="24"/>
        </w:rPr>
        <w:tab/>
      </w:r>
      <w:r w:rsidR="00507FAC" w:rsidRPr="00DF0B03">
        <w:t>σημειώνει ότι ο προϋπολογισμός του Ευρωπαίου Διαμεσολαβητή («ο Διαμεσολαβητής») εντάσσεται στον τομέα 7 του ΠΔΠ («Ευρωπαϊκή δημόσια διοίκηση»), ο οποίος ανήλθε συνολικά σε 11,6 δισεκατομμύρια EUR, δηλαδή στο 5,9 % των δαπανών του προϋπολογισμού της Ένωσης, το 2022· σημειώνει ότι ο προϋπολογισμός του Διαμεσολαβητή αντιπροσώπευε το 0,1 % των πιστώσεων του τομέα 7 του ΠΔΠ·</w:t>
      </w:r>
    </w:p>
    <w:p w:rsidR="00507FAC" w:rsidRPr="00DF0B03" w:rsidRDefault="00DF0B03" w:rsidP="00DF0B03">
      <w:pPr>
        <w:pStyle w:val="NormalHanging12a"/>
        <w:widowControl/>
        <w:ind w:left="570" w:hanging="570"/>
        <w:rPr>
          <w:szCs w:val="24"/>
        </w:rPr>
      </w:pPr>
      <w:r w:rsidRPr="00DF0B03">
        <w:rPr>
          <w:szCs w:val="24"/>
        </w:rPr>
        <w:lastRenderedPageBreak/>
        <w:t>2.</w:t>
      </w:r>
      <w:r w:rsidRPr="00DF0B03">
        <w:rPr>
          <w:szCs w:val="24"/>
        </w:rPr>
        <w:tab/>
      </w:r>
      <w:r w:rsidR="00507FAC" w:rsidRPr="00DF0B03">
        <w:t>σημειώνει ότι το Ελεγκτικό Συνέδριο, στην ετήσια έκθεσή του για το οικονομικό έτος 2022, εξέτασε δείγμα 60 πράξεων στο πλαίσιο του τομέα της διοίκησης, αριθμός ίδιος με εκείνον του 2021· σημειώνει περαιτέρω ότι το Ελεγκτικό Συνέδριο αναφέρει ότι οι διοικητικές δαπάνες περιλαμβάνουν τις δαπάνες για ανθρώπινους πόρους, συμπεριλαμβανομένων των δαπανών για συντάξεις, οι οποίες το 2022 αντιπροσώπευαν περίπου το 70 % των συνολικών διοικητικών δαπανών, καθώς και δαπάνες για κτίρια, εξοπλισμό, ενέργεια, επικοινωνίες και τεχνολογία των πληροφοριών, και ότι το έργο του επί σειρά ετών δείχνει ότι, συνολικά, οι δαπάνες αυτές είναι χαμηλού κινδύνου·</w:t>
      </w:r>
    </w:p>
    <w:p w:rsidR="00507FAC" w:rsidRPr="00DF0B03" w:rsidRDefault="00DF0B03" w:rsidP="00DF0B03">
      <w:pPr>
        <w:pStyle w:val="NormalHanging12a"/>
        <w:widowControl/>
        <w:ind w:left="570" w:hanging="570"/>
        <w:rPr>
          <w:szCs w:val="24"/>
        </w:rPr>
      </w:pPr>
      <w:r w:rsidRPr="00DF0B03">
        <w:rPr>
          <w:szCs w:val="24"/>
        </w:rPr>
        <w:t>3.</w:t>
      </w:r>
      <w:r w:rsidRPr="00DF0B03">
        <w:rPr>
          <w:szCs w:val="24"/>
        </w:rPr>
        <w:tab/>
      </w:r>
      <w:r w:rsidR="00507FAC" w:rsidRPr="00DF0B03">
        <w:t>σημειώνει ότι, στο πλαίσιο του ελέγχου του για το 2022, το Ελεγκτικό Συνέδριο εξέτασε τα συστήματα εποπτείας και ελέγχου του Διαμεσολαβητή, ιδίως δε την εφαρμογή των προτύπων για τις εσωτερικές δικλίδες, τη διαχείριση των κινδύνων και τη λειτουργία των βασικών δικλίδων που καθορίζονται στον κανονισμό (ΕΕ, Ευρατόμ) 2018/1046 («ο δημοσιονομικός κανονισμός»), περιλαμβανομένων των προληπτικών και των κατασταλτικών δικλίδων που αφορούν τις πληρωμές·</w:t>
      </w:r>
    </w:p>
    <w:p w:rsidR="00507FAC" w:rsidRPr="00DF0B03" w:rsidRDefault="00DF0B03" w:rsidP="00DF0B03">
      <w:pPr>
        <w:pStyle w:val="NormalHanging12a"/>
        <w:widowControl/>
        <w:ind w:left="570" w:hanging="570"/>
        <w:rPr>
          <w:szCs w:val="24"/>
        </w:rPr>
      </w:pPr>
      <w:r w:rsidRPr="00DF0B03">
        <w:rPr>
          <w:szCs w:val="24"/>
        </w:rPr>
        <w:t>4.</w:t>
      </w:r>
      <w:r w:rsidRPr="00DF0B03">
        <w:rPr>
          <w:szCs w:val="24"/>
        </w:rPr>
        <w:tab/>
      </w:r>
      <w:r w:rsidR="00507FAC" w:rsidRPr="00DF0B03">
        <w:t xml:space="preserve">σημειώνει ότι 14 (23 %) από τις 60 πράξεις περιείχαν σφάλματα, αλλά ότι το Ελεγκτικό Συνέδριο, βάσει των πέντε σφαλμάτων που </w:t>
      </w:r>
      <w:proofErr w:type="spellStart"/>
      <w:r w:rsidR="00507FAC" w:rsidRPr="00DF0B03">
        <w:t>ποσοτικοποιήθηκαν</w:t>
      </w:r>
      <w:proofErr w:type="spellEnd"/>
      <w:r w:rsidR="00507FAC" w:rsidRPr="00DF0B03">
        <w:t>, εκτιμά ότι το επίπεδο σφάλματος είναι χαμηλότερο από το όριο σημαντικότητας·</w:t>
      </w:r>
    </w:p>
    <w:p w:rsidR="00507FAC" w:rsidRPr="00DF0B03" w:rsidRDefault="00DF0B03" w:rsidP="00DF0B03">
      <w:pPr>
        <w:pStyle w:val="NormalHanging12a"/>
        <w:widowControl/>
        <w:ind w:left="570" w:hanging="570"/>
        <w:rPr>
          <w:szCs w:val="24"/>
        </w:rPr>
      </w:pPr>
      <w:r w:rsidRPr="00DF0B03">
        <w:rPr>
          <w:szCs w:val="24"/>
        </w:rPr>
        <w:t>5.</w:t>
      </w:r>
      <w:r w:rsidRPr="00DF0B03">
        <w:rPr>
          <w:szCs w:val="24"/>
        </w:rPr>
        <w:tab/>
      </w:r>
      <w:r w:rsidR="00507FAC" w:rsidRPr="00DF0B03">
        <w:t>σημειώνει με ικανοποίηση ότι το Ελεγκτικό Συνέδριο, στην ετήσια έκθεσή του για το οικονομικό έτος 2022, επισημαίνει πως δεν εντόπισε συγκεκριμένα ζητήματα που να αφορούν τον Διαμεσολαβητή·</w:t>
      </w:r>
    </w:p>
    <w:p w:rsidR="00507FAC" w:rsidRPr="00DF0B03" w:rsidRDefault="00507FAC" w:rsidP="00D87A80">
      <w:pPr>
        <w:pStyle w:val="NormalHanging12a"/>
        <w:widowControl/>
        <w:ind w:left="0" w:firstLine="0"/>
        <w:rPr>
          <w:b/>
          <w:i/>
          <w:szCs w:val="24"/>
        </w:rPr>
      </w:pPr>
      <w:r w:rsidRPr="00DF0B03">
        <w:rPr>
          <w:b/>
          <w:i/>
        </w:rPr>
        <w:t>Δημοσιονομική και χρηματοοικονομική διαχείριση</w:t>
      </w:r>
    </w:p>
    <w:p w:rsidR="00507FAC" w:rsidRPr="00DF0B03" w:rsidRDefault="00DF0B03" w:rsidP="00DF0B03">
      <w:pPr>
        <w:pStyle w:val="NormalHanging12a"/>
        <w:widowControl/>
        <w:ind w:left="570" w:hanging="570"/>
        <w:rPr>
          <w:szCs w:val="24"/>
        </w:rPr>
      </w:pPr>
      <w:r w:rsidRPr="00DF0B03">
        <w:rPr>
          <w:szCs w:val="24"/>
        </w:rPr>
        <w:t>6.</w:t>
      </w:r>
      <w:r w:rsidRPr="00DF0B03">
        <w:rPr>
          <w:szCs w:val="24"/>
        </w:rPr>
        <w:tab/>
      </w:r>
      <w:r w:rsidR="00507FAC" w:rsidRPr="00DF0B03">
        <w:t>σημειώνει ότι ο προϋπολογισμός του Διαμεσολαβητή ανήλθε σε 12 222 108 EUR το 2022, ποσό που αντιπροσωπεύει μείωση κατά 280 000 EUR σε σύγκριση με το 2021· κατανοεί ότι η μείωση αυτή είναι αποτέλεσμα εξορθολογισμού του προϋπολογισμού με βάση τις πραγματικές ανάγκες·</w:t>
      </w:r>
    </w:p>
    <w:p w:rsidR="00507FAC" w:rsidRPr="00DF0B03" w:rsidRDefault="00DF0B03" w:rsidP="00DF0B03">
      <w:pPr>
        <w:pStyle w:val="NormalHanging12a"/>
        <w:widowControl/>
        <w:ind w:left="570" w:hanging="570"/>
        <w:rPr>
          <w:szCs w:val="24"/>
        </w:rPr>
      </w:pPr>
      <w:r w:rsidRPr="00DF0B03">
        <w:rPr>
          <w:szCs w:val="24"/>
        </w:rPr>
        <w:t>7.</w:t>
      </w:r>
      <w:r w:rsidRPr="00DF0B03">
        <w:rPr>
          <w:szCs w:val="24"/>
        </w:rPr>
        <w:tab/>
      </w:r>
      <w:r w:rsidR="00507FAC" w:rsidRPr="00DF0B03">
        <w:t xml:space="preserve">σημειώνει ότι το ποσοστό εκτέλεσης του προϋπολογισμού ήταν 96,97 % το 2022, ποσοστό υψηλότερο σε σύγκριση με το προηγούμενο έτος, όταν το ποσοστό εκτέλεσης ήταν 88,8 % λόγω περιορισμών που σχετίζονταν με την πανδημία </w:t>
      </w:r>
      <w:r w:rsidR="00D87A80" w:rsidRPr="00DF0B03">
        <w:t xml:space="preserve">της </w:t>
      </w:r>
      <w:r w:rsidR="00507FAC" w:rsidRPr="00DF0B03">
        <w:t>COVID-19·</w:t>
      </w:r>
    </w:p>
    <w:p w:rsidR="00507FAC" w:rsidRPr="00DF0B03" w:rsidRDefault="00DF0B03" w:rsidP="00DF0B03">
      <w:pPr>
        <w:pStyle w:val="NormalHanging12a"/>
        <w:widowControl/>
        <w:ind w:left="570" w:hanging="570"/>
        <w:rPr>
          <w:szCs w:val="24"/>
        </w:rPr>
      </w:pPr>
      <w:r w:rsidRPr="00DF0B03">
        <w:rPr>
          <w:szCs w:val="24"/>
        </w:rPr>
        <w:t>8.</w:t>
      </w:r>
      <w:r w:rsidRPr="00DF0B03">
        <w:rPr>
          <w:szCs w:val="24"/>
        </w:rPr>
        <w:tab/>
      </w:r>
      <w:r w:rsidR="00507FAC" w:rsidRPr="00DF0B03">
        <w:t>σημειώνει ότι, κατά τη διάρκεια του 2022, ο Διαμεσολαβητής πραγματοποίησε 6 μεταφορές πιστώσεων δυνάμει του άρθρου 29 του δημοσιονομικού κανονισμού, οι οποίες αντιστοιχούν συνολικά σε 344 460 EUR ή στο 2,8 % των πιστώσεων για το εν λόγω οικονομικό έτος· σημειώνει περαιτέρω ότι η ονοματολογία του προϋπολογισμού για τη θέση «2000» διαρθρώθηκε σε τέσσερις υποκατηγορίες προκειμένου να ενισχυθεί η διαφάνεια των απαιτούμενων πληροφοριών όσον αφορά τα κτίρια του Διαμεσολαβητή και στους δύο τόπους εργασίας· αναγνωρίζει ότι οι πιστώσεις που μεταφέρθηκαν από τη θέση του προϋπολογισμού για τα μισθώματα έμειναν αχρησιμοποίητες, επειδή ο Διαμεσολαβητής κάλυψε όλες τις δαπάνες που πραγματοποιήθηκαν για τις εργασίες διαρρύθμισης του νέου κτιρίου του Διαμεσολαβητή μέσω του προϋπολογισμού του 2021 αντί να τις κατανείμει σε έξι έτη·</w:t>
      </w:r>
    </w:p>
    <w:p w:rsidR="00507FAC" w:rsidRPr="00DF0B03" w:rsidRDefault="00DF0B03" w:rsidP="00DF0B03">
      <w:pPr>
        <w:pStyle w:val="NormalHanging12a"/>
        <w:widowControl/>
        <w:ind w:left="570" w:hanging="570"/>
        <w:rPr>
          <w:szCs w:val="24"/>
        </w:rPr>
      </w:pPr>
      <w:r w:rsidRPr="00DF0B03">
        <w:rPr>
          <w:szCs w:val="24"/>
        </w:rPr>
        <w:t>9.</w:t>
      </w:r>
      <w:r w:rsidRPr="00DF0B03">
        <w:rPr>
          <w:szCs w:val="24"/>
        </w:rPr>
        <w:tab/>
      </w:r>
      <w:r w:rsidR="00507FAC" w:rsidRPr="00DF0B03">
        <w:t xml:space="preserve">εκφράζει την ικανοποίησή του για το γεγονός ότι, παρά την αύξηση του χρόνου πληρωμής από 11,35 ημέρες το 2021 σε 13 ημέρες το 2022, ο μέσος χρόνος πληρωμής εξακολουθεί να είναι σχετικά σύντομος· πιστεύει ότι η εφαρμογή ενός συστήματος </w:t>
      </w:r>
      <w:r w:rsidR="00507FAC" w:rsidRPr="00DF0B03">
        <w:lastRenderedPageBreak/>
        <w:t>ηλεκτρονικής τιμολόγησης από το 2023 δεν μπορεί παρά να βελτιώσει την αποτελεσματικότητα της διαδικασίας πληρωμών·</w:t>
      </w:r>
    </w:p>
    <w:p w:rsidR="00507FAC" w:rsidRPr="00DF0B03" w:rsidRDefault="00DF0B03" w:rsidP="00DF0B03">
      <w:pPr>
        <w:pStyle w:val="NormalHanging12a"/>
        <w:widowControl/>
        <w:ind w:left="570" w:hanging="570"/>
        <w:rPr>
          <w:szCs w:val="24"/>
        </w:rPr>
      </w:pPr>
      <w:r w:rsidRPr="00DF0B03">
        <w:rPr>
          <w:szCs w:val="24"/>
        </w:rPr>
        <w:t>10.</w:t>
      </w:r>
      <w:r w:rsidRPr="00DF0B03">
        <w:rPr>
          <w:szCs w:val="24"/>
        </w:rPr>
        <w:tab/>
      </w:r>
      <w:r w:rsidR="00507FAC" w:rsidRPr="00DF0B03">
        <w:t>σημειώνει ότι ο Διαμεσολαβητής δεν ανέφερε καμία επίπτωση από τον επιθετικό πόλεμο της Ρωσίας κατά της Ουκρανίας στον προϋπολογισμό του 2022 για αποστολές, προμήθειες ή κτίρια· συνιστά στον Διαμεσολαβητή να λάβει υπόψη ότι η επόμενη ετήσια αναθεώρηση του μισθώματος και του κατ’ αποκοπή ποσού κοινοχρήστων από το Κοινοβούλιο ενδέχεται να οδηγήσει σε πρόσθετο κόστος στον προϋπολογισμό του Διαμεσολαβητή για το 2023·</w:t>
      </w:r>
    </w:p>
    <w:p w:rsidR="00507FAC" w:rsidRPr="00DF0B03" w:rsidRDefault="00DF0B03" w:rsidP="00DF0B03">
      <w:pPr>
        <w:pStyle w:val="NormalHanging12a"/>
        <w:widowControl/>
        <w:ind w:left="570" w:hanging="570"/>
        <w:rPr>
          <w:szCs w:val="24"/>
        </w:rPr>
      </w:pPr>
      <w:r w:rsidRPr="00DF0B03">
        <w:rPr>
          <w:szCs w:val="24"/>
        </w:rPr>
        <w:t>11.</w:t>
      </w:r>
      <w:r w:rsidRPr="00DF0B03">
        <w:rPr>
          <w:szCs w:val="24"/>
        </w:rPr>
        <w:tab/>
      </w:r>
      <w:r w:rsidR="00507FAC" w:rsidRPr="00DF0B03">
        <w:t xml:space="preserve">σημειώνει ότι ο προϋπολογισμός για τις αποστολές του προσωπικού μειώθηκε από 135 000 EUR το 2021 σε 120 000 EUR το 2022 ως αποτέλεσμα της εξοικονόμησης πόρων με βάση τα διδάγματα που αντλήθηκαν από την πανδημία </w:t>
      </w:r>
      <w:r w:rsidR="00D87A80" w:rsidRPr="00DF0B03">
        <w:t xml:space="preserve">της </w:t>
      </w:r>
      <w:r w:rsidR="00507FAC" w:rsidRPr="00DF0B03">
        <w:t>COVID-19 και την ευρεία χρήση εγκαταστάσεων βιντεοδιάσκεψης για εσωτερικές και εξωτερικές συνεδριάσεις και στους δύο τόπους εργασίας·</w:t>
      </w:r>
    </w:p>
    <w:p w:rsidR="00507FAC" w:rsidRPr="00DF0B03" w:rsidRDefault="00507FAC" w:rsidP="00D87A80">
      <w:pPr>
        <w:pStyle w:val="NormalHanging12a"/>
        <w:widowControl/>
        <w:ind w:left="0" w:firstLine="0"/>
        <w:rPr>
          <w:b/>
          <w:i/>
          <w:szCs w:val="24"/>
        </w:rPr>
      </w:pPr>
      <w:r w:rsidRPr="00DF0B03">
        <w:rPr>
          <w:b/>
          <w:i/>
        </w:rPr>
        <w:t>Εσωτερική διαχείριση, επιδόσεις και εσωτερικός έλεγχος</w:t>
      </w:r>
    </w:p>
    <w:p w:rsidR="00507FAC" w:rsidRPr="00DF0B03" w:rsidRDefault="00DF0B03" w:rsidP="00DF0B03">
      <w:pPr>
        <w:pStyle w:val="NormalHanging12a"/>
        <w:widowControl/>
        <w:ind w:left="570" w:hanging="570"/>
        <w:rPr>
          <w:szCs w:val="24"/>
        </w:rPr>
      </w:pPr>
      <w:r w:rsidRPr="00DF0B03">
        <w:rPr>
          <w:szCs w:val="24"/>
        </w:rPr>
        <w:t>12.</w:t>
      </w:r>
      <w:r w:rsidRPr="00DF0B03">
        <w:rPr>
          <w:szCs w:val="24"/>
        </w:rPr>
        <w:tab/>
      </w:r>
      <w:r w:rsidR="00507FAC" w:rsidRPr="00DF0B03">
        <w:t>σημειώνει ότι ο Διαμεσολαβητής συνέχισε να υλοποιεί, κατά τη διάρκεια του 2022, συγκεκριμένες δράσεις σύμφωνα με τους στόχους και τις προτεραιότητες της πενταετούς στρατηγικής του Διαμεσολαβητή με τίτλο «Με ορίζοντα το 2024», όπως ορίζεται στο ετήσιο σχέδιο διαχείρισής του· επισημαίνει, ειδικότερα, ότι ο Διαμεσολαβητής παρέδωσε επιτυχώς τα σχέδια διατάξεων για την εφαρμογή του νέου καθεστώτος που διέπει τα καθήκοντα του Διαμεσολαβητή, στην Επιτροπή, το Συμβούλιο και το Κοινοβούλιο για διαβούλευση σύμφωνα με το ετήσιο σχέδιο διαχείρισης του 2022·</w:t>
      </w:r>
    </w:p>
    <w:p w:rsidR="00507FAC" w:rsidRPr="00DF0B03" w:rsidRDefault="00DF0B03" w:rsidP="00DF0B03">
      <w:pPr>
        <w:pStyle w:val="NormalHanging12a"/>
        <w:widowControl/>
        <w:ind w:left="570" w:hanging="570"/>
        <w:rPr>
          <w:szCs w:val="24"/>
        </w:rPr>
      </w:pPr>
      <w:r w:rsidRPr="00DF0B03">
        <w:rPr>
          <w:szCs w:val="24"/>
        </w:rPr>
        <w:t>13.</w:t>
      </w:r>
      <w:r w:rsidRPr="00DF0B03">
        <w:rPr>
          <w:szCs w:val="24"/>
        </w:rPr>
        <w:tab/>
      </w:r>
      <w:r w:rsidR="00507FAC" w:rsidRPr="00DF0B03">
        <w:t>υπογραμμίζει ότι το 2022, παρατηρώντας την κατάφωρη έλλειψη δημόσιας πληροφόρησης, η Ευρωπαία Διαμεσολαβήτρια ανέλαβε την πρωτοβουλία να θέσει στην Επιτροπή το ερώτημα, με ποιον τρόπο θα διασφαλίζει τη διαφάνεια στις διαπραγματεύσεις για τα εθνικά σχέδια ανάκαμψης, πώς θα εγγυηθεί τον δημόσιο έλεγχο των οροσήμων που έχουν επιτευχθεί από τα κράτη μέλη και πώς θα εποπτεύει τους ελέγχους</w:t>
      </w:r>
      <w:r w:rsidR="00507FAC" w:rsidRPr="00DF0B03">
        <w:rPr>
          <w:szCs w:val="24"/>
          <w:vertAlign w:val="superscript"/>
        </w:rPr>
        <w:footnoteReference w:id="7"/>
      </w:r>
      <w:r w:rsidR="00507FAC" w:rsidRPr="00DF0B03">
        <w:t>·</w:t>
      </w:r>
    </w:p>
    <w:p w:rsidR="00507FAC" w:rsidRPr="00DF0B03" w:rsidRDefault="00DF0B03" w:rsidP="00DF0B03">
      <w:pPr>
        <w:pStyle w:val="NormalHanging12a"/>
        <w:widowControl/>
        <w:ind w:left="570" w:hanging="570"/>
        <w:rPr>
          <w:szCs w:val="24"/>
        </w:rPr>
      </w:pPr>
      <w:r w:rsidRPr="00DF0B03">
        <w:rPr>
          <w:szCs w:val="24"/>
        </w:rPr>
        <w:t>14.</w:t>
      </w:r>
      <w:r w:rsidRPr="00DF0B03">
        <w:rPr>
          <w:szCs w:val="24"/>
        </w:rPr>
        <w:tab/>
      </w:r>
      <w:r w:rsidR="00507FAC" w:rsidRPr="00DF0B03">
        <w:t>σημειώνει ότι ο Διαμεσολαβητής έλαβε 2223 αναφορές το 2022, σε σύγκριση με 2192 το 2021, εκ των οποίων το 35 % ενέπιπτε στην εντολή του· σημειώνει περαιτέρω ότι ο Διαμεσολαβητής κίνησε 348 έρευνες, συμπεριλαμβανομένων 60 ερευνών που άπτονται του δημόσιου συμφέροντος, και περάτωσε 330 έρευνες το 2022, ενώ το 2021 είχε κινήσει 338 έρευνες και είχε περατώσει 305·</w:t>
      </w:r>
    </w:p>
    <w:p w:rsidR="00507FAC" w:rsidRPr="00DF0B03" w:rsidRDefault="00DF0B03" w:rsidP="00DF0B03">
      <w:pPr>
        <w:pStyle w:val="NormalHanging12a"/>
        <w:widowControl/>
        <w:ind w:left="570" w:hanging="570"/>
        <w:rPr>
          <w:szCs w:val="24"/>
        </w:rPr>
      </w:pPr>
      <w:r w:rsidRPr="00DF0B03">
        <w:rPr>
          <w:szCs w:val="24"/>
        </w:rPr>
        <w:t>15.</w:t>
      </w:r>
      <w:r w:rsidRPr="00DF0B03">
        <w:rPr>
          <w:szCs w:val="24"/>
        </w:rPr>
        <w:tab/>
      </w:r>
      <w:r w:rsidR="00507FAC" w:rsidRPr="00DF0B03">
        <w:t>σημειώνει με μεγάλη ανησυχία ότι το γραφείο της Διαμεσολαβήτριας λαμβάνει πολλές καταγγελίες πολιτών σχετικά με ακραίες καθυστερήσεις στην παραχώρηση πρόσβασης σε ζητούμενα έγγραφα· υποστηρίζει τις απόψεις της Διαμεσολαβήτριας ότι η καθυστερημένη πρόσβαση συνιστά επί της ουσίας άρνηση πρόσβασης και ότι οι διοικητικές διαδικασίες θα πρέπει να εξορθολογιστούν, ώστε να διασφαλίζεται η έγκαιρη πρόσβαση των πολιτών στα έγγραφα</w:t>
      </w:r>
      <w:r w:rsidR="00507FAC" w:rsidRPr="00DF0B03">
        <w:rPr>
          <w:szCs w:val="24"/>
          <w:vertAlign w:val="superscript"/>
        </w:rPr>
        <w:footnoteReference w:id="8"/>
      </w:r>
      <w:r w:rsidR="00507FAC" w:rsidRPr="00DF0B03">
        <w:t>·</w:t>
      </w:r>
    </w:p>
    <w:p w:rsidR="00507FAC" w:rsidRPr="00DF0B03" w:rsidRDefault="00DF0B03" w:rsidP="00DF0B03">
      <w:pPr>
        <w:pStyle w:val="NormalHanging12a"/>
        <w:widowControl/>
        <w:ind w:left="570" w:hanging="570"/>
        <w:rPr>
          <w:szCs w:val="24"/>
        </w:rPr>
      </w:pPr>
      <w:r w:rsidRPr="00DF0B03">
        <w:rPr>
          <w:szCs w:val="24"/>
        </w:rPr>
        <w:lastRenderedPageBreak/>
        <w:t>16.</w:t>
      </w:r>
      <w:r w:rsidRPr="00DF0B03">
        <w:rPr>
          <w:szCs w:val="24"/>
        </w:rPr>
        <w:tab/>
      </w:r>
      <w:r w:rsidR="00507FAC" w:rsidRPr="00DF0B03">
        <w:t xml:space="preserve">εκφράζει την ικανοποίησή του για την ανάπτυξη μιας </w:t>
      </w:r>
      <w:proofErr w:type="spellStart"/>
      <w:r w:rsidR="00507FAC" w:rsidRPr="00DF0B03">
        <w:t>εξορθολογισμένης</w:t>
      </w:r>
      <w:proofErr w:type="spellEnd"/>
      <w:r w:rsidR="00507FAC" w:rsidRPr="00DF0B03">
        <w:t xml:space="preserve"> διαδικασίας για τη διαχείριση των ερευνών για παράλειψη απάντησης· εκφράζει επίσης την ικανοποίησή του για την καθιέρωση απλουστευμένης διαδικασίας για τον χειρισμό αναφορών που δεν εμπίπτουν στην εντολή του Διαμεσολαβητή, με αποτέλεσμα να μειωθεί ο χρόνος διεκπεραίωσης των εν λόγω αιτημάτων από 15 σε 3 ημέρες· εκφράζει, ωστόσο, την ανησυχία του για το γεγονός ότι ο μέσος χρόνος για την εξέταση μιας αναφοράς στο πλαίσιο της εντολής αυξήθηκε από 61 σε 91 ημέρες και ο μέσος χρόνος διεκπεραίωσης μιας έρευνας αυξήθηκε από 112 σε 166 ημέρες μεταξύ 2021 και 2022·</w:t>
      </w:r>
    </w:p>
    <w:p w:rsidR="00507FAC" w:rsidRPr="00DF0B03" w:rsidRDefault="00DF0B03" w:rsidP="00DF0B03">
      <w:pPr>
        <w:pStyle w:val="NormalHanging12a"/>
        <w:widowControl/>
        <w:ind w:left="570" w:hanging="570"/>
        <w:rPr>
          <w:szCs w:val="24"/>
        </w:rPr>
      </w:pPr>
      <w:r w:rsidRPr="00DF0B03">
        <w:rPr>
          <w:szCs w:val="24"/>
        </w:rPr>
        <w:t>17.</w:t>
      </w:r>
      <w:r w:rsidRPr="00DF0B03">
        <w:rPr>
          <w:szCs w:val="24"/>
        </w:rPr>
        <w:tab/>
      </w:r>
      <w:r w:rsidR="00507FAC" w:rsidRPr="00DF0B03">
        <w:t>σημειώνει ότι η δεοντολογία και η διαφάνεια παρέμειναν σημαντικοί τομείς εργασίας για τον Διαμεσολαβητή το 2022, στους οποίους σημειώθηκε πρόοδος, αλλά υπήρξαν και προκλήσεις, και ότι ο αριθμός των αναφορών που σχετίζονται με τη διαφάνεια και τη λογοδοσία ανήλθε στο 32 % του συνόλου των υποθέσεων το 2022·</w:t>
      </w:r>
    </w:p>
    <w:p w:rsidR="00507FAC" w:rsidRPr="00DF0B03" w:rsidRDefault="00DF0B03" w:rsidP="00DF0B03">
      <w:pPr>
        <w:pStyle w:val="NormalHanging12a"/>
        <w:widowControl/>
        <w:ind w:left="570" w:hanging="570"/>
        <w:rPr>
          <w:szCs w:val="24"/>
        </w:rPr>
      </w:pPr>
      <w:r w:rsidRPr="00DF0B03">
        <w:rPr>
          <w:szCs w:val="24"/>
        </w:rPr>
        <w:t>18.</w:t>
      </w:r>
      <w:r w:rsidRPr="00DF0B03">
        <w:rPr>
          <w:szCs w:val="24"/>
        </w:rPr>
        <w:tab/>
      </w:r>
      <w:r w:rsidR="00507FAC" w:rsidRPr="00DF0B03">
        <w:t xml:space="preserve">σημειώνει ότι η πρόσβαση του κοινού σε έγγραφα εξακολούθησε να αποτελεί μείζονα προτεραιότητα για τον Διαμεσολαβητή το 2022, δεδομένου ότι ελήφθησαν 121 αναφορές σχετικά με το ζήτημα αυτό —ο μεγαλύτερος αριθμός που έχει καταγραφεί εντός ενός έτους—, ενώ οι έρευνες κατέληξαν σε 90 αναφορές· εκφράζει την ικανοποίησή του για την ταχεία διεκπεραίωση υποθέσεων στον τομέα της πρόσβασης του κοινού σε έγγραφα, με μέσο όρο 46 εργάσιμες ημέρες έως την περάτωση της αναφοράς και 67 εργάσιμες ημέρες όσον αφορά τις έρευνες μόνο· κατανοεί ότι, παρά την αύξηση του αριθμού των υποθέσεων, το ποσοστό των ταχειών διαδικασιών έρευνας αντιπροσώπευε μόλις το 28 % του συνόλου των ερευνών για την πρόσβαση του κοινού σε έγγραφα, σε σύγκριση με 58 % το 2021· εκφράζει την ικανοποίησή του για τα πορίσματα σημαντικών ερευνών που αφορούν την Επιτροπή και άλλους οργανισμούς της Ένωσης, όπως ο </w:t>
      </w:r>
      <w:proofErr w:type="spellStart"/>
      <w:r w:rsidR="00507FAC" w:rsidRPr="00DF0B03">
        <w:t>Frontex</w:t>
      </w:r>
      <w:proofErr w:type="spellEnd"/>
      <w:r w:rsidR="00507FAC" w:rsidRPr="00DF0B03">
        <w:t>, και θεσμικά και λοιπά όργανα, όπως η ΕΤΕπ, σχετικά με τη διοικητική διαχείριση των αιτημάτων για πρόσβαση του κοινού σε έγγραφα·</w:t>
      </w:r>
    </w:p>
    <w:p w:rsidR="00507FAC" w:rsidRPr="00DF0B03" w:rsidRDefault="00DF0B03" w:rsidP="00DF0B03">
      <w:pPr>
        <w:pStyle w:val="NormalHanging12a"/>
        <w:widowControl/>
        <w:ind w:left="570" w:hanging="570"/>
        <w:rPr>
          <w:szCs w:val="24"/>
        </w:rPr>
      </w:pPr>
      <w:r w:rsidRPr="00DF0B03">
        <w:rPr>
          <w:szCs w:val="24"/>
        </w:rPr>
        <w:t>19.</w:t>
      </w:r>
      <w:r w:rsidRPr="00DF0B03">
        <w:rPr>
          <w:szCs w:val="24"/>
        </w:rPr>
        <w:tab/>
      </w:r>
      <w:r w:rsidR="00507FAC" w:rsidRPr="00DF0B03">
        <w:t>υπενθυμίζει ότι, σύμφωνα με την Ευρωπαία Διαμεσολαβήτρια, οι περιορισμοί στην πρόσβαση στα έγγραφα, ιδίως στα νομοθετικά έγγραφα, θα πρέπει να αποτελούν εξαίρεση και να περιορίζονται στους απολύτως αναγκαίους· υπενθυμίζει επίσης ότι κάθε απόφαση απόρριψης της πρόσβασης του κοινού στα έγγραφα πρέπει να στηρίζεται σε σαφώς και αυστηρώς καθορισμένες από τον νόμο εξαιρέσεις και να συνοδεύεται από εύλογη και συγκεκριμένη αιτιολόγηση, ώστε να μπορούν οι πολίτες να κατανοούν την άρνηση της πρόσβασης και να αξιοποιούν αποτελεσματικά τα διαθέσιμα ένδικα μέσα· θεωρεί ότι μια πιο προορατική προσέγγιση θα συμβάλει στη διασφάλιση ουσιαστικής διαφάνειας και στην πρόληψη δαπανηρών και επαχθών νομικών διαφορών μεταξύ πολιτών και θεσμικών οργάνων</w:t>
      </w:r>
      <w:r w:rsidR="00507FAC" w:rsidRPr="00DF0B03">
        <w:rPr>
          <w:szCs w:val="24"/>
          <w:vertAlign w:val="superscript"/>
        </w:rPr>
        <w:footnoteReference w:id="9"/>
      </w:r>
      <w:r w:rsidR="00507FAC" w:rsidRPr="00DF0B03">
        <w:t>·</w:t>
      </w:r>
    </w:p>
    <w:p w:rsidR="00507FAC" w:rsidRPr="00DF0B03" w:rsidRDefault="00507FAC" w:rsidP="00D87A80">
      <w:pPr>
        <w:pStyle w:val="NormalHanging12a"/>
        <w:widowControl/>
        <w:ind w:left="0" w:firstLine="0"/>
        <w:rPr>
          <w:b/>
          <w:i/>
          <w:szCs w:val="24"/>
        </w:rPr>
      </w:pPr>
      <w:r w:rsidRPr="00DF0B03">
        <w:rPr>
          <w:b/>
          <w:i/>
        </w:rPr>
        <w:t>Ανθρώπινοι πόροι, ισότητα και ευεξία του προσωπικού</w:t>
      </w:r>
    </w:p>
    <w:p w:rsidR="00507FAC" w:rsidRPr="00DF0B03" w:rsidRDefault="00DF0B03" w:rsidP="00DF0B03">
      <w:pPr>
        <w:pStyle w:val="NormalHanging12a"/>
        <w:widowControl/>
        <w:ind w:left="570" w:hanging="570"/>
        <w:rPr>
          <w:szCs w:val="24"/>
        </w:rPr>
      </w:pPr>
      <w:r w:rsidRPr="00DF0B03">
        <w:rPr>
          <w:szCs w:val="24"/>
        </w:rPr>
        <w:t>20.</w:t>
      </w:r>
      <w:r w:rsidRPr="00DF0B03">
        <w:rPr>
          <w:szCs w:val="24"/>
        </w:rPr>
        <w:tab/>
      </w:r>
      <w:r w:rsidR="00507FAC" w:rsidRPr="00DF0B03">
        <w:t xml:space="preserve">σημειώνει ότι η σύνθεση του προσωπικού όσον αφορά το καθεστώς και τα προφίλ εργασίας παρέμεινε σταθερή τα τελευταία χρόνια, με συνολικά 74 υπαλλήλους στο τέλος του 2022, αριθμός ίδιος με εκείνον του 2021· σημειώνει περαιτέρω ότι, το 2022, ο Διαμεσολαβητής απασχολούσε 39 μόνιμους υπαλλήλους, σε σύγκριση με 37 και 38 το 2020 και το 2021 αντίστοιχα, 28 έκτακτους υπαλλήλους, σε σύγκριση με 28 και 30 το 2020 και το 2021 αντίστοιχα, και 7 συμβασιούχους υπαλλήλους, σε σύγκριση με 8 και 6 το 2020 και το 2021 αντίστοιχα· σημειώνει ότι, το 2022, περίπου το 40 % του </w:t>
      </w:r>
      <w:r w:rsidR="00507FAC" w:rsidRPr="00DF0B03">
        <w:lastRenderedPageBreak/>
        <w:t>προσωπικού ασχολούνταν με τη διοίκηση (ανθρώπινοι πόροι, οικονομικά, διαχείριση διαδικασιών), ενώ ακόμη ένα 40 % ασχολούνταν με αναφορές και έρευνες·</w:t>
      </w:r>
    </w:p>
    <w:p w:rsidR="00507FAC" w:rsidRPr="00DF0B03" w:rsidRDefault="00DF0B03" w:rsidP="00DF0B03">
      <w:pPr>
        <w:pStyle w:val="NormalHanging12a"/>
        <w:widowControl/>
        <w:ind w:left="570" w:hanging="570"/>
        <w:rPr>
          <w:szCs w:val="24"/>
        </w:rPr>
      </w:pPr>
      <w:r w:rsidRPr="00DF0B03">
        <w:rPr>
          <w:szCs w:val="24"/>
        </w:rPr>
        <w:t>21.</w:t>
      </w:r>
      <w:r w:rsidRPr="00DF0B03">
        <w:rPr>
          <w:szCs w:val="24"/>
        </w:rPr>
        <w:tab/>
      </w:r>
      <w:r w:rsidR="00507FAC" w:rsidRPr="00DF0B03">
        <w:t>εκφράζει τη δυσαρέσκειά του για το γεγονός ότι η θέση του Γενικού Γραμματέα είναι κενή από την 1η Σεπτεμβρίου 2022·</w:t>
      </w:r>
    </w:p>
    <w:p w:rsidR="00507FAC" w:rsidRPr="00DF0B03" w:rsidRDefault="00DF0B03" w:rsidP="00DF0B03">
      <w:pPr>
        <w:pStyle w:val="NormalHanging12a"/>
        <w:widowControl/>
        <w:ind w:left="570" w:hanging="570"/>
        <w:rPr>
          <w:szCs w:val="24"/>
        </w:rPr>
      </w:pPr>
      <w:r w:rsidRPr="00DF0B03">
        <w:rPr>
          <w:szCs w:val="24"/>
        </w:rPr>
        <w:t>22.</w:t>
      </w:r>
      <w:r w:rsidRPr="00DF0B03">
        <w:rPr>
          <w:szCs w:val="24"/>
        </w:rPr>
        <w:tab/>
      </w:r>
      <w:r w:rsidR="00507FAC" w:rsidRPr="00DF0B03">
        <w:t>σημειώνει ότι, το 2022, ο Διαμεσολαβητής δημοσίευσε πρόσκληση εκδήλωσης ενδιαφέροντος με στόχο τη δημιουργία δεξαμενής υποψηφίων, προκειμένου να προσλαμβάνονται πιο γρήγορα οι έκτακτοι υπάλληλοι· εκφράζει το ενδιαφέρον του να λάβει περαιτέρω πληροφορίες σχετικά με τη βελτίωση της αποτελεσματικότητας που επιφέρει αυτή η διαδικασία·</w:t>
      </w:r>
    </w:p>
    <w:p w:rsidR="00507FAC" w:rsidRPr="00DF0B03" w:rsidRDefault="00DF0B03" w:rsidP="00DF0B03">
      <w:pPr>
        <w:pStyle w:val="NormalHanging12a"/>
        <w:widowControl/>
        <w:ind w:left="570" w:hanging="570"/>
        <w:rPr>
          <w:szCs w:val="24"/>
        </w:rPr>
      </w:pPr>
      <w:r w:rsidRPr="00DF0B03">
        <w:rPr>
          <w:szCs w:val="24"/>
        </w:rPr>
        <w:t>23.</w:t>
      </w:r>
      <w:r w:rsidRPr="00DF0B03">
        <w:rPr>
          <w:szCs w:val="24"/>
        </w:rPr>
        <w:tab/>
      </w:r>
      <w:r w:rsidR="00507FAC" w:rsidRPr="00DF0B03">
        <w:t>σημειώνει ότι ο Διαμεσολαβητής έχει κατορθώσει να εκπροσωπούνται 18 εθνικότητες στο προσωπικό του, χάρη στην ενεργητική επικοινωνία και την προσέγγιση πιο ποικιλόμορφου κοινού, ιδίως διά των μέσων κοινωνικής δικτύωσης· παροτρύνει τον Διαμεσολαβητή να συνεχίσει τις προσπάθειές του για την επίτευξη ισορροπημένης γεωγραφικής κατανομής των υπηκόων όλων των κρατών μελών εντός του προσωπικού του·</w:t>
      </w:r>
    </w:p>
    <w:p w:rsidR="00507FAC" w:rsidRPr="00DF0B03" w:rsidRDefault="00DF0B03" w:rsidP="00DF0B03">
      <w:pPr>
        <w:pStyle w:val="NormalHanging12a"/>
        <w:widowControl/>
        <w:ind w:left="570" w:hanging="570"/>
        <w:rPr>
          <w:szCs w:val="24"/>
        </w:rPr>
      </w:pPr>
      <w:r w:rsidRPr="00DF0B03">
        <w:rPr>
          <w:szCs w:val="24"/>
        </w:rPr>
        <w:t>24.</w:t>
      </w:r>
      <w:r w:rsidRPr="00DF0B03">
        <w:rPr>
          <w:szCs w:val="24"/>
        </w:rPr>
        <w:tab/>
      </w:r>
      <w:r w:rsidR="00507FAC" w:rsidRPr="00DF0B03">
        <w:t>σημειώνει ότι, όσον αφορά την ισόρροπη εκπροσώπηση των φύλων, ο Διαμεσολαβητής απασχολεί περισσότερες γυναίκες από ό,τι άνδρες σε όλες τις κατηγορίες προσωπικού, ιδίως σε διευθυντικό επίπεδο, με συνολική εκπροσώπηση 67 % γυναίκες και 33 % άνδρες, σε σύγκριση με 68 % γυναίκες και 32 % άνδρες το 2021· ενθαρρύνει τον Διαμεσολαβητή να συνεχίσει τις προσπάθειές του για την επίτευξη ισόρροπης εκπροσώπησης των φύλων στο προσωπικό·</w:t>
      </w:r>
    </w:p>
    <w:p w:rsidR="00507FAC" w:rsidRPr="00DF0B03" w:rsidRDefault="00DF0B03" w:rsidP="00DF0B03">
      <w:pPr>
        <w:pStyle w:val="NormalHanging12a"/>
        <w:widowControl/>
        <w:ind w:left="570" w:hanging="570"/>
        <w:rPr>
          <w:szCs w:val="24"/>
        </w:rPr>
      </w:pPr>
      <w:r w:rsidRPr="00DF0B03">
        <w:rPr>
          <w:szCs w:val="24"/>
        </w:rPr>
        <w:t>25.</w:t>
      </w:r>
      <w:r w:rsidRPr="00DF0B03">
        <w:rPr>
          <w:szCs w:val="24"/>
        </w:rPr>
        <w:tab/>
      </w:r>
      <w:r w:rsidR="00507FAC" w:rsidRPr="00DF0B03">
        <w:t>σημειώνει ότι, το 2022, ο Διαμεσολαβητής έθεσε σε εφαρμογή τη νέα πολιτική του για τον χρόνο εργασίας και την υβριδική εργασία, που είχε εγκριθεί τον Οκτώβριο του 2021 και η οποία περιλαμβάνει διατάξεις, για παράδειγμα, σχετικά με την τηλεργασία, μεταξύ άλλων από το εξωτερικό, την παροχή εργονομικού εξοπλισμού για εργασία από το σπίτι, την εργασία μερικής απασχόλησης, τη γονική άδεια, το ελαστικό ωράριο και το δικαίωμα στην αποσύνδεση, και εκφράζει την ικανοποίησή του για το γεγονός ότι ισχύει για όλες τις κατηγορίες προσωπικού· εκφράζει την ικανοποίησή του για το συνολικό αποτέλεσμα έρευνας προσωπικού που πραγματοποιήθηκε το 2023, σύμφωνα με το οποίο το γενικό ποσοστό ικανοποίησης του προσωπικού ανέρχεται σε 97 % για τις υβριδικές και ευέλικτες ρυθμίσεις εργασίας·</w:t>
      </w:r>
    </w:p>
    <w:p w:rsidR="00507FAC" w:rsidRPr="00DF0B03" w:rsidRDefault="00DF0B03" w:rsidP="00DF0B03">
      <w:pPr>
        <w:pStyle w:val="NormalHanging12a"/>
        <w:widowControl/>
        <w:ind w:left="570" w:hanging="570"/>
        <w:rPr>
          <w:szCs w:val="24"/>
        </w:rPr>
      </w:pPr>
      <w:r w:rsidRPr="00DF0B03">
        <w:rPr>
          <w:szCs w:val="24"/>
        </w:rPr>
        <w:t>26.</w:t>
      </w:r>
      <w:r w:rsidRPr="00DF0B03">
        <w:rPr>
          <w:szCs w:val="24"/>
        </w:rPr>
        <w:tab/>
      </w:r>
      <w:r w:rsidR="00507FAC" w:rsidRPr="00DF0B03">
        <w:t xml:space="preserve">αναγνωρίζει ότι τα διευθυντικά στελέχη έχουν καλή εικόνα του φόρτου εργασίας του προσωπικού, παρακολουθούν τακτικά την κατανομή του φόρτου εργασίας και την προσαρμόζουν όταν είναι αναγκαίο· σημειώνει ότι η ιατρική υπηρεσία του Ευρωπαϊκού Κοινοβουλίου, η οποία χειρίζεται ιατρικά θέματα που αφορούν το προσωπικό του Διαμεσολαβητή, δεν </w:t>
      </w:r>
      <w:proofErr w:type="spellStart"/>
      <w:r w:rsidR="00507FAC" w:rsidRPr="00DF0B03">
        <w:t>επέστησε</w:t>
      </w:r>
      <w:proofErr w:type="spellEnd"/>
      <w:r w:rsidR="00507FAC" w:rsidRPr="00DF0B03">
        <w:t xml:space="preserve"> την προσοχή τον Διαμεσολαβητή σε μακροχρόνια ασθένεια οφειλόμενη σε επαγγελματική εξουθένωση·</w:t>
      </w:r>
    </w:p>
    <w:p w:rsidR="00507FAC" w:rsidRPr="00DF0B03" w:rsidRDefault="00DF0B03" w:rsidP="00DF0B03">
      <w:pPr>
        <w:pStyle w:val="NormalHanging12a"/>
        <w:widowControl/>
        <w:ind w:left="570" w:hanging="570"/>
        <w:rPr>
          <w:szCs w:val="24"/>
        </w:rPr>
      </w:pPr>
      <w:r w:rsidRPr="00DF0B03">
        <w:rPr>
          <w:szCs w:val="24"/>
        </w:rPr>
        <w:t>27.</w:t>
      </w:r>
      <w:r w:rsidRPr="00DF0B03">
        <w:rPr>
          <w:szCs w:val="24"/>
        </w:rPr>
        <w:tab/>
      </w:r>
      <w:r w:rsidR="00507FAC" w:rsidRPr="00DF0B03">
        <w:t xml:space="preserve">εκφράζει την ικανοποίησή του για το γεγονός ότι δεν αναφέρθηκαν περιπτώσεις παρενόχλησης το 2022· ενθαρρύνει τον Διαμεσολαβητή να συνεχίσει τις προσπάθειές του για τη διασφάλιση ενός εργασιακού περιβάλλοντος απαλλαγμένου από σεξουαλική και ψυχολογική παρενόχληση, ιδίως μέσω της ευαισθητοποίησης και της κατάρτισης· σημειώνει με ικανοποίηση ότι από έρευνα που διενεργήθηκε στο πλαίσιο εσωτερικού ελέγχου σχετικά με το δεοντολογικό πλαίσιο προέκυψε ότι, στις αρχές του 2023, το </w:t>
      </w:r>
      <w:r w:rsidR="00507FAC" w:rsidRPr="00DF0B03">
        <w:lastRenderedPageBreak/>
        <w:t>90 % του προσωπικού γνώριζε την πολιτική και τις κατευθυντήριες γραμμές σχετικά με την παρενόχληση·</w:t>
      </w:r>
    </w:p>
    <w:p w:rsidR="00507FAC" w:rsidRPr="00DF0B03" w:rsidRDefault="00DF0B03" w:rsidP="00DF0B03">
      <w:pPr>
        <w:pStyle w:val="NormalHanging12a"/>
        <w:widowControl/>
        <w:ind w:left="570" w:hanging="570"/>
        <w:rPr>
          <w:szCs w:val="24"/>
        </w:rPr>
      </w:pPr>
      <w:r w:rsidRPr="00DF0B03">
        <w:rPr>
          <w:szCs w:val="24"/>
        </w:rPr>
        <w:t>28.</w:t>
      </w:r>
      <w:r w:rsidRPr="00DF0B03">
        <w:rPr>
          <w:szCs w:val="24"/>
        </w:rPr>
        <w:tab/>
      </w:r>
      <w:r w:rsidR="00507FAC" w:rsidRPr="00DF0B03">
        <w:t>εκφράζει την ικανοποίησή του για το γεγονός ότι ο Διαμεσολαβητής υποδέχθηκε 18 αμειβόμενους ασκούμενους το 2022, σε σύγκριση με 16 το 2021, οι οποίοι λαμβάνουν αποδοχές και υπόκεινται στις ίδιες ρυθμίσεις εργασίας με το υπόλοιπο προσωπικό· ενθαρρύνει τον Διαμεσολαβητή να δρομολογήσει, όπως έχει προγραμματιστεί για το 2023, ένα πρόγραμμα πρακτικής άσκησης για νέους με αναπηρία·</w:t>
      </w:r>
    </w:p>
    <w:p w:rsidR="00507FAC" w:rsidRPr="00DF0B03" w:rsidRDefault="00507FAC" w:rsidP="00D87A80">
      <w:pPr>
        <w:pStyle w:val="NormalHanging12a"/>
        <w:widowControl/>
        <w:ind w:left="0" w:firstLine="0"/>
        <w:rPr>
          <w:b/>
          <w:i/>
          <w:szCs w:val="24"/>
        </w:rPr>
      </w:pPr>
      <w:r w:rsidRPr="00DF0B03">
        <w:rPr>
          <w:b/>
          <w:i/>
        </w:rPr>
        <w:t>Δεοντολογικό πλαίσιο και διαφάνεια</w:t>
      </w:r>
    </w:p>
    <w:p w:rsidR="00507FAC" w:rsidRPr="00DF0B03" w:rsidRDefault="00DF0B03" w:rsidP="00DF0B03">
      <w:pPr>
        <w:pStyle w:val="NormalHanging12a"/>
        <w:widowControl/>
        <w:ind w:left="570" w:hanging="570"/>
        <w:rPr>
          <w:szCs w:val="24"/>
        </w:rPr>
      </w:pPr>
      <w:r w:rsidRPr="00DF0B03">
        <w:rPr>
          <w:szCs w:val="24"/>
        </w:rPr>
        <w:t>29.</w:t>
      </w:r>
      <w:r w:rsidRPr="00DF0B03">
        <w:rPr>
          <w:szCs w:val="24"/>
        </w:rPr>
        <w:tab/>
      </w:r>
      <w:r w:rsidR="00507FAC" w:rsidRPr="00DF0B03">
        <w:t>εκφράζει την ικανοποίησή του για τις συνεχιζόμενες προσπάθειες ενίσχυσης και ευαισθητοποίησης όσον αφορά το δεοντολογικό πλαίσιο του οργάνου· σημειώνει ότι ο Διαμεσολαβητής διοργάνωσε, στο πλαίσιο αυτό, παρουσίαση της πολιτικής του Διαμεσολαβητή σχετικά με τις εξωτερικές δραστηριότητες, κατάρτιση σχετικά με την παρενόχληση και μεσημεριανή συνεδρία σχετικά με τις συγκρούσεις συμφερόντων για όλο το προσωπικό· σημειώνει περαιτέρω ότι τα έντυπα για τις δηλώσεις σύγκρουσης συμφερόντων, εξωτερικών δραστηριοτήτων, δημοσιεύσεων και άσκησης επαγγελματικής δραστηριότητας μετά την αποχώρησή από τη δημόσια διοίκηση της Ένωσης αναθεωρήθηκαν προκειμένου να διασφαλιστεί η συνεπής εφαρμογή του κανονισμού υπηρεσιακής κατάστασης και των εσωτερικών κανόνων· εκφράζει την ικανοποίησή του για τον εσωτερικό έλεγχο του δεοντολογικού πλαισίου του Διαμεσολαβητή που ξεκίνησε το 2022 και τα αποτελέσματα του οποίου θα ληφθούν υπόψη για την περαιτέρω βελτίωση των πρακτικών στον εν λόγω τομέα·</w:t>
      </w:r>
    </w:p>
    <w:p w:rsidR="00507FAC" w:rsidRPr="00DF0B03" w:rsidRDefault="00DF0B03" w:rsidP="00DF0B03">
      <w:pPr>
        <w:pStyle w:val="NormalHanging12a"/>
        <w:widowControl/>
        <w:ind w:left="570" w:hanging="570"/>
      </w:pPr>
      <w:r w:rsidRPr="00DF0B03">
        <w:t>30.</w:t>
      </w:r>
      <w:r w:rsidRPr="00DF0B03">
        <w:tab/>
      </w:r>
      <w:r w:rsidR="00507FAC" w:rsidRPr="00DF0B03">
        <w:t>σημειώνει ότι η στρατηγική του Διαμεσολαβητή για την καταπολέμηση της απάτης βασίζεται σε μεγάλο βαθμό στο ισχύον δεοντολογικό πλαίσιο και στην αρχή του διαχωρισμού των καθηκόντων για τις οικονομικές λειτουργίες· σημειώνει με ικανοποίηση ότι το 2022 δεν αναφέρθηκαν υποθέσεις σύγκρουσης συμφερόντων ούτε καταγγελίες δυσλειτουργιών·</w:t>
      </w:r>
    </w:p>
    <w:p w:rsidR="00507FAC" w:rsidRPr="00DF0B03" w:rsidRDefault="00DF0B03" w:rsidP="00DF0B03">
      <w:pPr>
        <w:pStyle w:val="NormalHanging12a"/>
        <w:widowControl/>
        <w:ind w:left="570" w:hanging="570"/>
        <w:rPr>
          <w:szCs w:val="24"/>
        </w:rPr>
      </w:pPr>
      <w:r w:rsidRPr="00DF0B03">
        <w:rPr>
          <w:szCs w:val="24"/>
        </w:rPr>
        <w:t>31.</w:t>
      </w:r>
      <w:r w:rsidRPr="00DF0B03">
        <w:rPr>
          <w:szCs w:val="24"/>
        </w:rPr>
        <w:tab/>
      </w:r>
      <w:r w:rsidR="00507FAC" w:rsidRPr="00DF0B03">
        <w:t xml:space="preserve">εκφράζει την αποδοκιμασία του για το γεγονός ότι ο Διαμεσολαβητής δεν προσχώρησε επισήμως στο μητρώο διαφάνειας της ΕΕ που δημιουργήθηκε με τη διοργανική συμφωνία της 20ής Μαΐου 2021 μεταξύ του Ευρωπαϊκού Κοινοβουλίου, του Συμβουλίου της Ευρωπαϊκής Ένωσης και της Ευρωπαϊκής Επιτροπής σχετικά με ένα υποχρεωτικό μητρώο διαφάνειας, αλλά ευθυγράμμισε τις πρακτικές του με τις αρχές του μητρώου διαφάνειας, ελέγχοντας εάν οι ομιλητές ή οι συνομιλητές σε εκδηλώσεις ή συνεδριάσεις που διοργανώνει ο Διαμεσολαβητής είναι εγγεγραμμένοι σε αυτό· εκφράζει την ικανοποίησή του για τον υψηλό βαθμό διαφάνειας που έχει επιτύχει ο Διαμεσολαβητής με τη δημοσίευση στον </w:t>
      </w:r>
      <w:proofErr w:type="spellStart"/>
      <w:r w:rsidR="00507FAC" w:rsidRPr="00DF0B03">
        <w:t>ιστότοπό</w:t>
      </w:r>
      <w:proofErr w:type="spellEnd"/>
      <w:r w:rsidR="00507FAC" w:rsidRPr="00DF0B03">
        <w:t xml:space="preserve"> του πληροφοριών σχετικά με έρευνες, αποστολές, συνεδριάσεις και εκδηλώσεις στις οποίες συμμετέχει ο Διαμεσολαβητής·</w:t>
      </w:r>
    </w:p>
    <w:p w:rsidR="00507FAC" w:rsidRPr="00DF0B03" w:rsidRDefault="00DF0B03" w:rsidP="00DF0B03">
      <w:pPr>
        <w:pStyle w:val="NormalHanging12a"/>
        <w:widowControl/>
        <w:ind w:left="570" w:hanging="570"/>
        <w:rPr>
          <w:szCs w:val="24"/>
        </w:rPr>
      </w:pPr>
      <w:r w:rsidRPr="00DF0B03">
        <w:rPr>
          <w:szCs w:val="24"/>
        </w:rPr>
        <w:t>32.</w:t>
      </w:r>
      <w:r w:rsidRPr="00DF0B03">
        <w:rPr>
          <w:szCs w:val="24"/>
        </w:rPr>
        <w:tab/>
      </w:r>
      <w:r w:rsidR="00507FAC" w:rsidRPr="00DF0B03">
        <w:t>καλεί τον Διαμεσολαβητή να ενημερώνει περιοδικά την αρμόδια για τον προϋπολογισμό αρχή σχετικά με τις δυσκολίες που αντιμετωπίζει στο έργο του για τη διαφάνεια και τη λογοδοσία του Μηχανισμού Ανάκαμψης και Ανθεκτικότητας·</w:t>
      </w:r>
    </w:p>
    <w:p w:rsidR="00507FAC" w:rsidRPr="00DF0B03" w:rsidRDefault="00DF0B03" w:rsidP="00DF0B03">
      <w:pPr>
        <w:pStyle w:val="NormalHanging12a"/>
        <w:widowControl/>
        <w:ind w:left="570" w:hanging="570"/>
        <w:rPr>
          <w:szCs w:val="24"/>
        </w:rPr>
      </w:pPr>
      <w:r w:rsidRPr="00DF0B03">
        <w:rPr>
          <w:szCs w:val="24"/>
        </w:rPr>
        <w:t>33.</w:t>
      </w:r>
      <w:r w:rsidRPr="00DF0B03">
        <w:rPr>
          <w:szCs w:val="24"/>
        </w:rPr>
        <w:tab/>
      </w:r>
      <w:r w:rsidR="00507FAC" w:rsidRPr="00DF0B03">
        <w:t>εκφράζει την ικανοποίησή του για το γεγονός ότι ο Διαμεσολαβητής δημοσίευσε το 2022 οδηγό για το κοινό σχετικά με το δικαίωμα πρόσβασης του κοινού σε έγγραφα, με πληροφορίες σχετικά με τον καλύτερο τρόπο άσκησης αυτού του δικαιώματος·</w:t>
      </w:r>
    </w:p>
    <w:p w:rsidR="00507FAC" w:rsidRPr="00DF0B03" w:rsidRDefault="00507FAC" w:rsidP="00D87A80">
      <w:pPr>
        <w:pStyle w:val="NormalHanging12a"/>
        <w:widowControl/>
        <w:ind w:left="0" w:firstLine="0"/>
        <w:rPr>
          <w:b/>
          <w:i/>
          <w:szCs w:val="24"/>
        </w:rPr>
      </w:pPr>
      <w:r w:rsidRPr="00DF0B03">
        <w:rPr>
          <w:b/>
          <w:i/>
        </w:rPr>
        <w:lastRenderedPageBreak/>
        <w:t>Ψηφιοποίηση, κυβερνοασφάλεια και προστασία δεδομένων</w:t>
      </w:r>
    </w:p>
    <w:p w:rsidR="00507FAC" w:rsidRPr="00DF0B03" w:rsidRDefault="00DF0B03" w:rsidP="00DF0B03">
      <w:pPr>
        <w:pStyle w:val="NormalHanging12a"/>
        <w:widowControl/>
        <w:ind w:left="570" w:hanging="570"/>
        <w:rPr>
          <w:szCs w:val="24"/>
        </w:rPr>
      </w:pPr>
      <w:r w:rsidRPr="00DF0B03">
        <w:rPr>
          <w:szCs w:val="24"/>
        </w:rPr>
        <w:t>34.</w:t>
      </w:r>
      <w:r w:rsidRPr="00DF0B03">
        <w:rPr>
          <w:szCs w:val="24"/>
        </w:rPr>
        <w:tab/>
      </w:r>
      <w:r w:rsidR="00507FAC" w:rsidRPr="00DF0B03">
        <w:t>συγχαίρει τον Διαμεσολαβητή για την ενεργή προώθηση της ψηφιοποίησης με σκοπό τη μείωση της χρήσης χαρτιού και τη διευκόλυνση της ανταλλαγής και αποθήκευσης εγγράφων· σημειώνει ότι οι δαπάνες ΤΠ το 2022 μειώθηκαν κατά 48 % σε σύγκριση με το 2021, καθώς δεν απαιτούνταν συγκεκριμένες επενδύσεις για την ενίσχυση της ψηφιοποίησης· εκφράζει την ικανοποίησή του για τη γενικευμένη χρήση της βιντεοδιάσκεψης και της διαδικτυακής μετάδοσης, χάρη στην οποία έχει περιοριστεί η ανάγκη για ταξίδια·</w:t>
      </w:r>
    </w:p>
    <w:p w:rsidR="00507FAC" w:rsidRPr="00DF0B03" w:rsidRDefault="00DF0B03" w:rsidP="00DF0B03">
      <w:pPr>
        <w:pStyle w:val="NormalHanging12a"/>
        <w:widowControl/>
        <w:ind w:left="570" w:hanging="570"/>
        <w:rPr>
          <w:szCs w:val="24"/>
        </w:rPr>
      </w:pPr>
      <w:r w:rsidRPr="00DF0B03">
        <w:rPr>
          <w:szCs w:val="24"/>
        </w:rPr>
        <w:t>35.</w:t>
      </w:r>
      <w:r w:rsidRPr="00DF0B03">
        <w:rPr>
          <w:szCs w:val="24"/>
        </w:rPr>
        <w:tab/>
      </w:r>
      <w:r w:rsidR="00507FAC" w:rsidRPr="00DF0B03">
        <w:t xml:space="preserve">σημειώνει ότι, όσον αφορά την τεχνολογία πληροφοριών, ο Διαμεσολαβητής βασίζεται στο πλαίσιο υποδομών και κυβερνοασφάλειας του Κοινοβουλίου και συνεργάζεται στενά με την Επιτροπή όσον αφορά την ενσωμάτωση και τη συντήρηση των υπηρεσιακών εργαλείων της Ένωσης (SYSPER, ABAC, </w:t>
      </w:r>
      <w:proofErr w:type="spellStart"/>
      <w:r w:rsidR="00507FAC" w:rsidRPr="00DF0B03">
        <w:t>MiPS</w:t>
      </w:r>
      <w:proofErr w:type="spellEnd"/>
      <w:r w:rsidR="00507FAC" w:rsidRPr="00DF0B03">
        <w:t xml:space="preserve"> και ARES) και τη χρήση συμβάσεων-πλαισίων ΤΠ· σημειώνει ότι, καθώς ο έλεγχος που ασκεί ο Διαμεσολαβητής επί των δεδομένων είναι περιορισμένος, έχει συνάψει συμφωνίες επιπέδου εξυπηρέτησης με τα οικεία θεσμικά όργανα προκειμένου να διασφαλίσει ότι ο χειρισμός των δεδομένων προσωπικού χαρακτήρα συμμορφώνεται με το ισχύον νομικό πλαίσιο· σημειώνει με ικανοποίηση ότι ο Διαμεσολαβητής δεν αντιμετώπισε καμία κυβερνοεπίθεση το 2022·</w:t>
      </w:r>
    </w:p>
    <w:p w:rsidR="00507FAC" w:rsidRPr="00DF0B03" w:rsidRDefault="00DF0B03" w:rsidP="00DF0B03">
      <w:pPr>
        <w:pStyle w:val="NormalHanging12a"/>
        <w:widowControl/>
        <w:ind w:left="570" w:hanging="570"/>
        <w:rPr>
          <w:szCs w:val="24"/>
        </w:rPr>
      </w:pPr>
      <w:r w:rsidRPr="00DF0B03">
        <w:rPr>
          <w:szCs w:val="24"/>
        </w:rPr>
        <w:t>36.</w:t>
      </w:r>
      <w:r w:rsidRPr="00DF0B03">
        <w:rPr>
          <w:szCs w:val="24"/>
        </w:rPr>
        <w:tab/>
      </w:r>
      <w:r w:rsidR="00507FAC" w:rsidRPr="00DF0B03">
        <w:t xml:space="preserve">ενθαρρύνει τον Διαμεσολαβητή να συνεργαστεί στενά με τον ENISA (Οργανισμός της Ευρωπαϊκής Ένωσης για την Κυβερνοασφάλεια)· προτείνει να προσφέρονται τακτικά </w:t>
      </w:r>
      <w:proofErr w:type="spellStart"/>
      <w:r w:rsidR="00507FAC" w:rsidRPr="00DF0B03">
        <w:t>επικαιροποιούμενα</w:t>
      </w:r>
      <w:proofErr w:type="spellEnd"/>
      <w:r w:rsidR="00507FAC" w:rsidRPr="00DF0B03">
        <w:t xml:space="preserve"> προγράμματα κατάρτισης σχετικά με την κυβερνοασφάλεια για όλο το προσωπικό του Διαμεσολαβητή·</w:t>
      </w:r>
    </w:p>
    <w:p w:rsidR="00507FAC" w:rsidRPr="00DF0B03" w:rsidRDefault="00DF0B03" w:rsidP="00DF0B03">
      <w:pPr>
        <w:pStyle w:val="NormalHanging12a"/>
        <w:widowControl/>
        <w:ind w:left="570" w:hanging="570"/>
        <w:rPr>
          <w:szCs w:val="24"/>
        </w:rPr>
      </w:pPr>
      <w:r w:rsidRPr="00DF0B03">
        <w:rPr>
          <w:szCs w:val="24"/>
        </w:rPr>
        <w:t>37.</w:t>
      </w:r>
      <w:r w:rsidRPr="00DF0B03">
        <w:rPr>
          <w:szCs w:val="24"/>
        </w:rPr>
        <w:tab/>
      </w:r>
      <w:r w:rsidR="00507FAC" w:rsidRPr="00DF0B03">
        <w:t>σημειώνει με ικανοποίηση ότι, το 2022, ο Διαμεσολαβητής ολοκλήρωσε τέσσερις δράσεις από το σχέδιο δράσης πέντε σημείων που εγκρίθηκε μετά την έκθεση εσωτερικού ελέγχου 21/03 σχετικά με την επανεξέταση του πλαισίου προστασίας δεδομένων του οργάνου, με στόχο την περαιτέρω ενίσχυση της αποδοτικότητας και της αποτελεσματικότητας της επεξεργασίας δεδομένων προσωπικού χαρακτήρα από το όργανο·</w:t>
      </w:r>
    </w:p>
    <w:p w:rsidR="00507FAC" w:rsidRPr="00DF0B03" w:rsidRDefault="00DF0B03" w:rsidP="00DF0B03">
      <w:pPr>
        <w:pStyle w:val="NormalHanging12a"/>
        <w:widowControl/>
        <w:ind w:left="570" w:hanging="570"/>
        <w:rPr>
          <w:szCs w:val="24"/>
        </w:rPr>
      </w:pPr>
      <w:r w:rsidRPr="00DF0B03">
        <w:rPr>
          <w:szCs w:val="24"/>
        </w:rPr>
        <w:t>38.</w:t>
      </w:r>
      <w:r w:rsidRPr="00DF0B03">
        <w:rPr>
          <w:szCs w:val="24"/>
        </w:rPr>
        <w:tab/>
      </w:r>
      <w:r w:rsidR="00507FAC" w:rsidRPr="00DF0B03">
        <w:t>σημειώνει ότι, το 2022, ο Ευρωπαίος Επόπτης Προστασίας Δεδομένων («ΕΕΠΔ») υπέβαλε παρατηρήσεις σχετικά με μια αναφορά πολίτη, υποστηρίζοντας ότι οι πληροφορίες σχετικά με την προστασία των δεδομένων που παρείχε ο Διαμεσολαβητής στην τυποποιημένη βεβαίωση παραλαβής του ήταν ανεπαρκείς· σημειώνει με ικανοποίηση ότι ο ΕΕΠΔ περάτωσε την υπόθεση χωρίς περαιτέρω ενέργειες μετά την εισαγωγή των προτεινόμενων αλλαγών στο υπόδειγμα του Διαμεσολαβητή·</w:t>
      </w:r>
    </w:p>
    <w:p w:rsidR="00507FAC" w:rsidRPr="00DF0B03" w:rsidRDefault="00DF0B03" w:rsidP="00DF0B03">
      <w:pPr>
        <w:pStyle w:val="NormalHanging12a"/>
        <w:widowControl/>
        <w:ind w:left="570" w:hanging="570"/>
        <w:rPr>
          <w:szCs w:val="24"/>
        </w:rPr>
      </w:pPr>
      <w:r w:rsidRPr="00DF0B03">
        <w:rPr>
          <w:szCs w:val="24"/>
        </w:rPr>
        <w:t>39.</w:t>
      </w:r>
      <w:r w:rsidRPr="00DF0B03">
        <w:rPr>
          <w:szCs w:val="24"/>
        </w:rPr>
        <w:tab/>
      </w:r>
      <w:r w:rsidR="00507FAC" w:rsidRPr="00DF0B03">
        <w:t>εκφράζει την ικανοποίησή του για το γεγονός ότι υλοποιείται σύστημα ηλεκτρονικής τιμολόγησης σε συνεργασία με την Ευρωπαϊκή Επιτροπή (ΓΔ DIGIT)· ζητεί από τον Διαμεσολαβητή να αναφέρει λεπτομερώς ένα χρονοδιάγραμμα για την πλήρη εφαρμογή του συστήματος ηλεκτρονικής τιμολόγησης·</w:t>
      </w:r>
    </w:p>
    <w:p w:rsidR="00A2003C" w:rsidRPr="00DF0B03" w:rsidRDefault="00DF0B03" w:rsidP="00DF0B03">
      <w:pPr>
        <w:pStyle w:val="NormalHanging12a"/>
        <w:widowControl/>
        <w:ind w:left="570" w:hanging="570"/>
        <w:rPr>
          <w:szCs w:val="24"/>
        </w:rPr>
      </w:pPr>
      <w:r w:rsidRPr="00DF0B03">
        <w:rPr>
          <w:szCs w:val="24"/>
        </w:rPr>
        <w:t>40.</w:t>
      </w:r>
      <w:r w:rsidRPr="00DF0B03">
        <w:rPr>
          <w:szCs w:val="24"/>
        </w:rPr>
        <w:tab/>
      </w:r>
      <w:r w:rsidR="00A2003C" w:rsidRPr="00DF0B03">
        <w:rPr>
          <w:szCs w:val="24"/>
        </w:rPr>
        <w:t xml:space="preserve">συγχαίρει τη Διαμεσολαβήτρια για τη χρήση αποκλειστικά λογισμικού ανοικτού κώδικα στον </w:t>
      </w:r>
      <w:proofErr w:type="spellStart"/>
      <w:r w:rsidR="00A2003C" w:rsidRPr="00DF0B03">
        <w:rPr>
          <w:szCs w:val="24"/>
        </w:rPr>
        <w:t>ιστότοπό</w:t>
      </w:r>
      <w:proofErr w:type="spellEnd"/>
      <w:r w:rsidR="00A2003C" w:rsidRPr="00DF0B03">
        <w:rPr>
          <w:szCs w:val="24"/>
        </w:rPr>
        <w:t xml:space="preserve"> της και για τη </w:t>
      </w:r>
      <w:r w:rsidR="00A2003C" w:rsidRPr="00DF0B03">
        <w:t>χρήση</w:t>
      </w:r>
      <w:r w:rsidR="00A2003C" w:rsidRPr="00DF0B03">
        <w:rPr>
          <w:szCs w:val="24"/>
        </w:rPr>
        <w:t xml:space="preserve"> εργαλείων ανοικτού κώδικα κατά προτεραιότητα για εσωτερικούς σκοπούς, όπου αυτό είναι δυνατόν·</w:t>
      </w:r>
    </w:p>
    <w:p w:rsidR="00507FAC" w:rsidRPr="00DF0B03" w:rsidRDefault="00507FAC" w:rsidP="00D87A80">
      <w:pPr>
        <w:pStyle w:val="NormalHanging12a"/>
        <w:widowControl/>
        <w:ind w:left="0" w:firstLine="0"/>
        <w:rPr>
          <w:b/>
          <w:i/>
          <w:szCs w:val="24"/>
        </w:rPr>
      </w:pPr>
      <w:r w:rsidRPr="00DF0B03">
        <w:rPr>
          <w:b/>
          <w:i/>
        </w:rPr>
        <w:t>Κτίρια</w:t>
      </w:r>
    </w:p>
    <w:p w:rsidR="00507FAC" w:rsidRPr="00DF0B03" w:rsidRDefault="00DF0B03" w:rsidP="00DF0B03">
      <w:pPr>
        <w:pStyle w:val="NormalHanging12a"/>
        <w:widowControl/>
        <w:ind w:left="570" w:hanging="570"/>
        <w:rPr>
          <w:szCs w:val="24"/>
        </w:rPr>
      </w:pPr>
      <w:r w:rsidRPr="00DF0B03">
        <w:rPr>
          <w:szCs w:val="24"/>
        </w:rPr>
        <w:lastRenderedPageBreak/>
        <w:t>41.</w:t>
      </w:r>
      <w:r w:rsidRPr="00DF0B03">
        <w:rPr>
          <w:szCs w:val="24"/>
        </w:rPr>
        <w:tab/>
      </w:r>
      <w:r w:rsidR="00507FAC" w:rsidRPr="00DF0B03">
        <w:t>σημειώνει ότι, μετά τη μετακίνηση του Γραφείου Βρυξελλών του Διαμεσολαβητή σε νέες εγκαταστάσεις που παρείχε το Κοινοβούλιο το 2021, το κτίριο οργανώθηκε ως συνεργατικός χώρος εργασίας με πολύ λίγα ατομικά γραφεία και ευέλικτες συνεργατικές εγκαταστάσεις συνεδριάσεων· σημειώνει με ικανοποίηση το γεγονός ότι ο Διαμεσολαβητής δεν εφαρμόζει την πρακτική της εκ περιτροπής χρήσης των γραφείων (</w:t>
      </w:r>
      <w:proofErr w:type="spellStart"/>
      <w:r w:rsidR="00507FAC" w:rsidRPr="00DF0B03">
        <w:t>hot-desking</w:t>
      </w:r>
      <w:proofErr w:type="spellEnd"/>
      <w:r w:rsidR="00507FAC" w:rsidRPr="00DF0B03">
        <w:t>) και ότι όλα τα μέλη του προσωπικού διαθέτουν δικό τους γραφείο με επαρκείς χώρους αποθήκευσης· εκφράζει την ανησυχία του για το γεγονός ότι δεν διοργανώθηκε έρευνα προσωπικού από τον Διαμεσολαβητή πριν από τη μετακίνηση του Γραφείου Βρυξελλών σε συνεργατικό χώρο· σημειώνει ότι από μια γενική έρευνα προσωπικού που διενεργήθηκε το 2023 προκύπτει ότι η πλειονότητα του προσωπικού αντιμετωπίζει θετικά τη νέα διαρρύθμιση του χώρου· εκφράζει επίσης την ικανοποίησή του για το γεγονός ότι παρεχόταν ενημέρωση στο προσωπικό σχετικά με ορισμένες αποφάσεις που αφορούν τη διαρρύθμιση του χώρου εργασίας, όπως τα χρώματα, πριν από τη μετακίνηση·</w:t>
      </w:r>
    </w:p>
    <w:p w:rsidR="00507FAC" w:rsidRPr="00DF0B03" w:rsidRDefault="00DF0B03" w:rsidP="00DF0B03">
      <w:pPr>
        <w:pStyle w:val="NormalHanging12a"/>
        <w:widowControl/>
        <w:ind w:left="570" w:hanging="570"/>
        <w:rPr>
          <w:szCs w:val="24"/>
        </w:rPr>
      </w:pPr>
      <w:r w:rsidRPr="00DF0B03">
        <w:rPr>
          <w:szCs w:val="24"/>
        </w:rPr>
        <w:t>42.</w:t>
      </w:r>
      <w:r w:rsidRPr="00DF0B03">
        <w:rPr>
          <w:szCs w:val="24"/>
        </w:rPr>
        <w:tab/>
      </w:r>
      <w:r w:rsidR="00507FAC" w:rsidRPr="00DF0B03">
        <w:t>σημειώνει ότι ο Διαμεσολαβητής επέστρεψε, κατόπιν αιτήματος του Κοινοβουλίου, το 20,5 % του εμβαδού του χώρου που μίσθωνε το Κοινοβούλιο στο Στρασβούργο, με αποτέλεσμα να μειωθεί αντίστοιχα το καταβαλλόμενο μίσθωμα·</w:t>
      </w:r>
    </w:p>
    <w:p w:rsidR="00507FAC" w:rsidRPr="00DF0B03" w:rsidRDefault="00DF0B03" w:rsidP="00DF0B03">
      <w:pPr>
        <w:pStyle w:val="NormalHanging12a"/>
        <w:widowControl/>
        <w:ind w:left="570" w:hanging="570"/>
        <w:rPr>
          <w:szCs w:val="24"/>
        </w:rPr>
      </w:pPr>
      <w:r w:rsidRPr="00DF0B03">
        <w:rPr>
          <w:szCs w:val="24"/>
        </w:rPr>
        <w:t>43.</w:t>
      </w:r>
      <w:r w:rsidRPr="00DF0B03">
        <w:rPr>
          <w:szCs w:val="24"/>
        </w:rPr>
        <w:tab/>
      </w:r>
      <w:r w:rsidR="00507FAC" w:rsidRPr="00DF0B03">
        <w:t xml:space="preserve">υπενθυμίζει ότι ο Διαμεσολαβητής δεν έχει δικά του κτίρια, αλλά μισθώνει κτίριο στις Βρυξέλλες και χώρο γραφείων στο Στρασβούργο· σημειώνει με ικανοποίηση ότι το κτίριο </w:t>
      </w:r>
      <w:proofErr w:type="spellStart"/>
      <w:r w:rsidR="00507FAC" w:rsidRPr="00DF0B03">
        <w:t>Havel</w:t>
      </w:r>
      <w:proofErr w:type="spellEnd"/>
      <w:r w:rsidR="00507FAC" w:rsidRPr="00DF0B03">
        <w:t xml:space="preserve"> στο Στρασβούργο είναι πλήρως προσβάσιμο σε άτομα με μειωμένη κινητικότητα ή άλλες αναπηρίες, ενώ εκφράζει έντονη δυσαρέσκεια για το γεγονός ότι η προσβασιμότητα του μισθωμένου κτιρίου στις Βρυξέλλες χρήζει βελτίωσης· καλεί το Κοινοβούλιο να βελτιώσει την προσβασιμότητα στο κτίριο που ενοικιάζεται στον Διαμεσολαβητή στις Βρυξέλλες·</w:t>
      </w:r>
    </w:p>
    <w:p w:rsidR="00507FAC" w:rsidRPr="00DF0B03" w:rsidRDefault="00507FAC" w:rsidP="00D87A80">
      <w:pPr>
        <w:pStyle w:val="NormalHanging12a"/>
        <w:widowControl/>
        <w:ind w:left="0" w:firstLine="0"/>
        <w:rPr>
          <w:b/>
          <w:i/>
          <w:szCs w:val="24"/>
        </w:rPr>
      </w:pPr>
      <w:r w:rsidRPr="00DF0B03">
        <w:rPr>
          <w:b/>
          <w:i/>
        </w:rPr>
        <w:t>Περιβάλλον και βιωσιμότητα</w:t>
      </w:r>
    </w:p>
    <w:p w:rsidR="00507FAC" w:rsidRPr="00DF0B03" w:rsidRDefault="00DF0B03" w:rsidP="00DF0B03">
      <w:pPr>
        <w:pStyle w:val="NormalHanging12a"/>
        <w:widowControl/>
        <w:ind w:left="570" w:hanging="570"/>
        <w:rPr>
          <w:szCs w:val="24"/>
        </w:rPr>
      </w:pPr>
      <w:r w:rsidRPr="00DF0B03">
        <w:rPr>
          <w:szCs w:val="24"/>
        </w:rPr>
        <w:t>44.</w:t>
      </w:r>
      <w:r w:rsidRPr="00DF0B03">
        <w:rPr>
          <w:szCs w:val="24"/>
        </w:rPr>
        <w:tab/>
      </w:r>
      <w:r w:rsidR="00507FAC" w:rsidRPr="00DF0B03">
        <w:t>εκφράζει την ικανοποίησή του για το γεγονός ότι, με την πάροδο του χρόνου, ο Διαμεσολαβητής έχει μειώσει το περιβαλλοντικό του αποτύπωμα, ιδίως με την ψηφιοποίηση των διαδικασιών και δημοσιεύσεων του, όπως η ετήσια έκθεση, με την απόσυρση των ατομικών εκτυπωτών και με μέτρα για τη βελτίωση της βιωσιμότητας των εκδηλώσεων· σημειώνει ότι, όσον αφορά το περιβαλλοντικό αποτύπωμα των κτιρίων του, ο Διαμεσολαβητής βασίζεται στα μέτρα που λαμβάνει το Κοινοβούλιο υπό την ιδιότητά του ως ιδιοκτήτη των κτιρίων· αναγνωρίζει ότι ο Διαμεσολαβητής διαβίβασε το αίτημά του στο Κοινοβούλιο, το οποίο διατυπώθηκε στην απαλλαγή για το 2021, να εγκατασταθούν ηλιακοί συλλέκτες στην οροφή των κτιρίων του·</w:t>
      </w:r>
    </w:p>
    <w:p w:rsidR="00507FAC" w:rsidRPr="00DF0B03" w:rsidRDefault="00DF0B03" w:rsidP="00DF0B03">
      <w:pPr>
        <w:pStyle w:val="NormalHanging12a"/>
        <w:widowControl/>
        <w:ind w:left="570" w:hanging="570"/>
        <w:rPr>
          <w:szCs w:val="24"/>
        </w:rPr>
      </w:pPr>
      <w:r w:rsidRPr="00DF0B03">
        <w:rPr>
          <w:szCs w:val="24"/>
        </w:rPr>
        <w:t>45.</w:t>
      </w:r>
      <w:r w:rsidRPr="00DF0B03">
        <w:rPr>
          <w:szCs w:val="24"/>
        </w:rPr>
        <w:tab/>
      </w:r>
      <w:r w:rsidR="00507FAC" w:rsidRPr="00DF0B03">
        <w:t>σημειώνει ότι ο Διαμεσολαβητής συνέχισε να ενθαρρύνει τη βιώσιμη κινητικότητα το 2022, και συγκεκριμένα παρέχοντας οικονομική στήριξη για τις ετήσιες συνδρομές στα μέσα μαζικής μεταφοράς, περιορίζοντας τους διαθέσιμους χώρους στάθμευσης αυτοκινήτων και βελτιώνοντας τις εγκαταστάσεις και τους χώρους στάθμευσης για τους ποδηλάτες·</w:t>
      </w:r>
    </w:p>
    <w:p w:rsidR="00507FAC" w:rsidRPr="00DF0B03" w:rsidRDefault="00507FAC" w:rsidP="00D87A80">
      <w:pPr>
        <w:pStyle w:val="NormalHanging12a"/>
        <w:widowControl/>
        <w:ind w:left="0" w:firstLine="0"/>
        <w:rPr>
          <w:b/>
          <w:i/>
          <w:szCs w:val="24"/>
        </w:rPr>
      </w:pPr>
      <w:r w:rsidRPr="00DF0B03">
        <w:rPr>
          <w:b/>
          <w:i/>
        </w:rPr>
        <w:t>Διοργανική συνεργασία</w:t>
      </w:r>
    </w:p>
    <w:p w:rsidR="00507FAC" w:rsidRPr="00DF0B03" w:rsidRDefault="00DF0B03" w:rsidP="00DF0B03">
      <w:pPr>
        <w:pStyle w:val="NormalHanging12a"/>
        <w:widowControl/>
        <w:ind w:left="570" w:hanging="570"/>
        <w:rPr>
          <w:szCs w:val="24"/>
        </w:rPr>
      </w:pPr>
      <w:r w:rsidRPr="00DF0B03">
        <w:rPr>
          <w:szCs w:val="24"/>
        </w:rPr>
        <w:t>46.</w:t>
      </w:r>
      <w:r w:rsidRPr="00DF0B03">
        <w:rPr>
          <w:szCs w:val="24"/>
        </w:rPr>
        <w:tab/>
      </w:r>
      <w:r w:rsidR="00507FAC" w:rsidRPr="00DF0B03">
        <w:t xml:space="preserve">εκφράζει την ικανοποίησή του για την εξοικονόμηση οικονομικών και διοικητικών πόρων που επιτεύχθηκε μέσω της διοργανικής συνεργασίας, ιδίως για το ευρύ φάσμα συμφωνιών επιπέδου εξυπηρέτησης που έχουν συναφθεί με το Κοινοβούλιο και την Επιτροπή και τη συμμετοχή σε διοργανικές διαδικασίες σύναψης συμβάσεων· </w:t>
      </w:r>
      <w:r w:rsidR="00507FAC" w:rsidRPr="00DF0B03">
        <w:lastRenderedPageBreak/>
        <w:t>σημειώνει ότι, το 2022, ο Διαμεσολαβητής ανέπτυξε νέες συνέργειες με άλλα θεσμικά όργανα και υπέγραψε συμφωνίες σχετικά με την παροχή υπηρεσιών, αφενός από την Επιτροπή όσον αφορά τη χρήση των εγκεκριμένων πιστοποιητικών εξ αποστάσεως υπογραφής, και αφετέρου από το γραφείο εξυπηρέτησης του προσωπικού και το γραφείο πληροφοριών του Κοινοβουλίου·</w:t>
      </w:r>
    </w:p>
    <w:p w:rsidR="00507FAC" w:rsidRPr="00DF0B03" w:rsidRDefault="00DF0B03" w:rsidP="00DF0B03">
      <w:pPr>
        <w:pStyle w:val="NormalHanging12a"/>
        <w:widowControl/>
        <w:ind w:left="570" w:hanging="570"/>
        <w:rPr>
          <w:szCs w:val="24"/>
        </w:rPr>
      </w:pPr>
      <w:r w:rsidRPr="00DF0B03">
        <w:rPr>
          <w:szCs w:val="24"/>
        </w:rPr>
        <w:t>47.</w:t>
      </w:r>
      <w:r w:rsidRPr="00DF0B03">
        <w:rPr>
          <w:szCs w:val="24"/>
        </w:rPr>
        <w:tab/>
      </w:r>
      <w:r w:rsidR="00507FAC" w:rsidRPr="00DF0B03">
        <w:t>αναγνωρίζει τη σημασία της διατήρησης υψηλού επιπέδου ανταλλαγών και συντονισμού με το Ευρωπαϊκό Δίκτυο Διαμεσολαβητών (ENO)· εκφράζει την ικανοποίησή του για τη διοργάνωση της ετήσιας διάσκεψης και του θεματικού διαδικτυακού σεμιναρίου του ENO ως σημαντικών φόρουμ συζήτησης για επίκαιρα θέματα που είχαν αντίκτυπο στο έργο των διαμεσολαβητών σε ολόκληρη την Ευρώπη το 2022·</w:t>
      </w:r>
    </w:p>
    <w:p w:rsidR="00507FAC" w:rsidRPr="00DF0B03" w:rsidRDefault="00DF0B03" w:rsidP="00DF0B03">
      <w:pPr>
        <w:pStyle w:val="NormalHanging12a"/>
        <w:widowControl/>
        <w:ind w:left="570" w:hanging="570"/>
        <w:rPr>
          <w:szCs w:val="24"/>
        </w:rPr>
      </w:pPr>
      <w:r w:rsidRPr="00DF0B03">
        <w:rPr>
          <w:szCs w:val="24"/>
        </w:rPr>
        <w:t>48.</w:t>
      </w:r>
      <w:r w:rsidRPr="00DF0B03">
        <w:rPr>
          <w:szCs w:val="24"/>
        </w:rPr>
        <w:tab/>
      </w:r>
      <w:r w:rsidR="00507FAC" w:rsidRPr="00DF0B03">
        <w:t>εκφράζει την ικανοποίησή του για τη συνεργασία που διατηρεί ο Διαμεσολαβητής με την Ευρωπαϊκή Εισαγγελία, το Ελεγκτικό Συνέδριο και την OLAF, με στόχο την αποφυγή της αλληλεπικάλυψης των ερευνών και τη συζήτηση θεμάτων αμοιβαίου ενδιαφέροντος, όπως η βελτίωση του πλαισίου εποπτείας της Ένωσης· εκφράζει επίσης την ικανοποίησή του για τους διαύλους συνεργασίας που έχουν τεθεί σε εφαρμογή με τον ΕΕΠΔ, προκειμένου να διασφαλίζεται η ταχεία διασταυρούμενη διαβούλευση στο καθημερινό έργο αμφοτέρων των οργάνων, καθώς και για το μνημόνιο συνεννόησης που οριοθετεί τις αντίστοιχες αρμοδιότητες κάθε οργάνου με στόχο να αποφεύγεται η αλληλεπικάλυψη των διαδικασιών·</w:t>
      </w:r>
    </w:p>
    <w:p w:rsidR="00507FAC" w:rsidRPr="00DF0B03" w:rsidRDefault="00DF0B03" w:rsidP="00DF0B03">
      <w:pPr>
        <w:pStyle w:val="NormalHanging12a"/>
        <w:widowControl/>
        <w:ind w:left="570" w:hanging="570"/>
        <w:rPr>
          <w:szCs w:val="24"/>
        </w:rPr>
      </w:pPr>
      <w:r w:rsidRPr="00DF0B03">
        <w:rPr>
          <w:szCs w:val="24"/>
        </w:rPr>
        <w:t>49.</w:t>
      </w:r>
      <w:r w:rsidRPr="00DF0B03">
        <w:rPr>
          <w:szCs w:val="24"/>
        </w:rPr>
        <w:tab/>
      </w:r>
      <w:r w:rsidR="00507FAC" w:rsidRPr="00DF0B03">
        <w:t>εκφράζει την ικανοποίησή του για το γεγονός ότι ο Διαμεσολαβητής συνεργάζεται στενά με τις αρμόδιες επιτροπές του Ευρωπαϊκού Κοινοβουλίου σε σημαντικές έρευνες, είτε παρουσιάζοντας το έργο του απευθείας στις συνεδριάσεις των επιτροπών είτε μέσω της διαβίβασης πληροφοριών στους προέδρους των επιτροπών· επισημαίνει ότι οι στρατηγικές πρωτοβουλίες και έρευνες που διεξάγει ο Διαμεσολαβητής είναι καίριας σημασίας για τη βελτίωση της διαφάνειας και της λογοδοσίας της διοίκησης της Ένωσης·</w:t>
      </w:r>
    </w:p>
    <w:p w:rsidR="00507FAC" w:rsidRPr="00DF0B03" w:rsidRDefault="00507FAC" w:rsidP="00D87A80">
      <w:pPr>
        <w:pStyle w:val="NormalHanging12a"/>
        <w:widowControl/>
        <w:ind w:left="0" w:firstLine="0"/>
        <w:rPr>
          <w:b/>
          <w:i/>
          <w:szCs w:val="24"/>
        </w:rPr>
      </w:pPr>
      <w:r w:rsidRPr="00DF0B03">
        <w:rPr>
          <w:b/>
          <w:i/>
        </w:rPr>
        <w:t>Επικοινωνία</w:t>
      </w:r>
    </w:p>
    <w:p w:rsidR="00507FAC" w:rsidRPr="00DF0B03" w:rsidRDefault="00DF0B03" w:rsidP="00DF0B03">
      <w:pPr>
        <w:pStyle w:val="NormalHanging12a"/>
        <w:widowControl/>
        <w:ind w:left="570" w:hanging="570"/>
        <w:rPr>
          <w:szCs w:val="24"/>
        </w:rPr>
      </w:pPr>
      <w:r w:rsidRPr="00DF0B03">
        <w:rPr>
          <w:szCs w:val="24"/>
        </w:rPr>
        <w:t>50.</w:t>
      </w:r>
      <w:r w:rsidRPr="00DF0B03">
        <w:rPr>
          <w:szCs w:val="24"/>
        </w:rPr>
        <w:tab/>
      </w:r>
      <w:r w:rsidR="00507FAC" w:rsidRPr="00DF0B03">
        <w:t>σημειώνει ότι ο συνολικός προϋπολογισμός για δραστηριότητες επικοινωνίας και προώθησης αυξήθηκε από 92 100 EUR σε 132 400 EUR, ήτοι 43,8 %, μεταξύ 2021 και 2022· συγχαίρει τη Διαμεσολαβήτρια για την ανάπτυξη μιας ολοκληρωμένης επικοινωνιακής στρατηγικής που έχει συμβάλει στην ενίσχυση της προσέγγισης εξειδικευμένων ακροατηρίων καθώς και του ευρύτερου κοινού· σημειώνει ότι στα ευρωπαϊκά μέσα ενημέρωσης δημοσιεύτηκαν 60 % περισσότερα άρθρα σχετικά με τον Διαμεσολαβητή σε σύγκριση με το 2021·</w:t>
      </w:r>
    </w:p>
    <w:p w:rsidR="00507FAC" w:rsidRPr="00DF0B03" w:rsidRDefault="00DF0B03" w:rsidP="00DF0B03">
      <w:pPr>
        <w:pStyle w:val="NormalHanging12a"/>
        <w:widowControl/>
        <w:ind w:left="570" w:hanging="570"/>
        <w:rPr>
          <w:szCs w:val="24"/>
        </w:rPr>
      </w:pPr>
      <w:r w:rsidRPr="00DF0B03">
        <w:rPr>
          <w:szCs w:val="24"/>
        </w:rPr>
        <w:t>51.</w:t>
      </w:r>
      <w:r w:rsidRPr="00DF0B03">
        <w:rPr>
          <w:szCs w:val="24"/>
        </w:rPr>
        <w:tab/>
      </w:r>
      <w:r w:rsidR="00507FAC" w:rsidRPr="00DF0B03">
        <w:t>εκφράζει την ικανοποίησή του για τις προσπάθειες του Διαμεσολαβητή να ενισχύσει την ενημέρωση των πολιτών σχετικά με τον ρόλο του και τη δυνατότητα προσφυγής σε αυτόν σε περίπτωση κακοδιοίκησης από θεσμικό όργανο της Ένωσης· αναγνωρίζει τις προσπάθειες που έχουν καταβληθεί για την παροχή διαφανών πληροφοριών και τη δημοσίευση δεδομένων σε ενημερωτική και φιλική προς τον χρήστη μορφή στον ιστότοπο του Διαμεσολαβητή, μολονότι τα δεδομένα αυτά δεν είναι διαθέσιμα σε ανοικτό μορφότυπο· εκφράζει την ικανοποίησή του για την έγκριση νέου λογότυπου και νέας οπτικής ταυτότητας προκειμένου να ενισχυθεί η προβολή του έργου του Διαμεσολαβητή και να καταστεί αναγνωρίσιμος ως όργανο της Ένωσης·</w:t>
      </w:r>
    </w:p>
    <w:p w:rsidR="00507FAC" w:rsidRPr="00DF0B03" w:rsidRDefault="00DF0B03" w:rsidP="00DF0B03">
      <w:pPr>
        <w:pStyle w:val="NormalHanging12a"/>
        <w:widowControl/>
        <w:ind w:left="570" w:hanging="570"/>
        <w:rPr>
          <w:szCs w:val="24"/>
        </w:rPr>
      </w:pPr>
      <w:r w:rsidRPr="00DF0B03">
        <w:rPr>
          <w:szCs w:val="24"/>
        </w:rPr>
        <w:lastRenderedPageBreak/>
        <w:t>52.</w:t>
      </w:r>
      <w:r w:rsidRPr="00DF0B03">
        <w:rPr>
          <w:szCs w:val="24"/>
        </w:rPr>
        <w:tab/>
      </w:r>
      <w:r w:rsidR="00507FAC" w:rsidRPr="00DF0B03">
        <w:t>εκτιμά τη χρήση από τον Διαμεσολαβητή ενός αυτοματοποιημένου εργαλείου για τη μετάφραση υποθέσεων στον ιστότοπο και ζητεί από τον Διαμεσολαβητή να διασφαλίσει την απρόσκοπτη και έγκαιρη μετάφραση των υποθέσεων του σε όλες τις γλώσσες·</w:t>
      </w:r>
    </w:p>
    <w:p w:rsidR="00507FAC" w:rsidRPr="00DF0B03" w:rsidRDefault="00DF0B03" w:rsidP="00DF0B03">
      <w:pPr>
        <w:widowControl/>
        <w:spacing w:after="240"/>
        <w:ind w:left="570" w:hanging="570"/>
      </w:pPr>
      <w:r w:rsidRPr="00DF0B03">
        <w:t>53.</w:t>
      </w:r>
      <w:r w:rsidRPr="00DF0B03">
        <w:tab/>
      </w:r>
      <w:r w:rsidR="00507FAC" w:rsidRPr="00DF0B03">
        <w:t xml:space="preserve">σημειώνει ότι ο Διαμεσολαβητής διαθέτει λογαριασμούς μέσων κοινωνικής δικτύωσης στο </w:t>
      </w:r>
      <w:proofErr w:type="spellStart"/>
      <w:r w:rsidR="00507FAC" w:rsidRPr="00DF0B03">
        <w:t>Instagram</w:t>
      </w:r>
      <w:proofErr w:type="spellEnd"/>
      <w:r w:rsidR="00507FAC" w:rsidRPr="00DF0B03">
        <w:t xml:space="preserve">, το LinkedIn, το X (πρώην </w:t>
      </w:r>
      <w:proofErr w:type="spellStart"/>
      <w:r w:rsidR="00507FAC" w:rsidRPr="00DF0B03">
        <w:t>twitter</w:t>
      </w:r>
      <w:proofErr w:type="spellEnd"/>
      <w:r w:rsidR="00507FAC" w:rsidRPr="00DF0B03">
        <w:t>), όπου η αύξηση των ακολούθων και τα ποσοστά αλληλεπίδρασης ήταν υψηλότερα το 2022 από ό,τι τα προηγούμενα έτη· σημειώνει ότι ο Διαμεσολαβητής συμμετείχε σε πιλοτικό σχέδιο υπό την καθοδήγηση του ΕΕΠΔ, το οποίο είχε ως στόχο να φέρει τα θεσμικά όργανα της Ένωσης στο EU-</w:t>
      </w:r>
      <w:proofErr w:type="spellStart"/>
      <w:r w:rsidR="00507FAC" w:rsidRPr="00DF0B03">
        <w:t>Voice</w:t>
      </w:r>
      <w:proofErr w:type="spellEnd"/>
      <w:r w:rsidR="00507FAC" w:rsidRPr="00DF0B03">
        <w:t xml:space="preserve"> και στο EU-</w:t>
      </w:r>
      <w:proofErr w:type="spellStart"/>
      <w:r w:rsidR="00507FAC" w:rsidRPr="00DF0B03">
        <w:t>Video</w:t>
      </w:r>
      <w:proofErr w:type="spellEnd"/>
      <w:r w:rsidR="00507FAC" w:rsidRPr="00DF0B03">
        <w:t xml:space="preserve">, τα οποία είναι δύο ελεύθερα δίκτυα μέσων κοινωνικής δικτύωσης ανοικτού κώδικα, με βάση το λογισμικό </w:t>
      </w:r>
      <w:proofErr w:type="spellStart"/>
      <w:r w:rsidR="00507FAC" w:rsidRPr="00DF0B03">
        <w:t>Mastodon</w:t>
      </w:r>
      <w:proofErr w:type="spellEnd"/>
      <w:r w:rsidR="00507FAC" w:rsidRPr="00DF0B03">
        <w:t xml:space="preserve">, και επιτρέπουν στα θεσμικά όργανα της ΕΕ να αλληλεπιδρούν με το κοινό μέσω της ανταλλαγής κειμένων, εικόνων, βίντεο και </w:t>
      </w:r>
      <w:proofErr w:type="spellStart"/>
      <w:r w:rsidR="00507FAC" w:rsidRPr="00DF0B03">
        <w:t>podcast</w:t>
      </w:r>
      <w:proofErr w:type="spellEnd"/>
      <w:r w:rsidR="00507FAC" w:rsidRPr="00DF0B03">
        <w:t>.</w:t>
      </w:r>
    </w:p>
    <w:p w:rsidR="00D87A80" w:rsidRPr="00DF0B03" w:rsidRDefault="00D87A80" w:rsidP="00D87A80">
      <w:pPr>
        <w:widowControl/>
        <w:spacing w:after="240"/>
        <w:ind w:left="567" w:hanging="567"/>
      </w:pPr>
    </w:p>
    <w:sectPr w:rsidR="00D87A80" w:rsidRPr="00DF0B03" w:rsidSect="00F638A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632C" w:rsidRPr="00F638A0" w:rsidRDefault="0002632C">
      <w:r w:rsidRPr="00F638A0">
        <w:separator/>
      </w:r>
    </w:p>
  </w:endnote>
  <w:endnote w:type="continuationSeparator" w:id="0">
    <w:p w:rsidR="0002632C" w:rsidRPr="00F638A0" w:rsidRDefault="0002632C">
      <w:r w:rsidRPr="00F638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FAC" w:rsidRPr="00F638A0" w:rsidRDefault="00507FAC" w:rsidP="009374A1">
    <w:pPr>
      <w:pStyle w:val="EPFooter"/>
    </w:pPr>
    <w:r w:rsidRPr="00F638A0">
      <w:t>PE</w:t>
    </w:r>
    <w:r w:rsidRPr="00F638A0">
      <w:rPr>
        <w:rStyle w:val="HideTWBExt"/>
      </w:rPr>
      <w:t>&lt;NoPE&gt;</w:t>
    </w:r>
    <w:r w:rsidRPr="00F638A0">
      <w:t>753.486</w:t>
    </w:r>
    <w:r w:rsidRPr="00F638A0">
      <w:rPr>
        <w:rStyle w:val="HideTWBExt"/>
      </w:rPr>
      <w:t>&lt;/NoPE&gt;&lt;Version&gt;</w:t>
    </w:r>
    <w:r w:rsidRPr="00F638A0">
      <w:t>v02-00</w:t>
    </w:r>
    <w:r w:rsidRPr="00F638A0">
      <w:rPr>
        <w:rStyle w:val="HideTWBExt"/>
      </w:rPr>
      <w:t>&lt;/Version&gt;</w:t>
    </w:r>
    <w:r w:rsidRPr="00F638A0">
      <w:tab/>
    </w:r>
    <w:r w:rsidRPr="00F638A0">
      <w:fldChar w:fldCharType="begin"/>
    </w:r>
    <w:r w:rsidRPr="00F638A0">
      <w:instrText xml:space="preserve"> PAGE  \* MERGEFORMAT </w:instrText>
    </w:r>
    <w:r w:rsidRPr="00F638A0">
      <w:fldChar w:fldCharType="separate"/>
    </w:r>
    <w:r w:rsidR="00F638A0" w:rsidRPr="00F638A0">
      <w:rPr>
        <w:noProof/>
      </w:rPr>
      <w:t>2</w:t>
    </w:r>
    <w:r w:rsidRPr="00F638A0">
      <w:fldChar w:fldCharType="end"/>
    </w:r>
    <w:r w:rsidRPr="00F638A0">
      <w:t>/</w:t>
    </w:r>
    <w:r w:rsidR="00DF0B03">
      <w:fldChar w:fldCharType="begin"/>
    </w:r>
    <w:r w:rsidR="00DF0B03">
      <w:instrText xml:space="preserve"> NUMPAGES  \* MERGEFORMAT </w:instrText>
    </w:r>
    <w:r w:rsidR="00DF0B03">
      <w:fldChar w:fldCharType="separate"/>
    </w:r>
    <w:r w:rsidR="00F638A0" w:rsidRPr="00F638A0">
      <w:rPr>
        <w:noProof/>
      </w:rPr>
      <w:t>4</w:t>
    </w:r>
    <w:r w:rsidR="00DF0B03">
      <w:rPr>
        <w:noProof/>
      </w:rPr>
      <w:fldChar w:fldCharType="end"/>
    </w:r>
    <w:r w:rsidRPr="00F638A0">
      <w:tab/>
    </w:r>
    <w:r w:rsidRPr="00F638A0">
      <w:rPr>
        <w:rStyle w:val="HideTWBExt"/>
      </w:rPr>
      <w:t>&lt;PathFdR&gt;</w:t>
    </w:r>
    <w:r w:rsidRPr="00F638A0">
      <w:t>RR\1298678EL.docx</w:t>
    </w:r>
    <w:r w:rsidRPr="00F638A0">
      <w:rPr>
        <w:rStyle w:val="HideTWBExt"/>
      </w:rPr>
      <w:t>&lt;/PathFdR&gt;</w:t>
    </w:r>
  </w:p>
  <w:p w:rsidR="00507FAC" w:rsidRPr="00F638A0" w:rsidRDefault="00507FAC" w:rsidP="009374A1">
    <w:pPr>
      <w:pStyle w:val="EPFooter2"/>
    </w:pPr>
    <w:r w:rsidRPr="00F638A0">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FAC" w:rsidRPr="00F638A0" w:rsidRDefault="00507FAC" w:rsidP="009374A1">
    <w:pPr>
      <w:pStyle w:val="EPFooter"/>
    </w:pPr>
    <w:r w:rsidRPr="00F638A0">
      <w:rPr>
        <w:rStyle w:val="HideTWBExt"/>
      </w:rPr>
      <w:t>&lt;PathFdR&gt;</w:t>
    </w:r>
    <w:r w:rsidRPr="00F638A0">
      <w:t>RR\1298678EL.docx</w:t>
    </w:r>
    <w:r w:rsidRPr="00F638A0">
      <w:rPr>
        <w:rStyle w:val="HideTWBExt"/>
      </w:rPr>
      <w:t>&lt;/PathFdR&gt;</w:t>
    </w:r>
    <w:r w:rsidRPr="00F638A0">
      <w:tab/>
    </w:r>
    <w:r w:rsidRPr="00F638A0">
      <w:tab/>
      <w:t>PE</w:t>
    </w:r>
    <w:r w:rsidRPr="00F638A0">
      <w:rPr>
        <w:rStyle w:val="HideTWBExt"/>
      </w:rPr>
      <w:t>&lt;NoPE&gt;</w:t>
    </w:r>
    <w:r w:rsidRPr="00F638A0">
      <w:t>753.486</w:t>
    </w:r>
    <w:r w:rsidRPr="00F638A0">
      <w:rPr>
        <w:rStyle w:val="HideTWBExt"/>
      </w:rPr>
      <w:t>&lt;/NoPE&gt;&lt;Version&gt;</w:t>
    </w:r>
    <w:r w:rsidRPr="00F638A0">
      <w:t>v02-00</w:t>
    </w:r>
    <w:r w:rsidRPr="00F638A0">
      <w:rPr>
        <w:rStyle w:val="HideTWBExt"/>
      </w:rPr>
      <w:t>&lt;/Version&gt;</w:t>
    </w:r>
  </w:p>
  <w:p w:rsidR="00507FAC" w:rsidRPr="00F638A0" w:rsidRDefault="00507FAC" w:rsidP="009374A1">
    <w:pPr>
      <w:pStyle w:val="EPFooter2"/>
    </w:pPr>
    <w:r w:rsidRPr="00F638A0">
      <w:t>EL</w:t>
    </w:r>
    <w:r w:rsidRPr="00F638A0">
      <w:tab/>
    </w:r>
    <w:r w:rsidRPr="00F638A0">
      <w:rPr>
        <w:b w:val="0"/>
        <w:i/>
        <w:color w:val="C0C0C0"/>
        <w:sz w:val="22"/>
      </w:rPr>
      <w:t>Ενωμένη στην πολυμορφία</w:t>
    </w:r>
    <w:r w:rsidRPr="00F638A0">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38A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38A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38A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632C" w:rsidRPr="00F638A0" w:rsidRDefault="0002632C">
      <w:r w:rsidRPr="00F638A0">
        <w:separator/>
      </w:r>
    </w:p>
  </w:footnote>
  <w:footnote w:type="continuationSeparator" w:id="0">
    <w:p w:rsidR="0002632C" w:rsidRPr="00F638A0" w:rsidRDefault="0002632C">
      <w:r w:rsidRPr="00F638A0">
        <w:continuationSeparator/>
      </w:r>
    </w:p>
  </w:footnote>
  <w:footnote w:id="1">
    <w:p w:rsidR="00507FAC" w:rsidRPr="00F638A0" w:rsidRDefault="00507FAC" w:rsidP="00D87A80">
      <w:pPr>
        <w:pStyle w:val="FootnoteText"/>
        <w:spacing w:line="240" w:lineRule="auto"/>
        <w:ind w:left="567" w:hanging="567"/>
        <w:rPr>
          <w:sz w:val="24"/>
          <w:lang w:val="el-GR"/>
        </w:rPr>
      </w:pPr>
      <w:r w:rsidRPr="00F638A0">
        <w:rPr>
          <w:rStyle w:val="FootnoteReference"/>
          <w:sz w:val="24"/>
          <w:lang w:val="el-GR"/>
        </w:rPr>
        <w:footnoteRef/>
      </w:r>
      <w:r w:rsidR="00F638A0" w:rsidRPr="00F638A0">
        <w:rPr>
          <w:sz w:val="24"/>
          <w:lang w:val="el-GR"/>
        </w:rPr>
        <w:t xml:space="preserve"> </w:t>
      </w:r>
      <w:r w:rsidR="00F638A0" w:rsidRPr="00F638A0">
        <w:rPr>
          <w:sz w:val="24"/>
          <w:lang w:val="el-GR"/>
        </w:rPr>
        <w:tab/>
      </w:r>
      <w:r w:rsidRPr="00F638A0">
        <w:rPr>
          <w:sz w:val="24"/>
          <w:lang w:val="el-GR"/>
        </w:rPr>
        <w:t>ΕΕ L 45 της 24.2.2022.</w:t>
      </w:r>
    </w:p>
  </w:footnote>
  <w:footnote w:id="2">
    <w:p w:rsidR="00507FAC" w:rsidRPr="00F638A0" w:rsidRDefault="00507FAC" w:rsidP="00D87A80">
      <w:pPr>
        <w:pStyle w:val="FootnoteText"/>
        <w:spacing w:line="240" w:lineRule="auto"/>
        <w:ind w:left="567" w:hanging="567"/>
        <w:rPr>
          <w:sz w:val="24"/>
          <w:lang w:val="el-GR"/>
        </w:rPr>
      </w:pPr>
      <w:r w:rsidRPr="00F638A0">
        <w:rPr>
          <w:rStyle w:val="FootnoteReference"/>
          <w:sz w:val="24"/>
          <w:lang w:val="el-GR"/>
        </w:rPr>
        <w:footnoteRef/>
      </w:r>
      <w:r w:rsidR="00F638A0" w:rsidRPr="00F638A0">
        <w:rPr>
          <w:sz w:val="24"/>
          <w:lang w:val="el-GR"/>
        </w:rPr>
        <w:t xml:space="preserve"> </w:t>
      </w:r>
      <w:r w:rsidR="00F638A0" w:rsidRPr="00F638A0">
        <w:rPr>
          <w:sz w:val="24"/>
          <w:lang w:val="el-GR"/>
        </w:rPr>
        <w:tab/>
      </w:r>
      <w:r w:rsidRPr="00F638A0">
        <w:rPr>
          <w:sz w:val="24"/>
          <w:lang w:val="el-GR"/>
        </w:rPr>
        <w:t>ΕΕ C, C/2023/2, 12.10.2023.</w:t>
      </w:r>
    </w:p>
  </w:footnote>
  <w:footnote w:id="3">
    <w:p w:rsidR="00507FAC" w:rsidRPr="00F638A0" w:rsidRDefault="00507FAC" w:rsidP="00D87A80">
      <w:pPr>
        <w:pStyle w:val="FootnoteText"/>
        <w:spacing w:line="240" w:lineRule="auto"/>
        <w:ind w:left="567" w:hanging="567"/>
        <w:rPr>
          <w:sz w:val="24"/>
          <w:lang w:val="el-GR"/>
        </w:rPr>
      </w:pPr>
      <w:r w:rsidRPr="00F638A0">
        <w:rPr>
          <w:rStyle w:val="FootnoteReference"/>
          <w:sz w:val="24"/>
          <w:lang w:val="el-GR"/>
        </w:rPr>
        <w:footnoteRef/>
      </w:r>
      <w:r w:rsidR="00F638A0" w:rsidRPr="00F638A0">
        <w:rPr>
          <w:sz w:val="24"/>
          <w:lang w:val="el-GR"/>
        </w:rPr>
        <w:t xml:space="preserve"> </w:t>
      </w:r>
      <w:r w:rsidR="00F638A0" w:rsidRPr="00F638A0">
        <w:rPr>
          <w:sz w:val="24"/>
          <w:lang w:val="el-GR"/>
        </w:rPr>
        <w:tab/>
      </w:r>
      <w:r w:rsidRPr="00F638A0">
        <w:rPr>
          <w:sz w:val="24"/>
          <w:lang w:val="el-GR"/>
        </w:rPr>
        <w:t>ΕΕ C, C/2023/103, 4.10.2023.</w:t>
      </w:r>
    </w:p>
  </w:footnote>
  <w:footnote w:id="4">
    <w:p w:rsidR="00507FAC" w:rsidRPr="00F638A0" w:rsidRDefault="00507FAC" w:rsidP="00D87A80">
      <w:pPr>
        <w:pStyle w:val="FootnoteText"/>
        <w:spacing w:line="240" w:lineRule="auto"/>
        <w:ind w:left="567" w:hanging="567"/>
        <w:rPr>
          <w:sz w:val="24"/>
          <w:lang w:val="el-GR"/>
        </w:rPr>
      </w:pPr>
      <w:r w:rsidRPr="00F638A0">
        <w:rPr>
          <w:rStyle w:val="FootnoteReference"/>
          <w:sz w:val="24"/>
          <w:lang w:val="el-GR"/>
        </w:rPr>
        <w:footnoteRef/>
      </w:r>
      <w:r w:rsidR="00F638A0" w:rsidRPr="00F638A0">
        <w:rPr>
          <w:sz w:val="24"/>
          <w:lang w:val="el-GR"/>
        </w:rPr>
        <w:t xml:space="preserve"> </w:t>
      </w:r>
      <w:r w:rsidR="00F638A0" w:rsidRPr="00F638A0">
        <w:rPr>
          <w:sz w:val="24"/>
          <w:lang w:val="el-GR"/>
        </w:rPr>
        <w:tab/>
      </w:r>
      <w:r w:rsidRPr="00F638A0">
        <w:rPr>
          <w:sz w:val="24"/>
          <w:lang w:val="el-GR"/>
        </w:rPr>
        <w:t>ΕΕ C, C/2023/112, 12.10.2023.</w:t>
      </w:r>
    </w:p>
  </w:footnote>
  <w:footnote w:id="5">
    <w:p w:rsidR="00507FAC" w:rsidRPr="00F638A0" w:rsidRDefault="00507FAC" w:rsidP="00D87A80">
      <w:pPr>
        <w:pStyle w:val="FootnoteText"/>
        <w:spacing w:line="240" w:lineRule="auto"/>
        <w:ind w:left="567" w:hanging="567"/>
        <w:rPr>
          <w:sz w:val="24"/>
          <w:szCs w:val="24"/>
          <w:lang w:val="el-GR"/>
        </w:rPr>
      </w:pPr>
      <w:r w:rsidRPr="00F638A0">
        <w:rPr>
          <w:rStyle w:val="FootnoteReference"/>
          <w:sz w:val="24"/>
          <w:lang w:val="el-GR"/>
        </w:rPr>
        <w:footnoteRef/>
      </w:r>
      <w:r w:rsidR="00F638A0" w:rsidRPr="00F638A0">
        <w:rPr>
          <w:sz w:val="24"/>
          <w:lang w:val="el-GR"/>
        </w:rPr>
        <w:t xml:space="preserve"> </w:t>
      </w:r>
      <w:r w:rsidR="00F638A0" w:rsidRPr="00F638A0">
        <w:rPr>
          <w:sz w:val="24"/>
          <w:lang w:val="el-GR"/>
        </w:rPr>
        <w:tab/>
      </w:r>
      <w:r w:rsidRPr="00F638A0">
        <w:rPr>
          <w:sz w:val="24"/>
          <w:lang w:val="el-GR"/>
        </w:rPr>
        <w:t>ΕΕ L 193 της 30.7.2018, σ. 1.</w:t>
      </w:r>
    </w:p>
  </w:footnote>
  <w:footnote w:id="6">
    <w:p w:rsidR="00507FAC" w:rsidRPr="00F638A0" w:rsidRDefault="00507FAC" w:rsidP="00D87A80">
      <w:pPr>
        <w:pStyle w:val="FootnoteText"/>
        <w:spacing w:line="240" w:lineRule="auto"/>
        <w:ind w:left="567" w:hanging="567"/>
        <w:rPr>
          <w:sz w:val="24"/>
          <w:lang w:val="el-GR"/>
        </w:rPr>
      </w:pPr>
      <w:r w:rsidRPr="00F638A0">
        <w:rPr>
          <w:rStyle w:val="FootnoteReference"/>
          <w:sz w:val="24"/>
          <w:lang w:val="el-GR"/>
        </w:rPr>
        <w:footnoteRef/>
      </w:r>
      <w:r w:rsidR="00F638A0" w:rsidRPr="00F638A0">
        <w:rPr>
          <w:sz w:val="24"/>
          <w:lang w:val="el-GR"/>
        </w:rPr>
        <w:t xml:space="preserve"> </w:t>
      </w:r>
      <w:r w:rsidR="00F638A0" w:rsidRPr="00F638A0">
        <w:rPr>
          <w:sz w:val="24"/>
          <w:lang w:val="el-GR"/>
        </w:rPr>
        <w:tab/>
      </w:r>
      <w:r w:rsidRPr="00F638A0">
        <w:rPr>
          <w:sz w:val="24"/>
          <w:lang w:val="el-GR"/>
        </w:rPr>
        <w:t>ΕΕ L 253 της 16.7.2021, σ. 1.</w:t>
      </w:r>
    </w:p>
  </w:footnote>
  <w:footnote w:id="7">
    <w:p w:rsidR="00507FAC" w:rsidRPr="00F638A0" w:rsidRDefault="00507FAC" w:rsidP="00D87A80">
      <w:pPr>
        <w:pStyle w:val="FootnoteText"/>
        <w:spacing w:line="240" w:lineRule="auto"/>
        <w:ind w:left="567" w:hanging="567"/>
        <w:rPr>
          <w:sz w:val="24"/>
          <w:lang w:val="el-GR"/>
        </w:rPr>
      </w:pPr>
      <w:r w:rsidRPr="00F638A0">
        <w:rPr>
          <w:rStyle w:val="FootnoteReference"/>
          <w:sz w:val="24"/>
          <w:lang w:val="el-GR"/>
        </w:rPr>
        <w:footnoteRef/>
      </w:r>
      <w:r w:rsidR="00F638A0" w:rsidRPr="00F638A0">
        <w:rPr>
          <w:sz w:val="24"/>
          <w:lang w:val="el-GR"/>
        </w:rPr>
        <w:t xml:space="preserve"> </w:t>
      </w:r>
      <w:r w:rsidR="00F638A0" w:rsidRPr="00F638A0">
        <w:rPr>
          <w:sz w:val="24"/>
          <w:lang w:val="el-GR"/>
        </w:rPr>
        <w:tab/>
      </w:r>
      <w:r w:rsidRPr="00F638A0">
        <w:rPr>
          <w:sz w:val="24"/>
          <w:lang w:val="el-GR"/>
        </w:rPr>
        <w:t>https://www.ombudsman.europa.eu/en/news-document/en/152993.</w:t>
      </w:r>
    </w:p>
  </w:footnote>
  <w:footnote w:id="8">
    <w:p w:rsidR="00507FAC" w:rsidRPr="00F638A0" w:rsidRDefault="00507FAC" w:rsidP="00D87A80">
      <w:pPr>
        <w:pStyle w:val="FootnoteText"/>
        <w:spacing w:line="240" w:lineRule="auto"/>
        <w:ind w:left="567" w:hanging="567"/>
        <w:rPr>
          <w:sz w:val="24"/>
          <w:lang w:val="el-GR"/>
        </w:rPr>
      </w:pPr>
      <w:r w:rsidRPr="00F638A0">
        <w:rPr>
          <w:rStyle w:val="FootnoteReference"/>
          <w:sz w:val="24"/>
          <w:lang w:val="el-GR"/>
        </w:rPr>
        <w:footnoteRef/>
      </w:r>
      <w:r w:rsidR="00F638A0" w:rsidRPr="00F638A0">
        <w:rPr>
          <w:sz w:val="24"/>
          <w:lang w:val="el-GR"/>
        </w:rPr>
        <w:t xml:space="preserve"> </w:t>
      </w:r>
      <w:r w:rsidR="00F638A0" w:rsidRPr="00F638A0">
        <w:rPr>
          <w:sz w:val="24"/>
          <w:lang w:val="el-GR"/>
        </w:rPr>
        <w:tab/>
      </w:r>
      <w:r w:rsidRPr="00F638A0">
        <w:rPr>
          <w:sz w:val="24"/>
          <w:lang w:val="el-GR"/>
        </w:rPr>
        <w:t>https://www.europarl.europa.eu/doceo/document/TA-9-2023-0295_EL.html.</w:t>
      </w:r>
    </w:p>
  </w:footnote>
  <w:footnote w:id="9">
    <w:p w:rsidR="00507FAC" w:rsidRPr="00F638A0" w:rsidRDefault="00507FAC" w:rsidP="00D87A80">
      <w:pPr>
        <w:pStyle w:val="FootnoteText"/>
        <w:spacing w:line="240" w:lineRule="auto"/>
        <w:ind w:left="567" w:hanging="567"/>
        <w:rPr>
          <w:sz w:val="24"/>
          <w:lang w:val="el-GR"/>
        </w:rPr>
      </w:pPr>
      <w:r w:rsidRPr="00F638A0">
        <w:rPr>
          <w:rStyle w:val="FootnoteReference"/>
          <w:sz w:val="24"/>
          <w:lang w:val="el-GR"/>
        </w:rPr>
        <w:footnoteRef/>
      </w:r>
      <w:r w:rsidR="00F638A0" w:rsidRPr="00F638A0">
        <w:rPr>
          <w:sz w:val="24"/>
          <w:lang w:val="el-GR"/>
        </w:rPr>
        <w:t xml:space="preserve"> </w:t>
      </w:r>
      <w:r w:rsidR="00F638A0" w:rsidRPr="00F638A0">
        <w:rPr>
          <w:sz w:val="24"/>
          <w:lang w:val="el-GR"/>
        </w:rPr>
        <w:tab/>
      </w:r>
      <w:r w:rsidRPr="00F638A0">
        <w:rPr>
          <w:sz w:val="24"/>
          <w:lang w:val="el-GR"/>
        </w:rPr>
        <w:t>https://www.europarl.europa.eu/doceo/document/TA-9-2023-0295_EL.html.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38A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38A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38A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3E7621D"/>
    <w:multiLevelType w:val="hybridMultilevel"/>
    <w:tmpl w:val="7C121B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327595F"/>
    <w:multiLevelType w:val="hybridMultilevel"/>
    <w:tmpl w:val="FCBA1C72"/>
    <w:lvl w:ilvl="0" w:tplc="121CFC3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4/2024"/>
    <w:docVar w:name="dvlangue" w:val="EL"/>
    <w:docVar w:name="dvnumam" w:val="0"/>
    <w:docVar w:name="dvpe" w:val="753.486"/>
    <w:docVar w:name="dvrapporteur" w:val="Εισηγητής: "/>
    <w:docVar w:name="dvtitre" w:val="Απόφαση του Ευρωπαϊκού Κοινοβουλίου σχετικά με την απαλλαγή όσον αφορά την εκτέλεση του γενικού προϋπολογισμού της Ευρωπαϊκής Ένωσης για το οικονομικό έτος 2022, τμήμα VIII – Ευρωπαίος Διαμεσολαβητής(2023/2137(DEC))"/>
  </w:docVars>
  <w:rsids>
    <w:rsidRoot w:val="0002632C"/>
    <w:rsid w:val="00002272"/>
    <w:rsid w:val="0002632C"/>
    <w:rsid w:val="00064002"/>
    <w:rsid w:val="000677B9"/>
    <w:rsid w:val="000831BA"/>
    <w:rsid w:val="000A42CC"/>
    <w:rsid w:val="000E7DD9"/>
    <w:rsid w:val="0010095E"/>
    <w:rsid w:val="00106E07"/>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3E18"/>
    <w:rsid w:val="004C0004"/>
    <w:rsid w:val="004C5D52"/>
    <w:rsid w:val="0050519A"/>
    <w:rsid w:val="005072A1"/>
    <w:rsid w:val="00507FAC"/>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003C"/>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87A80"/>
    <w:rsid w:val="00D91E21"/>
    <w:rsid w:val="00DA7FCD"/>
    <w:rsid w:val="00DF0B03"/>
    <w:rsid w:val="00E365E1"/>
    <w:rsid w:val="00E820A4"/>
    <w:rsid w:val="00EA7480"/>
    <w:rsid w:val="00EB006A"/>
    <w:rsid w:val="00EB4772"/>
    <w:rsid w:val="00ED169E"/>
    <w:rsid w:val="00ED4235"/>
    <w:rsid w:val="00F04346"/>
    <w:rsid w:val="00F075DC"/>
    <w:rsid w:val="00F149E9"/>
    <w:rsid w:val="00F5134D"/>
    <w:rsid w:val="00F638A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C07C8CA-743B-46A2-B3F6-53A7A208B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07FA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07FAC"/>
    <w:pPr>
      <w:spacing w:before="480" w:after="240"/>
    </w:pPr>
  </w:style>
  <w:style w:type="paragraph" w:customStyle="1" w:styleId="PageHeading">
    <w:name w:val="PageHeading"/>
    <w:basedOn w:val="Normal"/>
    <w:rsid w:val="00507FAC"/>
    <w:pPr>
      <w:keepNext/>
      <w:spacing w:after="480"/>
      <w:jc w:val="center"/>
    </w:pPr>
    <w:rPr>
      <w:rFonts w:ascii="Arial" w:hAnsi="Arial" w:cs="Arial"/>
      <w:b/>
    </w:rPr>
  </w:style>
  <w:style w:type="paragraph" w:customStyle="1" w:styleId="NormalBold">
    <w:name w:val="NormalBold"/>
    <w:basedOn w:val="Normal"/>
    <w:rsid w:val="00507FAC"/>
    <w:rPr>
      <w:b/>
    </w:rPr>
  </w:style>
  <w:style w:type="paragraph" w:customStyle="1" w:styleId="NormalHanging12a">
    <w:name w:val="NormalHanging12a"/>
    <w:basedOn w:val="Normal"/>
    <w:link w:val="NormalHanging12aChar"/>
    <w:qFormat/>
    <w:rsid w:val="00507FAC"/>
    <w:pPr>
      <w:spacing w:after="240"/>
      <w:ind w:left="567" w:hanging="567"/>
    </w:pPr>
  </w:style>
  <w:style w:type="paragraph" w:styleId="Header">
    <w:name w:val="header"/>
    <w:basedOn w:val="Normal"/>
    <w:link w:val="HeaderChar"/>
    <w:rsid w:val="00507FAC"/>
    <w:pPr>
      <w:tabs>
        <w:tab w:val="center" w:pos="4513"/>
        <w:tab w:val="right" w:pos="9026"/>
      </w:tabs>
    </w:pPr>
  </w:style>
  <w:style w:type="character" w:customStyle="1" w:styleId="HeaderChar">
    <w:name w:val="Header Char"/>
    <w:basedOn w:val="DefaultParagraphFont"/>
    <w:link w:val="Header"/>
    <w:rsid w:val="00507FAC"/>
    <w:rPr>
      <w:sz w:val="24"/>
      <w:lang w:val="el-GR"/>
    </w:rPr>
  </w:style>
  <w:style w:type="paragraph" w:customStyle="1" w:styleId="EPFooter">
    <w:name w:val="EPFooter"/>
    <w:basedOn w:val="Normal"/>
    <w:rsid w:val="00507FA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507FAC"/>
    <w:rPr>
      <w:sz w:val="24"/>
      <w:lang w:val="el-GR"/>
    </w:rPr>
  </w:style>
  <w:style w:type="paragraph" w:styleId="BalloonText">
    <w:name w:val="Balloon Text"/>
    <w:basedOn w:val="Normal"/>
    <w:link w:val="BalloonTextChar"/>
    <w:rsid w:val="004A3E18"/>
    <w:rPr>
      <w:rFonts w:ascii="Segoe UI" w:hAnsi="Segoe UI" w:cs="Segoe UI"/>
      <w:sz w:val="18"/>
      <w:szCs w:val="18"/>
    </w:rPr>
  </w:style>
  <w:style w:type="character" w:customStyle="1" w:styleId="BalloonTextChar">
    <w:name w:val="Balloon Text Char"/>
    <w:basedOn w:val="DefaultParagraphFont"/>
    <w:link w:val="BalloonText"/>
    <w:rsid w:val="004A3E18"/>
    <w:rPr>
      <w:rFonts w:ascii="Segoe UI" w:hAnsi="Segoe UI" w:cs="Segoe UI"/>
      <w:sz w:val="18"/>
      <w:szCs w:val="18"/>
      <w:lang w:val="el-GR"/>
    </w:rPr>
  </w:style>
  <w:style w:type="paragraph" w:styleId="Footer">
    <w:name w:val="footer"/>
    <w:basedOn w:val="Normal"/>
    <w:link w:val="FooterChar"/>
    <w:rsid w:val="004A3E18"/>
    <w:pPr>
      <w:tabs>
        <w:tab w:val="center" w:pos="4513"/>
        <w:tab w:val="right" w:pos="9026"/>
      </w:tabs>
    </w:pPr>
  </w:style>
  <w:style w:type="character" w:customStyle="1" w:styleId="FooterChar">
    <w:name w:val="Footer Char"/>
    <w:basedOn w:val="DefaultParagraphFont"/>
    <w:link w:val="Footer"/>
    <w:rsid w:val="004A3E18"/>
    <w:rPr>
      <w:sz w:val="24"/>
      <w:lang w:val="el-GR"/>
    </w:rPr>
  </w:style>
  <w:style w:type="paragraph" w:styleId="ListParagraph">
    <w:name w:val="List Paragraph"/>
    <w:basedOn w:val="Normal"/>
    <w:uiPriority w:val="34"/>
    <w:qFormat/>
    <w:rsid w:val="00D87A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4A24B-15C4-4AEF-A5A8-3DD96CBF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4467</Words>
  <Characters>26479</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2024-04-11T13:55:00Z</dcterms:created>
  <dcterms:modified xsi:type="dcterms:W3CDTF">2024-04-11T13:55:00Z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A9-0084/2024</vt:lpwstr>
  </property>
  <property fmtid="{D5CDD505-2E9C-101B-9397-08002B2CF9AE}" pid="4" name="&lt;Type&gt;">
    <vt:lpwstr>RR</vt:lpwstr>
  </property>
</Properties>
</file>