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208F" w:rsidTr="0010095E">
        <w:trPr>
          <w:trHeight w:hRule="exact" w:val="1418"/>
        </w:trPr>
        <w:tc>
          <w:tcPr>
            <w:tcW w:w="6804" w:type="dxa"/>
            <w:shd w:val="clear" w:color="auto" w:fill="auto"/>
            <w:vAlign w:val="center"/>
          </w:tcPr>
          <w:p w:rsidR="00751A4A" w:rsidRPr="00CB208F" w:rsidRDefault="00377BED" w:rsidP="0010095E">
            <w:pPr>
              <w:pStyle w:val="EPName"/>
            </w:pPr>
            <w:bookmarkStart w:id="0" w:name="_GoBack"/>
            <w:bookmarkEnd w:id="0"/>
            <w:r w:rsidRPr="00CB208F">
              <w:t>Euroopa Parlament</w:t>
            </w:r>
          </w:p>
          <w:p w:rsidR="00751A4A" w:rsidRPr="00CB208F" w:rsidRDefault="00817416" w:rsidP="00756632">
            <w:pPr>
              <w:pStyle w:val="EPTerm"/>
              <w:rPr>
                <w:rStyle w:val="HideTWBExt"/>
                <w:noProof w:val="0"/>
                <w:vanish w:val="0"/>
                <w:color w:val="auto"/>
              </w:rPr>
            </w:pPr>
            <w:r w:rsidRPr="00CB208F">
              <w:t>2019-2024</w:t>
            </w:r>
          </w:p>
        </w:tc>
        <w:tc>
          <w:tcPr>
            <w:tcW w:w="2268" w:type="dxa"/>
            <w:shd w:val="clear" w:color="auto" w:fill="auto"/>
          </w:tcPr>
          <w:p w:rsidR="00751A4A" w:rsidRPr="00CB208F" w:rsidRDefault="00187494" w:rsidP="0010095E">
            <w:pPr>
              <w:pStyle w:val="EPLogo"/>
            </w:pPr>
            <w:r w:rsidRPr="00CB20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208F" w:rsidRDefault="00D058B8" w:rsidP="004C5D52">
      <w:pPr>
        <w:pStyle w:val="LineTop"/>
      </w:pPr>
    </w:p>
    <w:p w:rsidR="00680577" w:rsidRPr="00CB208F" w:rsidRDefault="00377BED" w:rsidP="00680577">
      <w:pPr>
        <w:pStyle w:val="EPBodyTA1"/>
      </w:pPr>
      <w:r w:rsidRPr="00CB208F">
        <w:t>VASTUVÕETUD TEKSTID</w:t>
      </w:r>
    </w:p>
    <w:p w:rsidR="00D058B8" w:rsidRPr="00CB208F" w:rsidRDefault="00D058B8" w:rsidP="00D058B8">
      <w:pPr>
        <w:pStyle w:val="LineBottom"/>
      </w:pPr>
    </w:p>
    <w:p w:rsidR="00377BED" w:rsidRPr="00CB208F" w:rsidRDefault="00377BED" w:rsidP="00377BED">
      <w:pPr>
        <w:pStyle w:val="ATHeading1"/>
      </w:pPr>
      <w:bookmarkStart w:id="1" w:name="TANumber"/>
      <w:r w:rsidRPr="00CB208F">
        <w:t>P9_TA(2024)0</w:t>
      </w:r>
      <w:r w:rsidR="00805678" w:rsidRPr="00CB208F">
        <w:t>234</w:t>
      </w:r>
      <w:bookmarkEnd w:id="1"/>
    </w:p>
    <w:p w:rsidR="00377BED" w:rsidRPr="00CB208F" w:rsidRDefault="00E44088" w:rsidP="00377BED">
      <w:pPr>
        <w:pStyle w:val="ATHeading2"/>
      </w:pPr>
      <w:bookmarkStart w:id="2" w:name="title"/>
      <w:r w:rsidRPr="00CB208F">
        <w:t>ELi 2022. </w:t>
      </w:r>
      <w:r w:rsidR="00377BED" w:rsidRPr="00CB208F">
        <w:t xml:space="preserve">aasta </w:t>
      </w:r>
      <w:proofErr w:type="spellStart"/>
      <w:r w:rsidR="00377BED" w:rsidRPr="00CB208F">
        <w:t>üldeelarve</w:t>
      </w:r>
      <w:proofErr w:type="spellEnd"/>
      <w:r w:rsidR="00377BED" w:rsidRPr="00CB208F">
        <w:t xml:space="preserve"> täitmisele heakskiidu andmine – Euroopa Ombudsman</w:t>
      </w:r>
      <w:bookmarkEnd w:id="2"/>
    </w:p>
    <w:p w:rsidR="00377BED" w:rsidRPr="00CB208F" w:rsidRDefault="00377BED" w:rsidP="00377BED">
      <w:pPr>
        <w:rPr>
          <w:i/>
          <w:vanish/>
        </w:rPr>
      </w:pPr>
      <w:r w:rsidRPr="00CB208F">
        <w:rPr>
          <w:i/>
        </w:rPr>
        <w:fldChar w:fldCharType="begin"/>
      </w:r>
      <w:r w:rsidRPr="00CB208F">
        <w:rPr>
          <w:i/>
        </w:rPr>
        <w:instrText xml:space="preserve"> TC"(</w:instrText>
      </w:r>
      <w:bookmarkStart w:id="3" w:name="DocNumber"/>
      <w:r w:rsidRPr="00CB208F">
        <w:rPr>
          <w:i/>
        </w:rPr>
        <w:instrText>A9-0084/2024</w:instrText>
      </w:r>
      <w:bookmarkEnd w:id="3"/>
      <w:r w:rsidRPr="00CB208F">
        <w:rPr>
          <w:i/>
        </w:rPr>
        <w:instrText xml:space="preserve"> - Raportöör: Luke Ming Flanagan)"\l3 \n&gt; \* MERGEFORMAT </w:instrText>
      </w:r>
      <w:r w:rsidRPr="00CB208F">
        <w:rPr>
          <w:i/>
        </w:rPr>
        <w:fldChar w:fldCharType="end"/>
      </w:r>
    </w:p>
    <w:p w:rsidR="00377BED" w:rsidRPr="00CB208F" w:rsidRDefault="00377BED" w:rsidP="00377BED">
      <w:pPr>
        <w:rPr>
          <w:vanish/>
        </w:rPr>
      </w:pPr>
      <w:bookmarkStart w:id="4" w:name="Commission"/>
      <w:r w:rsidRPr="00CB208F">
        <w:rPr>
          <w:vanish/>
        </w:rPr>
        <w:t>Eelarvekontrollikomisjon</w:t>
      </w:r>
      <w:bookmarkEnd w:id="4"/>
    </w:p>
    <w:p w:rsidR="00377BED" w:rsidRPr="00CB208F" w:rsidRDefault="00377BED" w:rsidP="00377BED">
      <w:pPr>
        <w:rPr>
          <w:vanish/>
        </w:rPr>
      </w:pPr>
      <w:bookmarkStart w:id="5" w:name="PE"/>
      <w:r w:rsidRPr="00CB208F">
        <w:rPr>
          <w:vanish/>
        </w:rPr>
        <w:t>PE753.486</w:t>
      </w:r>
      <w:bookmarkEnd w:id="5"/>
    </w:p>
    <w:p w:rsidR="00377BED" w:rsidRPr="00CB208F" w:rsidRDefault="00E44088" w:rsidP="00377BED">
      <w:pPr>
        <w:pStyle w:val="ATHeading3"/>
      </w:pPr>
      <w:bookmarkStart w:id="6" w:name="Sujet"/>
      <w:r w:rsidRPr="00CB208F">
        <w:t>1. Euroopa Parlamendi 11</w:t>
      </w:r>
      <w:r w:rsidR="00377BED" w:rsidRPr="00CB208F">
        <w:t>.</w:t>
      </w:r>
      <w:r w:rsidRPr="00CB208F">
        <w:t> aprilli 2024. </w:t>
      </w:r>
      <w:r w:rsidR="00377BED" w:rsidRPr="00CB208F">
        <w:t xml:space="preserve">aasta otsus Euroopa Liidu 2022. aasta </w:t>
      </w:r>
      <w:proofErr w:type="spellStart"/>
      <w:r w:rsidR="00377BED" w:rsidRPr="00CB208F">
        <w:t>üldeelarve</w:t>
      </w:r>
      <w:proofErr w:type="spellEnd"/>
      <w:r w:rsidR="00377BED" w:rsidRPr="00CB208F">
        <w:t xml:space="preserve"> täitmisele</w:t>
      </w:r>
      <w:r w:rsidRPr="00CB208F">
        <w:t xml:space="preserve"> heakskiidu andmise kohta, VIII </w:t>
      </w:r>
      <w:r w:rsidR="00377BED" w:rsidRPr="00CB208F">
        <w:t>jagu – Euroopa Ombudsman</w:t>
      </w:r>
      <w:bookmarkEnd w:id="6"/>
      <w:r w:rsidR="00377BED" w:rsidRPr="00CB208F">
        <w:t xml:space="preserve"> </w:t>
      </w:r>
      <w:bookmarkStart w:id="7" w:name="References"/>
      <w:r w:rsidR="00377BED" w:rsidRPr="00CB208F">
        <w:t>(2023/2137(DEC))</w:t>
      </w:r>
      <w:bookmarkEnd w:id="7"/>
    </w:p>
    <w:p w:rsidR="00DD1B21" w:rsidRPr="00CB208F" w:rsidRDefault="00DD1B21" w:rsidP="00DD1B21">
      <w:pPr>
        <w:pStyle w:val="EPComma"/>
      </w:pPr>
      <w:bookmarkStart w:id="8" w:name="TextBodyBegin"/>
      <w:bookmarkEnd w:id="8"/>
      <w:r w:rsidRPr="00CB208F">
        <w:rPr>
          <w:i/>
        </w:rPr>
        <w:t>Euroopa Parlament</w:t>
      </w:r>
      <w:r w:rsidRPr="00CB208F">
        <w:t>,</w:t>
      </w:r>
    </w:p>
    <w:p w:rsidR="00DD1B21" w:rsidRPr="00CB208F" w:rsidRDefault="00DD1B21" w:rsidP="00DD1B21">
      <w:pPr>
        <w:pStyle w:val="NormalHanging12a"/>
      </w:pPr>
      <w:r w:rsidRPr="00CB208F">
        <w:t>–</w:t>
      </w:r>
      <w:r w:rsidRPr="00CB208F">
        <w:tab/>
        <w:t xml:space="preserve">võttes arvesse Euroopa Liidu 2022. aasta </w:t>
      </w:r>
      <w:proofErr w:type="spellStart"/>
      <w:r w:rsidRPr="00CB208F">
        <w:t>üldeelarvet</w:t>
      </w:r>
      <w:proofErr w:type="spellEnd"/>
      <w:r w:rsidRPr="00CB208F">
        <w:rPr>
          <w:rStyle w:val="FootnoteReference"/>
        </w:rPr>
        <w:footnoteReference w:id="1"/>
      </w:r>
      <w:r w:rsidRPr="00CB208F">
        <w:t>,</w:t>
      </w:r>
    </w:p>
    <w:p w:rsidR="00DD1B21" w:rsidRPr="00CB208F" w:rsidRDefault="00DD1B21" w:rsidP="00DD1B21">
      <w:pPr>
        <w:pStyle w:val="NormalHanging12a"/>
      </w:pPr>
      <w:r w:rsidRPr="00CB208F">
        <w:t>–</w:t>
      </w:r>
      <w:r w:rsidRPr="00CB208F">
        <w:tab/>
        <w:t>võttes arvesse Euroopa Liidu 2022. aasta konsolideeritud raamatupidamise aastaaruannet (COM(2023)0391 – C9</w:t>
      </w:r>
      <w:r w:rsidRPr="00CB208F">
        <w:noBreakHyphen/>
        <w:t>0256/2023)</w:t>
      </w:r>
      <w:r w:rsidRPr="00CB208F">
        <w:rPr>
          <w:rStyle w:val="FootnoteReference"/>
        </w:rPr>
        <w:footnoteReference w:id="2"/>
      </w:r>
      <w:r w:rsidRPr="00CB208F">
        <w:t>,</w:t>
      </w:r>
    </w:p>
    <w:p w:rsidR="00DD1B21" w:rsidRPr="00CB208F" w:rsidRDefault="00DD1B21" w:rsidP="00DD1B21">
      <w:pPr>
        <w:pStyle w:val="NormalHanging12a"/>
      </w:pPr>
      <w:r w:rsidRPr="00CB208F">
        <w:t>–</w:t>
      </w:r>
      <w:r w:rsidRPr="00CB208F">
        <w:tab/>
        <w:t>võttes arvesse Euroopa Ombudsmani iga-aastast tegevusaruannet 2022. aasta kohta ja tema aruannet eelarve- ja finantsjuhtimise kohta 2022. eelarveaastal,</w:t>
      </w:r>
    </w:p>
    <w:p w:rsidR="00DD1B21" w:rsidRPr="00CB208F" w:rsidRDefault="00DD1B21" w:rsidP="00DD1B21">
      <w:pPr>
        <w:pStyle w:val="NormalHanging12a"/>
      </w:pPr>
      <w:r w:rsidRPr="00CB208F">
        <w:t>–</w:t>
      </w:r>
      <w:r w:rsidRPr="00CB208F">
        <w:tab/>
        <w:t>võttes arvesse kontrollikoja aastaaruannet eelarveaasta 2022 eelarve täitmise kohta koos institutsioonide vastustega</w:t>
      </w:r>
      <w:r w:rsidRPr="00CB208F">
        <w:rPr>
          <w:rStyle w:val="FootnoteReference"/>
        </w:rPr>
        <w:footnoteReference w:id="3"/>
      </w:r>
      <w:r w:rsidRPr="00CB208F">
        <w:t>,</w:t>
      </w:r>
    </w:p>
    <w:p w:rsidR="00DD1B21" w:rsidRPr="00CB208F" w:rsidRDefault="00DD1B21" w:rsidP="00DD1B21">
      <w:pPr>
        <w:pStyle w:val="NormalHanging12a"/>
      </w:pPr>
      <w:r w:rsidRPr="00CB208F">
        <w:t>–</w:t>
      </w:r>
      <w:r w:rsidRPr="00CB208F">
        <w:tab/>
        <w:t>võttes arvesse vastavalt Euroopa Liidu toimimise lepingu artiklile 287 tehtud kontrollikoja kinnitavat avaldust</w:t>
      </w:r>
      <w:r w:rsidRPr="00CB208F">
        <w:rPr>
          <w:rStyle w:val="FootnoteReference"/>
        </w:rPr>
        <w:footnoteReference w:id="4"/>
      </w:r>
      <w:r w:rsidRPr="00CB208F">
        <w:t xml:space="preserve"> 2022. aasta raamatupidamise aastaaruande usaldusväärsuse ja selle aluseks olevate tehingute seaduslikkuse ja korrektsuse kohta,</w:t>
      </w:r>
    </w:p>
    <w:p w:rsidR="00DD1B21" w:rsidRPr="00CB208F" w:rsidRDefault="00DD1B21" w:rsidP="00DD1B21">
      <w:pPr>
        <w:pStyle w:val="NormalHanging12a"/>
      </w:pPr>
      <w:r w:rsidRPr="00CB208F">
        <w:t>–</w:t>
      </w:r>
      <w:r w:rsidRPr="00CB208F">
        <w:tab/>
        <w:t>võttes arvesse Euroopa Liidu toimimise lepingu artikli 314 lõiget 10 ja artikleid 317, 318 ja 319,</w:t>
      </w:r>
    </w:p>
    <w:p w:rsidR="00DD1B21" w:rsidRPr="00CB208F" w:rsidRDefault="00DD1B21" w:rsidP="00DD1B21">
      <w:pPr>
        <w:pStyle w:val="NormalHanging12a"/>
      </w:pPr>
      <w:r w:rsidRPr="00CB208F">
        <w:t>–</w:t>
      </w:r>
      <w:r w:rsidRPr="00CB208F">
        <w:tab/>
        <w:t xml:space="preserve">võttes arvesse Euroopa Parlamendi ja nõukogu 18. juuli 2018. aasta määrust (EL, Euratom) 2018/1046 (mis käsitleb liidu </w:t>
      </w:r>
      <w:proofErr w:type="spellStart"/>
      <w:r w:rsidRPr="00CB208F">
        <w:t>üldeelarve</w:t>
      </w:r>
      <w:proofErr w:type="spellEnd"/>
      <w:r w:rsidRPr="00CB208F">
        <w:t xml:space="preserve"> suhtes kohaldatavaid finantsreegleid ja millega muudetakse määrusi (EL) nr 1296/2013, (EL) nr 1301/2013, (EL) nr 1303/2013, (EL) nr 1304/2013, (EL) nr 1309/2013, (EL) nr 1316/2013, (EL) nr 223/2014 ja (EL) nr 283/2014 ja otsust nr 541/2014/EL ning tunnistatakse </w:t>
      </w:r>
      <w:r w:rsidRPr="00CB208F">
        <w:lastRenderedPageBreak/>
        <w:t>kehtetuks määrus (EL, Euratom) nr 966/2012)</w:t>
      </w:r>
      <w:r w:rsidRPr="00CB208F">
        <w:rPr>
          <w:rStyle w:val="FootnoteReference"/>
        </w:rPr>
        <w:footnoteReference w:id="5"/>
      </w:r>
      <w:r w:rsidRPr="00CB208F">
        <w:t>, eriti selle artikleid 59, 118, 260, 261 ja 262,</w:t>
      </w:r>
    </w:p>
    <w:p w:rsidR="00DD1B21" w:rsidRPr="00CB208F" w:rsidRDefault="00DD1B21" w:rsidP="00DD1B21">
      <w:pPr>
        <w:pStyle w:val="NormalHanging12a"/>
      </w:pPr>
      <w:r w:rsidRPr="00CB208F">
        <w:t>–</w:t>
      </w:r>
      <w:r w:rsidRPr="00CB208F">
        <w:tab/>
        <w:t>võttes arvesse kodukorra artiklit 100 ja V lisa,</w:t>
      </w:r>
    </w:p>
    <w:p w:rsidR="00DD1B21" w:rsidRPr="00CB208F" w:rsidRDefault="00DD1B21" w:rsidP="00DD1B21">
      <w:pPr>
        <w:pStyle w:val="NormalHanging12a"/>
      </w:pPr>
      <w:r w:rsidRPr="00CB208F">
        <w:t>–</w:t>
      </w:r>
      <w:r w:rsidRPr="00CB208F">
        <w:tab/>
        <w:t>võttes arvesse eelarvekontrollikomisjoni raportit (A9-0084/2024),</w:t>
      </w:r>
    </w:p>
    <w:p w:rsidR="00DD1B21" w:rsidRPr="00CB208F" w:rsidRDefault="00DD1B21" w:rsidP="00DD1B21">
      <w:pPr>
        <w:pStyle w:val="NormalHanging12a"/>
      </w:pPr>
      <w:r w:rsidRPr="00CB208F">
        <w:t>1.</w:t>
      </w:r>
      <w:r w:rsidRPr="00CB208F">
        <w:tab/>
        <w:t>annab heakskiidu Euroopa Ombudsmani tegevusele Euroopa Ombudsmani 2022. aasta eelarve täitmisel;</w:t>
      </w:r>
    </w:p>
    <w:p w:rsidR="00DD1B21" w:rsidRPr="00CB208F" w:rsidRDefault="00DD1B21" w:rsidP="00DD1B21">
      <w:pPr>
        <w:pStyle w:val="NormalHanging12a"/>
      </w:pPr>
      <w:r w:rsidRPr="00CB208F">
        <w:t>2.</w:t>
      </w:r>
      <w:r w:rsidRPr="00CB208F">
        <w:tab/>
        <w:t>esitab oma tähelepanekud alltoodud resolutsioonis;</w:t>
      </w:r>
    </w:p>
    <w:p w:rsidR="00DD1B21" w:rsidRPr="00CB208F" w:rsidRDefault="00DD1B21" w:rsidP="00DD1B21">
      <w:pPr>
        <w:pStyle w:val="NormalHanging12a"/>
      </w:pPr>
      <w:r w:rsidRPr="00CB208F">
        <w:t>3.</w:t>
      </w:r>
      <w:r w:rsidRPr="00CB208F">
        <w:tab/>
        <w:t xml:space="preserve">teeb presidendile ülesandeks edastada käesolev otsus ja resolutsioon, mis on selle lahutamatu osa, Euroopa Ombudsmanile, Euroopa Ülemkogule, nõukogule, komisjonile, ja kontrollikojale, Euroopa Liidu Kohtule, Euroopa Andmekaitseinspektorile ja Euroopa välisteenistusele ning korraldada nende avaldamine </w:t>
      </w:r>
      <w:r w:rsidRPr="00CB208F">
        <w:rPr>
          <w:i/>
        </w:rPr>
        <w:t>Euroopa Liidu Teatajas</w:t>
      </w:r>
      <w:r w:rsidRPr="00CB208F">
        <w:t xml:space="preserve"> (L-seerias).</w:t>
      </w:r>
    </w:p>
    <w:p w:rsidR="00DD1B21" w:rsidRPr="00CB208F" w:rsidRDefault="00DD1B21" w:rsidP="00DD1B21"/>
    <w:p w:rsidR="00DD1B21" w:rsidRPr="00CB208F" w:rsidRDefault="00DD1B21" w:rsidP="00DD1B21">
      <w:pPr>
        <w:pStyle w:val="PageHeading"/>
        <w:sectPr w:rsidR="00DD1B21" w:rsidRPr="00CB208F" w:rsidSect="00212A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D1B21" w:rsidRPr="00CB208F" w:rsidRDefault="00DD1B21" w:rsidP="00E44088">
      <w:pPr>
        <w:pStyle w:val="ATHeading3"/>
      </w:pPr>
      <w:bookmarkStart w:id="9" w:name="_Toc161842468"/>
      <w:r w:rsidRPr="00CB208F">
        <w:lastRenderedPageBreak/>
        <w:t xml:space="preserve">2. </w:t>
      </w:r>
      <w:bookmarkEnd w:id="9"/>
      <w:r w:rsidR="00E44088" w:rsidRPr="00CB208F">
        <w:t xml:space="preserve">Euroopa Parlamendi 11. aprilli 2024. aasta resolutsioon </w:t>
      </w:r>
      <w:r w:rsidRPr="00CB208F">
        <w:t xml:space="preserve">tähelepanekutega, mis on Euroopa Liidu 2022. aasta </w:t>
      </w:r>
      <w:proofErr w:type="spellStart"/>
      <w:r w:rsidRPr="00CB208F">
        <w:t>üldeelarve</w:t>
      </w:r>
      <w:proofErr w:type="spellEnd"/>
      <w:r w:rsidRPr="00CB208F">
        <w:t xml:space="preserve"> täitmisele heakskiidu andmist käsitleva otsuse lahutamatu osa, VIII jagu – Euroopa Ombudsman</w:t>
      </w:r>
      <w:r w:rsidR="00E44088" w:rsidRPr="00CB208F">
        <w:t xml:space="preserve"> </w:t>
      </w:r>
      <w:r w:rsidRPr="00CB208F">
        <w:t>(2023/2137(DEC))</w:t>
      </w:r>
    </w:p>
    <w:p w:rsidR="00DD1B21" w:rsidRPr="00CB208F" w:rsidRDefault="00DD1B21" w:rsidP="00DD1B21">
      <w:pPr>
        <w:pStyle w:val="EPComma"/>
      </w:pPr>
      <w:r w:rsidRPr="00CB208F">
        <w:rPr>
          <w:i/>
        </w:rPr>
        <w:t>Euroopa Parlament</w:t>
      </w:r>
      <w:r w:rsidRPr="00CB208F">
        <w:t>,</w:t>
      </w:r>
    </w:p>
    <w:p w:rsidR="00DD1B21" w:rsidRPr="00CB208F" w:rsidRDefault="00DD1B21" w:rsidP="00DD1B21">
      <w:pPr>
        <w:pStyle w:val="NormalHanging12a"/>
        <w:rPr>
          <w:szCs w:val="24"/>
        </w:rPr>
      </w:pPr>
      <w:r w:rsidRPr="00CB208F">
        <w:t>–</w:t>
      </w:r>
      <w:r w:rsidRPr="00CB208F">
        <w:tab/>
        <w:t xml:space="preserve">võttes arvesse oma otsust Euroopa Liidu 2022. aasta </w:t>
      </w:r>
      <w:proofErr w:type="spellStart"/>
      <w:r w:rsidRPr="00CB208F">
        <w:t>üldeelarve</w:t>
      </w:r>
      <w:proofErr w:type="spellEnd"/>
      <w:r w:rsidRPr="00CB208F">
        <w:t xml:space="preserve"> täitmisele heakskiidu andmise kohta, VIII jagu – Euroopa Ombudsman,</w:t>
      </w:r>
    </w:p>
    <w:p w:rsidR="00DD1B21" w:rsidRPr="00CB208F" w:rsidRDefault="00DD1B21" w:rsidP="00DD1B21">
      <w:pPr>
        <w:pStyle w:val="NormalHanging12a"/>
        <w:rPr>
          <w:szCs w:val="24"/>
        </w:rPr>
      </w:pPr>
      <w:r w:rsidRPr="00CB208F">
        <w:t>–</w:t>
      </w:r>
      <w:r w:rsidRPr="00CB208F">
        <w:tab/>
        <w:t>võttes arvesse kodukorra artiklit 100 ja V lisa,</w:t>
      </w:r>
    </w:p>
    <w:p w:rsidR="00DD1B21" w:rsidRPr="00CB208F" w:rsidRDefault="00DD1B21" w:rsidP="00DD1B21">
      <w:pPr>
        <w:pStyle w:val="NormalHanging12a"/>
        <w:rPr>
          <w:szCs w:val="24"/>
        </w:rPr>
      </w:pPr>
      <w:r w:rsidRPr="00CB208F">
        <w:t>–</w:t>
      </w:r>
      <w:r w:rsidRPr="00CB208F">
        <w:tab/>
        <w:t>võttes arvesse eelarvekontrollikomisjoni raportit (A9-0084/2024),</w:t>
      </w:r>
    </w:p>
    <w:p w:rsidR="00DD1B21" w:rsidRPr="00CB208F" w:rsidRDefault="00DD1B21" w:rsidP="00DD1B21">
      <w:pPr>
        <w:pStyle w:val="NormalHanging12a"/>
        <w:rPr>
          <w:szCs w:val="24"/>
        </w:rPr>
      </w:pPr>
      <w:r w:rsidRPr="00CB208F">
        <w:t>A.</w:t>
      </w:r>
      <w:r w:rsidRPr="00CB208F">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rsidR="00DD1B21" w:rsidRPr="00CB208F" w:rsidRDefault="00DD1B21" w:rsidP="00DD1B21">
      <w:pPr>
        <w:pStyle w:val="NormalHanging12a"/>
        <w:rPr>
          <w:szCs w:val="24"/>
        </w:rPr>
      </w:pPr>
      <w:r w:rsidRPr="00CB208F">
        <w:t>B.</w:t>
      </w:r>
      <w:r w:rsidRPr="00CB208F">
        <w:tab/>
        <w:t>arvestades, et Euroopa Liidu toimimise lepingu artiklis 228 on sätestatud, et Euroopa Parlamendi valitud ombudsman on volitatud igalt liidu kodanikult või igalt füüsiliselt või juriidiliselt isikult, kes elab või kelle registrijärgne asukoht on mõnes liikmesriigis, vastu võtma kaebusi haldusliku omavoli juhtude kohta liidu institutsioonide, organite või asutuste tegevuses, välja arvatud Euroopa Liidu Kohus, kui see tegutseb õigusemõistjana. Ombudsman uurib neid kaebusi ja annab nende kohta aru;</w:t>
      </w:r>
    </w:p>
    <w:p w:rsidR="00DD1B21" w:rsidRPr="00CB208F" w:rsidRDefault="00DD1B21" w:rsidP="00DD1B21">
      <w:pPr>
        <w:pStyle w:val="NormalHanging12a"/>
        <w:rPr>
          <w:szCs w:val="24"/>
        </w:rPr>
      </w:pPr>
      <w:r w:rsidRPr="00CB208F">
        <w:t>C.</w:t>
      </w:r>
      <w:r w:rsidRPr="00CB208F">
        <w:tab/>
        <w:t>arvestades, et Euroopa Parlamendi 24. juuni 2021. aasta määruses (EL, Euratom) 2021/1163</w:t>
      </w:r>
      <w:r w:rsidRPr="00CB208F">
        <w:rPr>
          <w:rStyle w:val="FootnoteReference"/>
          <w:szCs w:val="24"/>
        </w:rPr>
        <w:footnoteReference w:id="6"/>
      </w:r>
      <w:r w:rsidRPr="00CB208F">
        <w:t xml:space="preserve"> on sätestatud ombudsmani ülesannete täitmist reguleeriv kord ja </w:t>
      </w:r>
      <w:proofErr w:type="spellStart"/>
      <w:r w:rsidRPr="00CB208F">
        <w:t>üldtingimused</w:t>
      </w:r>
      <w:proofErr w:type="spellEnd"/>
      <w:r w:rsidRPr="00CB208F">
        <w:t xml:space="preserve"> (Euroopa Ombudsmani põhikiri);</w:t>
      </w:r>
    </w:p>
    <w:p w:rsidR="00DD1B21" w:rsidRPr="00CB208F" w:rsidRDefault="00DD1B21" w:rsidP="00DD1B21">
      <w:pPr>
        <w:pStyle w:val="NormalHanging12a"/>
        <w:rPr>
          <w:szCs w:val="24"/>
        </w:rPr>
      </w:pPr>
      <w:r w:rsidRPr="00CB208F">
        <w:t>D.</w:t>
      </w:r>
      <w:r w:rsidRPr="00CB208F">
        <w:tab/>
        <w:t>arvestades, et Euroopa Ombudsmani otsus rakendussätete vastuvõtmise kohta on pärast määruse (EL, Euratom) 2021/1163 vastuvõtmist läbivaatamisel;</w:t>
      </w:r>
    </w:p>
    <w:p w:rsidR="00DD1B21" w:rsidRPr="00CB208F" w:rsidRDefault="00DD1B21" w:rsidP="00DD1B21">
      <w:pPr>
        <w:pStyle w:val="NormalHanging12a"/>
        <w:rPr>
          <w:szCs w:val="24"/>
        </w:rPr>
      </w:pPr>
      <w:r w:rsidRPr="00CB208F">
        <w:t>1.</w:t>
      </w:r>
      <w:r w:rsidRPr="00CB208F">
        <w:tab/>
        <w:t>märgib, et Euroopa Ombudsmani (edaspidi „ombudsman“) eelarve kuulub mitmeaastase finantsraamistiku rubriiki 7 „Euroopa avalik haldus“, mille maht oli 2022. aastal kokku 11,6 miljardit eurot (mis moodustab 5,9 % liidu eelarve kuludest); märgib, et ombudsmani eelarve moodustas 0,1 % mitmeaastase finantsraamistiku rubriigi 7 assigneeringutest;</w:t>
      </w:r>
    </w:p>
    <w:p w:rsidR="00DD1B21" w:rsidRPr="00CB208F" w:rsidRDefault="00DD1B21" w:rsidP="00DD1B21">
      <w:pPr>
        <w:pStyle w:val="NormalHanging12a"/>
        <w:rPr>
          <w:szCs w:val="24"/>
        </w:rPr>
      </w:pPr>
      <w:r w:rsidRPr="00CB208F">
        <w:t>2.</w:t>
      </w:r>
      <w:r w:rsidRPr="00CB208F">
        <w:tab/>
        <w:t>märgib, et Euroopa Kontrollikoda (edaspidi „kontrollikoda“) kontrollis oma 2022. eelarveaasta aastaaruandes 60 tehingust koosnevat halduskulude valimit, mis on sama palju kui 2021. aastal; märgib lisaks, et kontrollikoda kirjutab, et halduskulud hõlmavad personalikulusid, sealhulgas pensione, mis 2022. aastal moodustasid umbes 70 % kõigist halduskuludest, ning hoonete, seadmete, energia, side- ja infotehnoloogiaga seotud kulusid, ning et kontrollikoja aastatepikkune töö näitab, et üldiselt on need kulud madala riskiga;</w:t>
      </w:r>
    </w:p>
    <w:p w:rsidR="00DD1B21" w:rsidRPr="00CB208F" w:rsidRDefault="00DD1B21" w:rsidP="00DD1B21">
      <w:pPr>
        <w:pStyle w:val="NormalHanging12a"/>
        <w:rPr>
          <w:szCs w:val="24"/>
        </w:rPr>
      </w:pPr>
      <w:r w:rsidRPr="00CB208F">
        <w:t>3.</w:t>
      </w:r>
      <w:r w:rsidRPr="00CB208F">
        <w:tab/>
        <w:t xml:space="preserve">märgib, et kontrollikoda uuris 2022. aasta auditi raames ombudsmani järelevalve- ja kontrollisüsteeme, eelkõige </w:t>
      </w:r>
      <w:proofErr w:type="spellStart"/>
      <w:r w:rsidRPr="00CB208F">
        <w:t>sisekontrollistandardite</w:t>
      </w:r>
      <w:proofErr w:type="spellEnd"/>
      <w:r w:rsidRPr="00CB208F">
        <w:t xml:space="preserve"> rakendamist, riskijuhtimist ja </w:t>
      </w:r>
      <w:r w:rsidRPr="00CB208F">
        <w:lastRenderedPageBreak/>
        <w:t xml:space="preserve">määruses (EL, Euratom) 2018/1046 (edaspidi „finantsmäärus“) määratletud põhikontrollide toimimist, sealhulgas maksete eel- ja </w:t>
      </w:r>
      <w:proofErr w:type="spellStart"/>
      <w:r w:rsidRPr="00CB208F">
        <w:t>järelkontrolli</w:t>
      </w:r>
      <w:proofErr w:type="spellEnd"/>
      <w:r w:rsidRPr="00CB208F">
        <w:t>;</w:t>
      </w:r>
    </w:p>
    <w:p w:rsidR="00DD1B21" w:rsidRPr="00CB208F" w:rsidRDefault="00DD1B21" w:rsidP="00DD1B21">
      <w:pPr>
        <w:pStyle w:val="NormalHanging12a"/>
        <w:rPr>
          <w:szCs w:val="24"/>
        </w:rPr>
      </w:pPr>
      <w:r w:rsidRPr="00CB208F">
        <w:t>4.</w:t>
      </w:r>
      <w:r w:rsidRPr="00CB208F">
        <w:tab/>
        <w:t>märgib, et 60 tehingust 14 (23 %) sisaldas vigu, kuid kontrollikoja hinnangul jääb veamäär viie kvantifitseeritud vea põhjal alla olulisuse piirmäära;</w:t>
      </w:r>
    </w:p>
    <w:p w:rsidR="00DD1B21" w:rsidRPr="00CB208F" w:rsidRDefault="00DD1B21" w:rsidP="00DD1B21">
      <w:pPr>
        <w:pStyle w:val="NormalHanging12a"/>
        <w:rPr>
          <w:szCs w:val="24"/>
        </w:rPr>
      </w:pPr>
      <w:r w:rsidRPr="00CB208F">
        <w:t>5.</w:t>
      </w:r>
      <w:r w:rsidRPr="00CB208F">
        <w:tab/>
        <w:t>märgib rahuloluga, et kontrollikoda märgib oma 2022. aasta aruandes, et ta ei tuvastanud ombudsmaniga seotud konkreetseid probleeme;</w:t>
      </w:r>
    </w:p>
    <w:p w:rsidR="00DD1B21" w:rsidRPr="00CB208F" w:rsidRDefault="00DD1B21" w:rsidP="00DD1B21">
      <w:pPr>
        <w:pStyle w:val="NormalHanging12a"/>
        <w:rPr>
          <w:b/>
          <w:i/>
          <w:szCs w:val="24"/>
        </w:rPr>
      </w:pPr>
      <w:r w:rsidRPr="00CB208F">
        <w:rPr>
          <w:b/>
          <w:i/>
        </w:rPr>
        <w:t>Eelarvehaldus ja finantsjuhtimine</w:t>
      </w:r>
    </w:p>
    <w:p w:rsidR="00DD1B21" w:rsidRPr="00CB208F" w:rsidRDefault="00DD1B21" w:rsidP="00DD1B21">
      <w:pPr>
        <w:pStyle w:val="NormalHanging12a"/>
        <w:rPr>
          <w:szCs w:val="24"/>
        </w:rPr>
      </w:pPr>
      <w:r w:rsidRPr="00CB208F">
        <w:t>6.</w:t>
      </w:r>
      <w:r w:rsidRPr="00CB208F">
        <w:tab/>
        <w:t>märgib, et ombudsmani eelarve ulatus 2022. aastal 12 222 108 euroni, mis tähendab 280 000 euro suurust vähenemist võrreldes 2021. aastaga; mõistab, et see vähenemine tuleneb eelarve ratsionaliseerimisest, mis põhineb tegelikel vajadustel;</w:t>
      </w:r>
    </w:p>
    <w:p w:rsidR="00DD1B21" w:rsidRPr="00CB208F" w:rsidRDefault="00DD1B21" w:rsidP="00DD1B21">
      <w:pPr>
        <w:pStyle w:val="NormalHanging12a"/>
        <w:rPr>
          <w:szCs w:val="24"/>
        </w:rPr>
      </w:pPr>
      <w:r w:rsidRPr="00CB208F">
        <w:t>7.</w:t>
      </w:r>
      <w:r w:rsidRPr="00CB208F">
        <w:tab/>
        <w:t>märgib, et eelarve täitmise määr oli 2022. aastal 96,97 %, mis on kõrgem võrreldes eelmise aastaga, mil COVID-19 pandeemiaga seotud piirangute tõttu oli täitmise määr 88,8 %;</w:t>
      </w:r>
    </w:p>
    <w:p w:rsidR="00DD1B21" w:rsidRPr="00CB208F" w:rsidRDefault="00DD1B21" w:rsidP="00DD1B21">
      <w:pPr>
        <w:pStyle w:val="NormalHanging12a"/>
        <w:rPr>
          <w:szCs w:val="24"/>
        </w:rPr>
      </w:pPr>
      <w:r w:rsidRPr="00CB208F">
        <w:t>8.</w:t>
      </w:r>
      <w:r w:rsidRPr="00CB208F">
        <w:tab/>
        <w:t>märgib, et 2022. aasta jooksul tegi ombudsman finantsmääruse artikli 29 alusel eelarves 6 ümberpaigutamist, mis moodustasid kokku 344 460 eurot ehk 2,8 % kõnealuse eelarveaasta assigneeringutest; märgib lisaks, et eelarverea „2000“ eelarve liigendus jagati neljaks alamkategooriaks, et suurendada ombudsmani hoonete jaoks vajaliku teabe läbipaistvust mõlemas töökohas; tunnistab, et rendi eelarverealt üle kantud assigneeringud jäid kasutamata, sest ombudsman maksis kõik uue ombudsmani hoone sisustamistöödega seotud kulud 2021. aasta eelarve kaudu, selle asemel, et jaotada need kuue aasta peale;</w:t>
      </w:r>
    </w:p>
    <w:p w:rsidR="00DD1B21" w:rsidRPr="00CB208F" w:rsidRDefault="00DD1B21" w:rsidP="00DD1B21">
      <w:pPr>
        <w:pStyle w:val="NormalHanging12a"/>
        <w:rPr>
          <w:szCs w:val="24"/>
        </w:rPr>
      </w:pPr>
      <w:r w:rsidRPr="00CB208F">
        <w:t>9.</w:t>
      </w:r>
      <w:r w:rsidRPr="00CB208F">
        <w:tab/>
        <w:t xml:space="preserve">hindab, et hoolimata maksete tegemise aja pikenemisest 2021. aasta 11,35 päevalt 13 päevale aastal 2022 on keskmine maksete tegemise aeg jätkuvalt suhteliselt lühike; usub, et </w:t>
      </w:r>
      <w:proofErr w:type="spellStart"/>
      <w:r w:rsidRPr="00CB208F">
        <w:t>e-arvete</w:t>
      </w:r>
      <w:proofErr w:type="spellEnd"/>
      <w:r w:rsidRPr="00CB208F">
        <w:t xml:space="preserve"> süsteemi rakendamine alates 2023. aastast võib ainult parandada makseprotsessi tõhusust;</w:t>
      </w:r>
    </w:p>
    <w:p w:rsidR="00DD1B21" w:rsidRPr="00CB208F" w:rsidRDefault="00DD1B21" w:rsidP="00DD1B21">
      <w:pPr>
        <w:pStyle w:val="NormalHanging12a"/>
        <w:rPr>
          <w:szCs w:val="24"/>
        </w:rPr>
      </w:pPr>
      <w:r w:rsidRPr="00CB208F">
        <w:t>10.</w:t>
      </w:r>
      <w:r w:rsidRPr="00CB208F">
        <w:tab/>
        <w:t>märgib, et ombudsman ei ole teatanud Venemaa Ukraina-vastase agressioonisõja mõjust tema 2022. aasta missioonide, hangete või ehitamise eelarvele; soovitab ombudsmanil arvestada, et järgmine iga-aastane üüri- ja kindlasummaliste hoone halduskulude läbivaatamine Euroopa Parlamendi poolt võib tuua kaasa lisakulusid ombudsmani 2023. aasta eelarves;</w:t>
      </w:r>
    </w:p>
    <w:p w:rsidR="00DD1B21" w:rsidRPr="00CB208F" w:rsidRDefault="00DD1B21" w:rsidP="00DD1B21">
      <w:pPr>
        <w:pStyle w:val="NormalHanging12a"/>
        <w:rPr>
          <w:szCs w:val="24"/>
        </w:rPr>
      </w:pPr>
      <w:r w:rsidRPr="00CB208F">
        <w:t>11.</w:t>
      </w:r>
      <w:r w:rsidRPr="00CB208F">
        <w:tab/>
        <w:t xml:space="preserve">märgib, et personali lähetuste eelarve vähenes 135 000 eurolt 2021. aastal 120 000 eurole 2022. aastal, mis tuleneb COVID-19 pandeemiast saadud kogemustest ja videokonverentsisüsteemide laialdasest kasutamisest sise- ja </w:t>
      </w:r>
      <w:proofErr w:type="spellStart"/>
      <w:r w:rsidRPr="00CB208F">
        <w:t>väliskohtumisteks</w:t>
      </w:r>
      <w:proofErr w:type="spellEnd"/>
      <w:r w:rsidRPr="00CB208F">
        <w:t xml:space="preserve"> mõlemas töökohas;</w:t>
      </w:r>
    </w:p>
    <w:p w:rsidR="00DD1B21" w:rsidRPr="00CB208F" w:rsidRDefault="00DD1B21" w:rsidP="00DD1B21">
      <w:pPr>
        <w:pStyle w:val="NormalHanging12a"/>
        <w:rPr>
          <w:b/>
          <w:i/>
          <w:szCs w:val="24"/>
        </w:rPr>
      </w:pPr>
      <w:proofErr w:type="spellStart"/>
      <w:r w:rsidRPr="00CB208F">
        <w:rPr>
          <w:b/>
          <w:i/>
        </w:rPr>
        <w:t>Sisehaldus</w:t>
      </w:r>
      <w:proofErr w:type="spellEnd"/>
      <w:r w:rsidRPr="00CB208F">
        <w:rPr>
          <w:b/>
          <w:i/>
        </w:rPr>
        <w:t xml:space="preserve"> ja -kontroll ning tulemuslikkus</w:t>
      </w:r>
    </w:p>
    <w:p w:rsidR="00DD1B21" w:rsidRPr="00CB208F" w:rsidRDefault="00DD1B21" w:rsidP="00DD1B21">
      <w:pPr>
        <w:pStyle w:val="NormalHanging12a"/>
        <w:rPr>
          <w:szCs w:val="24"/>
        </w:rPr>
      </w:pPr>
      <w:r w:rsidRPr="00CB208F">
        <w:t>12.</w:t>
      </w:r>
      <w:r w:rsidRPr="00CB208F">
        <w:tab/>
        <w:t>märgib, et ombudsman jätkas 2022. aasta jooksul konkreetsete meetmete rakendamist kooskõlas ombudsmani viieaastase strateegia „2024. aasta poole“ eesmärkide ja prioriteetidega, mis on sätestatud iga-aastases juhtimiskavas; rõhutab eelkõige, et ombudsman edastas edukalt komisjonile, nõukogule ja parlamendile konsulteerimiseks ombudsmani ülesandeid reguleeriva uue põhikirja rakendussätete eelnõu vastavalt 2022. aasta iga-aastasele juhtimiskavale;</w:t>
      </w:r>
    </w:p>
    <w:p w:rsidR="00DD1B21" w:rsidRPr="00CB208F" w:rsidRDefault="00DD1B21" w:rsidP="00DD1B21">
      <w:pPr>
        <w:pStyle w:val="NormalHanging12a"/>
        <w:rPr>
          <w:szCs w:val="24"/>
        </w:rPr>
      </w:pPr>
      <w:r w:rsidRPr="00CB208F">
        <w:lastRenderedPageBreak/>
        <w:t>13.</w:t>
      </w:r>
      <w:r w:rsidRPr="00CB208F">
        <w:tab/>
        <w:t>toonitab, et kuna puudus igasugune avalik teave, küsis ombudsman 2022. aastal Euroopa Komisjonilt ennetavalt, kuidas ta tagab riiklike taastekavade üle peetavate läbirääkimiste läbipaistvuse, kuidas ta tagab avaliku kontrolli liikmesriikide saavutatud vahe-eesmärkide üle ja kuidas ta teeb auditite üle järelevalvet</w:t>
      </w:r>
      <w:r w:rsidRPr="00CB208F">
        <w:rPr>
          <w:szCs w:val="24"/>
          <w:vertAlign w:val="superscript"/>
        </w:rPr>
        <w:footnoteReference w:id="7"/>
      </w:r>
      <w:r w:rsidRPr="00CB208F">
        <w:t>;</w:t>
      </w:r>
    </w:p>
    <w:p w:rsidR="00DD1B21" w:rsidRPr="00CB208F" w:rsidRDefault="00DD1B21" w:rsidP="00DD1B21">
      <w:pPr>
        <w:pStyle w:val="NormalHanging12a"/>
        <w:rPr>
          <w:szCs w:val="24"/>
        </w:rPr>
      </w:pPr>
      <w:r w:rsidRPr="00CB208F">
        <w:t>14.</w:t>
      </w:r>
      <w:r w:rsidRPr="00CB208F">
        <w:tab/>
        <w:t>märgib, et 2022. aastal laekus ombudsmanile 2 223 kaebust (võrreldes 2021. aasta 2192 kaebusega), millest 35 % kuulus ombudsmani pädevusse; märgib lisaks, et ombudsman algatas 2022. aastal 348 uurimist, sealhulgas 60 avaliku tähtsusega uurimist, ja lõpetas 330 uurimist, võrreldes 338 uurimise algatamise ja 305 lõpetamisega 2021. aastal;</w:t>
      </w:r>
    </w:p>
    <w:p w:rsidR="00DD1B21" w:rsidRPr="00CB208F" w:rsidRDefault="00DD1B21" w:rsidP="00DD1B21">
      <w:pPr>
        <w:pStyle w:val="NormalHanging12a"/>
        <w:rPr>
          <w:szCs w:val="24"/>
        </w:rPr>
      </w:pPr>
      <w:r w:rsidRPr="00CB208F">
        <w:t>15.</w:t>
      </w:r>
      <w:r w:rsidRPr="00CB208F">
        <w:tab/>
        <w:t>täheldab tõsise murega, et ombudsman saab kodanikelt palju kaebusi taotletud dokumentidele juurdepääsul esinevate äärmuslike viivituste kohta; toetab ombudsmani seisukohta, et hilinenud juurdepääs on tegelikkuses juurdepääsu keelamine ning et haldusprotsesse tuleks ühtlustada, et tagada kodanikele õigeaegne juurdepääs dokumentidele</w:t>
      </w:r>
      <w:r w:rsidRPr="00CB208F">
        <w:rPr>
          <w:szCs w:val="24"/>
          <w:vertAlign w:val="superscript"/>
        </w:rPr>
        <w:footnoteReference w:id="8"/>
      </w:r>
      <w:r w:rsidRPr="00CB208F">
        <w:t>;</w:t>
      </w:r>
    </w:p>
    <w:p w:rsidR="00DD1B21" w:rsidRPr="00CB208F" w:rsidRDefault="00DD1B21" w:rsidP="00DD1B21">
      <w:pPr>
        <w:pStyle w:val="NormalHanging12a"/>
        <w:rPr>
          <w:szCs w:val="24"/>
        </w:rPr>
      </w:pPr>
      <w:r w:rsidRPr="00CB208F">
        <w:t>16.</w:t>
      </w:r>
      <w:r w:rsidRPr="00CB208F">
        <w:tab/>
        <w:t>väljendab heameelt lihtsustatud protsessi väljatöötamise üle nn vastamata jätmisega seotud uurimiste menetlemiseks; väljendab samuti heameelt lihtsustatud menetluse kasutuselevõtu üle nn väljaspool pädevust olevate kaebuste käsitlemiseks, vähendades seega selliste taotluste käsitlemise aega 15 päevalt 3 päevale; on siiski mures, et keskmine aeg pädevusse kuuluva kaebuse menetlemiseks kasvas 61 päevalt 91 päevale ja keskmine aeg uurimise menetlemiseks kasvas aastatel 2021–2022 112 päevalt 166 päevale;</w:t>
      </w:r>
    </w:p>
    <w:p w:rsidR="00DD1B21" w:rsidRPr="00CB208F" w:rsidRDefault="00DD1B21" w:rsidP="00DD1B21">
      <w:pPr>
        <w:pStyle w:val="NormalHanging12a"/>
        <w:rPr>
          <w:szCs w:val="24"/>
        </w:rPr>
      </w:pPr>
      <w:r w:rsidRPr="00CB208F">
        <w:t>17.</w:t>
      </w:r>
      <w:r w:rsidRPr="00CB208F">
        <w:tab/>
        <w:t>märgib, et eetika ja läbipaistvus on ka 2022. aastal jäänud ombudsmani jaoks olulisteks töövaldkondadeks, mis aitasid jätkuvalt kaasa edusammudele, kuid seisid ka silmitsi väljakutsetega, ning et läbipaistvuse ja aruandekohustusega seotud kaebuste arv moodustas 2022. aastal 32 % kõigist juhtumitest;</w:t>
      </w:r>
    </w:p>
    <w:p w:rsidR="00DD1B21" w:rsidRPr="00CB208F" w:rsidRDefault="00DD1B21" w:rsidP="00DD1B21">
      <w:pPr>
        <w:pStyle w:val="NormalHanging12a"/>
        <w:rPr>
          <w:szCs w:val="24"/>
        </w:rPr>
      </w:pPr>
      <w:r w:rsidRPr="00CB208F">
        <w:t>18.</w:t>
      </w:r>
      <w:r w:rsidRPr="00CB208F">
        <w:tab/>
        <w:t>märgib, et üldsuse juurdepääs dokumentidele on 2022. aastal jätkuvalt olnud ombudsmani peamine prioriteet, ning sellega seoses laekus 121 kaebust, mis on aasta jooksul registreeritud suurim arv, ja uurimiste tulemusel esitati 90 kaebust; väljendab heameelt juhtumite kiire menetlemise üle seoses üldsuse juurdepääsuga dokumentidele: kaebuse lahendamiseni kulub keskmiselt 46 tööpäeva ja 67 tööpäeva ainult uurimiste puhul; mõistab, et vaatamata juhtumite arvu suurenemisele moodustas kiirmenetlusega uurimiste osakaal kõigist üldsuse juurdepääsu dokumentidele käsitlevatest uurimistest vaid 28 %, samas kui 2021. aastal oli see näitaja 58 %; väljendab heameelt komisjoni ja teiste liidu ametite, nagu FRONTEX, ning institutsioonide ja asutuste, nagu EIP, kohta tehtud suuremate uurimiste tulemuste üle, mis käsitlevad üldsuse juurdepääsu dokumentidele käsitlevate taotluste haldamist;</w:t>
      </w:r>
    </w:p>
    <w:p w:rsidR="00DD1B21" w:rsidRPr="00CB208F" w:rsidRDefault="00DD1B21" w:rsidP="00DD1B21">
      <w:pPr>
        <w:pStyle w:val="NormalHanging12a"/>
        <w:rPr>
          <w:szCs w:val="24"/>
        </w:rPr>
      </w:pPr>
      <w:r w:rsidRPr="00CB208F">
        <w:t>19.</w:t>
      </w:r>
      <w:r w:rsidRPr="00CB208F">
        <w:tab/>
        <w:t xml:space="preserve">tuletab meelde, et Euroopa Ombudsmani sõnul peaksid dokumentidele, eelkõige seadusandlusega seotud dokumentidele juurdepääsu piirangud olema erandlikud ja rakenduma vaid hädavajaduse korral; tuletab samuti meelde, et otsused, millega keelatakse üldsuse juurdepääs dokumentidele, peavad põhinema selgelt ja rangelt määratletud õiguslikel eranditel, mida täiendavad põhjendatud ja üksikasjalikud selgitused, et kodanikel oleks võimalik keeldumisest aru saada ning kasutada tõhusalt </w:t>
      </w:r>
      <w:r w:rsidRPr="00CB208F">
        <w:lastRenderedPageBreak/>
        <w:t>nende käsutuses olevaid õiguskaitsevahendeid; on arvamusel, et ennetavam lähenemisviis aitaks tagada tõhusa läbipaistvuse ning vältida kulukaid ja koormavaid kohtuvaidlusi kodanike ja institutsioonide vahel</w:t>
      </w:r>
      <w:r w:rsidRPr="00CB208F">
        <w:rPr>
          <w:szCs w:val="24"/>
          <w:vertAlign w:val="superscript"/>
        </w:rPr>
        <w:footnoteReference w:id="9"/>
      </w:r>
      <w:r w:rsidRPr="00CB208F">
        <w:t>;</w:t>
      </w:r>
    </w:p>
    <w:p w:rsidR="00DD1B21" w:rsidRPr="00CB208F" w:rsidRDefault="00DD1B21" w:rsidP="00DD1B21">
      <w:pPr>
        <w:pStyle w:val="NormalHanging12a"/>
        <w:rPr>
          <w:b/>
          <w:i/>
          <w:szCs w:val="24"/>
        </w:rPr>
      </w:pPr>
      <w:r w:rsidRPr="00CB208F">
        <w:rPr>
          <w:b/>
          <w:i/>
        </w:rPr>
        <w:t>Personal, võrdsus ja töötajate heaolu</w:t>
      </w:r>
    </w:p>
    <w:p w:rsidR="00DD1B21" w:rsidRPr="00CB208F" w:rsidRDefault="00DD1B21" w:rsidP="00DD1B21">
      <w:pPr>
        <w:pStyle w:val="NormalHanging12a"/>
        <w:rPr>
          <w:szCs w:val="24"/>
        </w:rPr>
      </w:pPr>
      <w:r w:rsidRPr="00CB208F">
        <w:t>20.</w:t>
      </w:r>
      <w:r w:rsidRPr="00CB208F">
        <w:tab/>
        <w:t>märgib, et töötajate koosseis staatuse ja ametiprofiili poolest on viimastel aastatel püsinud stabiilsena, 2022. aasta lõpus oli töötajaid kokku 74, mis on sama palju kui 2021. aastal; märgib lisaks, et 2022. aastal töötas ombudsmani juures 39 ametnikku, võrreldes vastavalt 37 ja 38 ametnikuga aastatel 2020 ja 2021; 28 ajutist töötajat, võrreldes vastavalt 28 ja 30 ajutise töötajaga aastatel 2020 ja 2021, ning 7 lepingulist töötajat, võrreldes 8 ja 6 lepingulise töötajaga aastatel 2020 ja 2021; märgib, et 2022. aastal tegeles võrdselt umbes 40 % töötajatest ühelt poolt haldusega (personalijuhtimine, rahandus, protsesside juhtimine) ja teiselt poolt 40 % tegeles kaebuste ja uurimistega;</w:t>
      </w:r>
    </w:p>
    <w:p w:rsidR="00DD1B21" w:rsidRPr="00CB208F" w:rsidRDefault="00DD1B21" w:rsidP="00DD1B21">
      <w:pPr>
        <w:pStyle w:val="NormalHanging12a"/>
        <w:rPr>
          <w:szCs w:val="24"/>
        </w:rPr>
      </w:pPr>
      <w:r w:rsidRPr="00CB208F">
        <w:t>21.</w:t>
      </w:r>
      <w:r w:rsidRPr="00CB208F">
        <w:tab/>
        <w:t>peab kahetsusväärseks, et peasekretäri ametikoht on alates 1. septembrist 2022 olnud vaba;</w:t>
      </w:r>
    </w:p>
    <w:p w:rsidR="00DD1B21" w:rsidRPr="00CB208F" w:rsidRDefault="00DD1B21" w:rsidP="00DD1B21">
      <w:pPr>
        <w:pStyle w:val="NormalHanging12a"/>
        <w:rPr>
          <w:szCs w:val="24"/>
        </w:rPr>
      </w:pPr>
      <w:r w:rsidRPr="00CB208F">
        <w:t>22.</w:t>
      </w:r>
      <w:r w:rsidRPr="00CB208F">
        <w:tab/>
        <w:t>märgib, et 2022. aastal avaldas ombudsman huvi väljendamise kutse, mille eesmärk on luua kandidaatide reserv, et kiiremini tööle võtta ajutisi teenistujaid; on huvitatud selle menetluse tulemusel saavutatud tõhususe kasvu jälgimisest;</w:t>
      </w:r>
    </w:p>
    <w:p w:rsidR="00DD1B21" w:rsidRPr="00CB208F" w:rsidRDefault="00DD1B21" w:rsidP="00DD1B21">
      <w:pPr>
        <w:pStyle w:val="NormalHanging12a"/>
        <w:rPr>
          <w:szCs w:val="24"/>
        </w:rPr>
      </w:pPr>
      <w:r w:rsidRPr="00CB208F">
        <w:t>23.</w:t>
      </w:r>
      <w:r w:rsidRPr="00CB208F">
        <w:tab/>
        <w:t>märgib, et ombudsmanil on õnnestunud tänu ennetavale teabevahetusele ja mitmekülgsema sihtrühma teavitamisele, eelkõige sotsiaalmeedia kanalite kaudu, saavutada 18 rahvuse esindatus oma töötajate hulgas; nõuab tungivalt, et ombudsman jätkaks pingutusi kõigi liikmesriikide kodanike tasakaalustatud geograafilise jaotuse saavutamiseks töötajate hulgas;</w:t>
      </w:r>
    </w:p>
    <w:p w:rsidR="00DD1B21" w:rsidRPr="00CB208F" w:rsidRDefault="00DD1B21" w:rsidP="00DD1B21">
      <w:pPr>
        <w:pStyle w:val="NormalHanging12a"/>
        <w:rPr>
          <w:szCs w:val="24"/>
        </w:rPr>
      </w:pPr>
      <w:r w:rsidRPr="00CB208F">
        <w:t>24.</w:t>
      </w:r>
      <w:r w:rsidRPr="00CB208F">
        <w:tab/>
        <w:t>märgib seoses soolise tasakaaluga, et ombudsmani töötajate hulgas on kõigis kategooriates, eelkõige juhtimistasandil, rohkem naisi kui mehi, kusjuures üldine esindatus on 67 % naisi ja 33 % mehi, võrreldes 68 % naiste ja 32 % meestega 2021. aastal; julgustab ombudsmani jätkama oma jõupingutusi, et saavutada sooliselt tasakaalustatud töötajate esindatus;</w:t>
      </w:r>
    </w:p>
    <w:p w:rsidR="00DD1B21" w:rsidRPr="00CB208F" w:rsidRDefault="00DD1B21" w:rsidP="00DD1B21">
      <w:pPr>
        <w:pStyle w:val="NormalHanging12a"/>
        <w:rPr>
          <w:szCs w:val="24"/>
        </w:rPr>
      </w:pPr>
      <w:r w:rsidRPr="00CB208F">
        <w:t>25.</w:t>
      </w:r>
      <w:r w:rsidRPr="00CB208F">
        <w:tab/>
        <w:t>märgib, et 2022. aastal võttis ombudsman kasutusele oma uue, 2021. aasta oktoobris vastu võetud tööaja ja hübriidtöö poliitika, mis sisaldab näiteks sätteid kaugtöö, sealhulgas välismaalt töötamise, kodus töötamiseks vajalike ergonoomiliste seadmete tagamise, osalise tööajaga töötamise, lapsehoolduspuhkuse, paindliku tööaja ja õiguse kohta tööst välja lülituda ning peab tervitatavaks, et seda kohaldatakse kõigi töötajate kategooriate suhtes; väljendab heameelt 2023. aastal läbiviidud personaliuuringu üldise tulemuse üle, mille kohaselt on 97 % töötajatest rahul hübriid- ja paindliku töökorraldusega;</w:t>
      </w:r>
    </w:p>
    <w:p w:rsidR="00DD1B21" w:rsidRPr="00CB208F" w:rsidRDefault="00DD1B21" w:rsidP="00DD1B21">
      <w:pPr>
        <w:pStyle w:val="NormalHanging12a"/>
        <w:rPr>
          <w:szCs w:val="24"/>
        </w:rPr>
      </w:pPr>
      <w:r w:rsidRPr="00CB208F">
        <w:t>26.</w:t>
      </w:r>
      <w:r w:rsidRPr="00CB208F">
        <w:tab/>
        <w:t xml:space="preserve">võtab teadmiseks, et juhtidel on hea ülevaade töötajate töökoormusest, nad jälgivad korrapäraselt tööjaotust ja vajaduse korral korrigeerivad seda; märgib, et Euroopa Parlamendi meditsiiniteenistus, mis tegeleb ombudsmani töötajatega seotud meditsiiniliste küsimustega, ei hoiatanud ombudsmani ühegi läbipõlemise tagajärjel </w:t>
      </w:r>
      <w:r w:rsidRPr="00CB208F">
        <w:lastRenderedPageBreak/>
        <w:t>tekkinud pikaajalise haiguse eest;</w:t>
      </w:r>
    </w:p>
    <w:p w:rsidR="00DD1B21" w:rsidRPr="00CB208F" w:rsidRDefault="00DD1B21" w:rsidP="00DD1B21">
      <w:pPr>
        <w:pStyle w:val="NormalHanging12a"/>
        <w:rPr>
          <w:szCs w:val="24"/>
        </w:rPr>
      </w:pPr>
      <w:r w:rsidRPr="00CB208F">
        <w:t>27.</w:t>
      </w:r>
      <w:r w:rsidRPr="00CB208F">
        <w:tab/>
        <w:t>väljendab heameelt, et 2022. aastal ei teatatud ühestki ahistamisjuhtumist; julgustab ombudsmani jätkama oma jõupingutusi seksuaalsest ja psühholoogilisest ahistamisest vaba töökeskkonna tagamiseks, eelkõige teadlikkuse suurendamise ja koolituse kaudu; märgib rahuloluga, et eetikaraamistiku siseauditi raames läbi viidud uuring näitas, et 2023. aasta alguses oli 90 % töötajatest teadlikud ahistamist käsitlevast poliitikast ja suunistest;</w:t>
      </w:r>
    </w:p>
    <w:p w:rsidR="00DD1B21" w:rsidRPr="00CB208F" w:rsidRDefault="00DD1B21" w:rsidP="00DD1B21">
      <w:pPr>
        <w:pStyle w:val="NormalHanging12a"/>
        <w:rPr>
          <w:szCs w:val="24"/>
        </w:rPr>
      </w:pPr>
      <w:r w:rsidRPr="00CB208F">
        <w:t>28.</w:t>
      </w:r>
      <w:r w:rsidRPr="00CB208F">
        <w:tab/>
        <w:t>peab tervitatavaks, et ombudsman võttis 2022. aastal vastu 18 palgalist praktikanti, võrreldes 16 praktikandiga 2021. aastal, ning et neil on töötasupakett ja sama töökorraldus nagu ülejäänud töötajatel; julgustab ombudsmani käivitama 2023. aastaks kavandatud praktikakava, mis on mõeldud puuetega noortele;</w:t>
      </w:r>
    </w:p>
    <w:p w:rsidR="00DD1B21" w:rsidRPr="00CB208F" w:rsidRDefault="00DD1B21" w:rsidP="00DD1B21">
      <w:pPr>
        <w:pStyle w:val="NormalHanging12a"/>
        <w:rPr>
          <w:b/>
          <w:i/>
          <w:szCs w:val="24"/>
        </w:rPr>
      </w:pPr>
      <w:r w:rsidRPr="00CB208F">
        <w:rPr>
          <w:b/>
          <w:i/>
        </w:rPr>
        <w:t>Eetikaraamistik ja läbipaistvus</w:t>
      </w:r>
    </w:p>
    <w:p w:rsidR="00DD1B21" w:rsidRPr="00CB208F" w:rsidRDefault="00DD1B21" w:rsidP="00DD1B21">
      <w:pPr>
        <w:pStyle w:val="NormalHanging12a"/>
        <w:rPr>
          <w:szCs w:val="24"/>
        </w:rPr>
      </w:pPr>
      <w:r w:rsidRPr="00CB208F">
        <w:t>29.</w:t>
      </w:r>
      <w:r w:rsidRPr="00CB208F">
        <w:tab/>
        <w:t xml:space="preserve">väljendab heameelt jätkuvate jõupingutuste üle institutsiooni eetilise raamistiku tugevdamiseks ja sellest teadlikkuse tõstmiseks; märgib, et ombudsman korraldas sellega seoses ombudsmani </w:t>
      </w:r>
      <w:proofErr w:type="spellStart"/>
      <w:r w:rsidRPr="00CB208F">
        <w:t>välistegevuse</w:t>
      </w:r>
      <w:proofErr w:type="spellEnd"/>
      <w:r w:rsidRPr="00CB208F">
        <w:t xml:space="preserve"> poliitika tutvustamise, koolituse ahistamise kohta ja lõunaajal kõigile töötajatele huvide konfliktide teemalise koolituse; märgib lisaks, et huvide konfliktide, </w:t>
      </w:r>
      <w:proofErr w:type="spellStart"/>
      <w:r w:rsidRPr="00CB208F">
        <w:t>välistegevuse</w:t>
      </w:r>
      <w:proofErr w:type="spellEnd"/>
      <w:r w:rsidRPr="00CB208F">
        <w:t>, avalduste ja ametialase tegevuse deklaratsioonide vormid pärast liidu avalikust teenistusest lahkumist vaadati läbi, et tagada personalieeskirjade ja sise-eeskirjade järjepidev kohaldamine; väljendab heameelt ombudsmani 2022. aastal algatatud eetikaraamistiku siseauditi üle, mille tulemusi võetakse arvesse, et veelgi parandada tavasid selles valdkonnas;</w:t>
      </w:r>
    </w:p>
    <w:p w:rsidR="00DD1B21" w:rsidRPr="00CB208F" w:rsidRDefault="00DD1B21" w:rsidP="00DD1B21">
      <w:pPr>
        <w:pStyle w:val="NormalHanging12a"/>
      </w:pPr>
      <w:r w:rsidRPr="00CB208F">
        <w:t>30.</w:t>
      </w:r>
      <w:r w:rsidRPr="00CB208F">
        <w:tab/>
        <w:t>märgib, et ombudsmani pettusevastane strateegia põhineb suures osas olemasoleval eetikaraamistikul ja finantsfunktsioonide ülesannete lahususe põhimõttel; märgib rahuloluga, et 2022. aastal ei teatatud ühestki huvide konflikti ega rikkumistest teatamise juhtumist;</w:t>
      </w:r>
    </w:p>
    <w:p w:rsidR="00DD1B21" w:rsidRPr="00CB208F" w:rsidRDefault="00DD1B21" w:rsidP="00DD1B21">
      <w:pPr>
        <w:pStyle w:val="NormalHanging12a"/>
        <w:rPr>
          <w:szCs w:val="24"/>
        </w:rPr>
      </w:pPr>
      <w:r w:rsidRPr="00CB208F">
        <w:t>31.</w:t>
      </w:r>
      <w:r w:rsidRPr="00CB208F">
        <w:tab/>
        <w:t xml:space="preserve">peab kahetsusväärseks, et ombudsman ei liitunud ametlikult ELi läbipaistvusregistriga, mis loodi 20. mai 2021. aasta </w:t>
      </w:r>
      <w:proofErr w:type="spellStart"/>
      <w:r w:rsidRPr="00CB208F">
        <w:t>institutsioonidevahelise</w:t>
      </w:r>
      <w:proofErr w:type="spellEnd"/>
      <w:r w:rsidRPr="00CB208F">
        <w:t xml:space="preserve"> kokkuleppega Euroopa Parlamendi, Euroopa Liidu Nõukogu ja Euroopa Komisjoni vahel kohustusliku läbipaistvusregistri kohta, kuid on ühtlustanud oma tavad läbipaistvusregistri põhimõtetega, kontrollides, et ombudsmani korraldatud ürituste või kohtumiste sõnavõtjad või kontaktisikud oleksid selles registreeritud; väljendab heameelt ombudsmani poolt saavutatud suure läbipaistvuse üle, tänu sellele, et ombudsmani veebilehel avaldatakse teavet uurimiste, lähetuste, kohtumiste ja ürituste kohta, milles ta osaleb;</w:t>
      </w:r>
    </w:p>
    <w:p w:rsidR="00DD1B21" w:rsidRPr="00CB208F" w:rsidRDefault="00DD1B21" w:rsidP="00DD1B21">
      <w:pPr>
        <w:pStyle w:val="NormalHanging12a"/>
        <w:rPr>
          <w:szCs w:val="24"/>
        </w:rPr>
      </w:pPr>
      <w:r w:rsidRPr="00CB208F">
        <w:t>32.</w:t>
      </w:r>
      <w:r w:rsidRPr="00CB208F">
        <w:tab/>
        <w:t>kutsub ombudsmani üles teavitama eelarvepädevaid institutsioone korrapäraselt taaste- ja vastupidavusrahastu läbipaistvuse ja aruandekohustusega seotud töös esinenud raskustest;</w:t>
      </w:r>
    </w:p>
    <w:p w:rsidR="00DD1B21" w:rsidRPr="00CB208F" w:rsidRDefault="00DD1B21" w:rsidP="00DD1B21">
      <w:pPr>
        <w:pStyle w:val="NormalHanging12a"/>
        <w:rPr>
          <w:szCs w:val="24"/>
        </w:rPr>
      </w:pPr>
      <w:r w:rsidRPr="00CB208F">
        <w:t>33.</w:t>
      </w:r>
      <w:r w:rsidRPr="00CB208F">
        <w:tab/>
        <w:t>väljendab heameelt selle üle, et ombudsman avaldas 2022. aastal üldsusele mõeldud juhendi üldsuse juurdepääsu õiguse kohta dokumentidele, mis sisaldab teavet selle kohta, kuidas seda õigust kõige paremini kasutada;</w:t>
      </w:r>
    </w:p>
    <w:p w:rsidR="00DD1B21" w:rsidRPr="00CB208F" w:rsidRDefault="00DD1B21" w:rsidP="00DD1B21">
      <w:pPr>
        <w:pStyle w:val="NormalHanging12a"/>
        <w:rPr>
          <w:b/>
          <w:i/>
          <w:szCs w:val="24"/>
        </w:rPr>
      </w:pPr>
      <w:r w:rsidRPr="00CB208F">
        <w:rPr>
          <w:b/>
          <w:i/>
        </w:rPr>
        <w:t>Digitaliseerimine, küberturvalisus ja andmekaitse</w:t>
      </w:r>
    </w:p>
    <w:p w:rsidR="00DD1B21" w:rsidRPr="00CB208F" w:rsidRDefault="00DD1B21" w:rsidP="00DD1B21">
      <w:pPr>
        <w:pStyle w:val="NormalHanging12a"/>
        <w:rPr>
          <w:szCs w:val="24"/>
        </w:rPr>
      </w:pPr>
      <w:r w:rsidRPr="00CB208F">
        <w:t>34.</w:t>
      </w:r>
      <w:r w:rsidRPr="00CB208F">
        <w:tab/>
        <w:t xml:space="preserve">õnnitleb ombudsmani aktiivse digitaliseerimise edendamise eest, et vähendada paberi </w:t>
      </w:r>
      <w:r w:rsidRPr="00CB208F">
        <w:lastRenderedPageBreak/>
        <w:t>kasutamist ning hõlbustada dokumentide vahetamist ja säilitamist; märgib, et 2022. aastal vähenesid IT-kulud võrreldes 2021. aastaga 48 %, kuna digitaliseerimise tõhustamiseks ei olnud vaja teha konkreetseid investeeringuid; väljendab heameelt videokonverentside ja veebiülekannete üldise kasutamise üle, mis on vähendanud reisimise vajadust;</w:t>
      </w:r>
    </w:p>
    <w:p w:rsidR="00DD1B21" w:rsidRPr="00CB208F" w:rsidRDefault="00DD1B21" w:rsidP="00DD1B21">
      <w:pPr>
        <w:pStyle w:val="NormalHanging12a"/>
        <w:rPr>
          <w:szCs w:val="24"/>
        </w:rPr>
      </w:pPr>
      <w:r w:rsidRPr="00CB208F">
        <w:t>35.</w:t>
      </w:r>
      <w:r w:rsidRPr="00CB208F">
        <w:tab/>
        <w:t xml:space="preserve">märgib, et infotehnoloogia osas tugineb ombudsman Euroopa Parlamendi taristule ja küberturvalisuse raamistikule ning teeb tihedat koostööd komisjoniga seoses liidu korporatiivvahendite (SYSPER, ABAC, </w:t>
      </w:r>
      <w:proofErr w:type="spellStart"/>
      <w:r w:rsidRPr="00CB208F">
        <w:t>MiPS</w:t>
      </w:r>
      <w:proofErr w:type="spellEnd"/>
      <w:r w:rsidRPr="00CB208F">
        <w:t xml:space="preserve"> ja ARES) integreerimise ja haldamisega ning IT-raamlepingute kasutamisega; märgib, et arvestades, et tema kontrolli tase andmete üle on piiratud, sõlmis ombudsman asjaomaste institutsioonidega teenustaseme lepingud, et tagada isikuandmete käitlemise vastavus kohaldatavale õigusraamistikule; märgib rahuloluga, et ombudsman ei ole 2022. aastal </w:t>
      </w:r>
      <w:proofErr w:type="spellStart"/>
      <w:r w:rsidRPr="00CB208F">
        <w:t>küberrünnetega</w:t>
      </w:r>
      <w:proofErr w:type="spellEnd"/>
      <w:r w:rsidRPr="00CB208F">
        <w:t xml:space="preserve"> kokku puutunud;</w:t>
      </w:r>
    </w:p>
    <w:p w:rsidR="00DD1B21" w:rsidRPr="00CB208F" w:rsidRDefault="00DD1B21" w:rsidP="00DD1B21">
      <w:pPr>
        <w:pStyle w:val="NormalHanging12a"/>
        <w:rPr>
          <w:szCs w:val="24"/>
        </w:rPr>
      </w:pPr>
      <w:r w:rsidRPr="00CB208F">
        <w:t>36.</w:t>
      </w:r>
      <w:r w:rsidRPr="00CB208F">
        <w:tab/>
        <w:t xml:space="preserve">julgustab ombudsmani tegema tihedat koostööd </w:t>
      </w:r>
      <w:proofErr w:type="spellStart"/>
      <w:r w:rsidRPr="00CB208F">
        <w:t>ENISAga</w:t>
      </w:r>
      <w:proofErr w:type="spellEnd"/>
      <w:r w:rsidRPr="00CB208F">
        <w:t xml:space="preserve"> (Euroopa Liidu Küberturvalisuse Amet); teeb ettepaneku pakkuda korrapäraselt ajakohastatavaid </w:t>
      </w:r>
      <w:proofErr w:type="spellStart"/>
      <w:r w:rsidRPr="00CB208F">
        <w:t>küberturvalisusega</w:t>
      </w:r>
      <w:proofErr w:type="spellEnd"/>
      <w:r w:rsidRPr="00CB208F">
        <w:t xml:space="preserve"> seotud koolitusprogramme kõikidele ombudsmani töötajatele;</w:t>
      </w:r>
    </w:p>
    <w:p w:rsidR="00DD1B21" w:rsidRPr="00CB208F" w:rsidRDefault="00DD1B21" w:rsidP="00DD1B21">
      <w:pPr>
        <w:pStyle w:val="NormalHanging12a"/>
        <w:rPr>
          <w:szCs w:val="24"/>
        </w:rPr>
      </w:pPr>
      <w:r w:rsidRPr="00CB208F">
        <w:t>37.</w:t>
      </w:r>
      <w:r w:rsidRPr="00CB208F">
        <w:tab/>
        <w:t>märgib rahuloluga, et ombudsman viis 2022. aastal lõpule neli meedet viiest punktist koosnevast tegevuskavast, mis võeti vastu pärast siseauditi aruannet 21/03 institutsiooni andmekaitseraamistiku läbivaatamise kohta, mille eesmärk on veelgi tõhustada isikuandmete töötlemise tõhusust ja tulemuslikkust institutsioonis;</w:t>
      </w:r>
    </w:p>
    <w:p w:rsidR="00DD1B21" w:rsidRPr="00CB208F" w:rsidRDefault="00DD1B21" w:rsidP="00DD1B21">
      <w:pPr>
        <w:pStyle w:val="NormalHanging12a"/>
        <w:rPr>
          <w:szCs w:val="24"/>
        </w:rPr>
      </w:pPr>
      <w:r w:rsidRPr="00CB208F">
        <w:t>38.</w:t>
      </w:r>
      <w:r w:rsidRPr="00CB208F">
        <w:tab/>
        <w:t>märgib, et 2022. aastal andis Euroopa andmekaitseinspektor (edaspidi „andmekaitseinspektor“) tagasisidet seoses ühe kodaniku kaebusega, milles ta väitis, et ombudsmani poolt standardse vastuvõtuteatega esitatud teave andmekaitse kohta oli ebapiisav; märgib rahuloluga, et andmekaitseinspektor lõpetas juhtumi ilma edasiste meetmeteta pärast seda, kui ombudsman tegi oma vormile soovitatud muudatused;</w:t>
      </w:r>
    </w:p>
    <w:p w:rsidR="00DD1B21" w:rsidRPr="00CB208F" w:rsidRDefault="00DD1B21" w:rsidP="00DD1B21">
      <w:pPr>
        <w:pStyle w:val="NormalHanging12a"/>
      </w:pPr>
      <w:r w:rsidRPr="00CB208F">
        <w:t>39.</w:t>
      </w:r>
      <w:r w:rsidRPr="00CB208F">
        <w:tab/>
        <w:t xml:space="preserve">väljendab heameelt asjaolu üle, et koostöös Euroopa Komisjoni </w:t>
      </w:r>
      <w:proofErr w:type="spellStart"/>
      <w:r w:rsidRPr="00CB208F">
        <w:t>digiteenuste</w:t>
      </w:r>
      <w:proofErr w:type="spellEnd"/>
      <w:r w:rsidRPr="00CB208F">
        <w:t xml:space="preserve"> peadirektoraadiga rakendatakse praegu e-arveldamise süsteemi; palub ombudsmanil esitada e-arveldamise süsteemi täieliku rakendamise ajakava;</w:t>
      </w:r>
    </w:p>
    <w:p w:rsidR="00805678" w:rsidRPr="00CB208F" w:rsidRDefault="00736EFF" w:rsidP="00DD1B21">
      <w:pPr>
        <w:pStyle w:val="NormalHanging12a"/>
        <w:rPr>
          <w:szCs w:val="24"/>
        </w:rPr>
      </w:pPr>
      <w:r w:rsidRPr="00CB208F">
        <w:t>40.</w:t>
      </w:r>
      <w:r w:rsidR="00805678" w:rsidRPr="00CB208F">
        <w:tab/>
      </w:r>
      <w:r w:rsidR="00805678" w:rsidRPr="00CB208F">
        <w:rPr>
          <w:szCs w:val="24"/>
          <w:lang w:eastAsia="en-US"/>
        </w:rPr>
        <w:t>avaldab ombudsmanile tunnustust selle eest, et ta kasutab oma veebisaidil üksnes avatud lähtekoodiga tarkvara ja eelistab võimaluse korral avatud lähtekoodiga vahendite kasutamist ka asutusesisestel eesmärkidel;</w:t>
      </w:r>
    </w:p>
    <w:p w:rsidR="00DD1B21" w:rsidRPr="00CB208F" w:rsidRDefault="00DD1B21" w:rsidP="00DD1B21">
      <w:pPr>
        <w:pStyle w:val="NormalHanging12a"/>
        <w:ind w:left="0" w:firstLine="0"/>
        <w:rPr>
          <w:b/>
          <w:i/>
          <w:szCs w:val="24"/>
        </w:rPr>
      </w:pPr>
      <w:r w:rsidRPr="00CB208F">
        <w:rPr>
          <w:b/>
          <w:i/>
        </w:rPr>
        <w:t>Hooned</w:t>
      </w:r>
    </w:p>
    <w:p w:rsidR="00DD1B21" w:rsidRPr="00CB208F" w:rsidRDefault="00DD1B21" w:rsidP="00DD1B21">
      <w:pPr>
        <w:pStyle w:val="NormalHanging12a"/>
        <w:rPr>
          <w:szCs w:val="24"/>
        </w:rPr>
      </w:pPr>
      <w:r w:rsidRPr="00CB208F">
        <w:t>4</w:t>
      </w:r>
      <w:r w:rsidR="00736EFF" w:rsidRPr="00CB208F">
        <w:t>1</w:t>
      </w:r>
      <w:r w:rsidRPr="00CB208F">
        <w:t>.</w:t>
      </w:r>
      <w:r w:rsidRPr="00CB208F">
        <w:tab/>
        <w:t>märgib, et pärast ombudsmani Brüsseli büroo kolimist Euroopa Parlamendi poolt 2021. aastal antud uutesse ruumidesse organiseeriti hoone kui koostööl põhineva tööruumina, kus on väga vähe individuaalseid kabinette ja paindlikud koostööl põhinevad koosolekuruumid; võtab positiivselt teadmiseks, et ombudsman ei kasuta kontorilaua jagamist ja et kõigil töötajatel on oma laud, millel on piisavalt hoiuruumi; on mures, et ombudsman ei korraldanud personaliuuringut enne kolimist ühistesse ruumidesse Brüsseli büroos; märgib, et 2023. aastal läbiviidud üldine personaliuuring näitas, et enamik töötajaid suhtus uude füüsilisse töökorraldusse positiivselt; hindab ka seda, et töötajaid teavitati enne kolimist mõnest tööruumide sisustamisega seotud otsusest, näiteks värvilahendustest;</w:t>
      </w:r>
    </w:p>
    <w:p w:rsidR="00DD1B21" w:rsidRPr="00CB208F" w:rsidRDefault="00DD1B21" w:rsidP="00DD1B21">
      <w:pPr>
        <w:pStyle w:val="NormalHanging12a"/>
        <w:rPr>
          <w:szCs w:val="24"/>
        </w:rPr>
      </w:pPr>
      <w:r w:rsidRPr="00CB208F">
        <w:t>4</w:t>
      </w:r>
      <w:r w:rsidR="00736EFF" w:rsidRPr="00CB208F">
        <w:t>2</w:t>
      </w:r>
      <w:r w:rsidRPr="00CB208F">
        <w:t>.</w:t>
      </w:r>
      <w:r w:rsidRPr="00CB208F">
        <w:tab/>
        <w:t xml:space="preserve">märgib, et ombudsman tagastas 20,5 % Euroopa Parlamendi poolt Strasbourgis renditud </w:t>
      </w:r>
      <w:r w:rsidRPr="00CB208F">
        <w:lastRenderedPageBreak/>
        <w:t>pinnast viimase taotlusel ja et tema renditasu vähendati hiljem;</w:t>
      </w:r>
    </w:p>
    <w:p w:rsidR="00DD1B21" w:rsidRPr="00CB208F" w:rsidRDefault="00DD1B21" w:rsidP="00DD1B21">
      <w:pPr>
        <w:pStyle w:val="NormalHanging12a"/>
        <w:rPr>
          <w:szCs w:val="24"/>
        </w:rPr>
      </w:pPr>
      <w:r w:rsidRPr="00CB208F">
        <w:t>4</w:t>
      </w:r>
      <w:r w:rsidR="00736EFF" w:rsidRPr="00CB208F">
        <w:t>3</w:t>
      </w:r>
      <w:r w:rsidRPr="00CB208F">
        <w:t>.</w:t>
      </w:r>
      <w:r w:rsidRPr="00CB208F">
        <w:tab/>
        <w:t xml:space="preserve">tuletab meelde, et ombudsmanil ei ole oma hooneid, vaid ta rendib hoonet Brüsselis ja kontoriruume Strasbourgis; märgib rahuloluga, et Strasbourgi </w:t>
      </w:r>
      <w:proofErr w:type="spellStart"/>
      <w:r w:rsidRPr="00CB208F">
        <w:t>Haveli</w:t>
      </w:r>
      <w:proofErr w:type="spellEnd"/>
      <w:r w:rsidRPr="00CB208F">
        <w:t xml:space="preserve"> hoone on piiratud liikumisvõimega isikutele või muu puudega isikutele täielikult ligipääsetav ning peab äärmiselt kahetsusväärseks, et Brüsselis renditud hoone ligipääsetavust tuleb parandada; kutsub Euroopa Parlamenti üles parandama juurdepääsu ombudsmanile renditud hoonele Brüsselis;</w:t>
      </w:r>
    </w:p>
    <w:p w:rsidR="00DD1B21" w:rsidRPr="00CB208F" w:rsidRDefault="00DD1B21" w:rsidP="00DD1B21">
      <w:pPr>
        <w:pStyle w:val="NormalHanging12a"/>
        <w:ind w:left="0" w:firstLine="0"/>
        <w:rPr>
          <w:b/>
          <w:i/>
          <w:szCs w:val="24"/>
        </w:rPr>
      </w:pPr>
      <w:r w:rsidRPr="00CB208F">
        <w:rPr>
          <w:b/>
          <w:i/>
        </w:rPr>
        <w:t>Keskkond ja kestlikkus</w:t>
      </w:r>
    </w:p>
    <w:p w:rsidR="00DD1B21" w:rsidRPr="00CB208F" w:rsidRDefault="00DD1B21" w:rsidP="00DD1B21">
      <w:pPr>
        <w:pStyle w:val="NormalHanging12a"/>
        <w:rPr>
          <w:szCs w:val="24"/>
        </w:rPr>
      </w:pPr>
      <w:r w:rsidRPr="00CB208F">
        <w:t>4</w:t>
      </w:r>
      <w:r w:rsidR="00736EFF" w:rsidRPr="00CB208F">
        <w:t>4</w:t>
      </w:r>
      <w:r w:rsidRPr="00CB208F">
        <w:t>.</w:t>
      </w:r>
      <w:r w:rsidRPr="00CB208F">
        <w:tab/>
        <w:t>väljendab heameelt asjaolu üle, et ombudsman on aastate jooksul vähendanud oma keskkonnajalajälge, eelkõige oma protsesside ja väljaannete, näiteks aastaaruande digitaliseerimise, üksikute trükikodade kasutamise lõpetamise ja ürituste säästvamaks muutmise meetmete kaudu; märgib, et ombudsman sõltub oma hoonete keskkonnajalajälje osas parlamendi kui hoonete omaniku poolt võetud meetmetest; võtab teadmiseks, et ombudsman edastab Euroopa Parlamendile oma taotluse, mis on väljendatud 2021. aasta eelarve täitmisele heakskiidu andmisel, paigaldada oma hoonete katustele päikesepaneelid;</w:t>
      </w:r>
    </w:p>
    <w:p w:rsidR="00DD1B21" w:rsidRPr="00CB208F" w:rsidRDefault="00DD1B21" w:rsidP="00DD1B21">
      <w:pPr>
        <w:pStyle w:val="NormalHanging12a"/>
        <w:rPr>
          <w:szCs w:val="24"/>
        </w:rPr>
      </w:pPr>
      <w:r w:rsidRPr="00CB208F">
        <w:t>4</w:t>
      </w:r>
      <w:r w:rsidR="00736EFF" w:rsidRPr="00CB208F">
        <w:t>5</w:t>
      </w:r>
      <w:r w:rsidRPr="00CB208F">
        <w:t>.</w:t>
      </w:r>
      <w:r w:rsidRPr="00CB208F">
        <w:tab/>
        <w:t>märgib, et ombudsman jätkas 2022. aastal kestliku liikuvuse edendamist, eelkõige rahalise toetuse andmisega ühistranspordi aastastele sõidukaartidele, olemasolevate autoparkimiskohtade piiramisega ning jalgratturite rajatiste ja parkimiskohtade parandamisega;</w:t>
      </w:r>
    </w:p>
    <w:p w:rsidR="00DD1B21" w:rsidRPr="00CB208F" w:rsidRDefault="00DD1B21" w:rsidP="00DD1B21">
      <w:pPr>
        <w:pStyle w:val="NormalHanging12a"/>
        <w:ind w:left="0" w:firstLine="0"/>
        <w:rPr>
          <w:b/>
          <w:i/>
          <w:szCs w:val="24"/>
        </w:rPr>
      </w:pPr>
      <w:r w:rsidRPr="00CB208F">
        <w:rPr>
          <w:b/>
          <w:i/>
        </w:rPr>
        <w:t>Institutsioonidevaheline koostöö</w:t>
      </w:r>
    </w:p>
    <w:p w:rsidR="00DD1B21" w:rsidRPr="00CB208F" w:rsidRDefault="00DD1B21" w:rsidP="00DD1B21">
      <w:pPr>
        <w:pStyle w:val="NormalHanging12a"/>
        <w:rPr>
          <w:szCs w:val="24"/>
        </w:rPr>
      </w:pPr>
      <w:r w:rsidRPr="00CB208F">
        <w:t>4</w:t>
      </w:r>
      <w:r w:rsidR="00736EFF" w:rsidRPr="00CB208F">
        <w:t>6</w:t>
      </w:r>
      <w:r w:rsidRPr="00CB208F">
        <w:t>.</w:t>
      </w:r>
      <w:r w:rsidRPr="00CB208F">
        <w:tab/>
        <w:t xml:space="preserve">väljendab heameelt </w:t>
      </w:r>
      <w:proofErr w:type="spellStart"/>
      <w:r w:rsidRPr="00CB208F">
        <w:t>institutsioonidevahelise</w:t>
      </w:r>
      <w:proofErr w:type="spellEnd"/>
      <w:r w:rsidRPr="00CB208F">
        <w:t xml:space="preserve"> koostöö kaudu saavutatud finants- ja haldussäästu üle, eelkõige Euroopa Parlamendi ja komisjoniga sõlmitud mitmesuguseid teenustaseme kokkuleppeid ning osalemist </w:t>
      </w:r>
      <w:proofErr w:type="spellStart"/>
      <w:r w:rsidRPr="00CB208F">
        <w:t>institutsioonidevahelistes</w:t>
      </w:r>
      <w:proofErr w:type="spellEnd"/>
      <w:r w:rsidRPr="00CB208F">
        <w:t xml:space="preserve"> hankemenetlustes; märgib, et 2022. aastal arendas ombudsman uusi sünergiaid teiste institutsioonidega ja allkirjastas kokkulepped teenuste osutamise kohta kvalifitseeritud </w:t>
      </w:r>
      <w:proofErr w:type="spellStart"/>
      <w:r w:rsidRPr="00CB208F">
        <w:t>kaugallkirjastamise</w:t>
      </w:r>
      <w:proofErr w:type="spellEnd"/>
      <w:r w:rsidRPr="00CB208F">
        <w:t xml:space="preserve"> sertifikaatide kasutamiseks komisjoni poolt ning teenuste osutamiseks parlamendi töötajate </w:t>
      </w:r>
      <w:r w:rsidRPr="00CB208F">
        <w:rPr>
          <w:i/>
          <w:iCs/>
        </w:rPr>
        <w:t xml:space="preserve">front </w:t>
      </w:r>
      <w:proofErr w:type="spellStart"/>
      <w:r w:rsidRPr="00CB208F">
        <w:rPr>
          <w:i/>
          <w:iCs/>
        </w:rPr>
        <w:t>office</w:t>
      </w:r>
      <w:r w:rsidRPr="00CB208F">
        <w:t>’i</w:t>
      </w:r>
      <w:proofErr w:type="spellEnd"/>
      <w:r w:rsidRPr="00CB208F">
        <w:t xml:space="preserve"> ja infolaua poolt;</w:t>
      </w:r>
    </w:p>
    <w:p w:rsidR="00DD1B21" w:rsidRPr="00CB208F" w:rsidRDefault="00DD1B21" w:rsidP="00DD1B21">
      <w:pPr>
        <w:pStyle w:val="NormalHanging12a"/>
        <w:rPr>
          <w:szCs w:val="24"/>
        </w:rPr>
      </w:pPr>
      <w:r w:rsidRPr="00CB208F">
        <w:t>4</w:t>
      </w:r>
      <w:r w:rsidR="00736EFF" w:rsidRPr="00CB208F">
        <w:t>7</w:t>
      </w:r>
      <w:r w:rsidRPr="00CB208F">
        <w:t>.</w:t>
      </w:r>
      <w:r w:rsidRPr="00CB208F">
        <w:tab/>
        <w:t>tunnistab, et on oluline säilitada kõrgetasemeline teabevahetus ja koordineerimine Euroopa ombudsmanide võrgustikuga; väljendab heameelt Euroopa ombudsmanide võrgustiku aastakonverentsi ja temaatilise veebiseminari korraldamise kui oluliste arutelufoorumite üle päevakajalistel teemadel, mis mõjutavad ombudsmanide tööd kogu Euroopas 2022. aastal;</w:t>
      </w:r>
    </w:p>
    <w:p w:rsidR="00DD1B21" w:rsidRPr="00CB208F" w:rsidRDefault="00DD1B21" w:rsidP="00DD1B21">
      <w:pPr>
        <w:pStyle w:val="NormalHanging12a"/>
        <w:rPr>
          <w:szCs w:val="24"/>
        </w:rPr>
      </w:pPr>
      <w:r w:rsidRPr="00CB208F">
        <w:t>4</w:t>
      </w:r>
      <w:r w:rsidR="00736EFF" w:rsidRPr="00CB208F">
        <w:t>8</w:t>
      </w:r>
      <w:r w:rsidRPr="00CB208F">
        <w:t>.</w:t>
      </w:r>
      <w:r w:rsidRPr="00CB208F">
        <w:tab/>
        <w:t xml:space="preserve">väljendab heameelt koostöö üle, mida ombudsman teeb EPPO, Euroopa Kontrollikoja ja </w:t>
      </w:r>
      <w:proofErr w:type="spellStart"/>
      <w:r w:rsidRPr="00CB208F">
        <w:t>OLAFiga</w:t>
      </w:r>
      <w:proofErr w:type="spellEnd"/>
      <w:r w:rsidRPr="00CB208F">
        <w:t>, et vältida juurdluste dubleerimist ja arutada vastastikust huvi pakkuvaid teemasid, näiteks liidu järelevalveraamistiku parandamist; väljendab samuti heameelt andmekaitseinspektoriga loodud koostöökanalite üle, et tagada kiire vastastikune konsulteerimine mõlema institutsiooni igapäevatöös, ning vastastikuse mõistmise memorandumit, milles piiritletakse mõlema institutsiooni pädevus, ja mille eesmärk on vältida menetluste dubleerimist;</w:t>
      </w:r>
    </w:p>
    <w:p w:rsidR="00DD1B21" w:rsidRPr="00CB208F" w:rsidRDefault="00DD1B21" w:rsidP="00DD1B21">
      <w:pPr>
        <w:pStyle w:val="NormalHanging12a"/>
        <w:rPr>
          <w:szCs w:val="24"/>
        </w:rPr>
      </w:pPr>
      <w:r w:rsidRPr="00CB208F">
        <w:t>4</w:t>
      </w:r>
      <w:r w:rsidR="00736EFF" w:rsidRPr="00CB208F">
        <w:t>9</w:t>
      </w:r>
      <w:r w:rsidRPr="00CB208F">
        <w:t>.</w:t>
      </w:r>
      <w:r w:rsidRPr="00CB208F">
        <w:tab/>
        <w:t xml:space="preserve">väljendab heameelt selle üle, et ombudsman teeb olulistes uurimistes tihedat koostööd Euroopa Parlamendi asjaomaste komisjonidega kas otse komisjonide koosolekutel oma </w:t>
      </w:r>
      <w:r w:rsidRPr="00CB208F">
        <w:lastRenderedPageBreak/>
        <w:t>tööd tutvustades või komisjonide esimeestele saadetava teabe vahendusel; rõhutab, et ombudsmani strateegilised algatused ja uurimised on liidu halduse läbipaistvuse ja aruandekohustuse parandamisel üliolulised;</w:t>
      </w:r>
    </w:p>
    <w:p w:rsidR="00DD1B21" w:rsidRPr="00CB208F" w:rsidRDefault="00DD1B21" w:rsidP="00DD1B21">
      <w:pPr>
        <w:pStyle w:val="NormalHanging12a"/>
        <w:rPr>
          <w:b/>
          <w:i/>
          <w:szCs w:val="24"/>
        </w:rPr>
      </w:pPr>
      <w:r w:rsidRPr="00CB208F">
        <w:rPr>
          <w:b/>
          <w:i/>
        </w:rPr>
        <w:t>Kommunikatsioon</w:t>
      </w:r>
    </w:p>
    <w:p w:rsidR="00DD1B21" w:rsidRPr="00CB208F" w:rsidRDefault="0030476B" w:rsidP="00DD1B21">
      <w:pPr>
        <w:pStyle w:val="NormalHanging12a"/>
        <w:rPr>
          <w:szCs w:val="24"/>
        </w:rPr>
      </w:pPr>
      <w:r w:rsidRPr="00CB208F">
        <w:t>50</w:t>
      </w:r>
      <w:r w:rsidR="00DD1B21" w:rsidRPr="00CB208F">
        <w:t>.</w:t>
      </w:r>
      <w:r w:rsidR="00DD1B21" w:rsidRPr="00CB208F">
        <w:tab/>
        <w:t xml:space="preserve">märgib, et kommunikatsiooni ja </w:t>
      </w:r>
      <w:proofErr w:type="spellStart"/>
      <w:r w:rsidR="00DD1B21" w:rsidRPr="00CB208F">
        <w:t>edendustegevuse</w:t>
      </w:r>
      <w:proofErr w:type="spellEnd"/>
      <w:r w:rsidR="00DD1B21" w:rsidRPr="00CB208F">
        <w:t xml:space="preserve"> kogueelarve suurenes aastatel 2021–2022 92 100 eurolt 132 400 eurole, st 43,8 %; õnnitleb ombudsmani tervikliku kommunikatsioonistrateegia väljatöötamise puhul, mis on aidanud kaasa konkreetsete sihtrühmade ja üldsuse paremale teavitamisele; märgib, et Euroopa meedia avaldas ombudsmani kohta 60 % rohkem ajakirjandusartikleid kui 2021. aastal;</w:t>
      </w:r>
    </w:p>
    <w:p w:rsidR="00DD1B21" w:rsidRPr="00CB208F" w:rsidRDefault="00DD1B21" w:rsidP="00DD1B21">
      <w:pPr>
        <w:pStyle w:val="NormalHanging12a"/>
        <w:rPr>
          <w:szCs w:val="24"/>
        </w:rPr>
      </w:pPr>
      <w:r w:rsidRPr="00CB208F">
        <w:t>5</w:t>
      </w:r>
      <w:r w:rsidR="0030476B" w:rsidRPr="00CB208F">
        <w:t>1</w:t>
      </w:r>
      <w:r w:rsidRPr="00CB208F">
        <w:t>.</w:t>
      </w:r>
      <w:r w:rsidRPr="00CB208F">
        <w:tab/>
        <w:t>väljendab heameelt ombudsmani jõupingutuste üle suurendada kodanike teadlikkust ombudsmani rollist ja võimalusest pöörduda tema poole liidu institutsiooni haldusomavoli korral; tunnustab jõupingutusi, mida on tehtud läbipaistva teabe andmiseks ja andmete avaldamiseks informatiivses ja kasutajasõbralikus vormis ombudsmani veebisaidil, kuigi need andmed ei ole üldsusele avatud kujul kättesaadavad; väljendab heameelt uue logo ja visuaalse identiteedi vastuvõtmise üle, et suurendada ombudsmani töö nähtavust ja muuta see liidu asutusena äratuntavaks;</w:t>
      </w:r>
    </w:p>
    <w:p w:rsidR="00DD1B21" w:rsidRPr="00CB208F" w:rsidRDefault="00DD1B21" w:rsidP="00DD1B21">
      <w:pPr>
        <w:pStyle w:val="NormalHanging12a"/>
        <w:rPr>
          <w:szCs w:val="24"/>
        </w:rPr>
      </w:pPr>
      <w:r w:rsidRPr="00CB208F">
        <w:t>5</w:t>
      </w:r>
      <w:r w:rsidR="0030476B" w:rsidRPr="00CB208F">
        <w:t>2</w:t>
      </w:r>
      <w:r w:rsidRPr="00CB208F">
        <w:t>.</w:t>
      </w:r>
      <w:r w:rsidRPr="00CB208F">
        <w:tab/>
        <w:t>tunneb heameelt selle üle, et ombudsman kasutab veebisaidil juhtumite tõlkimiseks automaatset vahendit, ning palub ombudsmanil tagada nende juhtumite sujuv ja õigeaegne tõlkimine kõikidesse keeltesse;</w:t>
      </w:r>
    </w:p>
    <w:p w:rsidR="00DD1B21" w:rsidRPr="00CB208F" w:rsidRDefault="00DD1B21" w:rsidP="00DD1B21">
      <w:pPr>
        <w:pStyle w:val="NormalHanging12a"/>
        <w:rPr>
          <w:szCs w:val="24"/>
        </w:rPr>
      </w:pPr>
      <w:r w:rsidRPr="00CB208F">
        <w:t>5</w:t>
      </w:r>
      <w:r w:rsidR="0030476B" w:rsidRPr="00CB208F">
        <w:t>3</w:t>
      </w:r>
      <w:r w:rsidRPr="00CB208F">
        <w:t>.</w:t>
      </w:r>
      <w:r w:rsidRPr="00CB208F">
        <w:tab/>
        <w:t xml:space="preserve">märgib, et ombudsmanil on sotsiaalmeediakontod </w:t>
      </w:r>
      <w:proofErr w:type="spellStart"/>
      <w:r w:rsidRPr="00CB208F">
        <w:t>Instagramis</w:t>
      </w:r>
      <w:proofErr w:type="spellEnd"/>
      <w:r w:rsidRPr="00CB208F">
        <w:t xml:space="preserve">, </w:t>
      </w:r>
      <w:proofErr w:type="spellStart"/>
      <w:r w:rsidRPr="00CB208F">
        <w:t>LinkedInis</w:t>
      </w:r>
      <w:proofErr w:type="spellEnd"/>
      <w:r w:rsidRPr="00CB208F">
        <w:t xml:space="preserve"> ja </w:t>
      </w:r>
      <w:proofErr w:type="spellStart"/>
      <w:r w:rsidRPr="00CB208F">
        <w:t>X-is</w:t>
      </w:r>
      <w:proofErr w:type="spellEnd"/>
      <w:r w:rsidRPr="00CB208F">
        <w:t xml:space="preserve"> (endine Twitter), kus jälgijate arvu kasv ja kaasamismäärad olid 2022. aastal suuremad kui varasematel aastatel; väljendab heameelt ombudsmani osalemise üle andmekaitseinspektori juhitud katseprojektis, mille eesmärk on tuua liidu institutsioonid platvormidele EU-</w:t>
      </w:r>
      <w:proofErr w:type="spellStart"/>
      <w:r w:rsidRPr="00CB208F">
        <w:t>Voice</w:t>
      </w:r>
      <w:proofErr w:type="spellEnd"/>
      <w:r w:rsidRPr="00CB208F">
        <w:t xml:space="preserve"> ja EU-Video, mis on kaks tasuta, avatud lähtekoodiga sotsiaalmeediavõrgustikku, mis põhinevad </w:t>
      </w:r>
      <w:proofErr w:type="spellStart"/>
      <w:r w:rsidRPr="00CB208F">
        <w:t>Mastodoni</w:t>
      </w:r>
      <w:proofErr w:type="spellEnd"/>
      <w:r w:rsidRPr="00CB208F">
        <w:t xml:space="preserve"> tarkvaral ja võimaldavad liidu institutsioonidel suhelda üldsusega, jagades tekste, pilte, videoid ja </w:t>
      </w:r>
      <w:proofErr w:type="spellStart"/>
      <w:r w:rsidRPr="00CB208F">
        <w:t>taskuhäälinguid</w:t>
      </w:r>
      <w:proofErr w:type="spellEnd"/>
      <w:r w:rsidRPr="00CB208F">
        <w:t>.</w:t>
      </w:r>
    </w:p>
    <w:p w:rsidR="00DD1B21" w:rsidRPr="00CB208F" w:rsidRDefault="00DD1B21" w:rsidP="00DD1B21"/>
    <w:sectPr w:rsidR="00DD1B21" w:rsidRPr="00CB208F" w:rsidSect="00212AD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BED" w:rsidRPr="00212ADC" w:rsidRDefault="00377BED">
      <w:r w:rsidRPr="00212ADC">
        <w:separator/>
      </w:r>
    </w:p>
  </w:endnote>
  <w:endnote w:type="continuationSeparator" w:id="0">
    <w:p w:rsidR="00377BED" w:rsidRPr="00212ADC" w:rsidRDefault="00377BED">
      <w:r w:rsidRPr="00212A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21" w:rsidRPr="00212ADC" w:rsidRDefault="00DD1B21" w:rsidP="00120361">
    <w:pPr>
      <w:pStyle w:val="EPFooter"/>
    </w:pPr>
    <w:r w:rsidRPr="00212ADC">
      <w:t>PE</w:t>
    </w:r>
    <w:r w:rsidRPr="00212ADC">
      <w:rPr>
        <w:rStyle w:val="HideTWBExt"/>
      </w:rPr>
      <w:t>&lt;NoPE&gt;</w:t>
    </w:r>
    <w:r w:rsidRPr="00212ADC">
      <w:t>753.486</w:t>
    </w:r>
    <w:r w:rsidRPr="00212ADC">
      <w:rPr>
        <w:rStyle w:val="HideTWBExt"/>
      </w:rPr>
      <w:t>&lt;/NoPE&gt;&lt;Version&gt;</w:t>
    </w:r>
    <w:r w:rsidRPr="00212ADC">
      <w:t>v02-00</w:t>
    </w:r>
    <w:r w:rsidRPr="00212ADC">
      <w:rPr>
        <w:rStyle w:val="HideTWBExt"/>
      </w:rPr>
      <w:t>&lt;/Version&gt;</w:t>
    </w:r>
    <w:r w:rsidRPr="00212ADC">
      <w:tab/>
    </w:r>
    <w:r w:rsidRPr="00212ADC">
      <w:fldChar w:fldCharType="begin"/>
    </w:r>
    <w:r w:rsidRPr="00212ADC">
      <w:instrText xml:space="preserve"> PAGE  \* MERGEFORMAT </w:instrText>
    </w:r>
    <w:r w:rsidRPr="00212ADC">
      <w:fldChar w:fldCharType="separate"/>
    </w:r>
    <w:r w:rsidR="00212ADC" w:rsidRPr="00212ADC">
      <w:rPr>
        <w:noProof/>
      </w:rPr>
      <w:t>2</w:t>
    </w:r>
    <w:r w:rsidRPr="00212ADC">
      <w:fldChar w:fldCharType="end"/>
    </w:r>
    <w:r w:rsidRPr="00212ADC">
      <w:t>/</w:t>
    </w:r>
    <w:fldSimple w:instr=" NUMPAGES  \* MERGEFORMAT ">
      <w:r w:rsidR="00212ADC" w:rsidRPr="00212ADC">
        <w:rPr>
          <w:noProof/>
        </w:rPr>
        <w:t>4</w:t>
      </w:r>
    </w:fldSimple>
    <w:r w:rsidRPr="00212ADC">
      <w:tab/>
    </w:r>
    <w:r w:rsidRPr="00212ADC">
      <w:rPr>
        <w:rStyle w:val="HideTWBExt"/>
      </w:rPr>
      <w:t>&lt;PathFdR&gt;</w:t>
    </w:r>
    <w:r w:rsidRPr="00212ADC">
      <w:t>RR\1298678ET.docx</w:t>
    </w:r>
    <w:r w:rsidRPr="00212ADC">
      <w:rPr>
        <w:rStyle w:val="HideTWBExt"/>
      </w:rPr>
      <w:t>&lt;/PathFdR&gt;</w:t>
    </w:r>
  </w:p>
  <w:p w:rsidR="00DD1B21" w:rsidRPr="00212ADC" w:rsidRDefault="00DD1B21" w:rsidP="00120361">
    <w:pPr>
      <w:pStyle w:val="EPFooter2"/>
    </w:pPr>
    <w:r w:rsidRPr="00212ADC">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21" w:rsidRPr="00212ADC" w:rsidRDefault="00DD1B21" w:rsidP="0012036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21" w:rsidRPr="00212ADC" w:rsidRDefault="00DD1B21" w:rsidP="00120361">
    <w:pPr>
      <w:pStyle w:val="EPFooter"/>
    </w:pPr>
    <w:r w:rsidRPr="00212ADC">
      <w:rPr>
        <w:rStyle w:val="HideTWBExt"/>
      </w:rPr>
      <w:t>&lt;PathFdR&gt;</w:t>
    </w:r>
    <w:r w:rsidRPr="00212ADC">
      <w:t>RR\1298678ET.docx</w:t>
    </w:r>
    <w:r w:rsidRPr="00212ADC">
      <w:rPr>
        <w:rStyle w:val="HideTWBExt"/>
      </w:rPr>
      <w:t>&lt;/PathFdR&gt;</w:t>
    </w:r>
    <w:r w:rsidRPr="00212ADC">
      <w:tab/>
    </w:r>
    <w:r w:rsidRPr="00212ADC">
      <w:tab/>
      <w:t>PE</w:t>
    </w:r>
    <w:r w:rsidRPr="00212ADC">
      <w:rPr>
        <w:rStyle w:val="HideTWBExt"/>
      </w:rPr>
      <w:t>&lt;NoPE&gt;</w:t>
    </w:r>
    <w:r w:rsidRPr="00212ADC">
      <w:t>753.486</w:t>
    </w:r>
    <w:r w:rsidRPr="00212ADC">
      <w:rPr>
        <w:rStyle w:val="HideTWBExt"/>
      </w:rPr>
      <w:t>&lt;/NoPE&gt;&lt;Version&gt;</w:t>
    </w:r>
    <w:r w:rsidRPr="00212ADC">
      <w:t>v02-00</w:t>
    </w:r>
    <w:r w:rsidRPr="00212ADC">
      <w:rPr>
        <w:rStyle w:val="HideTWBExt"/>
      </w:rPr>
      <w:t>&lt;/Version&gt;</w:t>
    </w:r>
  </w:p>
  <w:p w:rsidR="00DD1B21" w:rsidRPr="00212ADC" w:rsidRDefault="00DD1B21" w:rsidP="00120361">
    <w:pPr>
      <w:pStyle w:val="EPFooter2"/>
    </w:pPr>
    <w:r w:rsidRPr="00212ADC">
      <w:t>ET</w:t>
    </w:r>
    <w:r w:rsidRPr="00212ADC">
      <w:tab/>
    </w:r>
    <w:r w:rsidRPr="00212ADC">
      <w:rPr>
        <w:b w:val="0"/>
        <w:i/>
        <w:color w:val="C0C0C0"/>
        <w:sz w:val="22"/>
      </w:rPr>
      <w:t>Ühinenud mitmekesisuses</w:t>
    </w:r>
    <w:r w:rsidRPr="00212ADC">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D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D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BED" w:rsidRPr="00212ADC" w:rsidRDefault="00377BED">
      <w:r w:rsidRPr="00212ADC">
        <w:separator/>
      </w:r>
    </w:p>
  </w:footnote>
  <w:footnote w:type="continuationSeparator" w:id="0">
    <w:p w:rsidR="00377BED" w:rsidRPr="00212ADC" w:rsidRDefault="00377BED">
      <w:r w:rsidRPr="00212ADC">
        <w:continuationSeparator/>
      </w:r>
    </w:p>
  </w:footnote>
  <w:footnote w:id="1">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r w:rsidRPr="00212ADC">
        <w:rPr>
          <w:sz w:val="24"/>
          <w:lang w:val="et-EE"/>
        </w:rPr>
        <w:t>ELT L 45, 24.2.2022.</w:t>
      </w:r>
    </w:p>
  </w:footnote>
  <w:footnote w:id="2">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r w:rsidRPr="00212ADC">
        <w:rPr>
          <w:sz w:val="24"/>
          <w:lang w:val="et-EE"/>
        </w:rPr>
        <w:t>ELT C, C/2023/2, 12.10.2023.</w:t>
      </w:r>
    </w:p>
  </w:footnote>
  <w:footnote w:id="3">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r w:rsidRPr="00212ADC">
        <w:rPr>
          <w:sz w:val="24"/>
          <w:lang w:val="et-EE"/>
        </w:rPr>
        <w:t>ELT C, C/2023/103, 4.10.2023.</w:t>
      </w:r>
    </w:p>
  </w:footnote>
  <w:footnote w:id="4">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r w:rsidRPr="00212ADC">
        <w:rPr>
          <w:sz w:val="24"/>
          <w:lang w:val="et-EE"/>
        </w:rPr>
        <w:t>ELT C, C/2023/112, 12.10.2023.</w:t>
      </w:r>
    </w:p>
  </w:footnote>
  <w:footnote w:id="5">
    <w:p w:rsidR="00DD1B21" w:rsidRPr="00212ADC" w:rsidRDefault="00DD1B21" w:rsidP="00212ADC">
      <w:pPr>
        <w:pStyle w:val="FootnoteText"/>
        <w:ind w:left="567" w:hanging="567"/>
        <w:rPr>
          <w:sz w:val="24"/>
          <w:szCs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r w:rsidRPr="00212ADC">
        <w:rPr>
          <w:sz w:val="24"/>
          <w:lang w:val="et-EE"/>
        </w:rPr>
        <w:t>ELT L 193, 30.7.2018, lk 1.</w:t>
      </w:r>
    </w:p>
  </w:footnote>
  <w:footnote w:id="6">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r w:rsidRPr="00212ADC">
        <w:rPr>
          <w:sz w:val="24"/>
          <w:lang w:val="et-EE"/>
        </w:rPr>
        <w:t>ELT L 253, 16.7.2021, lk 1.</w:t>
      </w:r>
    </w:p>
  </w:footnote>
  <w:footnote w:id="7">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hyperlink r:id="rId1" w:history="1">
        <w:r w:rsidR="00E44088" w:rsidRPr="0088288D">
          <w:rPr>
            <w:rStyle w:val="Hyperlink"/>
            <w:sz w:val="24"/>
            <w:lang w:val="et-EE"/>
          </w:rPr>
          <w:t>https://www.ombudsman.europa.eu/en/news-document/en/152993</w:t>
        </w:r>
      </w:hyperlink>
    </w:p>
  </w:footnote>
  <w:footnote w:id="8">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hyperlink r:id="rId2" w:history="1">
        <w:r w:rsidR="00E44088" w:rsidRPr="0088288D">
          <w:rPr>
            <w:rStyle w:val="Hyperlink"/>
            <w:sz w:val="24"/>
            <w:lang w:val="et-EE"/>
          </w:rPr>
          <w:t>https://www.europarl.europa.eu/doceo/document/TA-9-2023-0295_ET.html</w:t>
        </w:r>
      </w:hyperlink>
    </w:p>
  </w:footnote>
  <w:footnote w:id="9">
    <w:p w:rsidR="00DD1B21" w:rsidRPr="00212ADC" w:rsidRDefault="00DD1B21" w:rsidP="00212ADC">
      <w:pPr>
        <w:pStyle w:val="FootnoteText"/>
        <w:ind w:left="567" w:hanging="567"/>
        <w:rPr>
          <w:sz w:val="24"/>
          <w:lang w:val="et-EE"/>
        </w:rPr>
      </w:pPr>
      <w:r w:rsidRPr="00212ADC">
        <w:rPr>
          <w:rStyle w:val="FootnoteReference"/>
          <w:sz w:val="24"/>
          <w:lang w:val="et-EE"/>
        </w:rPr>
        <w:footnoteRef/>
      </w:r>
      <w:r w:rsidR="00212ADC" w:rsidRPr="00212ADC">
        <w:rPr>
          <w:sz w:val="24"/>
          <w:lang w:val="et-EE"/>
        </w:rPr>
        <w:t xml:space="preserve"> </w:t>
      </w:r>
      <w:r w:rsidR="00212ADC" w:rsidRPr="00212ADC">
        <w:rPr>
          <w:sz w:val="24"/>
          <w:lang w:val="et-EE"/>
        </w:rPr>
        <w:tab/>
      </w:r>
      <w:hyperlink r:id="rId3" w:history="1">
        <w:r w:rsidR="00E44088" w:rsidRPr="0088288D">
          <w:rPr>
            <w:rStyle w:val="Hyperlink"/>
            <w:sz w:val="24"/>
            <w:lang w:val="et-EE"/>
          </w:rPr>
          <w:t>https://www.europarl.europa.eu/doceo/document/TA-9-2023-0295_ET.html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21" w:rsidRPr="00212ADC" w:rsidRDefault="00DD1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21" w:rsidRPr="00212ADC" w:rsidRDefault="00DD1B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21" w:rsidRPr="00212ADC" w:rsidRDefault="00DD1B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D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D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A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ET"/>
    <w:docVar w:name="dvnumam" w:val="0"/>
    <w:docVar w:name="dvpe" w:val="753.486"/>
    <w:docVar w:name="dvrapporteur" w:val="Raportöör: "/>
    <w:docVar w:name="dvtitre" w:val="Euroopa Parlamendi .... 2024. aasta otsus Euroopa Liidu 2022. aasta üldeelarve täitmisele heakskiidu andmise kohta, VIII jagu – Euroopa Ombudsman(2023/2137(DEC))"/>
  </w:docVars>
  <w:rsids>
    <w:rsidRoot w:val="00377BED"/>
    <w:rsid w:val="00002272"/>
    <w:rsid w:val="00064002"/>
    <w:rsid w:val="000677B9"/>
    <w:rsid w:val="000831BA"/>
    <w:rsid w:val="000A42CC"/>
    <w:rsid w:val="000E7DD9"/>
    <w:rsid w:val="0010095E"/>
    <w:rsid w:val="00125B37"/>
    <w:rsid w:val="00187494"/>
    <w:rsid w:val="001F32AE"/>
    <w:rsid w:val="00212ADC"/>
    <w:rsid w:val="002767FF"/>
    <w:rsid w:val="002B18FE"/>
    <w:rsid w:val="002B5493"/>
    <w:rsid w:val="0030476B"/>
    <w:rsid w:val="00343214"/>
    <w:rsid w:val="00361C00"/>
    <w:rsid w:val="00377BE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6EFF"/>
    <w:rsid w:val="00747932"/>
    <w:rsid w:val="00751A4A"/>
    <w:rsid w:val="00756632"/>
    <w:rsid w:val="00762C74"/>
    <w:rsid w:val="00786EC0"/>
    <w:rsid w:val="007D1690"/>
    <w:rsid w:val="007E22AD"/>
    <w:rsid w:val="0080567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08F"/>
    <w:rsid w:val="00CC2357"/>
    <w:rsid w:val="00CF071A"/>
    <w:rsid w:val="00D058B8"/>
    <w:rsid w:val="00D56C11"/>
    <w:rsid w:val="00D834A0"/>
    <w:rsid w:val="00D872DF"/>
    <w:rsid w:val="00D91E21"/>
    <w:rsid w:val="00DA7FCD"/>
    <w:rsid w:val="00DD1B21"/>
    <w:rsid w:val="00E365E1"/>
    <w:rsid w:val="00E4408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AFE657-AB95-4378-84A2-273AD32AA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1B2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1B21"/>
    <w:pPr>
      <w:spacing w:before="480" w:after="240"/>
    </w:pPr>
  </w:style>
  <w:style w:type="paragraph" w:customStyle="1" w:styleId="PageHeading">
    <w:name w:val="PageHeading"/>
    <w:basedOn w:val="Normal"/>
    <w:rsid w:val="00DD1B21"/>
    <w:pPr>
      <w:keepNext/>
      <w:spacing w:after="480"/>
      <w:jc w:val="center"/>
    </w:pPr>
    <w:rPr>
      <w:rFonts w:ascii="Arial" w:hAnsi="Arial" w:cs="Arial"/>
      <w:b/>
    </w:rPr>
  </w:style>
  <w:style w:type="paragraph" w:customStyle="1" w:styleId="NormalBold">
    <w:name w:val="NormalBold"/>
    <w:basedOn w:val="Normal"/>
    <w:rsid w:val="00DD1B21"/>
    <w:rPr>
      <w:b/>
    </w:rPr>
  </w:style>
  <w:style w:type="paragraph" w:customStyle="1" w:styleId="NormalHanging12a">
    <w:name w:val="NormalHanging12a"/>
    <w:basedOn w:val="Normal"/>
    <w:link w:val="NormalHanging12aChar"/>
    <w:qFormat/>
    <w:rsid w:val="00DD1B21"/>
    <w:pPr>
      <w:spacing w:after="240"/>
      <w:ind w:left="567" w:hanging="567"/>
    </w:pPr>
  </w:style>
  <w:style w:type="paragraph" w:styleId="Header">
    <w:name w:val="header"/>
    <w:basedOn w:val="Normal"/>
    <w:link w:val="HeaderChar"/>
    <w:rsid w:val="00DD1B21"/>
    <w:pPr>
      <w:tabs>
        <w:tab w:val="center" w:pos="4513"/>
        <w:tab w:val="right" w:pos="9026"/>
      </w:tabs>
    </w:pPr>
  </w:style>
  <w:style w:type="character" w:customStyle="1" w:styleId="HeaderChar">
    <w:name w:val="Header Char"/>
    <w:basedOn w:val="DefaultParagraphFont"/>
    <w:link w:val="Header"/>
    <w:rsid w:val="00DD1B21"/>
    <w:rPr>
      <w:sz w:val="24"/>
      <w:lang w:val="et-EE"/>
    </w:rPr>
  </w:style>
  <w:style w:type="paragraph" w:customStyle="1" w:styleId="EPFooter">
    <w:name w:val="EPFooter"/>
    <w:basedOn w:val="Normal"/>
    <w:rsid w:val="00DD1B2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D1B21"/>
    <w:rPr>
      <w:sz w:val="24"/>
      <w:lang w:val="et-EE"/>
    </w:rPr>
  </w:style>
  <w:style w:type="character" w:styleId="Hyperlink">
    <w:name w:val="Hyperlink"/>
    <w:basedOn w:val="DefaultParagraphFont"/>
    <w:rsid w:val="00E44088"/>
    <w:rPr>
      <w:color w:val="0563C1" w:themeColor="hyperlink"/>
      <w:u w:val="single"/>
    </w:rPr>
  </w:style>
  <w:style w:type="paragraph" w:styleId="BalloonText">
    <w:name w:val="Balloon Text"/>
    <w:basedOn w:val="Normal"/>
    <w:link w:val="BalloonTextChar"/>
    <w:rsid w:val="00805678"/>
    <w:rPr>
      <w:rFonts w:ascii="Segoe UI" w:hAnsi="Segoe UI" w:cs="Segoe UI"/>
      <w:sz w:val="18"/>
      <w:szCs w:val="18"/>
    </w:rPr>
  </w:style>
  <w:style w:type="character" w:customStyle="1" w:styleId="BalloonTextChar">
    <w:name w:val="Balloon Text Char"/>
    <w:basedOn w:val="DefaultParagraphFont"/>
    <w:link w:val="BalloonText"/>
    <w:rsid w:val="0080567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3-0295_ET.html" TargetMode="External"/><Relationship Id="rId2" Type="http://schemas.openxmlformats.org/officeDocument/2006/relationships/hyperlink" Target="https://www.europarl.europa.eu/doceo/document/TA-9-2023-0295_ET.html" TargetMode="External"/><Relationship Id="rId1" Type="http://schemas.openxmlformats.org/officeDocument/2006/relationships/hyperlink" Target="https://www.ombudsman.europa.eu/en/news-document/en/152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73EF1-C55E-4D71-965C-9B4174848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3034</Words>
  <Characters>22348</Characters>
  <Application>Microsoft Office Word</Application>
  <DocSecurity>0</DocSecurity>
  <Lines>186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2024-04-11T15:26:00Z</dcterms:created>
  <dcterms:modified xsi:type="dcterms:W3CDTF">2024-04-11T15:26:00Z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A9-0084/2024</vt:lpwstr>
  </property>
  <property fmtid="{D5CDD505-2E9C-101B-9397-08002B2CF9AE}" pid="4" name="&lt;Type&gt;">
    <vt:lpwstr>RR</vt:lpwstr>
  </property>
</Properties>
</file>