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F3E5D" w:rsidTr="0010095E">
        <w:trPr>
          <w:trHeight w:hRule="exact" w:val="1418"/>
        </w:trPr>
        <w:tc>
          <w:tcPr>
            <w:tcW w:w="6804" w:type="dxa"/>
            <w:shd w:val="clear" w:color="auto" w:fill="auto"/>
            <w:vAlign w:val="center"/>
          </w:tcPr>
          <w:p w:rsidR="00751A4A" w:rsidRPr="00EF3E5D" w:rsidRDefault="00226FAC" w:rsidP="0010095E">
            <w:pPr>
              <w:pStyle w:val="EPName"/>
            </w:pPr>
            <w:r w:rsidRPr="00EF3E5D">
              <w:t>Euroopan parlamentti</w:t>
            </w:r>
          </w:p>
          <w:p w:rsidR="00751A4A" w:rsidRPr="00EF3E5D" w:rsidRDefault="00817416" w:rsidP="00756632">
            <w:pPr>
              <w:pStyle w:val="EPTerm"/>
              <w:rPr>
                <w:rStyle w:val="HideTWBExt"/>
                <w:noProof w:val="0"/>
                <w:vanish w:val="0"/>
                <w:color w:val="auto"/>
              </w:rPr>
            </w:pPr>
            <w:r w:rsidRPr="00EF3E5D">
              <w:t>2019-2024</w:t>
            </w:r>
          </w:p>
        </w:tc>
        <w:tc>
          <w:tcPr>
            <w:tcW w:w="2268" w:type="dxa"/>
            <w:shd w:val="clear" w:color="auto" w:fill="auto"/>
          </w:tcPr>
          <w:p w:rsidR="00751A4A" w:rsidRPr="00EF3E5D" w:rsidRDefault="00187494" w:rsidP="0010095E">
            <w:pPr>
              <w:pStyle w:val="EPLogo"/>
            </w:pPr>
            <w:r w:rsidRPr="00EF3E5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F3E5D" w:rsidRDefault="00D058B8" w:rsidP="004C5D52">
      <w:pPr>
        <w:pStyle w:val="LineTop"/>
      </w:pPr>
    </w:p>
    <w:p w:rsidR="00680577" w:rsidRPr="00EF3E5D" w:rsidRDefault="00226FAC" w:rsidP="00680577">
      <w:pPr>
        <w:pStyle w:val="EPBodyTA1"/>
      </w:pPr>
      <w:r w:rsidRPr="00EF3E5D">
        <w:t>HYVÄKSYTYT TEKSTIT</w:t>
      </w:r>
    </w:p>
    <w:p w:rsidR="00D058B8" w:rsidRPr="00EF3E5D" w:rsidRDefault="00D058B8" w:rsidP="00D058B8">
      <w:pPr>
        <w:pStyle w:val="LineBottom"/>
      </w:pPr>
    </w:p>
    <w:p w:rsidR="00226FAC" w:rsidRPr="00EF3E5D" w:rsidRDefault="00226FAC" w:rsidP="00226FAC">
      <w:pPr>
        <w:pStyle w:val="ATHeading1"/>
      </w:pPr>
      <w:bookmarkStart w:id="0" w:name="TANumber"/>
      <w:r w:rsidRPr="00EF3E5D">
        <w:t>P9_</w:t>
      </w:r>
      <w:proofErr w:type="gramStart"/>
      <w:r w:rsidRPr="00EF3E5D">
        <w:t>TA(</w:t>
      </w:r>
      <w:proofErr w:type="gramEnd"/>
      <w:r w:rsidRPr="00EF3E5D">
        <w:t>2024)0</w:t>
      </w:r>
      <w:r w:rsidR="001D4461">
        <w:t>234</w:t>
      </w:r>
      <w:bookmarkEnd w:id="0"/>
    </w:p>
    <w:p w:rsidR="00226FAC" w:rsidRPr="00EF3E5D" w:rsidRDefault="002E4127" w:rsidP="00226FAC">
      <w:pPr>
        <w:pStyle w:val="ATHeading2"/>
      </w:pPr>
      <w:bookmarkStart w:id="1" w:name="title"/>
      <w:r w:rsidRPr="002E4127">
        <w:rPr>
          <w:bCs/>
        </w:rPr>
        <w:t xml:space="preserve">Vastuuvapaus 2022: EU:n yleinen talousarvio </w:t>
      </w:r>
      <w:r w:rsidR="009D555C">
        <w:rPr>
          <w:bCs/>
        </w:rPr>
        <w:t xml:space="preserve">– </w:t>
      </w:r>
      <w:r w:rsidRPr="002E4127">
        <w:rPr>
          <w:bCs/>
        </w:rPr>
        <w:t>Euroopan oikeusasiamies</w:t>
      </w:r>
      <w:bookmarkEnd w:id="1"/>
    </w:p>
    <w:p w:rsidR="00226FAC" w:rsidRPr="00EF3E5D" w:rsidRDefault="00226FAC" w:rsidP="00226FAC">
      <w:pPr>
        <w:rPr>
          <w:i/>
          <w:vanish/>
        </w:rPr>
      </w:pPr>
      <w:r w:rsidRPr="00EF3E5D">
        <w:rPr>
          <w:i/>
        </w:rPr>
        <w:fldChar w:fldCharType="begin"/>
      </w:r>
      <w:r w:rsidRPr="00EF3E5D">
        <w:rPr>
          <w:i/>
        </w:rPr>
        <w:instrText xml:space="preserve"> TC"(</w:instrText>
      </w:r>
      <w:bookmarkStart w:id="2" w:name="DocNumber"/>
      <w:r w:rsidRPr="00EF3E5D">
        <w:rPr>
          <w:i/>
        </w:rPr>
        <w:instrText>A9-0084/2024</w:instrText>
      </w:r>
      <w:bookmarkEnd w:id="2"/>
      <w:r w:rsidRPr="00EF3E5D">
        <w:rPr>
          <w:i/>
        </w:rPr>
        <w:instrText xml:space="preserve"> - Esittelijä: Luke Ming Flanagan)"\l3 \n&gt; \* MERGEFORMAT </w:instrText>
      </w:r>
      <w:r w:rsidRPr="00EF3E5D">
        <w:rPr>
          <w:i/>
        </w:rPr>
        <w:fldChar w:fldCharType="end"/>
      </w:r>
    </w:p>
    <w:p w:rsidR="00226FAC" w:rsidRPr="00EF3E5D" w:rsidRDefault="00226FAC" w:rsidP="00226FAC">
      <w:pPr>
        <w:rPr>
          <w:vanish/>
        </w:rPr>
      </w:pPr>
      <w:bookmarkStart w:id="3" w:name="Commission"/>
      <w:r w:rsidRPr="00EF3E5D">
        <w:rPr>
          <w:vanish/>
        </w:rPr>
        <w:t>Talousarvion valvontavaliokunta</w:t>
      </w:r>
      <w:bookmarkEnd w:id="3"/>
    </w:p>
    <w:p w:rsidR="00226FAC" w:rsidRPr="00EF3E5D" w:rsidRDefault="00226FAC" w:rsidP="00226FAC">
      <w:pPr>
        <w:rPr>
          <w:vanish/>
        </w:rPr>
      </w:pPr>
      <w:bookmarkStart w:id="4" w:name="PE"/>
      <w:r w:rsidRPr="00EF3E5D">
        <w:rPr>
          <w:vanish/>
        </w:rPr>
        <w:t>PE753.486</w:t>
      </w:r>
      <w:bookmarkEnd w:id="4"/>
    </w:p>
    <w:p w:rsidR="00226FAC" w:rsidRPr="00EF3E5D" w:rsidRDefault="002E4127" w:rsidP="00226FAC">
      <w:pPr>
        <w:pStyle w:val="ATHeading3"/>
      </w:pPr>
      <w:bookmarkStart w:id="5" w:name="Sujet"/>
      <w:r>
        <w:t>1. E</w:t>
      </w:r>
      <w:r w:rsidR="00226FAC" w:rsidRPr="00EF3E5D">
        <w:t>uroopan parlamentin päätös 11. huhtikuuta 2024 vastuuvapauden myöntämisestä Euroopan unionin yleisen talousarvion toteuttamisesta varainhoitovuonna 2022, pääluokka VIII – Euroopan oikeusasiamies</w:t>
      </w:r>
      <w:bookmarkEnd w:id="5"/>
      <w:r w:rsidR="00226FAC" w:rsidRPr="00EF3E5D">
        <w:t xml:space="preserve"> </w:t>
      </w:r>
      <w:bookmarkStart w:id="6" w:name="References"/>
      <w:r w:rsidR="00226FAC" w:rsidRPr="00EF3E5D">
        <w:t>(2023/2137(DEC))</w:t>
      </w:r>
      <w:bookmarkEnd w:id="6"/>
    </w:p>
    <w:p w:rsidR="0039349E" w:rsidRPr="00EF3E5D" w:rsidRDefault="0039349E" w:rsidP="002E4127">
      <w:pPr>
        <w:pStyle w:val="EPComma"/>
        <w:widowControl/>
      </w:pPr>
      <w:bookmarkStart w:id="7" w:name="TextBodyBegin"/>
      <w:bookmarkEnd w:id="7"/>
      <w:r w:rsidRPr="00EF3E5D">
        <w:rPr>
          <w:i/>
          <w:iCs/>
        </w:rPr>
        <w:t>Euroopan parlamentti</w:t>
      </w:r>
      <w:r w:rsidRPr="00EF3E5D">
        <w:t>, joka</w:t>
      </w:r>
    </w:p>
    <w:p w:rsidR="0039349E" w:rsidRPr="00EF3E5D" w:rsidRDefault="0039349E" w:rsidP="002E4127">
      <w:pPr>
        <w:pStyle w:val="NormalHanging12a"/>
        <w:widowControl/>
      </w:pPr>
      <w:r w:rsidRPr="00EF3E5D">
        <w:t>–</w:t>
      </w:r>
      <w:r w:rsidRPr="00EF3E5D">
        <w:tab/>
        <w:t>ottaa huomioon Euroopan unionin yleisen talousarvion varainhoitovuodeksi 2022</w:t>
      </w:r>
      <w:r w:rsidRPr="00EF3E5D">
        <w:rPr>
          <w:rStyle w:val="FootnoteReference"/>
        </w:rPr>
        <w:footnoteReference w:id="1"/>
      </w:r>
      <w:r w:rsidRPr="00EF3E5D">
        <w:t>,</w:t>
      </w:r>
    </w:p>
    <w:p w:rsidR="0039349E" w:rsidRPr="00EF3E5D" w:rsidRDefault="0039349E" w:rsidP="002E4127">
      <w:pPr>
        <w:pStyle w:val="NormalHanging12a"/>
        <w:widowControl/>
      </w:pPr>
      <w:r w:rsidRPr="00EF3E5D">
        <w:t>–</w:t>
      </w:r>
      <w:r w:rsidRPr="00EF3E5D">
        <w:tab/>
        <w:t xml:space="preserve">ottaa huomioon Euroopan unionin </w:t>
      </w:r>
      <w:proofErr w:type="spellStart"/>
      <w:r w:rsidRPr="00EF3E5D">
        <w:t>konsolidoidun</w:t>
      </w:r>
      <w:proofErr w:type="spellEnd"/>
      <w:r w:rsidRPr="00EF3E5D">
        <w:t xml:space="preserve"> tilinpäätöksen varainhoitovuodelta 2022 (COM(2023)0391 – C9</w:t>
      </w:r>
      <w:r w:rsidRPr="00EF3E5D">
        <w:noBreakHyphen/>
        <w:t>0256/2023)</w:t>
      </w:r>
      <w:r w:rsidRPr="00EF3E5D">
        <w:rPr>
          <w:rStyle w:val="FootnoteReference"/>
        </w:rPr>
        <w:footnoteReference w:id="2"/>
      </w:r>
      <w:r w:rsidRPr="00EF3E5D">
        <w:t>,</w:t>
      </w:r>
    </w:p>
    <w:p w:rsidR="0039349E" w:rsidRPr="00EF3E5D" w:rsidRDefault="0039349E" w:rsidP="002E4127">
      <w:pPr>
        <w:pStyle w:val="NormalHanging12a"/>
        <w:widowControl/>
      </w:pPr>
      <w:r w:rsidRPr="00EF3E5D">
        <w:t>–</w:t>
      </w:r>
      <w:r w:rsidRPr="00EF3E5D">
        <w:tab/>
        <w:t>ottaa huomioon Euroopan oikeusasiamiehen vuotuisen toimintakertomuksen vuodelta 2022 ja selvityksen varainhoitovuoden 2022 talousarvio- ja varainhallinnosta,</w:t>
      </w:r>
    </w:p>
    <w:p w:rsidR="0039349E" w:rsidRPr="00EF3E5D" w:rsidRDefault="0039349E" w:rsidP="002E4127">
      <w:pPr>
        <w:pStyle w:val="NormalHanging12a"/>
        <w:widowControl/>
      </w:pPr>
      <w:r w:rsidRPr="00EF3E5D">
        <w:t>–</w:t>
      </w:r>
      <w:r w:rsidRPr="00EF3E5D">
        <w:tab/>
        <w:t>ottaa huomioon tilintarkastustuomioistuimen vuosikertomuksen talousarvion toteuttamisesta varainhoitovuonna 2022 sekä toimielinten vastaukset</w:t>
      </w:r>
      <w:r w:rsidRPr="00EF3E5D">
        <w:rPr>
          <w:rStyle w:val="FootnoteReference"/>
        </w:rPr>
        <w:footnoteReference w:id="3"/>
      </w:r>
      <w:r w:rsidRPr="00EF3E5D">
        <w:t>,</w:t>
      </w:r>
    </w:p>
    <w:p w:rsidR="0039349E" w:rsidRPr="00EF3E5D" w:rsidRDefault="0039349E" w:rsidP="002E4127">
      <w:pPr>
        <w:pStyle w:val="NormalHanging12a"/>
        <w:widowControl/>
      </w:pPr>
      <w:r w:rsidRPr="00EF3E5D">
        <w:t>–</w:t>
      </w:r>
      <w:r w:rsidRPr="00EF3E5D">
        <w:tab/>
        <w:t>ottaa huomioon tilintarkastustuomioistuimen Euroopan unionin toiminnasta tehdyn sopimuksen 287 artiklan mukaisesti antaman varainhoitovuotta 2022 koskevan lausuman</w:t>
      </w:r>
      <w:r w:rsidRPr="00EF3E5D">
        <w:rPr>
          <w:rStyle w:val="FootnoteReference"/>
        </w:rPr>
        <w:footnoteReference w:id="4"/>
      </w:r>
      <w:r w:rsidRPr="00EF3E5D">
        <w:t xml:space="preserve"> tilien luotettavuudesta sekä tilien perustana olevien toimien laillisuudesta ja asianmukaisuudesta (sääntöjenmukaisuudesta),</w:t>
      </w:r>
    </w:p>
    <w:p w:rsidR="0039349E" w:rsidRPr="00EF3E5D" w:rsidRDefault="0039349E" w:rsidP="002E4127">
      <w:pPr>
        <w:pStyle w:val="NormalHanging12a"/>
        <w:widowControl/>
      </w:pPr>
      <w:r w:rsidRPr="00EF3E5D">
        <w:t>–</w:t>
      </w:r>
      <w:r w:rsidRPr="00EF3E5D">
        <w:tab/>
        <w:t>ottaa huomioon Euroopan unionin toiminnasta tehdyn sopimuksen 314 artiklan 10 kohdan sekä 317, 318 ja 319 artiklan,</w:t>
      </w:r>
    </w:p>
    <w:p w:rsidR="0039349E" w:rsidRPr="00EF3E5D" w:rsidRDefault="0039349E" w:rsidP="002E4127">
      <w:pPr>
        <w:pStyle w:val="NormalHanging12a"/>
        <w:widowControl/>
      </w:pPr>
      <w:r w:rsidRPr="00EF3E5D">
        <w:t>–</w:t>
      </w:r>
      <w:r w:rsidRPr="00EF3E5D">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EF3E5D">
        <w:rPr>
          <w:rStyle w:val="FootnoteReference"/>
        </w:rPr>
        <w:footnoteReference w:id="5"/>
      </w:r>
      <w:r w:rsidRPr="00EF3E5D">
        <w:t xml:space="preserve"> ja erityisesti sen 59, 118, 260, 261 ja 262 artiklan,</w:t>
      </w:r>
    </w:p>
    <w:p w:rsidR="0039349E" w:rsidRPr="00EF3E5D" w:rsidRDefault="0039349E" w:rsidP="002E4127">
      <w:pPr>
        <w:pStyle w:val="NormalHanging12a"/>
        <w:widowControl/>
      </w:pPr>
      <w:r w:rsidRPr="00EF3E5D">
        <w:lastRenderedPageBreak/>
        <w:t>–</w:t>
      </w:r>
      <w:r w:rsidRPr="00EF3E5D">
        <w:tab/>
        <w:t>ottaa huomioon työjärjestyksen 100 artiklan ja liitteen V,</w:t>
      </w:r>
    </w:p>
    <w:p w:rsidR="0039349E" w:rsidRPr="00EF3E5D" w:rsidRDefault="0039349E" w:rsidP="002E4127">
      <w:pPr>
        <w:pStyle w:val="NormalHanging12a"/>
        <w:widowControl/>
      </w:pPr>
      <w:r w:rsidRPr="00EF3E5D">
        <w:t>–</w:t>
      </w:r>
      <w:r w:rsidRPr="00EF3E5D">
        <w:tab/>
        <w:t>ottaa huomioon talousarvion valvontavaliokunnan mietinnön (A9-0084/2024),</w:t>
      </w:r>
    </w:p>
    <w:p w:rsidR="0039349E" w:rsidRPr="00EF3E5D" w:rsidRDefault="0039349E" w:rsidP="002E4127">
      <w:pPr>
        <w:pStyle w:val="NormalHanging12a"/>
        <w:widowControl/>
      </w:pPr>
      <w:r w:rsidRPr="00EF3E5D">
        <w:t>1.</w:t>
      </w:r>
      <w:r w:rsidRPr="00EF3E5D">
        <w:tab/>
        <w:t>myöntää Euroopan oikeusasiamiehelle vastuuvapauden oikeusasiamiehen talousarvion toteuttamisesta varainhoitovuonna 2022;</w:t>
      </w:r>
    </w:p>
    <w:p w:rsidR="0039349E" w:rsidRPr="00EF3E5D" w:rsidRDefault="0039349E" w:rsidP="002E4127">
      <w:pPr>
        <w:pStyle w:val="NormalHanging12a"/>
        <w:widowControl/>
      </w:pPr>
      <w:r w:rsidRPr="00EF3E5D">
        <w:t>2.</w:t>
      </w:r>
      <w:r w:rsidRPr="00EF3E5D">
        <w:tab/>
        <w:t>esittää huomautuksensa oheisessa päätöslauselmassa;</w:t>
      </w:r>
    </w:p>
    <w:p w:rsidR="0039349E" w:rsidRPr="00EF3E5D" w:rsidRDefault="0039349E" w:rsidP="002E4127">
      <w:pPr>
        <w:pStyle w:val="NormalHanging12a"/>
        <w:widowControl/>
      </w:pPr>
      <w:r w:rsidRPr="00EF3E5D">
        <w:t>3.</w:t>
      </w:r>
      <w:r w:rsidRPr="00EF3E5D">
        <w:tab/>
        <w:t xml:space="preserve">kehottaa puhemiestä välittämään tämän päätöksen ja siihen erottamattomasti kuuluvan päätöslauselman Euroopan oikeusasiamiehelle, Eurooppa-neuvostolle, neuvostolle, komissiolle, tilintarkastustuomioistuimelle, Euroopan unionin tuomioistuimelle, Euroopan tietosuojavaltuutetulle ja Euroopan ulkosuhdehallinnolle sekä huolehtimaan niiden julkaisemisesta </w:t>
      </w:r>
      <w:r w:rsidRPr="00EF3E5D">
        <w:rPr>
          <w:i/>
        </w:rPr>
        <w:t>Euroopan unionin virallisessa lehdessä</w:t>
      </w:r>
      <w:r w:rsidRPr="00EF3E5D">
        <w:t xml:space="preserve"> (L-sarja).</w:t>
      </w:r>
    </w:p>
    <w:p w:rsidR="0039349E" w:rsidRPr="00EF3E5D" w:rsidRDefault="0039349E" w:rsidP="002E4127">
      <w:pPr>
        <w:pStyle w:val="PageHeading"/>
        <w:widowControl/>
        <w:sectPr w:rsidR="0039349E" w:rsidRPr="00EF3E5D" w:rsidSect="00EF3E5D">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39349E" w:rsidRPr="00EF3E5D" w:rsidRDefault="002E4127" w:rsidP="00853C17">
      <w:pPr>
        <w:pStyle w:val="ATHeading3"/>
      </w:pPr>
      <w:r>
        <w:lastRenderedPageBreak/>
        <w:t>2. E</w:t>
      </w:r>
      <w:r w:rsidRPr="00EF3E5D">
        <w:t>uroopan parlamentin päätös</w:t>
      </w:r>
      <w:r>
        <w:t>lauselma</w:t>
      </w:r>
      <w:r w:rsidRPr="00EF3E5D">
        <w:t xml:space="preserve"> 11. huhtikuuta 2024</w:t>
      </w:r>
      <w:r>
        <w:t>, j</w:t>
      </w:r>
      <w:r w:rsidR="0039349E" w:rsidRPr="00EF3E5D">
        <w:t>oka sisältää huomautukset, jotka ovat erottamaton osa päätöstä vastuuvapauden myöntämisestä Euroopan unionin yleisen talousarvion toteuttamisesta varainhoitovuonna 2022, pääluokka VIII – Euroopan oikeusasiamies</w:t>
      </w:r>
      <w:r>
        <w:t xml:space="preserve"> </w:t>
      </w:r>
      <w:r w:rsidR="0039349E" w:rsidRPr="00EF3E5D">
        <w:t>(2023/2137(DEC))</w:t>
      </w:r>
    </w:p>
    <w:p w:rsidR="0039349E" w:rsidRPr="00EF3E5D" w:rsidRDefault="0039349E" w:rsidP="002E4127">
      <w:pPr>
        <w:pStyle w:val="EPComma"/>
        <w:widowControl/>
      </w:pPr>
      <w:r w:rsidRPr="00EF3E5D">
        <w:rPr>
          <w:i/>
          <w:iCs/>
        </w:rPr>
        <w:t>Euroopan parlamentti</w:t>
      </w:r>
      <w:r w:rsidRPr="00EF3E5D">
        <w:t>, joka</w:t>
      </w:r>
    </w:p>
    <w:p w:rsidR="0039349E" w:rsidRPr="00EF3E5D" w:rsidRDefault="0039349E" w:rsidP="002E4127">
      <w:pPr>
        <w:pStyle w:val="NormalHanging12a"/>
        <w:widowControl/>
        <w:rPr>
          <w:szCs w:val="24"/>
        </w:rPr>
      </w:pPr>
      <w:r w:rsidRPr="00EF3E5D">
        <w:t>–</w:t>
      </w:r>
      <w:r w:rsidRPr="00EF3E5D">
        <w:tab/>
        <w:t>ottaa huomioon päätöksensä vastuuvapauden myöntämisestä Euroopan unionin yleisen talousarvion toteuttamisesta varainhoitovuonna 2022, pääluokka VIII – Euroopan oikeusasiamies,</w:t>
      </w:r>
    </w:p>
    <w:p w:rsidR="0039349E" w:rsidRPr="00EF3E5D" w:rsidRDefault="0039349E" w:rsidP="002E4127">
      <w:pPr>
        <w:pStyle w:val="NormalHanging12a"/>
        <w:widowControl/>
        <w:rPr>
          <w:szCs w:val="24"/>
        </w:rPr>
      </w:pPr>
      <w:r w:rsidRPr="00EF3E5D">
        <w:t>–</w:t>
      </w:r>
      <w:r w:rsidRPr="00EF3E5D">
        <w:tab/>
        <w:t>ottaa huomioon työjärjestyksen 100 artiklan ja liitteen V,</w:t>
      </w:r>
    </w:p>
    <w:p w:rsidR="0039349E" w:rsidRPr="00EF3E5D" w:rsidRDefault="0039349E" w:rsidP="002E4127">
      <w:pPr>
        <w:pStyle w:val="NormalHanging12a"/>
        <w:widowControl/>
        <w:rPr>
          <w:szCs w:val="24"/>
        </w:rPr>
      </w:pPr>
      <w:r w:rsidRPr="00EF3E5D">
        <w:t>–</w:t>
      </w:r>
      <w:r w:rsidRPr="00EF3E5D">
        <w:tab/>
        <w:t>ottaa huomioon talousarvion valvontavaliokunnan mietinnön (A9-0084/2024),</w:t>
      </w:r>
    </w:p>
    <w:p w:rsidR="0039349E" w:rsidRPr="00EF3E5D" w:rsidRDefault="0039349E" w:rsidP="002E4127">
      <w:pPr>
        <w:pStyle w:val="NormalHanging12a"/>
        <w:widowControl/>
        <w:rPr>
          <w:szCs w:val="24"/>
        </w:rPr>
      </w:pPr>
      <w:r w:rsidRPr="00EF3E5D">
        <w:t>A.</w:t>
      </w:r>
      <w:r w:rsidRPr="00EF3E5D">
        <w:tab/>
        <w:t>haluaa korostaa vastuuvapauden myöntävänä viranomaisena vastuuvapausmenettelyn yhteydessä, että unionin toimielinten demokraattista legitimiteettiä on erityisen tärkeää vahvistaa edelleen lisäämällä avoimuutta ja vastuuvelvollisuutta sekä soveltamalla tulosbudjetoinnin käsitettä ja noudattamalla henkilöresursseja koskevaa hyvää hallintotapaa;</w:t>
      </w:r>
    </w:p>
    <w:p w:rsidR="0039349E" w:rsidRPr="00EF3E5D" w:rsidRDefault="0039349E" w:rsidP="002E4127">
      <w:pPr>
        <w:pStyle w:val="NormalHanging12a"/>
        <w:widowControl/>
        <w:rPr>
          <w:szCs w:val="24"/>
        </w:rPr>
      </w:pPr>
      <w:r w:rsidRPr="00EF3E5D">
        <w:t>B.</w:t>
      </w:r>
      <w:r w:rsidRPr="00EF3E5D">
        <w:tab/>
        <w:t>ottaa huomioon, että Euroopan unionin toiminnasta tehdyn sopimuksen 228 artiklassa määrätään, että Euroopan oikeusasiamiehellä, jonka Euroopan parlamentti valitsee, on valtuudet ottaa vastaan unionin kansalaisilta sekä niiltä luonnollisilta henkilöiltä tai oikeushenkilöiltä, joiden asuinpaikka tai sääntömääräinen kotipaikka on jossakin jäsenvaltiossa, kanteluja unionin toimielinten, elinten ja laitosten toiminnassa ilmenneistä epäkohdista, lukuun ottamatta Euroopan unionin tuomioistuimen toimintaa lainkäyttöelimenä, ja että hän tutkii nämä kantelut ja laatii niistä kertomuksen;</w:t>
      </w:r>
    </w:p>
    <w:p w:rsidR="0039349E" w:rsidRPr="00EF3E5D" w:rsidRDefault="0039349E" w:rsidP="002E4127">
      <w:pPr>
        <w:pStyle w:val="NormalHanging12a"/>
        <w:widowControl/>
        <w:rPr>
          <w:szCs w:val="24"/>
        </w:rPr>
      </w:pPr>
      <w:r w:rsidRPr="00EF3E5D">
        <w:t>C.</w:t>
      </w:r>
      <w:r w:rsidRPr="00EF3E5D">
        <w:tab/>
        <w:t>ottaa huomioon, että 24. kesäkuuta 2021 annetussa Euroopan parlamentin asetuksessa (EU, Euratom) 2021/1163</w:t>
      </w:r>
      <w:r w:rsidRPr="00EF3E5D">
        <w:rPr>
          <w:rStyle w:val="FootnoteReference"/>
          <w:szCs w:val="24"/>
        </w:rPr>
        <w:footnoteReference w:id="6"/>
      </w:r>
      <w:r w:rsidRPr="00EF3E5D">
        <w:t xml:space="preserve"> säädetään oikeusasiamiehen ohjesäännöstä ja hänen tehtäviensä hoitamista koskevista yleisistä ehdoista (Euroopan oikeusasiamiehen ohjesääntö);</w:t>
      </w:r>
    </w:p>
    <w:p w:rsidR="0039349E" w:rsidRPr="00EF3E5D" w:rsidRDefault="0039349E" w:rsidP="002E4127">
      <w:pPr>
        <w:pStyle w:val="NormalHanging12a"/>
        <w:widowControl/>
        <w:rPr>
          <w:szCs w:val="24"/>
        </w:rPr>
      </w:pPr>
      <w:r w:rsidRPr="00EF3E5D">
        <w:t>D.</w:t>
      </w:r>
      <w:r w:rsidRPr="00EF3E5D">
        <w:tab/>
        <w:t>ottaa huomioon, että Euroopan oikeusasiamiehen päätöstä täytäntöönpanosäännösten hyväksymisestä tarkistetaan parhaillaan asetuksen (EU, Euratom) 2021/1163 hyväksymisen jälkeen;</w:t>
      </w:r>
    </w:p>
    <w:p w:rsidR="0039349E" w:rsidRPr="00EF3E5D" w:rsidRDefault="0039349E" w:rsidP="002E4127">
      <w:pPr>
        <w:pStyle w:val="NormalHanging12a"/>
        <w:widowControl/>
        <w:rPr>
          <w:szCs w:val="24"/>
        </w:rPr>
      </w:pPr>
      <w:r w:rsidRPr="00EF3E5D">
        <w:t>1.</w:t>
      </w:r>
      <w:r w:rsidRPr="00EF3E5D">
        <w:tab/>
        <w:t>toteaa, että oikeusasiamiehen talousarvio kuuluu monivuotisen rahoituskehyksen otsakkeeseen 7 ”EU:n yleinen hallinto”, jonka kokonaismäärä vuonna 2022 oli 11,6 miljardia euroa eli 5,9 prosenttia unionin talousarviomenoista; toteaa, että oikeusasiamiehen talousarvio oli 0,1 prosenttia monivuotisen rahoituskehyksen otsakkeen 7 määrärahoista;</w:t>
      </w:r>
    </w:p>
    <w:p w:rsidR="0039349E" w:rsidRPr="00EF3E5D" w:rsidRDefault="0039349E" w:rsidP="002E4127">
      <w:pPr>
        <w:pStyle w:val="NormalHanging12a"/>
        <w:widowControl/>
        <w:rPr>
          <w:szCs w:val="24"/>
        </w:rPr>
      </w:pPr>
      <w:r w:rsidRPr="00EF3E5D">
        <w:t>2.</w:t>
      </w:r>
      <w:r w:rsidRPr="00EF3E5D">
        <w:tab/>
        <w:t xml:space="preserve">toteaa, että varainhoitovuotta 2022 koskevassa vuosikertomuksessaan tilintarkastustuomioistuin tarkasti hallinnon alaan kuuluvan 60 tapahtuman otoksen eli yhtä suuren otoksen kuin vuonna 2021; toteaa myös tilintarkastustuomioistuimen kirjoittavan, että hallintomenoja ovat muun muassa henkilöstömenot ja eläkemenot, joiden osuus hallintomenojen kokonaismäärästä oli vuonna 2022 noin 70 prosenttia, ja </w:t>
      </w:r>
      <w:r w:rsidRPr="00EF3E5D">
        <w:lastRenderedPageBreak/>
        <w:t>lisäksi kiinteistöihin, laitteisiin, energiaan, viestintään ja tietotekniikkaan liittyvät menot ja että sen tarkastukset ovat jo useamman vuoden ajan osoittaneet, että hallintomenoissa riski on yleisesti ottaen alhaine</w:t>
      </w:r>
      <w:bookmarkStart w:id="8" w:name="_GoBack"/>
      <w:bookmarkEnd w:id="8"/>
      <w:r w:rsidRPr="00EF3E5D">
        <w:t>n;</w:t>
      </w:r>
    </w:p>
    <w:p w:rsidR="0039349E" w:rsidRPr="00EF3E5D" w:rsidRDefault="0039349E" w:rsidP="002E4127">
      <w:pPr>
        <w:pStyle w:val="NormalHanging12a"/>
        <w:widowControl/>
        <w:rPr>
          <w:szCs w:val="24"/>
        </w:rPr>
      </w:pPr>
      <w:r w:rsidRPr="00EF3E5D">
        <w:t>3.</w:t>
      </w:r>
      <w:r w:rsidRPr="00EF3E5D">
        <w:tab/>
        <w:t>toteaa, että osana vuoden 2022 tarkastusta tilintarkastustuomioistuin tutki oikeusasiamiehen valvontajärjestelmiä, erityisesti asetuksessa (EU, Euratom) 2018/1046 (varainhoitoasetus) määriteltyjen sisäisen valvonnan standardien, riskienhallinnan ja keskeisten valvontamenettelyjen täytäntöönpanoa, myös maksuihin kohdistettavia ennakko- ja jälkitarkastuksia;</w:t>
      </w:r>
    </w:p>
    <w:p w:rsidR="0039349E" w:rsidRPr="00EF3E5D" w:rsidRDefault="0039349E" w:rsidP="002E4127">
      <w:pPr>
        <w:pStyle w:val="NormalHanging12a"/>
        <w:widowControl/>
        <w:rPr>
          <w:szCs w:val="24"/>
        </w:rPr>
      </w:pPr>
      <w:r w:rsidRPr="00EF3E5D">
        <w:t>4.</w:t>
      </w:r>
      <w:r w:rsidRPr="00EF3E5D">
        <w:tab/>
        <w:t xml:space="preserve">panee merkille, että tarkastetuista 60 tapahtumasta 14 (23 prosenttia) sisälsi virheitä, mutta että tilintarkastustuomioistuin arvioi </w:t>
      </w:r>
      <w:proofErr w:type="spellStart"/>
      <w:r w:rsidRPr="00EF3E5D">
        <w:t>kvantifioimiensa</w:t>
      </w:r>
      <w:proofErr w:type="spellEnd"/>
      <w:r w:rsidRPr="00EF3E5D">
        <w:t xml:space="preserve"> viiden virheen perusteella, että virhetaso on alle olennaisuusrajan;</w:t>
      </w:r>
    </w:p>
    <w:p w:rsidR="0039349E" w:rsidRPr="00EF3E5D" w:rsidRDefault="0039349E" w:rsidP="002E4127">
      <w:pPr>
        <w:pStyle w:val="NormalHanging12a"/>
        <w:widowControl/>
        <w:rPr>
          <w:szCs w:val="24"/>
        </w:rPr>
      </w:pPr>
      <w:r w:rsidRPr="00EF3E5D">
        <w:t>5.</w:t>
      </w:r>
      <w:r w:rsidRPr="00EF3E5D">
        <w:tab/>
        <w:t>panee tyytyväisenä merkille tilintarkastustuomioistuimen toteavan varainhoitovuotta 2022 koskevassa vuosikertomuksessaan, ettei se havainnut oikeusasiamiestä koskevia erityisiä ongelmia;</w:t>
      </w:r>
    </w:p>
    <w:p w:rsidR="0039349E" w:rsidRPr="00EF3E5D" w:rsidRDefault="0039349E" w:rsidP="002E4127">
      <w:pPr>
        <w:pStyle w:val="NormalHanging12a"/>
        <w:keepNext/>
        <w:widowControl/>
        <w:rPr>
          <w:b/>
          <w:i/>
          <w:szCs w:val="24"/>
        </w:rPr>
      </w:pPr>
      <w:r w:rsidRPr="00EF3E5D">
        <w:rPr>
          <w:b/>
          <w:i/>
        </w:rPr>
        <w:t>Talousarvio- ja varainhallinto</w:t>
      </w:r>
    </w:p>
    <w:p w:rsidR="0039349E" w:rsidRPr="00EF3E5D" w:rsidRDefault="0039349E" w:rsidP="002E4127">
      <w:pPr>
        <w:pStyle w:val="NormalHanging12a"/>
        <w:widowControl/>
        <w:rPr>
          <w:szCs w:val="24"/>
        </w:rPr>
      </w:pPr>
      <w:r w:rsidRPr="00EF3E5D">
        <w:t>6.</w:t>
      </w:r>
      <w:r w:rsidRPr="00EF3E5D">
        <w:tab/>
        <w:t>toteaa, että oikeusasiamiehen talousarvio vuodeksi 2022 oli 12 222 108 euroa eli 280 000 euroa vähemmän kuin vuonna 2021; on tietoinen, että tämä vähennys johtuu talousarvion järkeistämisestä todellisten tarpeiden perusteella;</w:t>
      </w:r>
    </w:p>
    <w:p w:rsidR="0039349E" w:rsidRPr="00EF3E5D" w:rsidRDefault="0039349E" w:rsidP="002E4127">
      <w:pPr>
        <w:pStyle w:val="NormalHanging12a"/>
        <w:widowControl/>
        <w:rPr>
          <w:szCs w:val="24"/>
        </w:rPr>
      </w:pPr>
      <w:r w:rsidRPr="00EF3E5D">
        <w:t>7.</w:t>
      </w:r>
      <w:r w:rsidRPr="00EF3E5D">
        <w:tab/>
        <w:t>panee merkille, että talousarvion toteutusaste vuonna 2022 oli 96,97 prosenttia, mikä on korkeampi kuin edellisenä vuonna, jolloin se oli 88,8 prosenttia covid-19-pandemiaan liittyvien rajoitusten vuoksi;</w:t>
      </w:r>
    </w:p>
    <w:p w:rsidR="0039349E" w:rsidRPr="00EF3E5D" w:rsidRDefault="0039349E" w:rsidP="002E4127">
      <w:pPr>
        <w:pStyle w:val="NormalHanging12a"/>
        <w:widowControl/>
        <w:rPr>
          <w:szCs w:val="24"/>
        </w:rPr>
      </w:pPr>
      <w:r w:rsidRPr="00EF3E5D">
        <w:t>8.</w:t>
      </w:r>
      <w:r w:rsidRPr="00EF3E5D">
        <w:tab/>
        <w:t>panee merkille, että vuonna 2022 oikeusasiamies tek</w:t>
      </w:r>
      <w:r w:rsidR="002E4127">
        <w:t>i kuusi varainhoitoasetuksen 29 </w:t>
      </w:r>
      <w:r w:rsidRPr="00EF3E5D">
        <w:t>artiklan mukaista määrärahasiirtoa, joiden kokonais</w:t>
      </w:r>
      <w:r w:rsidR="002E4127">
        <w:t>määrä oli 344 460 euroa eli 2,8 </w:t>
      </w:r>
      <w:r w:rsidRPr="00EF3E5D">
        <w:t>prosenttia varainhoitovuoden määrärahoista; panee lisäksi merkille, että alamomenttiin 2000 liittyvä budjettinimikkeistö jaettiin neljään alaluokkaan, jotta voitiin lisätä oikeusasiamiehen molempien toimipaikkojen rakennuksista tarvittavan tiedon avoimuutta; panee merkille, että vuokrabudjettikohdasta siirretyt määrärahat jäivät käyttämättä, koska oikeusasiamies maksoi kaikki uuden rakennuksensa kunnostustöiden kustannukset vuoden 2021 talousarviosta sen sijaan, että maksut olisi hajautettu kuudelle vuodelle;</w:t>
      </w:r>
    </w:p>
    <w:p w:rsidR="0039349E" w:rsidRPr="00EF3E5D" w:rsidRDefault="0039349E" w:rsidP="002E4127">
      <w:pPr>
        <w:pStyle w:val="NormalHanging12a"/>
        <w:widowControl/>
        <w:rPr>
          <w:szCs w:val="24"/>
        </w:rPr>
      </w:pPr>
      <w:r w:rsidRPr="00EF3E5D">
        <w:t>9.</w:t>
      </w:r>
      <w:r w:rsidRPr="00EF3E5D">
        <w:tab/>
        <w:t>on tyytyväinen, että vaikka maksuaika pidentyi 11,35 päivästä vuonna 2021 13 päivään vuonna 2022, keskimääräinen maksuaika oli edelleen varsin lyhyt; uskoo, että sähköisen laskutusjärjestelmän käyttöönotto vuonna 2023 voi vain parantaa maksuprosessin tehokkuutta;</w:t>
      </w:r>
    </w:p>
    <w:p w:rsidR="0039349E" w:rsidRPr="00EF3E5D" w:rsidRDefault="0039349E" w:rsidP="002E4127">
      <w:pPr>
        <w:pStyle w:val="NormalHanging12a"/>
        <w:widowControl/>
        <w:rPr>
          <w:szCs w:val="24"/>
        </w:rPr>
      </w:pPr>
      <w:r w:rsidRPr="00EF3E5D">
        <w:t>10.</w:t>
      </w:r>
      <w:r w:rsidRPr="00EF3E5D">
        <w:tab/>
        <w:t>panee merkille, että oikeusasiamies ei ilmoittanut, että Venäjän Ukrainaa vastaan käymä hyökkäyssota olisi vaikuttanut sen virkamatkoihin, hankintoihin tai kiinteistöihin osoitettuihin määrärahoihin vuonna 2022; suosittelee, että oikeusasiamies ottaisi huomioon, että parlamentin seuraava vuotuinen vuokran ja kiinteämääräisten kiinteistökulujen tarkistus voi aiheuttaa lisäkustannuksia oikeusasiamiehen vuoden 2023 talousarvioon;</w:t>
      </w:r>
    </w:p>
    <w:p w:rsidR="0039349E" w:rsidRPr="00EF3E5D" w:rsidRDefault="0039349E" w:rsidP="002E4127">
      <w:pPr>
        <w:pStyle w:val="NormalHanging12a"/>
        <w:widowControl/>
        <w:rPr>
          <w:szCs w:val="24"/>
        </w:rPr>
      </w:pPr>
      <w:r w:rsidRPr="00EF3E5D">
        <w:t>11.</w:t>
      </w:r>
      <w:r w:rsidRPr="00EF3E5D">
        <w:tab/>
        <w:t>panee merkille, että henkilöstön virkamatkoihin varatut määrärahat vähenivät 135 000 eurosta vuonna 2021 ja olivat 120 000 euroa vuonna 2022 covid-19-</w:t>
      </w:r>
      <w:r w:rsidRPr="00EF3E5D">
        <w:lastRenderedPageBreak/>
        <w:t>pandemiasta saatujen kokemuksen avulla saavutettujen säästöjen ansiosta ja koska molemmissa toimipaikoissa hyödynnettiin laajasti videoneuvottelulaitteistoja sekä sisäisissä että ulkoisissa kokouksissa;</w:t>
      </w:r>
    </w:p>
    <w:p w:rsidR="0039349E" w:rsidRPr="00EF3E5D" w:rsidRDefault="0039349E" w:rsidP="002E4127">
      <w:pPr>
        <w:pStyle w:val="NormalHanging12a"/>
        <w:keepNext/>
        <w:widowControl/>
        <w:rPr>
          <w:b/>
          <w:i/>
          <w:szCs w:val="24"/>
        </w:rPr>
      </w:pPr>
      <w:r w:rsidRPr="00EF3E5D">
        <w:rPr>
          <w:b/>
          <w:i/>
        </w:rPr>
        <w:t>Sisäinen hallinto, toiminnan tuloksellisuus ja sisäinen valvonta</w:t>
      </w:r>
    </w:p>
    <w:p w:rsidR="0039349E" w:rsidRPr="00EF3E5D" w:rsidRDefault="0039349E" w:rsidP="002E4127">
      <w:pPr>
        <w:pStyle w:val="NormalHanging12a"/>
        <w:widowControl/>
        <w:rPr>
          <w:szCs w:val="24"/>
        </w:rPr>
      </w:pPr>
      <w:r w:rsidRPr="00EF3E5D">
        <w:t>12.</w:t>
      </w:r>
      <w:r w:rsidRPr="00EF3E5D">
        <w:tab/>
        <w:t>panee merkille, että oikeusasiamies jatkoi vuonna 2022 erityistoimien toteuttamista viisivuotisen strategiansa ”Kohti vuotta 2024” tavoitteiden ja painopisteiden mukaisesti vuotuisessa hallintosuunnitelmassaan esitetyllä tavalla; nostaa erityisesti esiin, että oikeusasiamies toimitti vuoden 2022 hallintosuunnitelman mukaisesti komissiolle, neuvostolle ja parlamentille kuulemista varten luonnoksen säännöksistä oikeusasiamiehen tehtävien hoitamista koskevan uuden ohjesäännön täytäntöönpanemiseksi;</w:t>
      </w:r>
    </w:p>
    <w:p w:rsidR="0039349E" w:rsidRPr="00EF3E5D" w:rsidRDefault="0039349E" w:rsidP="002E4127">
      <w:pPr>
        <w:pStyle w:val="NormalHanging12a"/>
        <w:widowControl/>
        <w:rPr>
          <w:szCs w:val="24"/>
        </w:rPr>
      </w:pPr>
      <w:r w:rsidRPr="00EF3E5D">
        <w:t>13.</w:t>
      </w:r>
      <w:r w:rsidRPr="00EF3E5D">
        <w:tab/>
        <w:t>korostaa, että huomattuaan julkisen tiedon räikeän puutteen vuonna 2022 oikeusasiamies kysyi Euroopan komissiolta ennakoivasti, miten se varmistaa avoimuuden kansallisia elpymissuunnitelmia koskevissa neuvotteluissa, miten se takaa jäsenvaltioiden saavuttamien välitavoitteiden julkisen valvonnan ja miten se valvoo tarkastuksia</w:t>
      </w:r>
      <w:r w:rsidRPr="00EF3E5D">
        <w:rPr>
          <w:szCs w:val="24"/>
          <w:vertAlign w:val="superscript"/>
        </w:rPr>
        <w:footnoteReference w:id="7"/>
      </w:r>
      <w:r w:rsidRPr="00EF3E5D">
        <w:t>;</w:t>
      </w:r>
    </w:p>
    <w:p w:rsidR="0039349E" w:rsidRPr="00EF3E5D" w:rsidRDefault="0039349E" w:rsidP="002E4127">
      <w:pPr>
        <w:pStyle w:val="NormalHanging12a"/>
        <w:widowControl/>
        <w:rPr>
          <w:szCs w:val="24"/>
        </w:rPr>
      </w:pPr>
      <w:r w:rsidRPr="00EF3E5D">
        <w:t>14.</w:t>
      </w:r>
      <w:r w:rsidRPr="00EF3E5D">
        <w:tab/>
        <w:t>toteaa, että vuonna 2022 oikeusasiamies vastaanotti 2 223 kantelua, joista 35 prosenttia kuului oikeusasiamiehen toimivaltaan, kun vuonna 2021 kanteluita oli 2 192; toteaa lisäksi, että vuonna 2022 oikeusasiamies käynnisti 348 tutkimusta, joista 60 oli yleisen edun kannalta merkittäviä, ja päätti 330 tutkimusta, kun vuonna 2021 aloitettiin 338 ja saatettiin päätökseen 305 tutkimusta;</w:t>
      </w:r>
    </w:p>
    <w:p w:rsidR="0039349E" w:rsidRPr="00EF3E5D" w:rsidRDefault="0039349E" w:rsidP="002E4127">
      <w:pPr>
        <w:pStyle w:val="NormalHanging12a"/>
        <w:widowControl/>
        <w:rPr>
          <w:szCs w:val="24"/>
        </w:rPr>
      </w:pPr>
      <w:r w:rsidRPr="00EF3E5D">
        <w:t>15.</w:t>
      </w:r>
      <w:r w:rsidRPr="00EF3E5D">
        <w:tab/>
        <w:t>toteaa erittäin huolestuneena, että oikeusasiamies saa kansalaisilta paljon kanteluja huomattavista viiveistä pyydettyjen asiakirjojen tutustuttavaksi saamisessa; tukee oikeusasiamiehen näkemystä siitä, että asiakirjan tutustuttavaksi antaminen viiveellä tarkoittaa tosiasiassa tutustuttavaksi antamisen epäämistä ja että hallinnollisia menettelyjä olisi virtaviivaistettava sen varmistamiseksi, että kansalaiset saavat tutustua asiakirjoihin oikea-aikaisesti</w:t>
      </w:r>
      <w:r w:rsidRPr="00EF3E5D">
        <w:rPr>
          <w:szCs w:val="24"/>
          <w:vertAlign w:val="superscript"/>
        </w:rPr>
        <w:footnoteReference w:id="8"/>
      </w:r>
      <w:r w:rsidRPr="00EF3E5D">
        <w:t>;</w:t>
      </w:r>
    </w:p>
    <w:p w:rsidR="0039349E" w:rsidRPr="00EF3E5D" w:rsidRDefault="0039349E" w:rsidP="002E4127">
      <w:pPr>
        <w:pStyle w:val="NormalHanging12a"/>
        <w:widowControl/>
        <w:rPr>
          <w:szCs w:val="24"/>
        </w:rPr>
      </w:pPr>
      <w:r w:rsidRPr="00EF3E5D">
        <w:t>16.</w:t>
      </w:r>
      <w:r w:rsidRPr="00EF3E5D">
        <w:tab/>
        <w:t>on tyytyväinen, että vastaamatta jättämistä koskeville tutkimuksille on kehitetty yksinkertaistettu käsittelyprosessi; on myös tyytyväinen toimivaltaan kuulumattomille kanteluille käyttöön otettuun yksinkertaistettuun menettelyyn, jonka ansiosta käsittelyaika on lyhentynyt 15 päivästä kolmeen päivään; on kuitenkin huolissaan, että oikeusasiamiehen toimivaltaan kuuluvien kanteluiden keskimääräinen käsittelyaika piteni vuosien 2021 ja 2022 välillä 61:stä 91 päivään ja tutkimusten keskimääräinen käsittelyaika 112 päivästä 166 päivään;</w:t>
      </w:r>
    </w:p>
    <w:p w:rsidR="0039349E" w:rsidRPr="00EF3E5D" w:rsidRDefault="0039349E" w:rsidP="002E4127">
      <w:pPr>
        <w:pStyle w:val="NormalHanging12a"/>
        <w:widowControl/>
        <w:rPr>
          <w:szCs w:val="24"/>
        </w:rPr>
      </w:pPr>
      <w:r w:rsidRPr="00EF3E5D">
        <w:t>17.</w:t>
      </w:r>
      <w:r w:rsidRPr="00EF3E5D">
        <w:tab/>
        <w:t>panee merkille, että eettisyys ja avoimuus olivat vuonna 2022 yhä oikeusasiamiehen työn merkittäviä osa-alueita, jotka myötävaikuttivat edelleen edistykseen mutta joihin liittyi myös haasteita, ja että avoimuuteen ja vastuuvelvollisuuteen liittyvät kantelut muodostivat 32 prosenttia kaikista tapauksista vuonna 2022;</w:t>
      </w:r>
    </w:p>
    <w:p w:rsidR="0039349E" w:rsidRPr="00EF3E5D" w:rsidRDefault="0039349E" w:rsidP="002E4127">
      <w:pPr>
        <w:pStyle w:val="NormalHanging12a"/>
        <w:widowControl/>
        <w:rPr>
          <w:szCs w:val="24"/>
        </w:rPr>
      </w:pPr>
      <w:r w:rsidRPr="00EF3E5D">
        <w:t>18.</w:t>
      </w:r>
      <w:r w:rsidRPr="00EF3E5D">
        <w:tab/>
        <w:t xml:space="preserve">panee merkille, että oikeusasiamiehen tärkeimpiä prioriteetteja vuonna 2022 oli edelleen asiakirjajulkisuus, jota koski vastaanotetuista kanteluista 121 – korkein yhden </w:t>
      </w:r>
      <w:r w:rsidRPr="00EF3E5D">
        <w:lastRenderedPageBreak/>
        <w:t xml:space="preserve">vuoden aikana kirjattu määrä – ja tutkimusten perusteella tehtiin 90 kantelua; on tyytyväinen asiakirjajulkisuuteen liittyvien tapausten nopeaan käsittelyyn: keskimäärin 46 työpäivää kantelun päätökseen saattamiseen ja 67 päivää pelkkien tutkimusten osalta; on ymmärtänyt, että tapausten määrän kasvusta huolimatta nopeutettua menettelyä käytettiin vain 28 prosentissa kaikista asiakirjajulkisuutta koskevista tutkimuksista, kun osuus vuonna 2021 oli 58 prosenttia; on tyytyväinen komissiota ja unionin virastoja, kuten </w:t>
      </w:r>
      <w:proofErr w:type="spellStart"/>
      <w:r w:rsidRPr="00EF3E5D">
        <w:t>Frontexia</w:t>
      </w:r>
      <w:proofErr w:type="spellEnd"/>
      <w:r w:rsidRPr="00EF3E5D">
        <w:t>, sekä toimielimiä ja elimiä, kuten EIP:tä, koskevien laajojen tutkimusten päätelmiin siitä, miten ne hallinnoivat asiakirjajulkisuuteen liittyviä pyyntöjä;</w:t>
      </w:r>
    </w:p>
    <w:p w:rsidR="0039349E" w:rsidRPr="00EF3E5D" w:rsidRDefault="0039349E" w:rsidP="002E4127">
      <w:pPr>
        <w:pStyle w:val="NormalHanging12a"/>
        <w:widowControl/>
        <w:rPr>
          <w:szCs w:val="24"/>
        </w:rPr>
      </w:pPr>
      <w:r w:rsidRPr="00EF3E5D">
        <w:t>19.</w:t>
      </w:r>
      <w:r w:rsidRPr="00EF3E5D">
        <w:tab/>
        <w:t>muistuttaa, että Euroopan oikeusasiamiehen mukaan asiakirjoihin ja erityisesti lainsäädäntöasiakirjoihin tutustumista koskevien rajoitusten olisi oltava poikkeuksellisia ja rajoituttava siihen, mikä on ehdottoman välttämätöntä; muistuttaa lisäksi, että kaikkien päätösten, joilla evätään yleisön oikeus tutustua asiakirjoihin, on perustuttava selkeästi ja tiukasti rajattuihin sekä pätevästi ja täsmällisesti perusteltuihin laillisiin poikkeuksiin, niin että kansalaiset ymmärtävät epäämisen ja voivat tehokkaasti hyödyntää käytettävissään olevia oikeussuojakeinoja; katsoo, että ennakoivampi lähestymistapa auttaisi varmistamaan tosiasiallisen avoimuuden sekä välttämään kansalaisten ja toimielinten välisiä kalliita ja hankalia oikeusriitoja</w:t>
      </w:r>
      <w:r w:rsidRPr="00EF3E5D">
        <w:rPr>
          <w:szCs w:val="24"/>
          <w:vertAlign w:val="superscript"/>
        </w:rPr>
        <w:footnoteReference w:id="9"/>
      </w:r>
      <w:r w:rsidRPr="00EF3E5D">
        <w:t>;</w:t>
      </w:r>
    </w:p>
    <w:p w:rsidR="0039349E" w:rsidRPr="00EF3E5D" w:rsidRDefault="0039349E" w:rsidP="002E4127">
      <w:pPr>
        <w:pStyle w:val="NormalHanging12a"/>
        <w:keepNext/>
        <w:widowControl/>
        <w:rPr>
          <w:b/>
          <w:i/>
          <w:szCs w:val="24"/>
        </w:rPr>
      </w:pPr>
      <w:r w:rsidRPr="00EF3E5D">
        <w:rPr>
          <w:b/>
          <w:i/>
        </w:rPr>
        <w:t>Henkilöresurssit, tasa-arvo ja henkilöstön hyvinvointi</w:t>
      </w:r>
    </w:p>
    <w:p w:rsidR="0039349E" w:rsidRPr="00EF3E5D" w:rsidRDefault="0039349E" w:rsidP="002E4127">
      <w:pPr>
        <w:pStyle w:val="NormalHanging12a"/>
        <w:widowControl/>
        <w:rPr>
          <w:szCs w:val="24"/>
        </w:rPr>
      </w:pPr>
      <w:r w:rsidRPr="00EF3E5D">
        <w:t>20.</w:t>
      </w:r>
      <w:r w:rsidRPr="00EF3E5D">
        <w:tab/>
        <w:t>panee merkille, että henkilöstön kokoonpano on asemien ja toimenkuvien osalta pysynyt viime vuosina vakaana ja että vuoden 2022 lopussa työntekijöitä oli 74 eli saman verran kuin vuonna 2021; panee lisäksi merkille, että vuonna 2022 oikeusasiamiehen palveluksessa oli 39 virkamiestä, kun vastaava luku oli 37 vuonna 2020 ja 38 vuonna 2021, 28 väliaikaista toimihenkilöä, joita oli 28 vuonna 2020 ja 30 vuonna 2021, sekä seitsemän sopimussuhteista toimihenkilöä verrattuna kahdeksaan vuonna 2020 ja kuuteen vuonna 2021; toteaa, että hallinnon (henkilöstöasiat, varainhoito, prosessinhallinta) parissa työskenteli vuonna 2022 yhtä suuri osuus henkilöstöstä kuin valitusten ja tutkimusten käsittelyn parissa, eli noin 40 prosenttia;</w:t>
      </w:r>
    </w:p>
    <w:p w:rsidR="0039349E" w:rsidRPr="00EF3E5D" w:rsidRDefault="0039349E" w:rsidP="002E4127">
      <w:pPr>
        <w:pStyle w:val="NormalHanging12a"/>
        <w:widowControl/>
        <w:rPr>
          <w:szCs w:val="24"/>
        </w:rPr>
      </w:pPr>
      <w:r w:rsidRPr="00EF3E5D">
        <w:t>21.</w:t>
      </w:r>
      <w:r w:rsidRPr="00EF3E5D">
        <w:tab/>
        <w:t>pitää valitettavana, että pääsihteerin virka on ollut avoinna 1. syyskuuta 2022 lähtien;</w:t>
      </w:r>
    </w:p>
    <w:p w:rsidR="0039349E" w:rsidRPr="00EF3E5D" w:rsidRDefault="0039349E" w:rsidP="002E4127">
      <w:pPr>
        <w:pStyle w:val="NormalHanging12a"/>
        <w:widowControl/>
        <w:rPr>
          <w:szCs w:val="24"/>
        </w:rPr>
      </w:pPr>
      <w:r w:rsidRPr="00EF3E5D">
        <w:t>22.</w:t>
      </w:r>
      <w:r w:rsidRPr="00EF3E5D">
        <w:tab/>
        <w:t>panee merkille, että oikeusasiamies käynnisti vuonna 2022 kiinnostuksenilmaisupyynnön perustaakseen hakijareservin, josta voitaisiin ottaa nopeammin palvelukseen väliaikaisia toimihenkilöitä; on kiinnostunut seuraamaan tällä menettelyllä saavutettuja tehokkuusetuja;</w:t>
      </w:r>
    </w:p>
    <w:p w:rsidR="0039349E" w:rsidRPr="00EF3E5D" w:rsidRDefault="0039349E" w:rsidP="002E4127">
      <w:pPr>
        <w:pStyle w:val="NormalHanging12a"/>
        <w:widowControl/>
        <w:rPr>
          <w:szCs w:val="24"/>
        </w:rPr>
      </w:pPr>
      <w:r w:rsidRPr="00EF3E5D">
        <w:t>23.</w:t>
      </w:r>
      <w:r w:rsidRPr="00EF3E5D">
        <w:tab/>
        <w:t>toteaa, että oikeusasiamies on onnistunut saamaan henkilöstöönsä 18 kansallisuuden edustajia hyödyntämällä ennakoivaa viestintää ja tiedotusta monimuotoisemmalle kohderyhmälle erityisesti sosiaalisen median kanavissa; kehottaa oikeusasiamiestä jatkamaan ponnistelujaan tasapainoisen maantieteellisen jakauman saavuttamiseksi henkilöstössään niin, että siihen kuuluisi kansalaisia kaikista jäsenvaltioista;</w:t>
      </w:r>
    </w:p>
    <w:p w:rsidR="0039349E" w:rsidRPr="00EF3E5D" w:rsidRDefault="0039349E" w:rsidP="002E4127">
      <w:pPr>
        <w:pStyle w:val="NormalHanging12a"/>
        <w:widowControl/>
        <w:rPr>
          <w:szCs w:val="24"/>
        </w:rPr>
      </w:pPr>
      <w:r w:rsidRPr="00EF3E5D">
        <w:t>24.</w:t>
      </w:r>
      <w:r w:rsidRPr="00EF3E5D">
        <w:tab/>
        <w:t xml:space="preserve">toteaa sukupuolten tasapuolisen edustuksen osalta, että oikeusasiamiehen palveluksessa on enemmän naisia kuin miehiä kaikissa henkilöstöryhmissä ja erityisesti johtotasolla ja että kaiken kaikkiaan naisia oli henkilöstöstä 67 prosenttia ja miehiä 33 prosenttia verrattuna vuoteen 2021, jolloin naisten osuus oli 68 prosenttia ja miesten 32; kannustaa </w:t>
      </w:r>
      <w:r w:rsidRPr="00EF3E5D">
        <w:lastRenderedPageBreak/>
        <w:t>oikeusasiamiestä jatkamaan ponnistelujaan henkilöstön tasapainoisen sukupuolijakauman saavuttamiseksi;</w:t>
      </w:r>
    </w:p>
    <w:p w:rsidR="0039349E" w:rsidRPr="00EF3E5D" w:rsidRDefault="0039349E" w:rsidP="002E4127">
      <w:pPr>
        <w:pStyle w:val="NormalHanging12a"/>
        <w:widowControl/>
        <w:rPr>
          <w:szCs w:val="24"/>
        </w:rPr>
      </w:pPr>
      <w:r w:rsidRPr="00EF3E5D">
        <w:t>25.</w:t>
      </w:r>
      <w:r w:rsidRPr="00EF3E5D">
        <w:tab/>
        <w:t>panee merkille, että oikeusasiamies otti vuonna 2022 käyttöön uudet, lokakuussa 2021 hyväksytyt työaikaa ja hybridityöskentelyä koskevat toimintaperiaatteet, joiden määräykset koskevat esimerkiksi etätyötä, myös ulkomailta käsin, ergonomisten laitteiden tarjoamista kotona työskentelyyn, osa-aikatyötä, vanhempainvapaata, joustavaa työaikaa ja oikeutta olla tavoittamattomissa, ja on tyytyväinen, että niitä sovelletaan kaikkiin henkilöstöryhmiin; panee tyytyväisenä merkille vuonna 2023 tehdyn henkilöstökyselyn kokonaistulokset, joiden mukaan henkilöstön yleinen tyytyväisyys hybridityötä ja joustavaa työaikaa koskeviin järjestelyihin on 97 prosenttia;</w:t>
      </w:r>
    </w:p>
    <w:p w:rsidR="0039349E" w:rsidRPr="00EF3E5D" w:rsidRDefault="0039349E" w:rsidP="002E4127">
      <w:pPr>
        <w:pStyle w:val="NormalHanging12a"/>
        <w:widowControl/>
        <w:rPr>
          <w:szCs w:val="24"/>
        </w:rPr>
      </w:pPr>
      <w:r w:rsidRPr="00EF3E5D">
        <w:t>26.</w:t>
      </w:r>
      <w:r w:rsidRPr="00EF3E5D">
        <w:tab/>
        <w:t>toteaa, että johdolla on hyvä kokonaiskuva henkilöstön työmäärästä ja että se valvoo työn jakautumista säännöllisesti hienosäätäen sitä tarpeen mukaan; panee merkille, että oikeusasiamiehen henkilöstöön liittyviä terveysasioita hoitava Euroopan parlamentin työterveysasema ei tuonut oikeusasiamiehen tietoon pitkäaikaisia sairastumisia, jotka olisivat johtuneet työuupumuksesta;</w:t>
      </w:r>
    </w:p>
    <w:p w:rsidR="0039349E" w:rsidRPr="00EF3E5D" w:rsidRDefault="0039349E" w:rsidP="002E4127">
      <w:pPr>
        <w:pStyle w:val="NormalHanging12a"/>
        <w:widowControl/>
        <w:rPr>
          <w:szCs w:val="24"/>
        </w:rPr>
      </w:pPr>
      <w:r w:rsidRPr="00EF3E5D">
        <w:t>27.</w:t>
      </w:r>
      <w:r w:rsidRPr="00EF3E5D">
        <w:tab/>
        <w:t>on tyytyväinen, että vuonna 2022 ei ilmoitettu yhtään häirintätapausta; kannustaa oikeusasiamiestä jatkamaan toimiaan sellaisen työympäristön takaamiseksi, jossa ei esiinny seksuaalista häirintää eikä työpaikkakiusaamista, erityisesti tietoisuutta lisäämällä ja koulutuksen avulla; panee tyytyväisenä merkille, että eettisiä toimintapuitteita koskevan sisäisen tarkastuksen yhteydessä tehdyn kyselyn mukaan vuoden 2023 alussa 90 prosenttia henkilöstöstä oli tietoinen häirintää koskevista toimintaperiaatteista ja suuntaviivoista;</w:t>
      </w:r>
    </w:p>
    <w:p w:rsidR="0039349E" w:rsidRPr="00EF3E5D" w:rsidRDefault="0039349E" w:rsidP="002E4127">
      <w:pPr>
        <w:pStyle w:val="NormalHanging12a"/>
        <w:widowControl/>
        <w:rPr>
          <w:szCs w:val="24"/>
        </w:rPr>
      </w:pPr>
      <w:r w:rsidRPr="00EF3E5D">
        <w:t>28.</w:t>
      </w:r>
      <w:r w:rsidRPr="00EF3E5D">
        <w:tab/>
        <w:t>panee tyytyväisenä merkille, että oikeusasiamies otti vuonna 2022 vastaan 18 palkallista harjoittelijaa – vuonna 2021 heitä oli 16 – joille tarjottiin palkitsemispaketti ja samat työjärjestelyt kuin muullekin henkilöstölle; kannustaa oikeusasiamiestä käynnistämään vuodeksi 2023 suunnitellun, vammaisille nuorille tarkoitetun harjoittelujärjestelmän;</w:t>
      </w:r>
    </w:p>
    <w:p w:rsidR="0039349E" w:rsidRPr="00EF3E5D" w:rsidRDefault="0039349E" w:rsidP="002E4127">
      <w:pPr>
        <w:pStyle w:val="NormalHanging12a"/>
        <w:keepNext/>
        <w:widowControl/>
        <w:rPr>
          <w:b/>
          <w:i/>
          <w:szCs w:val="24"/>
        </w:rPr>
      </w:pPr>
      <w:r w:rsidRPr="00EF3E5D">
        <w:rPr>
          <w:b/>
          <w:i/>
        </w:rPr>
        <w:t>Eettiset toimintapuitteet ja avoimuus</w:t>
      </w:r>
    </w:p>
    <w:p w:rsidR="0039349E" w:rsidRPr="00EF3E5D" w:rsidRDefault="0039349E" w:rsidP="002E4127">
      <w:pPr>
        <w:pStyle w:val="NormalHanging12a"/>
        <w:widowControl/>
        <w:rPr>
          <w:szCs w:val="24"/>
        </w:rPr>
      </w:pPr>
      <w:r w:rsidRPr="00EF3E5D">
        <w:t>29.</w:t>
      </w:r>
      <w:r w:rsidRPr="00EF3E5D">
        <w:tab/>
        <w:t>on tyytyväinen, että toimielin jatkoi pyrkimyksiään eettisten toimintapuitteidensa vahvistamiseksi ja niitä koskevan tietoisuuden lisäämiseksi; toteaa, että oikeusasiamies järjesti tähän liittyen koko henkilöstölle ulkoisia toimia koskevien toimintaperiaatteidensa esittelyn, häirintää käsittelevän koulutuksen ja eturistiriita-aiheisen lounasistunnon; toteaa myös, että lomakkeita, joilla ilmoitetaan eturistiriidoista, ulkopuolisesta toiminnasta, julkaisuista ja ammatillisen toiminnan harjoittamisesta unionin julkisesta palveluksesta poistumisen jälkeen, tarkistettiin sen varmistamiseksi, että henkilöstösääntöjä ja sisäisiä sääntöjä sovelletaan niissä yhtenäisellä tavalla; pitää myönteisenä, että vuonna 2022 aloitettiin oikeusasiamiehen eettisten toimintapuitteiden sisäinen tarkastus ja että sen tuloksia hyödynnetään alan käytäntöjen kehittämisessä edelleen;</w:t>
      </w:r>
    </w:p>
    <w:p w:rsidR="0039349E" w:rsidRPr="00EF3E5D" w:rsidRDefault="0039349E" w:rsidP="002E4127">
      <w:pPr>
        <w:pStyle w:val="NormalHanging12a"/>
        <w:widowControl/>
      </w:pPr>
      <w:r w:rsidRPr="00EF3E5D">
        <w:t>30.</w:t>
      </w:r>
      <w:r w:rsidRPr="00EF3E5D">
        <w:tab/>
        <w:t>panee merkille, että oikeusasiamiehen petostentorjuntastrategia perustuu suurelta osin käytössä oleviin eettisiin toimintapuitteisiin ja periaatteeseen tehtävien eriyttämisestä taloudellisissa toiminnoissa; panee tyytyväisenä merkille, että vuonna 2022 ei ollut yhtäkään ilmoitettua eturistiriitatapausta tai väärinkäytösten paljastamistapausta;</w:t>
      </w:r>
    </w:p>
    <w:p w:rsidR="0039349E" w:rsidRPr="00EF3E5D" w:rsidRDefault="0039349E" w:rsidP="002E4127">
      <w:pPr>
        <w:pStyle w:val="NormalHanging12a"/>
        <w:widowControl/>
        <w:rPr>
          <w:szCs w:val="24"/>
        </w:rPr>
      </w:pPr>
      <w:r w:rsidRPr="00EF3E5D">
        <w:lastRenderedPageBreak/>
        <w:t>31.</w:t>
      </w:r>
      <w:r w:rsidRPr="00EF3E5D">
        <w:tab/>
        <w:t>pitää valitettavana, että oikeusasiamies ei ole virallisesti liittynyt EU:n avoimuusrekisteriin, joka on perustettu pakollisesta avoimuusrekisteristä 20. toukokuuta 2021 tehdyllä Euroopan parlamentin, Euroopan unionin neuvoston ja Euroopan komission välisellä toimielinten sopimuksella, mutta on yhdenmukaistanut käytäntönsä avoimuusrekisterin periaatteiden kanssa ja tarkistaa, että oikeusasiamiehen järjestämien tapahtumien ja kokousten puhujat ja neuvottelukumppanit on kirjattu rekisteriin; on tyytyväinen, että oikeusasiamies on yltänyt merkittävään avoimuuteen julkaisemalla verkkosivustollaan tietoja tutkimuksista, virkamatkoista, kokouksista ja tapahtumista, joihin oikeusasiamies osallistuu;</w:t>
      </w:r>
    </w:p>
    <w:p w:rsidR="0039349E" w:rsidRPr="00EF3E5D" w:rsidRDefault="0039349E" w:rsidP="002E4127">
      <w:pPr>
        <w:pStyle w:val="NormalHanging12a"/>
        <w:widowControl/>
        <w:rPr>
          <w:szCs w:val="24"/>
        </w:rPr>
      </w:pPr>
      <w:r w:rsidRPr="00EF3E5D">
        <w:t>32.</w:t>
      </w:r>
      <w:r w:rsidRPr="00EF3E5D">
        <w:tab/>
        <w:t>kehottaa oikeusasiamiestä tiedottamaan budjettivallan käyttäjälle säännöllisesti </w:t>
      </w:r>
      <w:proofErr w:type="spellStart"/>
      <w:r w:rsidRPr="00EF3E5D">
        <w:t>elpymis</w:t>
      </w:r>
      <w:proofErr w:type="spellEnd"/>
      <w:r w:rsidRPr="00EF3E5D">
        <w:t>- ja palautumistukivälineeseen liittyvässä avoimuus- ja vastuuvelvollisuustyössä kohtaamistaan vaikeuksista;</w:t>
      </w:r>
    </w:p>
    <w:p w:rsidR="0039349E" w:rsidRPr="00EF3E5D" w:rsidRDefault="0039349E" w:rsidP="002E4127">
      <w:pPr>
        <w:pStyle w:val="NormalHanging12a"/>
        <w:widowControl/>
        <w:rPr>
          <w:szCs w:val="24"/>
        </w:rPr>
      </w:pPr>
      <w:r w:rsidRPr="00EF3E5D">
        <w:t>33.</w:t>
      </w:r>
      <w:r w:rsidRPr="00EF3E5D">
        <w:tab/>
        <w:t>pitää myönteisenä, että oikeusasiamies julkaisi vuonna 2022 suurelle yleisölle tarkoitetun oppaan oikeudesta tutustua julkisiin asiakirjoihin ja parhaista tavoista käyttää tätä oikeutta;</w:t>
      </w:r>
    </w:p>
    <w:p w:rsidR="0039349E" w:rsidRPr="00EF3E5D" w:rsidRDefault="0039349E" w:rsidP="002E4127">
      <w:pPr>
        <w:pStyle w:val="NormalHanging12a"/>
        <w:keepNext/>
        <w:widowControl/>
        <w:rPr>
          <w:b/>
          <w:i/>
          <w:szCs w:val="24"/>
        </w:rPr>
      </w:pPr>
      <w:proofErr w:type="spellStart"/>
      <w:r w:rsidRPr="00EF3E5D">
        <w:rPr>
          <w:b/>
          <w:i/>
        </w:rPr>
        <w:t>Digitalisaatio</w:t>
      </w:r>
      <w:proofErr w:type="spellEnd"/>
      <w:r w:rsidRPr="00EF3E5D">
        <w:rPr>
          <w:b/>
          <w:i/>
        </w:rPr>
        <w:t>, kyberturvallisuus ja tietosuoja</w:t>
      </w:r>
    </w:p>
    <w:p w:rsidR="0039349E" w:rsidRPr="00EF3E5D" w:rsidRDefault="0039349E" w:rsidP="002E4127">
      <w:pPr>
        <w:pStyle w:val="NormalHanging12a"/>
        <w:widowControl/>
        <w:rPr>
          <w:szCs w:val="24"/>
        </w:rPr>
      </w:pPr>
      <w:r w:rsidRPr="00EF3E5D">
        <w:t>34.</w:t>
      </w:r>
      <w:r w:rsidRPr="00EF3E5D">
        <w:tab/>
        <w:t xml:space="preserve">onnittelee oikeusasiamiestä </w:t>
      </w:r>
      <w:proofErr w:type="spellStart"/>
      <w:r w:rsidRPr="00EF3E5D">
        <w:t>digitalisaation</w:t>
      </w:r>
      <w:proofErr w:type="spellEnd"/>
      <w:r w:rsidRPr="00EF3E5D">
        <w:t xml:space="preserve"> aktiivisesta edistämisestä paperin käytön vähentämiseksi ja asiakirjojen vaihdon ja säilyttämisen helpottamiseksi; panee merkille, että vuonna 2022 tietotekniikkamenot vähenivät 48 prosenttia vuodesta 2021, sillä </w:t>
      </w:r>
      <w:proofErr w:type="spellStart"/>
      <w:r w:rsidRPr="00EF3E5D">
        <w:t>digitalisaation</w:t>
      </w:r>
      <w:proofErr w:type="spellEnd"/>
      <w:r w:rsidRPr="00EF3E5D">
        <w:t xml:space="preserve"> tehostamiseen ei vaadittu erityisiä investointeja; suhtautuu myönteisesti videoneuvottelujen ja suoratoiston käytön yleistymiseen, mikä on vähentänyt matkustamisen tarvetta;</w:t>
      </w:r>
    </w:p>
    <w:p w:rsidR="0039349E" w:rsidRPr="00EF3E5D" w:rsidRDefault="0039349E" w:rsidP="002E4127">
      <w:pPr>
        <w:pStyle w:val="NormalHanging12a"/>
        <w:widowControl/>
        <w:rPr>
          <w:szCs w:val="24"/>
        </w:rPr>
      </w:pPr>
      <w:r w:rsidRPr="00EF3E5D">
        <w:t>35.</w:t>
      </w:r>
      <w:r w:rsidRPr="00EF3E5D">
        <w:tab/>
        <w:t xml:space="preserve">panee merkille, että oikeusasiamies tukeutuu tietotekniikan alalla parlamentin infrastruktuuri- ja kyberturvallisuuskehykseen ja tekee tiivistä yhteistyötä komission kanssa unionin sisäisten välineiden (SYSPER, ABAC, </w:t>
      </w:r>
      <w:proofErr w:type="spellStart"/>
      <w:r w:rsidRPr="00EF3E5D">
        <w:t>MiPS</w:t>
      </w:r>
      <w:proofErr w:type="spellEnd"/>
      <w:r w:rsidRPr="00EF3E5D">
        <w:t xml:space="preserve"> ja ARES) integroinnissa ja ylläpidossa sekä tietotekniikkapuitesopimusten käytössä; toteaa, että koska oikeusasiamies voi valvoa tietoja vain rajoitetusti, asianomaisten toimielinten kanssa tehtiin palvelutasosopimuksia sen varmistamiseksi, että henkilötietojen käsittelyssä noudatetaan sovellettavaa oikeudellista kehystä; panee tyytyväisenä merkille, että oikeusasiamieheen ei kohdistunut kyberhyökkäyksiä vuonna 2022;</w:t>
      </w:r>
    </w:p>
    <w:p w:rsidR="0039349E" w:rsidRPr="00EF3E5D" w:rsidRDefault="0039349E" w:rsidP="002E4127">
      <w:pPr>
        <w:pStyle w:val="NormalHanging12a"/>
        <w:widowControl/>
        <w:rPr>
          <w:szCs w:val="24"/>
        </w:rPr>
      </w:pPr>
      <w:r w:rsidRPr="00EF3E5D">
        <w:t>36.</w:t>
      </w:r>
      <w:r w:rsidRPr="00EF3E5D">
        <w:tab/>
        <w:t xml:space="preserve">kannustaa oikeusasiamiestä työskentelemään tiiviissä yhteistyössä </w:t>
      </w:r>
      <w:proofErr w:type="spellStart"/>
      <w:r w:rsidRPr="00EF3E5D">
        <w:t>ENISAn</w:t>
      </w:r>
      <w:proofErr w:type="spellEnd"/>
      <w:r w:rsidRPr="00EF3E5D">
        <w:t xml:space="preserve"> (Euroopan unionin kyberturvallisuusvirasto) kanssa; ehdottaa, että oikeusasiamiehen koko henkilöstölle tarjotaan säännöllisesti päivitettäviä kyberturvallisuuteen liittyviä koulutusohjelmia;</w:t>
      </w:r>
    </w:p>
    <w:p w:rsidR="0039349E" w:rsidRPr="00EF3E5D" w:rsidRDefault="0039349E" w:rsidP="002E4127">
      <w:pPr>
        <w:pStyle w:val="NormalHanging12a"/>
        <w:widowControl/>
        <w:rPr>
          <w:szCs w:val="24"/>
        </w:rPr>
      </w:pPr>
      <w:r w:rsidRPr="00EF3E5D">
        <w:t>37.</w:t>
      </w:r>
      <w:r w:rsidRPr="00EF3E5D">
        <w:tab/>
        <w:t>panee tyytyväisenä merkille, että oikeusasiamies saattoi vuonna 2022 päätökseen neljä toimenpidettä viisikohtaisesta toimintasuunnitelmasta, joka hyväksyttiin toimielimen tietosuojakehyksen uudelleentarkastelusta tehdyn sisäisen tarkastuskertomuksen 21/03 perusteella ja jolla pyritään edelleen parantamaan henkilötietojen käsittelyn tehokkuutta ja vaikuttavuutta toimielimessä;</w:t>
      </w:r>
    </w:p>
    <w:p w:rsidR="0039349E" w:rsidRPr="00EF3E5D" w:rsidRDefault="0039349E" w:rsidP="002E4127">
      <w:pPr>
        <w:pStyle w:val="NormalHanging12a"/>
        <w:widowControl/>
        <w:rPr>
          <w:szCs w:val="24"/>
        </w:rPr>
      </w:pPr>
      <w:r w:rsidRPr="00EF3E5D">
        <w:t>38.</w:t>
      </w:r>
      <w:r w:rsidRPr="00EF3E5D">
        <w:tab/>
        <w:t xml:space="preserve">panee merkille, että Euroopan tietosuojavaltuutettu antoi vuonna 2022 palautetta kansalaisen tekemän valituksen perusteella, jonka mukaan oikeusasiamiehen vakiomuotoisessa vastaanottotodistuksessa antamat tietosuojatiedot ovat riittämättömiä; panee tyytyväisenä merkille, että tietosuojavaltuutettu päätti tapauksen käsittelyn ilman </w:t>
      </w:r>
      <w:r w:rsidRPr="00EF3E5D">
        <w:lastRenderedPageBreak/>
        <w:t>jatkotoimia sen jälkeen, kun oikeusasiamies oli muuttanut malliaan ehdotuksen mukaisesti;</w:t>
      </w:r>
    </w:p>
    <w:p w:rsidR="0039349E" w:rsidRDefault="0039349E" w:rsidP="002E4127">
      <w:pPr>
        <w:pStyle w:val="NormalHanging12a"/>
        <w:widowControl/>
      </w:pPr>
      <w:r w:rsidRPr="00EF3E5D">
        <w:t>39.</w:t>
      </w:r>
      <w:r w:rsidRPr="00EF3E5D">
        <w:tab/>
        <w:t>panee tyytyväisenä merkille, että parhaillaan ollaan ottamassa käyttöön sähköistä laskutusjärjestelmää yhteistyössä Euroopan komission (digitaalisten palvelujen pääosaston) kanssa; pyytää oikeusasiamiestä täsmentämään sähköisen laskutusjärjestelmän täysimääräisen käyttöönoton aikataulun;</w:t>
      </w:r>
    </w:p>
    <w:p w:rsidR="0097267F" w:rsidRPr="0097267F" w:rsidRDefault="0097267F" w:rsidP="002E4127">
      <w:pPr>
        <w:pStyle w:val="NormalHanging12a"/>
        <w:widowControl/>
        <w:rPr>
          <w:szCs w:val="24"/>
        </w:rPr>
      </w:pPr>
      <w:r w:rsidRPr="0097267F">
        <w:rPr>
          <w:szCs w:val="24"/>
        </w:rPr>
        <w:t>40.</w:t>
      </w:r>
      <w:r w:rsidRPr="0097267F">
        <w:rPr>
          <w:szCs w:val="24"/>
        </w:rPr>
        <w:tab/>
      </w:r>
      <w:r w:rsidRPr="0092044E">
        <w:t>onnittelee oikeusasiamiestä siitä, että se käyttää verkkosivustollaan yksinomaan avoimen lähdekoodin ohjelmistoja ja että se priorisoi avoimen lähdekoodin työkalujen käyttöä sisäisiin tarkoituksiin aina kun mahdollista;</w:t>
      </w:r>
    </w:p>
    <w:p w:rsidR="0039349E" w:rsidRPr="00EF3E5D" w:rsidRDefault="0039349E" w:rsidP="002E4127">
      <w:pPr>
        <w:pStyle w:val="NormalHanging12a"/>
        <w:keepNext/>
        <w:widowControl/>
        <w:rPr>
          <w:b/>
          <w:i/>
          <w:szCs w:val="24"/>
        </w:rPr>
      </w:pPr>
      <w:r w:rsidRPr="00EF3E5D">
        <w:rPr>
          <w:b/>
          <w:i/>
        </w:rPr>
        <w:t>Kiinteistöt</w:t>
      </w:r>
    </w:p>
    <w:p w:rsidR="0039349E" w:rsidRPr="00EF3E5D" w:rsidRDefault="0097267F" w:rsidP="002E4127">
      <w:pPr>
        <w:pStyle w:val="NormalHanging12a"/>
        <w:widowControl/>
        <w:rPr>
          <w:szCs w:val="24"/>
        </w:rPr>
      </w:pPr>
      <w:r>
        <w:t>41</w:t>
      </w:r>
      <w:r w:rsidR="0039349E" w:rsidRPr="00EF3E5D">
        <w:t>.</w:t>
      </w:r>
      <w:r w:rsidR="0039349E" w:rsidRPr="00EF3E5D">
        <w:tab/>
        <w:t>toteaa, että oikeusasiamiehen Brysselin-toimiston muutettua parlamentin tarjoamiin uusiin tiloihin vuonna 2021 rakennus järjestettiin yhteisöllisiksi työtiloiksi, joissa on joustavia yhteistyötiloja ja hyvin vähän erillisiä toimistoja; panee myönteisenä asiana merkille, että oikeusasiamiehellä ei ole käytössä kiertävien työpisteiden järjestelmää ja että kaikilla henkilöstön jäsenillä on oma työpöytä, jossa on runsaasti säilytystilaa; on huolissaan siitä, että oikeusasiamies ei toteuttanut henkilöstökyselyä ennen muuttoa Brysselin-toimiston yhteisöllisiin tiloihin; toteaa, että vuonna 2023 tehdyn yleisen henkilöstökyselyn mukaan valtaosa henkilöstöstä suhtautui uusiin fyysisiin järjestelyihin myönteisesti; arvostaa myös sitä, että henkilöstöä pidettiin ennen muuttoa ajan tasalla joistakin työpaikan kunnostusta koskevista päätöksistä, kuten värimaailmasta;</w:t>
      </w:r>
    </w:p>
    <w:p w:rsidR="0039349E" w:rsidRPr="00EF3E5D" w:rsidRDefault="0097267F" w:rsidP="002E4127">
      <w:pPr>
        <w:pStyle w:val="NormalHanging12a"/>
        <w:widowControl/>
        <w:rPr>
          <w:szCs w:val="24"/>
        </w:rPr>
      </w:pPr>
      <w:r>
        <w:t>42</w:t>
      </w:r>
      <w:r w:rsidR="0039349E" w:rsidRPr="00EF3E5D">
        <w:t>.</w:t>
      </w:r>
      <w:r w:rsidR="0039349E" w:rsidRPr="00EF3E5D">
        <w:tab/>
        <w:t>toteaa, että oikeusasiamies palautti Strasbourgissa 20,5 prosenttia parlamentin vuokraamasta pinta-alasta jälkimmäisen pyynnöstä ja että vuokraa tämän seurauksena alennettiin;</w:t>
      </w:r>
    </w:p>
    <w:p w:rsidR="0039349E" w:rsidRPr="00EF3E5D" w:rsidRDefault="0097267F" w:rsidP="002E4127">
      <w:pPr>
        <w:pStyle w:val="NormalHanging12a"/>
        <w:widowControl/>
        <w:rPr>
          <w:szCs w:val="24"/>
        </w:rPr>
      </w:pPr>
      <w:r>
        <w:t>43</w:t>
      </w:r>
      <w:r w:rsidR="0039349E" w:rsidRPr="00EF3E5D">
        <w:t>.</w:t>
      </w:r>
      <w:r w:rsidR="0039349E" w:rsidRPr="00EF3E5D">
        <w:tab/>
        <w:t>palauttaa mieliin, että oikeusasiamies ei omista omia rakennuksia vaan vuokraa rakennuksen Brysselissä ja toimistotiloja Strasbourgissa; panee tyytyväisenä merkille, että Strasbourgissa sijaitseva Havel-rakennus on täysin esteetön liikuntarajoitteisille tai muuten vammaisille henkilöille ja pitää erittäin valitettavana, että Brysselistä vuokratun rakennuksen esteettömyydessä on parannettavaa; kehottaa parlamenttia parantamaan oikeusasiamiehelle Brysselissä vuokratun rakennuksen esteettömyyttä;</w:t>
      </w:r>
    </w:p>
    <w:p w:rsidR="0039349E" w:rsidRPr="00EF3E5D" w:rsidRDefault="0039349E" w:rsidP="002E4127">
      <w:pPr>
        <w:pStyle w:val="NormalHanging12a"/>
        <w:keepNext/>
        <w:widowControl/>
        <w:rPr>
          <w:b/>
          <w:i/>
          <w:szCs w:val="24"/>
        </w:rPr>
      </w:pPr>
      <w:r w:rsidRPr="00EF3E5D">
        <w:rPr>
          <w:b/>
          <w:i/>
        </w:rPr>
        <w:t>Ympäristö ja kestävä kehitys</w:t>
      </w:r>
    </w:p>
    <w:p w:rsidR="0039349E" w:rsidRPr="00EF3E5D" w:rsidRDefault="0097267F" w:rsidP="002E4127">
      <w:pPr>
        <w:pStyle w:val="NormalHanging12a"/>
        <w:widowControl/>
        <w:rPr>
          <w:szCs w:val="24"/>
        </w:rPr>
      </w:pPr>
      <w:r>
        <w:t>44</w:t>
      </w:r>
      <w:r w:rsidR="0039349E" w:rsidRPr="00EF3E5D">
        <w:t>.</w:t>
      </w:r>
      <w:r w:rsidR="0039349E" w:rsidRPr="00EF3E5D">
        <w:tab/>
        <w:t>on tyytyväinen, että oikeusasiamies on vuosien mittaan pienentänyt ympäristöjalanjälkeään erityisesti digitalisoimalla prosessejaan ja julkaisujaan, kuten vuosikertomuksensa, poistamalla henkilökohtaiset tulostimet ja toteuttamalla toimenpiteitä tapahtumien kestävyyden parantamiseksi; toteaa, että oikeusasiamies tukeutuu rakennustensa ympäristöjalanjäljen osalta toimenpiteisiin, joita parlamentti on rakennusten omistajana toteuttanut; panee merkille, että oikeusasiamies on välittänyt parlamentille vuoden 2021 vastuuvapausmenettelyssä esitetyn pyynnön aurinkopaneelien asentamisesta rakennustensa katoille;</w:t>
      </w:r>
    </w:p>
    <w:p w:rsidR="0039349E" w:rsidRPr="00EF3E5D" w:rsidRDefault="0097267F" w:rsidP="002E4127">
      <w:pPr>
        <w:pStyle w:val="NormalHanging12a"/>
        <w:widowControl/>
        <w:rPr>
          <w:szCs w:val="24"/>
        </w:rPr>
      </w:pPr>
      <w:r>
        <w:t>45</w:t>
      </w:r>
      <w:r w:rsidR="0039349E" w:rsidRPr="00EF3E5D">
        <w:t>.</w:t>
      </w:r>
      <w:r w:rsidR="0039349E" w:rsidRPr="00EF3E5D">
        <w:tab/>
        <w:t xml:space="preserve">panee merkille, että oikeusasiamies jatkoi kestävään liikkuvuuteen kannustamista vuonna 2022 erityisesti tarjoamalla rahallista tukea julkisen liikenteen vuosikortteihin, </w:t>
      </w:r>
      <w:r w:rsidR="0039349E" w:rsidRPr="00EF3E5D">
        <w:lastRenderedPageBreak/>
        <w:t>rajoittamalla autojen pysäköintitilaa ja parantamalla pyöräilijöiden palveluja ja pysäköintitiloja;</w:t>
      </w:r>
    </w:p>
    <w:p w:rsidR="0039349E" w:rsidRPr="00EF3E5D" w:rsidRDefault="0039349E" w:rsidP="002E4127">
      <w:pPr>
        <w:pStyle w:val="NormalHanging12a"/>
        <w:keepNext/>
        <w:widowControl/>
        <w:rPr>
          <w:b/>
          <w:i/>
          <w:szCs w:val="24"/>
        </w:rPr>
      </w:pPr>
      <w:r w:rsidRPr="00EF3E5D">
        <w:rPr>
          <w:b/>
          <w:i/>
        </w:rPr>
        <w:t>Toimielinten välinen yhteistyö</w:t>
      </w:r>
    </w:p>
    <w:p w:rsidR="0039349E" w:rsidRPr="00EF3E5D" w:rsidRDefault="0097267F" w:rsidP="002E4127">
      <w:pPr>
        <w:pStyle w:val="NormalHanging12a"/>
        <w:widowControl/>
        <w:rPr>
          <w:szCs w:val="24"/>
        </w:rPr>
      </w:pPr>
      <w:r>
        <w:t>46</w:t>
      </w:r>
      <w:r w:rsidR="0039349E" w:rsidRPr="00EF3E5D">
        <w:t>.</w:t>
      </w:r>
      <w:r w:rsidR="0039349E" w:rsidRPr="00EF3E5D">
        <w:tab/>
        <w:t>on tyytyväinen taloudellisiin ja hallinnollisiin säästöihin, joita on saavutettu toimielinten välisellä yhteistyöllä, varsinkin monenlaisilla palvelutasosopimuksilla parlamentin ja komission kanssa ja osallistumisella toimielinten välisiin hankintamenettelyihin; toteaa, että vuonna 2022 oikeusasiamies kehitteli uusia synergioita muiden toimielinten kanssa ja allekirjoitti sopimuksia palvelujen tarjoamisesta komission etäkäyttöön hyväksyttyjen allekirjoitusvarmenteiden käytöstä ja parlamentin henkilöstön palvelupisteen ja tiedotuspisteen palvelujen tarjoamisesta;</w:t>
      </w:r>
    </w:p>
    <w:p w:rsidR="0039349E" w:rsidRPr="00EF3E5D" w:rsidRDefault="0097267F" w:rsidP="002E4127">
      <w:pPr>
        <w:pStyle w:val="NormalHanging12a"/>
        <w:widowControl/>
        <w:rPr>
          <w:szCs w:val="24"/>
        </w:rPr>
      </w:pPr>
      <w:r>
        <w:t>47</w:t>
      </w:r>
      <w:r w:rsidR="0039349E" w:rsidRPr="00EF3E5D">
        <w:t>.</w:t>
      </w:r>
      <w:r w:rsidR="0039349E" w:rsidRPr="00EF3E5D">
        <w:tab/>
        <w:t xml:space="preserve">tiedostaa tarpeen pitää yllä korkeatasoista tiedonvaihtoa ja koordinointia Euroopan oikeusasiamiesten verkoston (ENO) kanssa; pitää myönteisenä </w:t>
      </w:r>
      <w:proofErr w:type="spellStart"/>
      <w:r w:rsidR="0039349E" w:rsidRPr="00EF3E5D">
        <w:t>ENOn</w:t>
      </w:r>
      <w:proofErr w:type="spellEnd"/>
      <w:r w:rsidR="0039349E" w:rsidRPr="00EF3E5D">
        <w:t xml:space="preserve"> vuotuisen konferenssin ja aihekohtaisen verkkoseminaarin järjestämistä, sillä ne ovat tärkeitä foorumeja keskustelulle aiheista, jotka vaikuttivat oikeusasiamiesten työhön kautta Euroopan vuonna 2022;</w:t>
      </w:r>
    </w:p>
    <w:p w:rsidR="0039349E" w:rsidRPr="00EF3E5D" w:rsidRDefault="0097267F" w:rsidP="002E4127">
      <w:pPr>
        <w:pStyle w:val="NormalHanging12a"/>
        <w:widowControl/>
        <w:rPr>
          <w:szCs w:val="24"/>
        </w:rPr>
      </w:pPr>
      <w:r>
        <w:t>48</w:t>
      </w:r>
      <w:r w:rsidR="0039349E" w:rsidRPr="00EF3E5D">
        <w:t>.</w:t>
      </w:r>
      <w:r w:rsidR="0039349E" w:rsidRPr="00EF3E5D">
        <w:tab/>
        <w:t xml:space="preserve">on tyytyväinen, että oikeusasiamies ylläpitää yhteistyötä </w:t>
      </w:r>
      <w:proofErr w:type="spellStart"/>
      <w:r w:rsidR="0039349E" w:rsidRPr="00EF3E5D">
        <w:t>EPPOn</w:t>
      </w:r>
      <w:proofErr w:type="spellEnd"/>
      <w:r w:rsidR="0039349E" w:rsidRPr="00EF3E5D">
        <w:t xml:space="preserve">, tilintarkastustuomioistuimen ja </w:t>
      </w:r>
      <w:proofErr w:type="spellStart"/>
      <w:r w:rsidR="0039349E" w:rsidRPr="00EF3E5D">
        <w:t>OLAFin</w:t>
      </w:r>
      <w:proofErr w:type="spellEnd"/>
      <w:r w:rsidR="0039349E" w:rsidRPr="00EF3E5D">
        <w:t xml:space="preserve"> kanssa, jotta voidaan välttää tutkimusten päällekkäisyys ja keskustella kaikkia osapuolia kiinnostavista aiheista, kuten unionin valvontakehyksen parantamisesta; on myös tyytyväinen tietosuojavaltuutetun kanssa käyttöön otettuihin yhteistyökanaviin, joilla varmistetaan nopea molemminpuolinen konsultointi päivittäisessä työssä, ja yhteisymmärryspöytäkirjaan, jossa määritellään kunkin elimen valtuudet päällekkäisten menettelyjen välttämiseksi;</w:t>
      </w:r>
    </w:p>
    <w:p w:rsidR="0039349E" w:rsidRPr="00EF3E5D" w:rsidRDefault="0097267F" w:rsidP="002E4127">
      <w:pPr>
        <w:pStyle w:val="NormalHanging12a"/>
        <w:widowControl/>
        <w:rPr>
          <w:szCs w:val="24"/>
        </w:rPr>
      </w:pPr>
      <w:r>
        <w:t>49</w:t>
      </w:r>
      <w:r w:rsidR="0039349E" w:rsidRPr="00EF3E5D">
        <w:t>.</w:t>
      </w:r>
      <w:r w:rsidR="0039349E" w:rsidRPr="00EF3E5D">
        <w:tab/>
        <w:t>pitää myönteisenä, että oikeusasiamies tekee Euroopan parlamentin asiaankuuluvien valiokuntien kanssa tiivistä yhteistyötä tärkeissä tutkimuksissa joko esittelemällä työtä suoraan valiokuntien kokouksissa tai lähettämällä tietoja valiokuntien puheenjohtajille; korostaa, että oikeusasiamiehen strategiset aloitteet ja tutkimukset ovat avainasemassa unionin hallinnon avoimuuden ja vastuuvelvollisuuden parantamisessa;</w:t>
      </w:r>
    </w:p>
    <w:p w:rsidR="0039349E" w:rsidRPr="00EF3E5D" w:rsidRDefault="0039349E" w:rsidP="002E4127">
      <w:pPr>
        <w:pStyle w:val="NormalHanging12a"/>
        <w:keepNext/>
        <w:widowControl/>
        <w:rPr>
          <w:b/>
          <w:i/>
          <w:szCs w:val="24"/>
        </w:rPr>
      </w:pPr>
      <w:r w:rsidRPr="00EF3E5D">
        <w:rPr>
          <w:b/>
          <w:i/>
        </w:rPr>
        <w:t>Viestintä</w:t>
      </w:r>
    </w:p>
    <w:p w:rsidR="0039349E" w:rsidRPr="00EF3E5D" w:rsidRDefault="0097267F" w:rsidP="002E4127">
      <w:pPr>
        <w:pStyle w:val="NormalHanging12a"/>
        <w:widowControl/>
        <w:rPr>
          <w:szCs w:val="24"/>
        </w:rPr>
      </w:pPr>
      <w:r>
        <w:t>50</w:t>
      </w:r>
      <w:r w:rsidR="0039349E" w:rsidRPr="00EF3E5D">
        <w:t>.</w:t>
      </w:r>
      <w:r w:rsidR="0039349E" w:rsidRPr="00EF3E5D">
        <w:tab/>
        <w:t>panee merkille, että viestintä- ja tiedotustoimien kokonaismäärärahat kasvoivat 92</w:t>
      </w:r>
      <w:r w:rsidR="0092044E">
        <w:t> </w:t>
      </w:r>
      <w:r w:rsidR="0039349E" w:rsidRPr="00EF3E5D">
        <w:t>100 eurosta 132 400 euroon, eli 43,8 prosenttia, vuodesta 2021 vuoteen 2022; onnittelee oikeusasiamiestä sen laatimasta kattavasta viestintästrategiasta, jonka avulla on parannettu tiettyjen kohderyhmien ja suuren yleisön tavoittamista; panee merkille, että eurooppalaisissa tiedotusvälineissä julkaistiin oikeusasiamiehestä 60 prosenttia enemmän lehtiartikkeleita kuin vuonna 2021;</w:t>
      </w:r>
    </w:p>
    <w:p w:rsidR="0039349E" w:rsidRPr="00EF3E5D" w:rsidRDefault="0097267F" w:rsidP="002E4127">
      <w:pPr>
        <w:pStyle w:val="NormalHanging12a"/>
        <w:widowControl/>
        <w:rPr>
          <w:szCs w:val="24"/>
        </w:rPr>
      </w:pPr>
      <w:r>
        <w:t>51</w:t>
      </w:r>
      <w:r w:rsidR="0039349E" w:rsidRPr="00EF3E5D">
        <w:t>.</w:t>
      </w:r>
      <w:r w:rsidR="0039349E" w:rsidRPr="00EF3E5D">
        <w:tab/>
        <w:t>on tyytyväinen oikeusasiamiehen pyrkimyksiin lisätä kansalaisten tietoisuutta oikeusasiamiehen roolista ja mahdollisuudesta turvautua häneen, jos jossakin unionin toimielimissä ilmenee hallinnollisia epäkohtia; antaa tunnustusta oikeusasiamiehen pyrkimyksille tarjota verkkosivustollaan avoimesti tietoa ja julkaista tiedot valaisevassa ja helppokäyttöisessä muodossa, vaikka niitä ei olekaan saatavilla avoimessa muodossa; pitää myönteisenä uuden logon ja visuaalisen ilmeen käyttöönottoa, millä lisätään oikeusasiamiehen työn näkyvyyttä ja tuodaan esiin, että kyseessä on unionin elin;</w:t>
      </w:r>
    </w:p>
    <w:p w:rsidR="0039349E" w:rsidRPr="00EF3E5D" w:rsidRDefault="0097267F" w:rsidP="002E4127">
      <w:pPr>
        <w:pStyle w:val="NormalHanging12a"/>
        <w:widowControl/>
        <w:rPr>
          <w:szCs w:val="24"/>
        </w:rPr>
      </w:pPr>
      <w:r>
        <w:lastRenderedPageBreak/>
        <w:t>52</w:t>
      </w:r>
      <w:r w:rsidR="0039349E" w:rsidRPr="00EF3E5D">
        <w:t>.</w:t>
      </w:r>
      <w:r w:rsidR="0039349E" w:rsidRPr="00EF3E5D">
        <w:tab/>
        <w:t>arvostaa sitä, että oikeusasiamies käyttää automaattista työkalua verkkosivustollaan olevien tapausten kääntämiseen ja pyytää oikeusasiamiestä varmistamaan, että tapaukset käännetään saumattomasti ja nopeasti kaikille kielille;</w:t>
      </w:r>
    </w:p>
    <w:p w:rsidR="00E365E1" w:rsidRPr="00EF3E5D" w:rsidRDefault="0097267F" w:rsidP="002E4127">
      <w:pPr>
        <w:pStyle w:val="NormalHanging12a"/>
        <w:widowControl/>
      </w:pPr>
      <w:r>
        <w:t>53</w:t>
      </w:r>
      <w:r w:rsidR="0039349E" w:rsidRPr="00EF3E5D">
        <w:t>.</w:t>
      </w:r>
      <w:r w:rsidR="0039349E" w:rsidRPr="00EF3E5D">
        <w:tab/>
        <w:t xml:space="preserve">panee merkille, että oikeusasiamiehellä on sosiaalisen median tilit Instagramissa, </w:t>
      </w:r>
      <w:proofErr w:type="spellStart"/>
      <w:r w:rsidR="0039349E" w:rsidRPr="00EF3E5D">
        <w:t>LinkedInissä</w:t>
      </w:r>
      <w:proofErr w:type="spellEnd"/>
      <w:r w:rsidR="0039349E" w:rsidRPr="00EF3E5D">
        <w:t xml:space="preserve"> ja X:ssä (ent. Twitter), joissa seuraajien määrän kasvu ja sitoutumisasteet olivat vuonna 2022 edellisvuosia suurempia; on tyytyväinen, että oikeusasiamies osallistuu tietosuojavaltuutetun johtamaan pilottihankkeeseen, jonka tarkoituksena on tuoda unionin toimielimet EU Voiceen ja EU Videoon, </w:t>
      </w:r>
      <w:proofErr w:type="spellStart"/>
      <w:r w:rsidR="0039349E" w:rsidRPr="00EF3E5D">
        <w:t>Mastodon</w:t>
      </w:r>
      <w:proofErr w:type="spellEnd"/>
      <w:r w:rsidR="0039349E" w:rsidRPr="00EF3E5D">
        <w:t xml:space="preserve">-ohjelmistoon perustuviin avoimen lähdekoodin sosiaalisen median verkostoihin, joissa unionin toimielimet voivat olla vuorovaikutuksessa yleisön kanssa jakamalla tekstejä, kuvia, videoita ja </w:t>
      </w:r>
      <w:proofErr w:type="spellStart"/>
      <w:r w:rsidR="0039349E" w:rsidRPr="00EF3E5D">
        <w:t>podcasteja</w:t>
      </w:r>
      <w:proofErr w:type="spellEnd"/>
      <w:r w:rsidR="0039349E" w:rsidRPr="00EF3E5D">
        <w:t>.</w:t>
      </w:r>
    </w:p>
    <w:sectPr w:rsidR="00E365E1" w:rsidRPr="00EF3E5D" w:rsidSect="00EF3E5D">
      <w:headerReference w:type="even" r:id="rId11"/>
      <w:headerReference w:type="default" r:id="rId12"/>
      <w:footerReference w:type="even" r:id="rId13"/>
      <w:headerReference w:type="first" r:id="rId14"/>
      <w:footerReference w:type="first" r:id="rId15"/>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6FAC" w:rsidRPr="00EF3E5D" w:rsidRDefault="00226FAC">
      <w:r w:rsidRPr="00EF3E5D">
        <w:separator/>
      </w:r>
    </w:p>
  </w:endnote>
  <w:endnote w:type="continuationSeparator" w:id="0">
    <w:p w:rsidR="00226FAC" w:rsidRPr="00EF3E5D" w:rsidRDefault="00226FAC">
      <w:r w:rsidRPr="00EF3E5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349E" w:rsidRPr="00EF3E5D" w:rsidRDefault="0039349E" w:rsidP="000C0E0C">
    <w:pPr>
      <w:pStyle w:val="EPFooter"/>
    </w:pPr>
    <w:r w:rsidRPr="00EF3E5D">
      <w:t>PE</w:t>
    </w:r>
    <w:r w:rsidRPr="00EF3E5D">
      <w:rPr>
        <w:rStyle w:val="HideTWBExt"/>
      </w:rPr>
      <w:t>&lt;NoPE&gt;</w:t>
    </w:r>
    <w:r w:rsidRPr="00EF3E5D">
      <w:t>753.486</w:t>
    </w:r>
    <w:r w:rsidRPr="00EF3E5D">
      <w:rPr>
        <w:rStyle w:val="HideTWBExt"/>
      </w:rPr>
      <w:t>&lt;/NoPE&gt;&lt;Version&gt;</w:t>
    </w:r>
    <w:r w:rsidRPr="00EF3E5D">
      <w:t>v02-00</w:t>
    </w:r>
    <w:r w:rsidRPr="00EF3E5D">
      <w:rPr>
        <w:rStyle w:val="HideTWBExt"/>
      </w:rPr>
      <w:t>&lt;/Version&gt;</w:t>
    </w:r>
    <w:r w:rsidRPr="00EF3E5D">
      <w:tab/>
    </w:r>
    <w:r w:rsidRPr="00EF3E5D">
      <w:fldChar w:fldCharType="begin"/>
    </w:r>
    <w:r w:rsidRPr="00EF3E5D">
      <w:instrText xml:space="preserve"> PAGE  \* MERGEFORMAT </w:instrText>
    </w:r>
    <w:r w:rsidRPr="00EF3E5D">
      <w:fldChar w:fldCharType="separate"/>
    </w:r>
    <w:r w:rsidRPr="00EF3E5D">
      <w:rPr>
        <w:noProof/>
      </w:rPr>
      <w:t>2</w:t>
    </w:r>
    <w:r w:rsidRPr="00EF3E5D">
      <w:fldChar w:fldCharType="end"/>
    </w:r>
    <w:r w:rsidRPr="00EF3E5D">
      <w:t>/</w:t>
    </w:r>
    <w:fldSimple w:instr=" NUMPAGES  \* MERGEFORMAT ">
      <w:r w:rsidRPr="00EF3E5D">
        <w:rPr>
          <w:noProof/>
        </w:rPr>
        <w:t>2</w:t>
      </w:r>
    </w:fldSimple>
    <w:r w:rsidRPr="00EF3E5D">
      <w:tab/>
    </w:r>
    <w:r w:rsidRPr="00EF3E5D">
      <w:rPr>
        <w:rStyle w:val="HideTWBExt"/>
      </w:rPr>
      <w:t>&lt;PathFdR&gt;</w:t>
    </w:r>
    <w:r w:rsidRPr="00EF3E5D">
      <w:t>RR\1298678FI.docx</w:t>
    </w:r>
    <w:r w:rsidRPr="00EF3E5D">
      <w:rPr>
        <w:rStyle w:val="HideTWBExt"/>
      </w:rPr>
      <w:t>&lt;/PathFdR&gt;</w:t>
    </w:r>
  </w:p>
  <w:p w:rsidR="0039349E" w:rsidRPr="00EF3E5D" w:rsidRDefault="0039349E" w:rsidP="000C0E0C">
    <w:pPr>
      <w:pStyle w:val="EPFooter2"/>
    </w:pPr>
    <w:r w:rsidRPr="00EF3E5D">
      <w:t>FI</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349E" w:rsidRPr="00EF3E5D" w:rsidRDefault="0039349E" w:rsidP="000C0E0C">
    <w:pPr>
      <w:pStyle w:val="EPFooter"/>
    </w:pPr>
    <w:r w:rsidRPr="00EF3E5D">
      <w:rPr>
        <w:rStyle w:val="HideTWBExt"/>
      </w:rPr>
      <w:t>&lt;PathFdR&gt;</w:t>
    </w:r>
    <w:r w:rsidRPr="00EF3E5D">
      <w:t>RR\1298678FI.docx</w:t>
    </w:r>
    <w:r w:rsidRPr="00EF3E5D">
      <w:rPr>
        <w:rStyle w:val="HideTWBExt"/>
      </w:rPr>
      <w:t>&lt;/PathFdR&gt;</w:t>
    </w:r>
    <w:r w:rsidRPr="00EF3E5D">
      <w:tab/>
    </w:r>
    <w:r w:rsidRPr="00EF3E5D">
      <w:tab/>
      <w:t>PE</w:t>
    </w:r>
    <w:r w:rsidRPr="00EF3E5D">
      <w:rPr>
        <w:rStyle w:val="HideTWBExt"/>
      </w:rPr>
      <w:t>&lt;NoPE&gt;</w:t>
    </w:r>
    <w:r w:rsidRPr="00EF3E5D">
      <w:t>753.486</w:t>
    </w:r>
    <w:r w:rsidRPr="00EF3E5D">
      <w:rPr>
        <w:rStyle w:val="HideTWBExt"/>
      </w:rPr>
      <w:t>&lt;/NoPE&gt;&lt;Version&gt;</w:t>
    </w:r>
    <w:r w:rsidRPr="00EF3E5D">
      <w:t>v02-00</w:t>
    </w:r>
    <w:r w:rsidRPr="00EF3E5D">
      <w:rPr>
        <w:rStyle w:val="HideTWBExt"/>
      </w:rPr>
      <w:t>&lt;/Version&gt;</w:t>
    </w:r>
  </w:p>
  <w:p w:rsidR="0039349E" w:rsidRPr="00EF3E5D" w:rsidRDefault="0039349E" w:rsidP="000C0E0C">
    <w:pPr>
      <w:pStyle w:val="EPFooter2"/>
    </w:pPr>
    <w:r w:rsidRPr="00EF3E5D">
      <w:t>FI</w:t>
    </w:r>
    <w:r w:rsidRPr="00EF3E5D">
      <w:tab/>
    </w:r>
    <w:r w:rsidRPr="00EF3E5D">
      <w:rPr>
        <w:b w:val="0"/>
        <w:i/>
        <w:color w:val="C0C0C0"/>
        <w:sz w:val="22"/>
      </w:rPr>
      <w:t>Moninaisuudessaan yhtenäinen</w:t>
    </w:r>
    <w:r w:rsidRPr="00EF3E5D">
      <w:tab/>
      <w:t>FI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F3E5D"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F3E5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6FAC" w:rsidRPr="00EF3E5D" w:rsidRDefault="00226FAC">
      <w:r w:rsidRPr="00EF3E5D">
        <w:separator/>
      </w:r>
    </w:p>
  </w:footnote>
  <w:footnote w:type="continuationSeparator" w:id="0">
    <w:p w:rsidR="00226FAC" w:rsidRPr="00EF3E5D" w:rsidRDefault="00226FAC">
      <w:r w:rsidRPr="00EF3E5D">
        <w:continuationSeparator/>
      </w:r>
    </w:p>
  </w:footnote>
  <w:footnote w:id="1">
    <w:p w:rsidR="0039349E" w:rsidRPr="00EF3E5D" w:rsidRDefault="0039349E" w:rsidP="00EF3E5D">
      <w:pPr>
        <w:pStyle w:val="FootnoteText"/>
        <w:ind w:left="567" w:hanging="567"/>
        <w:rPr>
          <w:sz w:val="24"/>
          <w:lang w:val="fi-FI"/>
        </w:rPr>
      </w:pPr>
      <w:r w:rsidRPr="00EF3E5D">
        <w:rPr>
          <w:rStyle w:val="FootnoteReference"/>
          <w:sz w:val="24"/>
          <w:lang w:val="fi-FI"/>
        </w:rPr>
        <w:footnoteRef/>
      </w:r>
      <w:r w:rsidR="00EF3E5D" w:rsidRPr="00EF3E5D">
        <w:rPr>
          <w:sz w:val="24"/>
          <w:lang w:val="fi-FI"/>
        </w:rPr>
        <w:t xml:space="preserve"> </w:t>
      </w:r>
      <w:r w:rsidR="00EF3E5D" w:rsidRPr="00EF3E5D">
        <w:rPr>
          <w:sz w:val="24"/>
          <w:lang w:val="fi-FI"/>
        </w:rPr>
        <w:tab/>
      </w:r>
      <w:r w:rsidRPr="00EF3E5D">
        <w:rPr>
          <w:sz w:val="24"/>
          <w:lang w:val="fi-FI"/>
        </w:rPr>
        <w:t>EUVL L 45, 24.2.2022.</w:t>
      </w:r>
    </w:p>
  </w:footnote>
  <w:footnote w:id="2">
    <w:p w:rsidR="0039349E" w:rsidRPr="00EF3E5D" w:rsidRDefault="0039349E" w:rsidP="00EF3E5D">
      <w:pPr>
        <w:pStyle w:val="FootnoteText"/>
        <w:ind w:left="567" w:hanging="567"/>
        <w:rPr>
          <w:sz w:val="24"/>
          <w:lang w:val="fi-FI"/>
        </w:rPr>
      </w:pPr>
      <w:r w:rsidRPr="00EF3E5D">
        <w:rPr>
          <w:rStyle w:val="FootnoteReference"/>
          <w:sz w:val="24"/>
          <w:lang w:val="fi-FI"/>
        </w:rPr>
        <w:footnoteRef/>
      </w:r>
      <w:r w:rsidR="00EF3E5D" w:rsidRPr="00EF3E5D">
        <w:rPr>
          <w:sz w:val="24"/>
          <w:lang w:val="fi-FI"/>
        </w:rPr>
        <w:t xml:space="preserve"> </w:t>
      </w:r>
      <w:r w:rsidR="00EF3E5D" w:rsidRPr="00EF3E5D">
        <w:rPr>
          <w:sz w:val="24"/>
          <w:lang w:val="fi-FI"/>
        </w:rPr>
        <w:tab/>
      </w:r>
      <w:r w:rsidRPr="00EF3E5D">
        <w:rPr>
          <w:sz w:val="24"/>
          <w:lang w:val="fi-FI"/>
        </w:rPr>
        <w:t>EUVL C, C/2023/2, 12.10.2023.</w:t>
      </w:r>
    </w:p>
  </w:footnote>
  <w:footnote w:id="3">
    <w:p w:rsidR="0039349E" w:rsidRPr="00EF3E5D" w:rsidRDefault="0039349E" w:rsidP="00EF3E5D">
      <w:pPr>
        <w:pStyle w:val="FootnoteText"/>
        <w:ind w:left="567" w:hanging="567"/>
        <w:rPr>
          <w:sz w:val="24"/>
          <w:lang w:val="fi-FI"/>
        </w:rPr>
      </w:pPr>
      <w:r w:rsidRPr="00EF3E5D">
        <w:rPr>
          <w:rStyle w:val="FootnoteReference"/>
          <w:sz w:val="24"/>
          <w:lang w:val="fi-FI"/>
        </w:rPr>
        <w:footnoteRef/>
      </w:r>
      <w:r w:rsidR="00EF3E5D" w:rsidRPr="00EF3E5D">
        <w:rPr>
          <w:sz w:val="24"/>
          <w:lang w:val="fi-FI"/>
        </w:rPr>
        <w:t xml:space="preserve"> </w:t>
      </w:r>
      <w:r w:rsidR="00EF3E5D" w:rsidRPr="00EF3E5D">
        <w:rPr>
          <w:sz w:val="24"/>
          <w:lang w:val="fi-FI"/>
        </w:rPr>
        <w:tab/>
      </w:r>
      <w:r w:rsidRPr="00EF3E5D">
        <w:rPr>
          <w:sz w:val="24"/>
          <w:lang w:val="fi-FI"/>
        </w:rPr>
        <w:t>EUVL C, C/2023/103, 4.10.2023.</w:t>
      </w:r>
    </w:p>
  </w:footnote>
  <w:footnote w:id="4">
    <w:p w:rsidR="0039349E" w:rsidRPr="00EF3E5D" w:rsidRDefault="0039349E" w:rsidP="00EF3E5D">
      <w:pPr>
        <w:pStyle w:val="FootnoteText"/>
        <w:ind w:left="567" w:hanging="567"/>
        <w:rPr>
          <w:sz w:val="24"/>
          <w:lang w:val="fi-FI"/>
        </w:rPr>
      </w:pPr>
      <w:r w:rsidRPr="00EF3E5D">
        <w:rPr>
          <w:rStyle w:val="FootnoteReference"/>
          <w:sz w:val="24"/>
          <w:lang w:val="fi-FI"/>
        </w:rPr>
        <w:footnoteRef/>
      </w:r>
      <w:r w:rsidR="00EF3E5D" w:rsidRPr="00EF3E5D">
        <w:rPr>
          <w:sz w:val="24"/>
          <w:lang w:val="fi-FI"/>
        </w:rPr>
        <w:t xml:space="preserve"> </w:t>
      </w:r>
      <w:r w:rsidR="00EF3E5D" w:rsidRPr="00EF3E5D">
        <w:rPr>
          <w:sz w:val="24"/>
          <w:lang w:val="fi-FI"/>
        </w:rPr>
        <w:tab/>
      </w:r>
      <w:r w:rsidRPr="00EF3E5D">
        <w:rPr>
          <w:sz w:val="24"/>
          <w:lang w:val="fi-FI"/>
        </w:rPr>
        <w:t>EUVL C, C/2023/112, 12.10.2023.</w:t>
      </w:r>
    </w:p>
  </w:footnote>
  <w:footnote w:id="5">
    <w:p w:rsidR="0039349E" w:rsidRPr="00EF3E5D" w:rsidRDefault="0039349E" w:rsidP="00EF3E5D">
      <w:pPr>
        <w:pStyle w:val="FootnoteText"/>
        <w:ind w:left="567" w:hanging="567"/>
        <w:rPr>
          <w:sz w:val="24"/>
          <w:szCs w:val="24"/>
          <w:lang w:val="fi-FI"/>
        </w:rPr>
      </w:pPr>
      <w:r w:rsidRPr="00EF3E5D">
        <w:rPr>
          <w:rStyle w:val="FootnoteReference"/>
          <w:sz w:val="24"/>
          <w:lang w:val="fi-FI"/>
        </w:rPr>
        <w:footnoteRef/>
      </w:r>
      <w:r w:rsidR="00EF3E5D" w:rsidRPr="00EF3E5D">
        <w:rPr>
          <w:sz w:val="24"/>
          <w:lang w:val="fi-FI"/>
        </w:rPr>
        <w:t xml:space="preserve"> </w:t>
      </w:r>
      <w:r w:rsidR="00EF3E5D" w:rsidRPr="00EF3E5D">
        <w:rPr>
          <w:sz w:val="24"/>
          <w:lang w:val="fi-FI"/>
        </w:rPr>
        <w:tab/>
      </w:r>
      <w:r w:rsidRPr="00EF3E5D">
        <w:rPr>
          <w:sz w:val="24"/>
          <w:lang w:val="fi-FI"/>
        </w:rPr>
        <w:t>EUVL L 193, 30.7.2018, s. 1.</w:t>
      </w:r>
    </w:p>
  </w:footnote>
  <w:footnote w:id="6">
    <w:p w:rsidR="0039349E" w:rsidRPr="009D555C" w:rsidRDefault="0039349E" w:rsidP="00EF3E5D">
      <w:pPr>
        <w:pStyle w:val="FootnoteText"/>
        <w:ind w:left="567" w:hanging="567"/>
        <w:rPr>
          <w:sz w:val="24"/>
        </w:rPr>
      </w:pPr>
      <w:r w:rsidRPr="00EF3E5D">
        <w:rPr>
          <w:rStyle w:val="FootnoteReference"/>
          <w:sz w:val="24"/>
          <w:lang w:val="fi-FI"/>
        </w:rPr>
        <w:footnoteRef/>
      </w:r>
      <w:r w:rsidR="00EF3E5D" w:rsidRPr="009D555C">
        <w:rPr>
          <w:sz w:val="24"/>
        </w:rPr>
        <w:t xml:space="preserve"> </w:t>
      </w:r>
      <w:r w:rsidR="00EF3E5D" w:rsidRPr="009D555C">
        <w:rPr>
          <w:sz w:val="24"/>
        </w:rPr>
        <w:tab/>
      </w:r>
      <w:r w:rsidRPr="009D555C">
        <w:rPr>
          <w:sz w:val="24"/>
        </w:rPr>
        <w:t>EUVL L 253, 16.7.2021, s. 1.</w:t>
      </w:r>
    </w:p>
  </w:footnote>
  <w:footnote w:id="7">
    <w:p w:rsidR="0039349E" w:rsidRPr="009D555C" w:rsidRDefault="0039349E" w:rsidP="00EF3E5D">
      <w:pPr>
        <w:pStyle w:val="FootnoteText"/>
        <w:ind w:left="567" w:hanging="567"/>
        <w:rPr>
          <w:sz w:val="24"/>
        </w:rPr>
      </w:pPr>
      <w:r w:rsidRPr="00EF3E5D">
        <w:rPr>
          <w:rStyle w:val="FootnoteReference"/>
          <w:sz w:val="24"/>
          <w:lang w:val="fi-FI"/>
        </w:rPr>
        <w:footnoteRef/>
      </w:r>
      <w:r w:rsidR="00EF3E5D" w:rsidRPr="009D555C">
        <w:rPr>
          <w:sz w:val="24"/>
        </w:rPr>
        <w:t xml:space="preserve"> </w:t>
      </w:r>
      <w:r w:rsidR="00EF3E5D" w:rsidRPr="009D555C">
        <w:rPr>
          <w:sz w:val="24"/>
        </w:rPr>
        <w:tab/>
      </w:r>
      <w:r w:rsidRPr="009D555C">
        <w:rPr>
          <w:sz w:val="24"/>
        </w:rPr>
        <w:t>https://www.ombudsman.europa.eu/en/news-document/en/152993.</w:t>
      </w:r>
    </w:p>
  </w:footnote>
  <w:footnote w:id="8">
    <w:p w:rsidR="0039349E" w:rsidRPr="009D555C" w:rsidRDefault="0039349E" w:rsidP="00EF3E5D">
      <w:pPr>
        <w:pStyle w:val="FootnoteText"/>
        <w:ind w:left="567" w:hanging="567"/>
        <w:rPr>
          <w:sz w:val="24"/>
        </w:rPr>
      </w:pPr>
      <w:r w:rsidRPr="00EF3E5D">
        <w:rPr>
          <w:rStyle w:val="FootnoteReference"/>
          <w:sz w:val="24"/>
          <w:lang w:val="fi-FI"/>
        </w:rPr>
        <w:footnoteRef/>
      </w:r>
      <w:r w:rsidR="00EF3E5D" w:rsidRPr="009D555C">
        <w:rPr>
          <w:sz w:val="24"/>
        </w:rPr>
        <w:t xml:space="preserve"> </w:t>
      </w:r>
      <w:r w:rsidR="00EF3E5D" w:rsidRPr="009D555C">
        <w:rPr>
          <w:sz w:val="24"/>
        </w:rPr>
        <w:tab/>
      </w:r>
      <w:r w:rsidRPr="009D555C">
        <w:rPr>
          <w:sz w:val="24"/>
        </w:rPr>
        <w:t>https://www.europarl.europa.eu/doceo/document/TA-9-2023-0295_FI.html.</w:t>
      </w:r>
    </w:p>
  </w:footnote>
  <w:footnote w:id="9">
    <w:p w:rsidR="0039349E" w:rsidRPr="009D555C" w:rsidRDefault="0039349E" w:rsidP="00EF3E5D">
      <w:pPr>
        <w:pStyle w:val="FootnoteText"/>
        <w:ind w:left="567" w:hanging="567"/>
        <w:rPr>
          <w:sz w:val="24"/>
        </w:rPr>
      </w:pPr>
      <w:r w:rsidRPr="00EF3E5D">
        <w:rPr>
          <w:rStyle w:val="FootnoteReference"/>
          <w:sz w:val="24"/>
          <w:lang w:val="fi-FI"/>
        </w:rPr>
        <w:footnoteRef/>
      </w:r>
      <w:r w:rsidR="00EF3E5D" w:rsidRPr="009D555C">
        <w:rPr>
          <w:sz w:val="24"/>
        </w:rPr>
        <w:t xml:space="preserve"> </w:t>
      </w:r>
      <w:r w:rsidR="00EF3E5D" w:rsidRPr="009D555C">
        <w:rPr>
          <w:sz w:val="24"/>
        </w:rPr>
        <w:tab/>
      </w:r>
      <w:r w:rsidRPr="009D555C">
        <w:rPr>
          <w:sz w:val="24"/>
        </w:rPr>
        <w:t>https://www.europarl.europa.eu/doceo/document/TA-9-2023-0295_FI.html.</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F3E5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F3E5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F3E5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4/2024"/>
    <w:docVar w:name="dvlangue" w:val="FI"/>
    <w:docVar w:name="dvnumam" w:val="0"/>
    <w:docVar w:name="dvpe" w:val="753.486"/>
    <w:docVar w:name="dvrapporteur" w:val="Esittelijä: "/>
    <w:docVar w:name="dvtitre" w:val="Euroopan parlamentin päätös 11. huhtikuuta 2024 vastuuvapauden myöntämisestä Euroopan unionin yleisen talousarvion toteuttamisesta varainhoitovuonna 2022, pääluokka VIII – Euroopan oikeusasiamies(2023/2137(DEC))"/>
  </w:docVars>
  <w:rsids>
    <w:rsidRoot w:val="00226FAC"/>
    <w:rsid w:val="00002272"/>
    <w:rsid w:val="00064002"/>
    <w:rsid w:val="000677B9"/>
    <w:rsid w:val="000831BA"/>
    <w:rsid w:val="000A42CC"/>
    <w:rsid w:val="000E7DD9"/>
    <w:rsid w:val="0010095E"/>
    <w:rsid w:val="00125B37"/>
    <w:rsid w:val="00187494"/>
    <w:rsid w:val="001D4461"/>
    <w:rsid w:val="001F32AE"/>
    <w:rsid w:val="00226FAC"/>
    <w:rsid w:val="002767FF"/>
    <w:rsid w:val="002B18FE"/>
    <w:rsid w:val="002B5493"/>
    <w:rsid w:val="002E4127"/>
    <w:rsid w:val="00343214"/>
    <w:rsid w:val="00361C00"/>
    <w:rsid w:val="0039349E"/>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53C17"/>
    <w:rsid w:val="00865F67"/>
    <w:rsid w:val="00881A7B"/>
    <w:rsid w:val="008840E5"/>
    <w:rsid w:val="00887B3E"/>
    <w:rsid w:val="008C2AC6"/>
    <w:rsid w:val="0092044E"/>
    <w:rsid w:val="00930C23"/>
    <w:rsid w:val="0093193B"/>
    <w:rsid w:val="009509D8"/>
    <w:rsid w:val="00950B64"/>
    <w:rsid w:val="0097267F"/>
    <w:rsid w:val="00981893"/>
    <w:rsid w:val="009D555C"/>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F3E5D"/>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BA4392"/>
  <w15:chartTrackingRefBased/>
  <w15:docId w15:val="{5482DBB6-4EC7-49CC-BEB4-92F616999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39349E"/>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39349E"/>
    <w:pPr>
      <w:spacing w:before="480" w:after="240"/>
    </w:pPr>
  </w:style>
  <w:style w:type="paragraph" w:customStyle="1" w:styleId="PageHeading">
    <w:name w:val="PageHeading"/>
    <w:basedOn w:val="Normal"/>
    <w:rsid w:val="0039349E"/>
    <w:pPr>
      <w:keepNext/>
      <w:spacing w:after="480"/>
      <w:jc w:val="center"/>
    </w:pPr>
    <w:rPr>
      <w:rFonts w:ascii="Arial" w:hAnsi="Arial" w:cs="Arial"/>
      <w:b/>
    </w:rPr>
  </w:style>
  <w:style w:type="paragraph" w:customStyle="1" w:styleId="NormalBold">
    <w:name w:val="NormalBold"/>
    <w:basedOn w:val="Normal"/>
    <w:rsid w:val="0039349E"/>
    <w:rPr>
      <w:b/>
    </w:rPr>
  </w:style>
  <w:style w:type="paragraph" w:customStyle="1" w:styleId="NormalHanging12a">
    <w:name w:val="NormalHanging12a"/>
    <w:basedOn w:val="Normal"/>
    <w:link w:val="NormalHanging12aChar"/>
    <w:qFormat/>
    <w:rsid w:val="0039349E"/>
    <w:pPr>
      <w:spacing w:after="240"/>
      <w:ind w:left="567" w:hanging="567"/>
    </w:pPr>
  </w:style>
  <w:style w:type="paragraph" w:styleId="Header">
    <w:name w:val="header"/>
    <w:basedOn w:val="Normal"/>
    <w:link w:val="HeaderChar"/>
    <w:rsid w:val="0039349E"/>
    <w:pPr>
      <w:tabs>
        <w:tab w:val="center" w:pos="4513"/>
        <w:tab w:val="right" w:pos="9026"/>
      </w:tabs>
    </w:pPr>
  </w:style>
  <w:style w:type="character" w:customStyle="1" w:styleId="HeaderChar">
    <w:name w:val="Header Char"/>
    <w:basedOn w:val="DefaultParagraphFont"/>
    <w:link w:val="Header"/>
    <w:rsid w:val="0039349E"/>
    <w:rPr>
      <w:sz w:val="24"/>
      <w:lang w:val="fi-FI"/>
    </w:rPr>
  </w:style>
  <w:style w:type="paragraph" w:customStyle="1" w:styleId="EPFooter">
    <w:name w:val="EPFooter"/>
    <w:basedOn w:val="Normal"/>
    <w:rsid w:val="0039349E"/>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39349E"/>
    <w:rPr>
      <w:sz w:val="24"/>
      <w:lang w:val="fi-FI"/>
    </w:rPr>
  </w:style>
  <w:style w:type="paragraph" w:styleId="Footer">
    <w:name w:val="footer"/>
    <w:basedOn w:val="Normal"/>
    <w:link w:val="FooterChar"/>
    <w:rsid w:val="002E4127"/>
    <w:pPr>
      <w:tabs>
        <w:tab w:val="center" w:pos="4513"/>
        <w:tab w:val="right" w:pos="9026"/>
      </w:tabs>
    </w:pPr>
  </w:style>
  <w:style w:type="character" w:customStyle="1" w:styleId="FooterChar">
    <w:name w:val="Footer Char"/>
    <w:basedOn w:val="DefaultParagraphFont"/>
    <w:link w:val="Footer"/>
    <w:rsid w:val="002E4127"/>
    <w:rPr>
      <w:sz w:val="24"/>
      <w:lang w:val="fi-FI"/>
    </w:rPr>
  </w:style>
  <w:style w:type="paragraph" w:styleId="BalloonText">
    <w:name w:val="Balloon Text"/>
    <w:basedOn w:val="Normal"/>
    <w:link w:val="BalloonTextChar"/>
    <w:rsid w:val="0097267F"/>
    <w:rPr>
      <w:rFonts w:ascii="Segoe UI" w:hAnsi="Segoe UI" w:cs="Segoe UI"/>
      <w:sz w:val="18"/>
      <w:szCs w:val="18"/>
    </w:rPr>
  </w:style>
  <w:style w:type="character" w:customStyle="1" w:styleId="BalloonTextChar">
    <w:name w:val="Balloon Text Char"/>
    <w:basedOn w:val="DefaultParagraphFont"/>
    <w:link w:val="BalloonText"/>
    <w:rsid w:val="0097267F"/>
    <w:rPr>
      <w:rFonts w:ascii="Segoe UI" w:hAnsi="Segoe UI" w:cs="Segoe UI"/>
      <w:sz w:val="18"/>
      <w:szCs w:val="18"/>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A86FB3-4983-4220-BE72-27FE824D5F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11</Pages>
  <Words>2945</Words>
  <Characters>25278</Characters>
  <Application>Microsoft Office Word</Application>
  <DocSecurity>0</DocSecurity>
  <Lines>210</Lines>
  <Paragraphs>56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VUORIHUHTA Anne Kristiina</cp:lastModifiedBy>
  <cp:revision>6</cp:revision>
  <cp:lastPrinted>2004-11-19T15:42:00Z</cp:lastPrinted>
  <dcterms:created xsi:type="dcterms:W3CDTF">2024-04-08T17:54:00Z</dcterms:created>
  <dcterms:modified xsi:type="dcterms:W3CDTF">2024-04-11T16:09:00Z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A9-0084/2024</vt:lpwstr>
  </property>
  <property fmtid="{D5CDD505-2E9C-101B-9397-08002B2CF9AE}" pid="4" name="&lt;Type&gt;">
    <vt:lpwstr>RR</vt:lpwstr>
  </property>
</Properties>
</file>