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452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64525" w:rsidRDefault="0022799B" w:rsidP="0010095E">
            <w:pPr>
              <w:pStyle w:val="EPName"/>
            </w:pPr>
            <w:r w:rsidRPr="00764525">
              <w:t>Europski parlament</w:t>
            </w:r>
          </w:p>
          <w:p w:rsidR="00751A4A" w:rsidRPr="0076452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452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64525" w:rsidRDefault="00187494" w:rsidP="0010095E">
            <w:pPr>
              <w:pStyle w:val="EPLogo"/>
            </w:pPr>
            <w:r w:rsidRPr="00764525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64525" w:rsidRDefault="00D058B8" w:rsidP="004C5D52">
      <w:pPr>
        <w:pStyle w:val="LineTop"/>
      </w:pPr>
    </w:p>
    <w:p w:rsidR="00680577" w:rsidRPr="00764525" w:rsidRDefault="0022799B" w:rsidP="00680577">
      <w:pPr>
        <w:pStyle w:val="EPBodyTA1"/>
      </w:pPr>
      <w:r w:rsidRPr="00764525">
        <w:t>USVOJENI TEKSTOVI</w:t>
      </w:r>
    </w:p>
    <w:p w:rsidR="00D058B8" w:rsidRPr="00764525" w:rsidRDefault="00D058B8" w:rsidP="00D058B8">
      <w:pPr>
        <w:pStyle w:val="LineBottom"/>
      </w:pPr>
    </w:p>
    <w:p w:rsidR="0022799B" w:rsidRPr="00764525" w:rsidRDefault="0022799B" w:rsidP="0022799B">
      <w:pPr>
        <w:pStyle w:val="ATHeading1"/>
      </w:pPr>
      <w:bookmarkStart w:id="0" w:name="TANumber"/>
      <w:r w:rsidRPr="00764525">
        <w:t>P9_TA(2024)0</w:t>
      </w:r>
      <w:bookmarkEnd w:id="0"/>
      <w:r w:rsidR="00764525">
        <w:t>234</w:t>
      </w:r>
    </w:p>
    <w:p w:rsidR="0022799B" w:rsidRPr="00764525" w:rsidRDefault="0022799B" w:rsidP="0022799B">
      <w:pPr>
        <w:pStyle w:val="ATHeading2"/>
      </w:pPr>
      <w:bookmarkStart w:id="1" w:name="title"/>
      <w:r w:rsidRPr="00764525">
        <w:t xml:space="preserve">Razrješnica za 2022.: Opći proračun EU-a – Europski </w:t>
      </w:r>
      <w:proofErr w:type="spellStart"/>
      <w:r w:rsidRPr="00764525">
        <w:t>ombudsman</w:t>
      </w:r>
      <w:bookmarkEnd w:id="1"/>
      <w:proofErr w:type="spellEnd"/>
    </w:p>
    <w:p w:rsidR="0022799B" w:rsidRPr="00764525" w:rsidRDefault="0022799B" w:rsidP="0022799B">
      <w:pPr>
        <w:rPr>
          <w:i/>
          <w:vanish/>
        </w:rPr>
      </w:pPr>
      <w:r w:rsidRPr="00764525">
        <w:rPr>
          <w:i/>
        </w:rPr>
        <w:fldChar w:fldCharType="begin"/>
      </w:r>
      <w:r w:rsidRPr="00764525">
        <w:rPr>
          <w:i/>
        </w:rPr>
        <w:instrText xml:space="preserve"> TC"(</w:instrText>
      </w:r>
      <w:bookmarkStart w:id="2" w:name="DocNumber"/>
      <w:r w:rsidRPr="00764525">
        <w:rPr>
          <w:i/>
        </w:rPr>
        <w:instrText>A9-0084/2024</w:instrText>
      </w:r>
      <w:bookmarkEnd w:id="2"/>
      <w:r w:rsidRPr="00764525">
        <w:rPr>
          <w:i/>
        </w:rPr>
        <w:instrText xml:space="preserve"> - Izvjestitelj: Luke </w:instrText>
      </w:r>
      <w:proofErr w:type="spellStart"/>
      <w:r w:rsidRPr="00764525">
        <w:rPr>
          <w:i/>
        </w:rPr>
        <w:instrText>Ming</w:instrText>
      </w:r>
      <w:proofErr w:type="spellEnd"/>
      <w:r w:rsidRPr="00764525">
        <w:rPr>
          <w:i/>
        </w:rPr>
        <w:instrText xml:space="preserve"> </w:instrText>
      </w:r>
      <w:proofErr w:type="spellStart"/>
      <w:r w:rsidRPr="00764525">
        <w:rPr>
          <w:i/>
        </w:rPr>
        <w:instrText>Flanagan</w:instrText>
      </w:r>
      <w:proofErr w:type="spellEnd"/>
      <w:r w:rsidRPr="00764525">
        <w:rPr>
          <w:i/>
        </w:rPr>
        <w:instrText xml:space="preserve">)"\l3 \n&gt; \* MERGEFORMAT </w:instrText>
      </w:r>
      <w:r w:rsidRPr="00764525">
        <w:rPr>
          <w:i/>
        </w:rPr>
        <w:fldChar w:fldCharType="end"/>
      </w:r>
    </w:p>
    <w:p w:rsidR="0022799B" w:rsidRPr="00764525" w:rsidRDefault="0022799B" w:rsidP="0022799B">
      <w:pPr>
        <w:rPr>
          <w:vanish/>
        </w:rPr>
      </w:pPr>
      <w:bookmarkStart w:id="3" w:name="Commission"/>
      <w:r w:rsidRPr="00764525">
        <w:rPr>
          <w:vanish/>
        </w:rPr>
        <w:t>Odbor za proračunski nadzor</w:t>
      </w:r>
      <w:bookmarkEnd w:id="3"/>
    </w:p>
    <w:p w:rsidR="0022799B" w:rsidRPr="00764525" w:rsidRDefault="0022799B" w:rsidP="0022799B">
      <w:pPr>
        <w:rPr>
          <w:vanish/>
        </w:rPr>
      </w:pPr>
      <w:bookmarkStart w:id="4" w:name="PE"/>
      <w:r w:rsidRPr="00764525">
        <w:rPr>
          <w:vanish/>
        </w:rPr>
        <w:t>PE753.486</w:t>
      </w:r>
      <w:bookmarkEnd w:id="4"/>
    </w:p>
    <w:p w:rsidR="0022799B" w:rsidRPr="00764525" w:rsidRDefault="003220E3" w:rsidP="0022799B">
      <w:pPr>
        <w:pStyle w:val="ATHeading3"/>
      </w:pPr>
      <w:bookmarkStart w:id="5" w:name="Sujet"/>
      <w:r w:rsidRPr="00764525">
        <w:t xml:space="preserve">1. </w:t>
      </w:r>
      <w:r w:rsidR="0022799B" w:rsidRPr="00764525">
        <w:t>Odl</w:t>
      </w:r>
      <w:r w:rsidRPr="00764525">
        <w:t>uka Europskog parlamenta od 11. travnja</w:t>
      </w:r>
      <w:r w:rsidR="0022799B" w:rsidRPr="00764525">
        <w:t xml:space="preserve"> 2024. o razrješnici za izvršenje općeg proračuna Europske unije za financijsku godinu 2022., dio VIII. – Europski </w:t>
      </w:r>
      <w:proofErr w:type="spellStart"/>
      <w:r w:rsidR="0022799B" w:rsidRPr="00764525">
        <w:t>ombudsman</w:t>
      </w:r>
      <w:bookmarkEnd w:id="5"/>
      <w:proofErr w:type="spellEnd"/>
      <w:r w:rsidR="0022799B" w:rsidRPr="00764525">
        <w:t xml:space="preserve"> </w:t>
      </w:r>
      <w:bookmarkStart w:id="6" w:name="References"/>
      <w:r w:rsidR="0022799B" w:rsidRPr="00764525">
        <w:t>(2023/2137(DEC))</w:t>
      </w:r>
      <w:bookmarkEnd w:id="6"/>
    </w:p>
    <w:p w:rsidR="00DB427B" w:rsidRPr="00764525" w:rsidRDefault="00DB427B" w:rsidP="00DB427B">
      <w:pPr>
        <w:pStyle w:val="EPComma"/>
      </w:pPr>
      <w:bookmarkStart w:id="7" w:name="TextBodyBegin"/>
      <w:bookmarkEnd w:id="7"/>
      <w:r w:rsidRPr="00764525">
        <w:rPr>
          <w:i/>
        </w:rPr>
        <w:t>Europski parlament</w:t>
      </w:r>
      <w:r w:rsidRPr="00764525">
        <w:t>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opći proračun Europske unije za financijsku godinu 2022.</w:t>
      </w:r>
      <w:r w:rsidRPr="00764525">
        <w:rPr>
          <w:rStyle w:val="FootnoteReference"/>
        </w:rPr>
        <w:footnoteReference w:id="1"/>
      </w:r>
      <w:r w:rsidRPr="00764525">
        <w:t>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konsolidiranu godišnju računovodstvenu dokumentaciju Europske unije za financijsku godinu 2022. (COM(2023)0391 – C9</w:t>
      </w:r>
      <w:r w:rsidRPr="00764525">
        <w:noBreakHyphen/>
        <w:t>0256/2023)</w:t>
      </w:r>
      <w:r w:rsidRPr="00764525">
        <w:rPr>
          <w:rStyle w:val="FootnoteReference"/>
        </w:rPr>
        <w:footnoteReference w:id="2"/>
      </w:r>
      <w:r w:rsidRPr="00764525">
        <w:t>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 xml:space="preserve">uzimajući u obzir godišnje izvješće o radu za 2022. Europskog </w:t>
      </w:r>
      <w:proofErr w:type="spellStart"/>
      <w:r w:rsidRPr="00764525">
        <w:t>ombudsmana</w:t>
      </w:r>
      <w:proofErr w:type="spellEnd"/>
      <w:r w:rsidRPr="00764525">
        <w:t xml:space="preserve"> i njegovo izvješće o proračunskom i financijskom upravljanju za 2022.,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godišnje izvješće Revizorskog suda o izvršenju proračuna za financijsku godinu 2022., s odgovorima institucija</w:t>
      </w:r>
      <w:r w:rsidRPr="00764525">
        <w:rPr>
          <w:rStyle w:val="FootnoteReference"/>
        </w:rPr>
        <w:footnoteReference w:id="3"/>
      </w:r>
      <w:r w:rsidRPr="00764525">
        <w:t>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izjavu o jamstvu</w:t>
      </w:r>
      <w:r w:rsidRPr="00764525">
        <w:rPr>
          <w:rStyle w:val="FootnoteReference"/>
        </w:rPr>
        <w:footnoteReference w:id="4"/>
      </w:r>
      <w:r w:rsidRPr="00764525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članak 314. stavak 10. te članke 317., 318. i 319. Ugovora o funkcioniranju Europske unije,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 xml:space="preserve"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</w:t>
      </w:r>
      <w:bookmarkStart w:id="8" w:name="_GoBack"/>
      <w:bookmarkEnd w:id="8"/>
      <w:r w:rsidRPr="00764525">
        <w:t xml:space="preserve">Uredbe (EU, Euratom) </w:t>
      </w:r>
      <w:r w:rsidRPr="00764525">
        <w:lastRenderedPageBreak/>
        <w:t>br. 966/2012</w:t>
      </w:r>
      <w:r w:rsidRPr="00764525">
        <w:rPr>
          <w:rStyle w:val="FootnoteReference"/>
        </w:rPr>
        <w:footnoteReference w:id="5"/>
      </w:r>
      <w:r w:rsidRPr="00764525">
        <w:t>, a posebno njezine članke 59., 118., 260., 261. i 262.,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članak 100. Poslovnika i Prilog V. Poslovniku,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izvješće Odbora za proračunski nadzor (A9</w:t>
      </w:r>
      <w:r w:rsidRPr="00764525">
        <w:noBreakHyphen/>
        <w:t>0084/2024),</w:t>
      </w:r>
    </w:p>
    <w:p w:rsidR="00DB427B" w:rsidRPr="00764525" w:rsidRDefault="00DB427B" w:rsidP="00DB427B">
      <w:pPr>
        <w:pStyle w:val="NormalHanging12a"/>
      </w:pPr>
      <w:r w:rsidRPr="00764525">
        <w:t>1.</w:t>
      </w:r>
      <w:r w:rsidRPr="00764525">
        <w:tab/>
        <w:t xml:space="preserve">daje razrješnicu Europskom </w:t>
      </w:r>
      <w:proofErr w:type="spellStart"/>
      <w:r w:rsidRPr="00764525">
        <w:t>ombudsmanu</w:t>
      </w:r>
      <w:proofErr w:type="spellEnd"/>
      <w:r w:rsidRPr="00764525">
        <w:t xml:space="preserve"> za izvršenje proračuna </w:t>
      </w:r>
      <w:r w:rsidR="00FC512A" w:rsidRPr="00764525">
        <w:t xml:space="preserve">Europskog </w:t>
      </w:r>
      <w:proofErr w:type="spellStart"/>
      <w:r w:rsidR="00FC512A" w:rsidRPr="00764525">
        <w:t>ombudsmana</w:t>
      </w:r>
      <w:proofErr w:type="spellEnd"/>
      <w:r w:rsidR="00FC512A" w:rsidRPr="00764525">
        <w:t xml:space="preserve"> </w:t>
      </w:r>
      <w:r w:rsidRPr="00764525">
        <w:t>za financijsku godinu 2022.;</w:t>
      </w:r>
    </w:p>
    <w:p w:rsidR="00DB427B" w:rsidRPr="00764525" w:rsidRDefault="00DB427B" w:rsidP="00DB427B">
      <w:pPr>
        <w:pStyle w:val="NormalHanging12a"/>
      </w:pPr>
      <w:r w:rsidRPr="00764525">
        <w:t>2.</w:t>
      </w:r>
      <w:r w:rsidRPr="00764525">
        <w:tab/>
        <w:t>iznosi svoje primjedbe u Rezoluciji u nastavku;</w:t>
      </w:r>
    </w:p>
    <w:p w:rsidR="00DB427B" w:rsidRPr="00764525" w:rsidRDefault="00DB427B" w:rsidP="00DB427B">
      <w:pPr>
        <w:pStyle w:val="NormalHanging12a"/>
      </w:pPr>
      <w:r w:rsidRPr="00764525">
        <w:t>3.</w:t>
      </w:r>
      <w:r w:rsidRPr="00764525">
        <w:tab/>
        <w:t xml:space="preserve">nalaže svojoj predsjednici da ovu Odluku i Rezoluciju, koja je njezin sastavni dio, proslijedi Europskom </w:t>
      </w:r>
      <w:proofErr w:type="spellStart"/>
      <w:r w:rsidRPr="00764525">
        <w:t>ombudsmanu</w:t>
      </w:r>
      <w:proofErr w:type="spellEnd"/>
      <w:r w:rsidRPr="00764525">
        <w:t xml:space="preserve">, Europskom vijeću, Vijeću, Komisiji i Revizorskom sudu, Sudu Europske unije, Europskom nadzorniku za zaštitu podataka i Europskoj službi za vanjsko djelovanje te da ih da na objavu u </w:t>
      </w:r>
      <w:r w:rsidRPr="00764525">
        <w:rPr>
          <w:i/>
        </w:rPr>
        <w:t>Službenom listu Europske unije</w:t>
      </w:r>
      <w:r w:rsidRPr="00764525">
        <w:t xml:space="preserve"> (serija L).</w:t>
      </w:r>
    </w:p>
    <w:p w:rsidR="00DB427B" w:rsidRPr="00764525" w:rsidRDefault="00DB427B" w:rsidP="00DB427B"/>
    <w:p w:rsidR="00DB427B" w:rsidRPr="00764525" w:rsidRDefault="00DB427B" w:rsidP="00DB427B">
      <w:pPr>
        <w:pStyle w:val="PageHeading"/>
        <w:sectPr w:rsidR="00DB427B" w:rsidRPr="00764525" w:rsidSect="00B40D68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B427B" w:rsidRPr="00764525" w:rsidRDefault="003220E3" w:rsidP="00DB427B">
      <w:pPr>
        <w:pStyle w:val="NormalBold"/>
      </w:pPr>
      <w:bookmarkStart w:id="9" w:name="_Toc161749356"/>
      <w:r w:rsidRPr="00764525">
        <w:lastRenderedPageBreak/>
        <w:t>2. Rezolucija Europskog parlamenta</w:t>
      </w:r>
      <w:bookmarkEnd w:id="9"/>
      <w:r w:rsidRPr="00764525">
        <w:t xml:space="preserve"> od 11. travnja 2024. </w:t>
      </w:r>
      <w:r w:rsidR="00DB427B" w:rsidRPr="00764525">
        <w:t xml:space="preserve">s primjedbama koje su sastavni dio Odluke o razrješnici za izvršenje općeg proračuna Europske unije za financijsku godinu 2022., dio VIII. – Europski </w:t>
      </w:r>
      <w:proofErr w:type="spellStart"/>
      <w:r w:rsidR="00DB427B" w:rsidRPr="00764525">
        <w:t>ombudsman</w:t>
      </w:r>
      <w:proofErr w:type="spellEnd"/>
      <w:r w:rsidRPr="00764525">
        <w:t xml:space="preserve"> </w:t>
      </w:r>
      <w:r w:rsidR="00DB427B" w:rsidRPr="00764525">
        <w:t>(2023/2137(DEC))</w:t>
      </w:r>
    </w:p>
    <w:p w:rsidR="00DB427B" w:rsidRPr="00764525" w:rsidRDefault="00DB427B" w:rsidP="00DB427B">
      <w:pPr>
        <w:pStyle w:val="EPComma"/>
      </w:pPr>
      <w:r w:rsidRPr="00764525">
        <w:rPr>
          <w:i/>
        </w:rPr>
        <w:t>Europski parlament</w:t>
      </w:r>
      <w:r w:rsidRPr="00764525">
        <w:t>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 xml:space="preserve">uzimajući u obzir svoju Odluku o razrješnici za izvršenje općeg proračuna Europske unije za financijsku godinu 2022., dio VIII. – Europski </w:t>
      </w:r>
      <w:proofErr w:type="spellStart"/>
      <w:r w:rsidRPr="00764525">
        <w:t>ombudsman</w:t>
      </w:r>
      <w:proofErr w:type="spellEnd"/>
      <w:r w:rsidRPr="00764525">
        <w:t>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članak 100. Poslovnika i Prilog V. Poslovniku,</w:t>
      </w:r>
    </w:p>
    <w:p w:rsidR="00DB427B" w:rsidRPr="00764525" w:rsidRDefault="00DB427B" w:rsidP="00DB427B">
      <w:pPr>
        <w:pStyle w:val="NormalHanging12a"/>
      </w:pPr>
      <w:r w:rsidRPr="00764525">
        <w:t>–</w:t>
      </w:r>
      <w:r w:rsidRPr="00764525">
        <w:tab/>
        <w:t>uzimajući u obzir izvješće Odbora za proračunski nadzor (A9</w:t>
      </w:r>
      <w:r w:rsidRPr="00764525">
        <w:noBreakHyphen/>
        <w:t>0084/2024),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A.</w:t>
      </w:r>
      <w:r w:rsidRPr="00764525">
        <w:tab/>
        <w:t>budući da u kontekstu postupka davanja razrješnice, tijelo nadležno za davanje razrješnice želi naglasiti da je posebno važno nastaviti jačati demokratski legitimitet institucija Unije s pomoću veće transparentnosti i odgovornosti te provedbom koncepta izrade proračuna utemeljenog na uspješnosti i dobrog upravljanja ljudskim resursima;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B.</w:t>
      </w:r>
      <w:r w:rsidRPr="00764525">
        <w:tab/>
        <w:t xml:space="preserve">budući da se člankom 228. Ugovora o funkcioniranju Europske unije predviđa da Europski parlament bira Europskog </w:t>
      </w:r>
      <w:proofErr w:type="spellStart"/>
      <w:r w:rsidRPr="00764525">
        <w:t>ombudsmana</w:t>
      </w:r>
      <w:proofErr w:type="spellEnd"/>
      <w:r w:rsidRPr="00764525">
        <w:t xml:space="preserve"> koji je ovlašten primati pritužbe svih građana Unije ili fizičkih ili pravnih osoba s boravištem odnosno registriranim sjedištem u državi članici, povezane s nepravilnostima u postupanju institucija, tijela, ureda ili agencija Unije s iznimkom Suda Europske unije pri izvršavanju njegovih pravosudnih ovlasti; Europski </w:t>
      </w:r>
      <w:proofErr w:type="spellStart"/>
      <w:r w:rsidRPr="00764525">
        <w:t>ombudsman</w:t>
      </w:r>
      <w:proofErr w:type="spellEnd"/>
      <w:r w:rsidRPr="00764525">
        <w:t xml:space="preserve"> ili </w:t>
      </w:r>
      <w:proofErr w:type="spellStart"/>
      <w:r w:rsidRPr="00764525">
        <w:t>ombudsmanica</w:t>
      </w:r>
      <w:proofErr w:type="spellEnd"/>
      <w:r w:rsidRPr="00764525">
        <w:t xml:space="preserve"> ispituje takve pritužbe i izvješćuje o njima;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C.</w:t>
      </w:r>
      <w:r w:rsidRPr="00764525">
        <w:tab/>
        <w:t>budući da se Uredbom (EU, Euratom) 2021/1163 Europskog parlamenta od 24. lipnja 2021.</w:t>
      </w:r>
      <w:r w:rsidRPr="00764525">
        <w:rPr>
          <w:rStyle w:val="FootnoteReference"/>
          <w:szCs w:val="24"/>
        </w:rPr>
        <w:footnoteReference w:id="6"/>
      </w:r>
      <w:r w:rsidRPr="00764525">
        <w:t xml:space="preserve"> utvrđuju propisi i opći uvjeti kojima se uređuje obnašanje dužnosti Europskog </w:t>
      </w:r>
      <w:proofErr w:type="spellStart"/>
      <w:r w:rsidRPr="00764525">
        <w:t>ombudsmana</w:t>
      </w:r>
      <w:proofErr w:type="spellEnd"/>
      <w:r w:rsidRPr="00764525">
        <w:t xml:space="preserve"> (Statut Europskog </w:t>
      </w:r>
      <w:proofErr w:type="spellStart"/>
      <w:r w:rsidRPr="00764525">
        <w:t>ombudsmana</w:t>
      </w:r>
      <w:proofErr w:type="spellEnd"/>
      <w:r w:rsidRPr="00764525">
        <w:t>);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D.</w:t>
      </w:r>
      <w:r w:rsidRPr="00764525">
        <w:tab/>
        <w:t xml:space="preserve">budući da se Odluka Europskog </w:t>
      </w:r>
      <w:proofErr w:type="spellStart"/>
      <w:r w:rsidRPr="00764525">
        <w:t>ombudsmana</w:t>
      </w:r>
      <w:proofErr w:type="spellEnd"/>
      <w:r w:rsidRPr="00764525">
        <w:t xml:space="preserve"> o donošenju provedbenih odredbi trenutačno revidira nakon usvajanja Uredbe (EU, Euratom) 2021/1163;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1.</w:t>
      </w:r>
      <w:r w:rsidRPr="00764525">
        <w:tab/>
        <w:t xml:space="preserve">konstatira da je proračun Europskog </w:t>
      </w:r>
      <w:proofErr w:type="spellStart"/>
      <w:r w:rsidRPr="00764525">
        <w:t>ombudsmana</w:t>
      </w:r>
      <w:proofErr w:type="spellEnd"/>
      <w:r w:rsidRPr="00764525">
        <w:t xml:space="preserve"> (dalje u tekstu: „</w:t>
      </w:r>
      <w:proofErr w:type="spellStart"/>
      <w:r w:rsidRPr="00764525">
        <w:t>Ombudsman</w:t>
      </w:r>
      <w:proofErr w:type="spellEnd"/>
      <w:r w:rsidRPr="00764525">
        <w:t xml:space="preserve">”) obuhvaćen naslovom 7. VFO-a „Europska javna uprava” koji je 2022. iznosio 11,6 milijardi EUR, odnosno 5,9 % proračunske potrošnje Unije; napominje da je proračun </w:t>
      </w:r>
      <w:proofErr w:type="spellStart"/>
      <w:r w:rsidRPr="00764525">
        <w:t>Ombudsmana</w:t>
      </w:r>
      <w:proofErr w:type="spellEnd"/>
      <w:r w:rsidRPr="00764525">
        <w:t xml:space="preserve"> iznosio 0,1 % odobrenih sredstava naslova 7. VFO-a;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2.</w:t>
      </w:r>
      <w:r w:rsidRPr="00764525">
        <w:tab/>
        <w:t xml:space="preserve">konstatira da je Revizorski sud (dalje u tekstu: „Sud”) u godišnjem izvješću za financijsku godinu 2022. ispitao uzorak od 60 transakcija u rubrici "Uprava", koliko ih je ispitao i za 2021.; konstatira nadalje da Sud navodi da administrativni rashodi obuhvaćaju rashode za ljudske resurse uključujući mirovine, koji su 2022. činili oko 70 % ukupnih administrativnih rashoda, i rashode za zgrade, opremu, energiju, komunikacije i informacijsku tehnologiju te da njegov dugogodišnji rad ukazuje na to da je potrošnja općenito </w:t>
      </w:r>
      <w:proofErr w:type="spellStart"/>
      <w:r w:rsidRPr="00764525">
        <w:t>niskorizična</w:t>
      </w:r>
      <w:proofErr w:type="spellEnd"/>
      <w:r w:rsidRPr="00764525">
        <w:t>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3.</w:t>
      </w:r>
      <w:r w:rsidRPr="00764525">
        <w:tab/>
        <w:t xml:space="preserve">konstatira da je Sud, u okviru revizije za 2022., ispitao nadzorne i kontrolne sustave </w:t>
      </w:r>
      <w:proofErr w:type="spellStart"/>
      <w:r w:rsidRPr="00764525">
        <w:t>Ombudsmana</w:t>
      </w:r>
      <w:proofErr w:type="spellEnd"/>
      <w:r w:rsidRPr="00764525">
        <w:t xml:space="preserve">, osobito provedbu standarda unutarnje kontrole, upravljanja rizicima te funkcioniranje glavnih kontrola definiranih u Uredbi (EU, Euratom) 2018/1046 </w:t>
      </w:r>
      <w:r w:rsidRPr="00764525">
        <w:lastRenderedPageBreak/>
        <w:t xml:space="preserve">(„Financijska uredba”), uključujući </w:t>
      </w:r>
      <w:r w:rsidRPr="00764525">
        <w:rPr>
          <w:i/>
          <w:iCs/>
        </w:rPr>
        <w:t xml:space="preserve">ex </w:t>
      </w:r>
      <w:proofErr w:type="spellStart"/>
      <w:r w:rsidRPr="00764525">
        <w:rPr>
          <w:i/>
          <w:iCs/>
        </w:rPr>
        <w:t>ante</w:t>
      </w:r>
      <w:proofErr w:type="spellEnd"/>
      <w:r w:rsidRPr="00764525">
        <w:rPr>
          <w:i/>
          <w:iCs/>
        </w:rPr>
        <w:t xml:space="preserve"> </w:t>
      </w:r>
      <w:r w:rsidRPr="00764525">
        <w:t xml:space="preserve">i </w:t>
      </w:r>
      <w:r w:rsidRPr="00764525">
        <w:rPr>
          <w:i/>
          <w:iCs/>
        </w:rPr>
        <w:t xml:space="preserve">ex post </w:t>
      </w:r>
      <w:r w:rsidRPr="00764525">
        <w:t>kontrole plaćanja;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4.</w:t>
      </w:r>
      <w:r w:rsidRPr="00764525">
        <w:tab/>
        <w:t>napominje da je 14 od 60 transakcija odnosno 23 % sadržavalo pogreške, no da Sud, na temelju pet kvantificiranih pogrešaka, procjenjuje da je razina pogreške ispod praga značajnosti;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5.</w:t>
      </w:r>
      <w:r w:rsidRPr="00764525">
        <w:tab/>
        <w:t xml:space="preserve">sa zadovoljstvom napominje da Sud, u svojem godišnjem izvješću za 2022., nije utvrdio nijedno sporno pitanje u vezi s </w:t>
      </w:r>
      <w:proofErr w:type="spellStart"/>
      <w:r w:rsidRPr="00764525">
        <w:t>Ombudsmanom</w:t>
      </w:r>
      <w:proofErr w:type="spellEnd"/>
      <w:r w:rsidRPr="00764525">
        <w:t>;</w:t>
      </w:r>
    </w:p>
    <w:p w:rsidR="00DB427B" w:rsidRPr="00764525" w:rsidRDefault="00DB427B" w:rsidP="00DB427B">
      <w:pPr>
        <w:pStyle w:val="NormalHanging12a"/>
        <w:rPr>
          <w:b/>
          <w:i/>
          <w:szCs w:val="24"/>
        </w:rPr>
      </w:pPr>
      <w:r w:rsidRPr="00764525">
        <w:rPr>
          <w:b/>
          <w:i/>
        </w:rPr>
        <w:t>Upravljanje proračunom i financijama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6.</w:t>
      </w:r>
      <w:r w:rsidRPr="00764525">
        <w:tab/>
        <w:t xml:space="preserve">konstatira da je proračun </w:t>
      </w:r>
      <w:proofErr w:type="spellStart"/>
      <w:r w:rsidRPr="00764525">
        <w:t>Ombudsmana</w:t>
      </w:r>
      <w:proofErr w:type="spellEnd"/>
      <w:r w:rsidRPr="00764525">
        <w:t xml:space="preserve"> iznosio 12 222 108 EUR 2022. što predstavlja smanjenje od 280 000 EUR u odnosu na 2021.; uviđa da je to smanjenje posljedica racionalizacije proračuna koja se temelji na stvarnim potrebama;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7.</w:t>
      </w:r>
      <w:r w:rsidRPr="00764525">
        <w:tab/>
        <w:t xml:space="preserve">konstatira da je stopa izvršenja proračuna iznosila 96,97 % 2022. što je više nego prošle godine kada je stopa izvršenja iznosila 88,8 % zbog ograničenja povezanih s </w:t>
      </w:r>
      <w:proofErr w:type="spellStart"/>
      <w:r w:rsidRPr="00764525">
        <w:t>pandemijom</w:t>
      </w:r>
      <w:proofErr w:type="spellEnd"/>
      <w:r w:rsidRPr="00764525">
        <w:t xml:space="preserve"> bolesti COVID-19;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8.</w:t>
      </w:r>
      <w:r w:rsidRPr="00764525">
        <w:tab/>
        <w:t xml:space="preserve">konstatira da je </w:t>
      </w:r>
      <w:proofErr w:type="spellStart"/>
      <w:r w:rsidRPr="00764525">
        <w:t>Ombudsman</w:t>
      </w:r>
      <w:proofErr w:type="spellEnd"/>
      <w:r w:rsidRPr="00764525">
        <w:t xml:space="preserve"> tijekom 2022. izvršio šest proračunskih prijenosa u skladu s člankom 29. Financijske uredbe što predstavlja ukupno 344 460 EUR ili 2,8 % odobrenih sredstava za tu financijsku godinu; konstatira nadalje da je proračunska nomenklatura za stavku „2000” podijeljena u četiri </w:t>
      </w:r>
      <w:proofErr w:type="spellStart"/>
      <w:r w:rsidRPr="00764525">
        <w:t>podkategorije</w:t>
      </w:r>
      <w:proofErr w:type="spellEnd"/>
      <w:r w:rsidRPr="00764525">
        <w:t xml:space="preserve"> radi povećanja transparentnosti informacija koje se zahtijevaju za zgrade </w:t>
      </w:r>
      <w:proofErr w:type="spellStart"/>
      <w:r w:rsidRPr="00764525">
        <w:t>Ombudsmana</w:t>
      </w:r>
      <w:proofErr w:type="spellEnd"/>
      <w:r w:rsidRPr="00764525">
        <w:t xml:space="preserve"> u oba mjesta rada; uvažava da odobrena sredstava prenesena iz proračunske stavke za najam nisu iskorištena jer je </w:t>
      </w:r>
      <w:proofErr w:type="spellStart"/>
      <w:r w:rsidRPr="00764525">
        <w:t>Ombudsman</w:t>
      </w:r>
      <w:proofErr w:type="spellEnd"/>
      <w:r w:rsidRPr="00764525">
        <w:t xml:space="preserve"> pokrio sve troškove nastale u vezi s radovima na opremanju nove zgrade </w:t>
      </w:r>
      <w:proofErr w:type="spellStart"/>
      <w:r w:rsidRPr="00764525">
        <w:t>Ombudsmana</w:t>
      </w:r>
      <w:proofErr w:type="spellEnd"/>
      <w:r w:rsidRPr="00764525">
        <w:t xml:space="preserve"> iz proračuna za 2021. umjesto da ih je rasporedio na razdoblje od šest godina;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9.</w:t>
      </w:r>
      <w:r w:rsidRPr="00764525">
        <w:tab/>
        <w:t>cijeni da je, unatoč povećanju roka plaćanja sa 11,35 dana tijekom 2021. na 13 dana tijekom 2022., prosječni rok plaćanja i dalje relativno kratak; vjeruje da uvođenje elektroničkog sustava izdavanja računa od 2023. može samo poboljšati učinkovitost postupka plaćanja;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10.</w:t>
      </w:r>
      <w:r w:rsidRPr="00764525">
        <w:tab/>
        <w:t xml:space="preserve">primjećuje da </w:t>
      </w:r>
      <w:proofErr w:type="spellStart"/>
      <w:r w:rsidRPr="00764525">
        <w:t>Ombudsman</w:t>
      </w:r>
      <w:proofErr w:type="spellEnd"/>
      <w:r w:rsidRPr="00764525">
        <w:t xml:space="preserve"> nije izvijestio ni o kakvom utjecaju ruske vojne agresije na Ukrajinu na njegov proračun za 2022. za službena putovanja, javnu nabavu ili zgradu; preporučuje da </w:t>
      </w:r>
      <w:proofErr w:type="spellStart"/>
      <w:r w:rsidRPr="00764525">
        <w:t>Ombudsman</w:t>
      </w:r>
      <w:proofErr w:type="spellEnd"/>
      <w:r w:rsidRPr="00764525">
        <w:t xml:space="preserve"> uzme u obzir da bi predstojeća godišnja revizija najamnine i paušalnih naknada za zgradu koju provodi Parlament mogla rezultirati dodatnim troškovima u proračunu </w:t>
      </w:r>
      <w:proofErr w:type="spellStart"/>
      <w:r w:rsidRPr="00764525">
        <w:t>Ombudsmana</w:t>
      </w:r>
      <w:proofErr w:type="spellEnd"/>
      <w:r w:rsidRPr="00764525">
        <w:t xml:space="preserve"> za 2023.;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11.</w:t>
      </w:r>
      <w:r w:rsidRPr="00764525">
        <w:tab/>
        <w:t xml:space="preserve">konstatira da se proračun za službena putovanja osoblja smanjio sa 135 000 EUR 2021. na 120 000 EUR 2022. zbog ušteda temeljenih na poukama naučenima iz </w:t>
      </w:r>
      <w:proofErr w:type="spellStart"/>
      <w:r w:rsidRPr="00764525">
        <w:t>pandemije</w:t>
      </w:r>
      <w:proofErr w:type="spellEnd"/>
      <w:r w:rsidRPr="00764525">
        <w:t xml:space="preserve"> bolesti COVID-19 i raširenom upotrebom opreme za videokonferencije za virtualne i hibridne sastanke u oba mjesta rada;</w:t>
      </w:r>
    </w:p>
    <w:p w:rsidR="00DB427B" w:rsidRPr="00764525" w:rsidRDefault="00DB427B" w:rsidP="00DB427B">
      <w:pPr>
        <w:pStyle w:val="NormalHanging12a"/>
        <w:rPr>
          <w:b/>
          <w:i/>
          <w:szCs w:val="24"/>
        </w:rPr>
      </w:pPr>
      <w:r w:rsidRPr="00764525">
        <w:rPr>
          <w:b/>
          <w:i/>
        </w:rPr>
        <w:t>Unutarnje upravljanje, uspješnost i unutarnja kontrola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12.</w:t>
      </w:r>
      <w:r w:rsidRPr="00764525">
        <w:tab/>
        <w:t xml:space="preserve">konstatira da je </w:t>
      </w:r>
      <w:proofErr w:type="spellStart"/>
      <w:r w:rsidRPr="00764525">
        <w:t>Ombudsman</w:t>
      </w:r>
      <w:proofErr w:type="spellEnd"/>
      <w:r w:rsidRPr="00764525">
        <w:t xml:space="preserve"> tijekom 2022. nastavio s provedbom posebnih mjera u skladu s ciljevima i prioritetima petogodišnje strategije </w:t>
      </w:r>
      <w:proofErr w:type="spellStart"/>
      <w:r w:rsidRPr="00764525">
        <w:t>Ombudsmana</w:t>
      </w:r>
      <w:proofErr w:type="spellEnd"/>
      <w:r w:rsidRPr="00764525">
        <w:t xml:space="preserve"> „Ususret 2024.” kako je utvrđena u njegovom Godišnjem planu upravljanja; naglašava osobito da je </w:t>
      </w:r>
      <w:proofErr w:type="spellStart"/>
      <w:r w:rsidRPr="00764525">
        <w:t>Ombudsman</w:t>
      </w:r>
      <w:proofErr w:type="spellEnd"/>
      <w:r w:rsidRPr="00764525">
        <w:t xml:space="preserve"> uspješno isporučio nacrt provedbenih odredbi novog statuta kojim se uređuju obveze </w:t>
      </w:r>
      <w:proofErr w:type="spellStart"/>
      <w:r w:rsidRPr="00764525">
        <w:t>Ombudsmana</w:t>
      </w:r>
      <w:proofErr w:type="spellEnd"/>
      <w:r w:rsidRPr="00764525">
        <w:t xml:space="preserve"> prema Komisiji, Vijeću i Parlamentu na savjetovanje u </w:t>
      </w:r>
      <w:r w:rsidRPr="00764525">
        <w:lastRenderedPageBreak/>
        <w:t>skladu s Godišnjim planom upravljanja 2022.;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13.</w:t>
      </w:r>
      <w:r w:rsidRPr="00764525">
        <w:tab/>
        <w:t xml:space="preserve">ističe da je </w:t>
      </w:r>
      <w:proofErr w:type="spellStart"/>
      <w:r w:rsidRPr="00764525">
        <w:t>ombudsmanica</w:t>
      </w:r>
      <w:proofErr w:type="spellEnd"/>
      <w:r w:rsidRPr="00764525">
        <w:t xml:space="preserve"> 2022., primijetivši očigledan nedostatak javnih informacija, anticipatorno postavila pitanje Europskoj komisiji o tome kako namjerava osigurati transparentnost u pregovorima o nacionalnim planovima oporavka, zajamčiti javni nadzor ključnih etapa koje su postigle države članice i nadgledati revizije </w:t>
      </w:r>
      <w:r w:rsidRPr="00764525">
        <w:rPr>
          <w:szCs w:val="24"/>
          <w:vertAlign w:val="superscript"/>
        </w:rPr>
        <w:footnoteReference w:id="7"/>
      </w:r>
      <w:r w:rsidRPr="00764525">
        <w:t>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14.</w:t>
      </w:r>
      <w:r w:rsidRPr="00764525">
        <w:tab/>
        <w:t xml:space="preserve">konstatira da je </w:t>
      </w:r>
      <w:proofErr w:type="spellStart"/>
      <w:r w:rsidRPr="00764525">
        <w:t>Ombudsman</w:t>
      </w:r>
      <w:proofErr w:type="spellEnd"/>
      <w:r w:rsidRPr="00764525">
        <w:t xml:space="preserve"> primio 2223 pritužbe 2022. u usporedbi s 2192 primljenih 2021. od kojih je 35 % obuhvaćeno mandatom </w:t>
      </w:r>
      <w:proofErr w:type="spellStart"/>
      <w:r w:rsidRPr="00764525">
        <w:t>Ombudsmana</w:t>
      </w:r>
      <w:proofErr w:type="spellEnd"/>
      <w:r w:rsidRPr="00764525">
        <w:t xml:space="preserve">; napominje nadalje da je </w:t>
      </w:r>
      <w:proofErr w:type="spellStart"/>
      <w:r w:rsidRPr="00764525">
        <w:t>Ombudsman</w:t>
      </w:r>
      <w:proofErr w:type="spellEnd"/>
      <w:r w:rsidRPr="00764525">
        <w:t xml:space="preserve"> 2022. otvorio 348 istraga, uključujući 60 istraga od javnog značaja, i zaključio 330 istraga u usporedbi s 338 otvorenih i 305 zaključenih istraga 2021.;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15.</w:t>
      </w:r>
      <w:r w:rsidRPr="00764525">
        <w:tab/>
        <w:t xml:space="preserve">s velikom zabrinutošću primjećuje da Europski </w:t>
      </w:r>
      <w:proofErr w:type="spellStart"/>
      <w:r w:rsidRPr="00764525">
        <w:t>ombudsman</w:t>
      </w:r>
      <w:proofErr w:type="spellEnd"/>
      <w:r w:rsidRPr="00764525">
        <w:t xml:space="preserve"> prima brojne pritužbe građana zbog velikih kašnjenja u dobivanju pristupa traženim dokumentima; podržava stajalište </w:t>
      </w:r>
      <w:proofErr w:type="spellStart"/>
      <w:r w:rsidRPr="00764525">
        <w:t>Ombudsmana</w:t>
      </w:r>
      <w:proofErr w:type="spellEnd"/>
      <w:r w:rsidRPr="00764525">
        <w:t xml:space="preserve"> da je kašnjenje u dobivanju pristupa zapravo uskraćen pristup te da bi administrativne postupke trebalo pojednostavniti kako bi se građanima osigurao pravodoban pristup dokumentima</w:t>
      </w:r>
      <w:r w:rsidRPr="00764525">
        <w:rPr>
          <w:szCs w:val="24"/>
          <w:vertAlign w:val="superscript"/>
        </w:rPr>
        <w:footnoteReference w:id="8"/>
      </w:r>
      <w:r w:rsidRPr="00764525">
        <w:t>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16.</w:t>
      </w:r>
      <w:r w:rsidRPr="00764525">
        <w:tab/>
        <w:t>pozdravlja razvoj pojednostavljenog postupka za rješavanje upita na koje se propustilo odgovoriti; pozdravlja isto tako uvođenje pojednostavljenog postupka za rješavanje pritužbi izvan njegova mandata čime se vrijeme za rješavanje takvih upita smanjilo sa 15 na 3 dana; pa ipak je zabrinut da se prosječno vrijeme potrebno za rješavanje pritužbe u okviru mandata povećalo sa 61 na 91 dan i da se prosječno vrijeme trajanja istrage povećalo sa 112 na 166 dana između 2021. i 2022.;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17.</w:t>
      </w:r>
      <w:r w:rsidRPr="00764525">
        <w:tab/>
        <w:t xml:space="preserve">napominje da su etičnost i transparentnost ostale važna područja rada </w:t>
      </w:r>
      <w:proofErr w:type="spellStart"/>
      <w:r w:rsidRPr="00764525">
        <w:t>Ombudsmana</w:t>
      </w:r>
      <w:proofErr w:type="spellEnd"/>
      <w:r w:rsidRPr="00764525">
        <w:t xml:space="preserve"> u 2022. koja su nastavila doprinositi napretku, no koja su se isto tako suočavala s izazovima te da je broj pritužbi povezanih s transparentnošću i odgovornošću iznosio 32 % svih slučajeva 2022.;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18.</w:t>
      </w:r>
      <w:r w:rsidRPr="00764525">
        <w:tab/>
        <w:t xml:space="preserve">konstatira da je javni pristup dokumentima nastavio biti jedna od glavnih prioriteta za </w:t>
      </w:r>
      <w:proofErr w:type="spellStart"/>
      <w:r w:rsidRPr="00764525">
        <w:t>Ombudsmana</w:t>
      </w:r>
      <w:proofErr w:type="spellEnd"/>
      <w:r w:rsidRPr="00764525">
        <w:t xml:space="preserve"> te je primljena 121 pritužba, najveći broj zabilježen u razdoblju od jedne godine, te da su istrage rezultirale s 90 pritužbi; pozdravlja brzo rješavanje slučajeva u području javnog pristupa dokumentima s prosjekom od 46 radnih dana za zaključenje pritužbe i 67 radnih dana isključivo u pogledu istraga; razumije da je, unatoč povećanju broja slučajeva, udio ubrzanih istraga predstavljao samo 28 % svih istraga javnog pristupa dokumentima, u usporedbi s 58 % iz 2021.; pozdravlja zaključke velikih istraga koje se odnose na Komisiju i druge agencije Unije poput FRONTEX-a i institucije i tijela kao što je Europska investicijska banka (EIB) o njihovom administrativnom upravljanju zahtjevima za javni pristup dokumentima;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19.</w:t>
      </w:r>
      <w:r w:rsidRPr="00764525">
        <w:tab/>
        <w:t xml:space="preserve">podsjeća na to da bi prema mišljenju europske </w:t>
      </w:r>
      <w:proofErr w:type="spellStart"/>
      <w:r w:rsidRPr="00764525">
        <w:t>ombudsmanice</w:t>
      </w:r>
      <w:proofErr w:type="spellEnd"/>
      <w:r w:rsidRPr="00764525">
        <w:t xml:space="preserve"> ograničenja pristupa dokumentima, posebno zakonodavnim dokumentima, trebala biti iznimka i ograničena na ono što je apsolutno nužno; podsjeća i na to da se svaka odluka kojom se javnosti uskraćuje pristup dokumentima mora temeljiti na jasno i strogo definiranim pravnim izuzećima, popraćenima argumentiranim i konkretnim obrazloženjem, kako bi građani mogli razumjeti uskraćivanje pristupa i učinkovito iskoristiti dostupne pravne lijekove; smatra da bi </w:t>
      </w:r>
      <w:proofErr w:type="spellStart"/>
      <w:r w:rsidRPr="00764525">
        <w:t>proaktivniji</w:t>
      </w:r>
      <w:proofErr w:type="spellEnd"/>
      <w:r w:rsidRPr="00764525">
        <w:t xml:space="preserve"> pristup pomogao osigurati učinkovitu transparentnost i </w:t>
      </w:r>
      <w:r w:rsidRPr="00764525">
        <w:lastRenderedPageBreak/>
        <w:t>spriječio skupe i zahtjevne pravne sporove između građana i institucija</w:t>
      </w:r>
      <w:r w:rsidRPr="00764525">
        <w:rPr>
          <w:szCs w:val="24"/>
          <w:vertAlign w:val="superscript"/>
        </w:rPr>
        <w:footnoteReference w:id="9"/>
      </w:r>
      <w:r w:rsidRPr="00764525">
        <w:t>;</w:t>
      </w:r>
    </w:p>
    <w:p w:rsidR="00DB427B" w:rsidRPr="00764525" w:rsidRDefault="00DB427B" w:rsidP="00DB427B">
      <w:pPr>
        <w:pStyle w:val="NormalHanging12a"/>
        <w:rPr>
          <w:b/>
          <w:i/>
          <w:szCs w:val="24"/>
        </w:rPr>
      </w:pPr>
      <w:r w:rsidRPr="00764525">
        <w:rPr>
          <w:b/>
          <w:i/>
        </w:rPr>
        <w:t>Ljudski resursi, jednakost i dobrobit osoblja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20.</w:t>
      </w:r>
      <w:r w:rsidRPr="00764525">
        <w:tab/>
        <w:t xml:space="preserve">konstatira da je sastav osoblja u pogledu položaja i profila radnih mjesta ostao stabilan posljednjih godina sa ukupno 74 člana osoblja na kraju 2022. koliko je bilo i 2021.; primjećuje da je 2022. </w:t>
      </w:r>
      <w:proofErr w:type="spellStart"/>
      <w:r w:rsidRPr="00764525">
        <w:t>Ombudsman</w:t>
      </w:r>
      <w:proofErr w:type="spellEnd"/>
      <w:r w:rsidRPr="00764525">
        <w:t xml:space="preserve"> zaposlio 39 dužnosnika u usporedbi sa 37 dužnosnika 2020. i 38 dužnosnika 2021., i 28 članova privremenog osoblja u usporedbi s 28 članova privremenog osoblja 2020. i 30 članova privremenog osoblja 2021. te 7 članova ugovornog osoblja u usporedbi s 8 članova ugovornog osoblja 2020. i 6 članova ugovornog osoblja 2021. konstatira da se 2022. približno 40 % osoblja bavilo administrativnim poslovima (ljudski resursi, financije i upravljanje procesima) te oko još 40 % pritužbama i istragama;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21.</w:t>
      </w:r>
      <w:r w:rsidRPr="00764525">
        <w:tab/>
        <w:t>izražava žaljenje zbog činjenice da je radno mjesto glavnog tajnika nepopunjeno od 1. rujna 2022.;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22.</w:t>
      </w:r>
      <w:r w:rsidRPr="00764525">
        <w:tab/>
        <w:t xml:space="preserve">konstatira da je 2022. </w:t>
      </w:r>
      <w:proofErr w:type="spellStart"/>
      <w:r w:rsidRPr="00764525">
        <w:t>Ombudsman</w:t>
      </w:r>
      <w:proofErr w:type="spellEnd"/>
      <w:r w:rsidRPr="00764525">
        <w:t xml:space="preserve"> objavio poziv za iskaz interesa s ciljem uspostavljanja baze kandidata kako bi mogao brže zapošljavati članove privremenog osoblja; zainteresiran je za praćenje povećanja učinkovitosti koja će se postići tim postupkom;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23.</w:t>
      </w:r>
      <w:r w:rsidRPr="00764525">
        <w:tab/>
        <w:t xml:space="preserve">napominje da je zahvaljujući </w:t>
      </w:r>
      <w:proofErr w:type="spellStart"/>
      <w:r w:rsidRPr="00764525">
        <w:t>proaktivnoj</w:t>
      </w:r>
      <w:proofErr w:type="spellEnd"/>
      <w:r w:rsidRPr="00764525">
        <w:t xml:space="preserve"> komunikaciji i kontaktima s raznolikijom publikom, posebno upotrebom društvenih medija, među osobljem </w:t>
      </w:r>
      <w:proofErr w:type="spellStart"/>
      <w:r w:rsidRPr="00764525">
        <w:t>Omudsmana</w:t>
      </w:r>
      <w:proofErr w:type="spellEnd"/>
      <w:r w:rsidRPr="00764525">
        <w:t xml:space="preserve"> zastupljeno 18 nacionalnosti; potiče </w:t>
      </w:r>
      <w:proofErr w:type="spellStart"/>
      <w:r w:rsidRPr="00764525">
        <w:t>Ombudsmana</w:t>
      </w:r>
      <w:proofErr w:type="spellEnd"/>
      <w:r w:rsidRPr="00764525">
        <w:t xml:space="preserve"> da nastavi ulagati napore u postizanje uravnotežene geografske raspodjele državljana iz svih država članica među svojim osobljem;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24.</w:t>
      </w:r>
      <w:r w:rsidRPr="00764525">
        <w:tab/>
        <w:t xml:space="preserve">konstatira da, u pogledu rodne ravnoteže, </w:t>
      </w:r>
      <w:proofErr w:type="spellStart"/>
      <w:r w:rsidRPr="00764525">
        <w:t>Ombudsman</w:t>
      </w:r>
      <w:proofErr w:type="spellEnd"/>
      <w:r w:rsidRPr="00764525">
        <w:t xml:space="preserve"> zapošljava više žena nego muškaraca u svim kategorijama osoblja, osobito na rukovodećoj razini, s ukupnom zastupljenosti od 67 % žena i 33 % muškaraca u usporedbi s 68 % žena i 32% muškaraca 2021.; potiče </w:t>
      </w:r>
      <w:proofErr w:type="spellStart"/>
      <w:r w:rsidRPr="00764525">
        <w:t>Ombudsmana</w:t>
      </w:r>
      <w:proofErr w:type="spellEnd"/>
      <w:r w:rsidRPr="00764525">
        <w:t xml:space="preserve"> da nastavi ulagati napore u postizanje rodno uravnotežene zastupljenosti osoblja;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25.</w:t>
      </w:r>
      <w:r w:rsidRPr="00764525">
        <w:tab/>
        <w:t xml:space="preserve">konstatira da je 2022. </w:t>
      </w:r>
      <w:proofErr w:type="spellStart"/>
      <w:r w:rsidRPr="00764525">
        <w:t>Ombudsman</w:t>
      </w:r>
      <w:proofErr w:type="spellEnd"/>
      <w:r w:rsidRPr="00764525">
        <w:t xml:space="preserve"> uveo novu politiku radnog vremena i hibridnog načina rada usvojenu u listopadu 2021. u koju su uključene odredbe o, na primjer, radu od kuće, uključujući iz inozemstva, odredbe o ergonomskoj opremi za rad od kuće, nepunom radnom vremenu, roditeljskom dopustu, fleksibilnom radnom vremenu i pravu na isključivanje te pozdravlja činjenicu da se to odnosi na sve kategorije osoblja; pozdravlja ukupni rezultat ankete provedene među osobljem u 2023. godini, koja pokazuje opću stopu zadovoljstva osoblja od 97 % u pogledu hibridnih i fleksibilnih načina rada;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26.</w:t>
      </w:r>
      <w:r w:rsidRPr="00764525">
        <w:tab/>
        <w:t xml:space="preserve">potvrđuje da rukovoditelji imaju dobar pregled radnog opterećenja osoblja, da redovito prate raspodjelu rada i da ga prema potrebi prilagođavaju; napominje da Zdravstvena služba Europskog parlamenta, zadužena za medicinska pitanja povezana s osobljem </w:t>
      </w:r>
      <w:proofErr w:type="spellStart"/>
      <w:r w:rsidRPr="00764525">
        <w:t>Ombudsmana</w:t>
      </w:r>
      <w:proofErr w:type="spellEnd"/>
      <w:r w:rsidRPr="00764525">
        <w:t xml:space="preserve">, nije upozorila </w:t>
      </w:r>
      <w:proofErr w:type="spellStart"/>
      <w:r w:rsidRPr="00764525">
        <w:t>Ombudsmana</w:t>
      </w:r>
      <w:proofErr w:type="spellEnd"/>
      <w:r w:rsidRPr="00764525">
        <w:t xml:space="preserve"> na nikakvu dugotrajnu bolest kao posljedicu sindroma izgaranja na poslu;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lastRenderedPageBreak/>
        <w:t>27.</w:t>
      </w:r>
      <w:r w:rsidRPr="00764525">
        <w:tab/>
        <w:t xml:space="preserve">zadovoljan je da 2022. nisu zabilježeni slučajevi uznemiravanja; potiče </w:t>
      </w:r>
      <w:proofErr w:type="spellStart"/>
      <w:r w:rsidRPr="00764525">
        <w:t>Ombudsmana</w:t>
      </w:r>
      <w:proofErr w:type="spellEnd"/>
      <w:r w:rsidRPr="00764525">
        <w:t xml:space="preserve"> da nastavi ulagati napore da osigura radno okruženje u kojemu neće biti seksualnog i psihološkog uznemiravanja, osobito putem treninga osvještavanja i osposobljavanja; sa zadovoljstvom konstatira da je anketa provedena u okviru interne revizije etičkog okvira pokazala da je početkom 2023. 90 % osoblja poznavalo politiku i smjernice u pogledu uznemiravanja;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28.</w:t>
      </w:r>
      <w:r w:rsidRPr="00764525">
        <w:tab/>
        <w:t xml:space="preserve">pozdravlja činjenicu da je </w:t>
      </w:r>
      <w:proofErr w:type="spellStart"/>
      <w:r w:rsidRPr="00764525">
        <w:t>Ombudsman</w:t>
      </w:r>
      <w:proofErr w:type="spellEnd"/>
      <w:r w:rsidRPr="00764525">
        <w:t xml:space="preserve"> 2022. primio 18 plaćenih stažista., u usporedi sa 16 stažista koje je primio 2021., a koji su pritom imali iste radne uvjete kao i ostalo osoblje te potiče </w:t>
      </w:r>
      <w:proofErr w:type="spellStart"/>
      <w:r w:rsidRPr="00764525">
        <w:t>Ombudsmana</w:t>
      </w:r>
      <w:proofErr w:type="spellEnd"/>
      <w:r w:rsidRPr="00764525">
        <w:t xml:space="preserve"> da, kako je planirano za 2023., pokrene program stažiranja za mlade s invaliditetom;</w:t>
      </w:r>
    </w:p>
    <w:p w:rsidR="00DB427B" w:rsidRPr="00764525" w:rsidRDefault="00DB427B" w:rsidP="00DB427B">
      <w:pPr>
        <w:pStyle w:val="NormalHanging12a"/>
        <w:rPr>
          <w:b/>
          <w:i/>
          <w:szCs w:val="24"/>
        </w:rPr>
      </w:pPr>
      <w:r w:rsidRPr="00764525">
        <w:rPr>
          <w:b/>
          <w:i/>
        </w:rPr>
        <w:t>Etički okvir i transparentnost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29.</w:t>
      </w:r>
      <w:r w:rsidRPr="00764525">
        <w:tab/>
        <w:t xml:space="preserve">pozdravlja trajne napore da osnaži i podigne svjesnost o etičkom okviru u institucijama; primjećuje da je </w:t>
      </w:r>
      <w:proofErr w:type="spellStart"/>
      <w:r w:rsidRPr="00764525">
        <w:t>Ombudsman</w:t>
      </w:r>
      <w:proofErr w:type="spellEnd"/>
      <w:r w:rsidRPr="00764525">
        <w:t xml:space="preserve"> u tom pogledu organizirao predstavljanje svoje politike o vanjskim aktivnostima, osposobljavanje u području uznemirivanja i podnevne sesije o sukobima interesa za sve zaposlenike; nadalje primjećuje da su svi obrasci za izjave o sukobu interesa, vanjskim aktivnostima, publikacijama i obavljanju profesionalne djelatnosti nakon napuštanja javne službe Unije revidirani kako bi se osigurala dosljedna primjena Pravilnika o osoblju i unutarnjih pravila; pozdravlja internu reviziju etičkog okvira </w:t>
      </w:r>
      <w:proofErr w:type="spellStart"/>
      <w:r w:rsidRPr="00764525">
        <w:t>Ombudsmana</w:t>
      </w:r>
      <w:proofErr w:type="spellEnd"/>
      <w:r w:rsidRPr="00764525">
        <w:t xml:space="preserve"> koja je pokrenuta 2022. i čiji će se ishodi uzeti u obzir za daljnje poboljšanje praksi u tom području;</w:t>
      </w:r>
    </w:p>
    <w:p w:rsidR="00DB427B" w:rsidRPr="00764525" w:rsidRDefault="00DB427B" w:rsidP="00DB427B">
      <w:pPr>
        <w:pStyle w:val="NormalHanging12a"/>
      </w:pPr>
      <w:r w:rsidRPr="00764525">
        <w:t>30.</w:t>
      </w:r>
      <w:r w:rsidRPr="00764525">
        <w:tab/>
        <w:t xml:space="preserve">napominje da se strategija </w:t>
      </w:r>
      <w:proofErr w:type="spellStart"/>
      <w:r w:rsidRPr="00764525">
        <w:t>Ombudsmana</w:t>
      </w:r>
      <w:proofErr w:type="spellEnd"/>
      <w:r w:rsidRPr="00764525">
        <w:t xml:space="preserve"> za borbu protiv prijevara u velikoj mjeri temelji na postojećem etičkom okviru i načelu razdvajanja dužnosti za financijske funkcije; sa zadovoljstvom primjećuje da 2022. nije bilo prijavljenih slučajeva sukoba interesa ni slučajeva aktivnosti zviždača;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31.</w:t>
      </w:r>
      <w:r w:rsidRPr="00764525">
        <w:tab/>
        <w:t xml:space="preserve">izražava žaljenje zbog toga što </w:t>
      </w:r>
      <w:proofErr w:type="spellStart"/>
      <w:r w:rsidRPr="00764525">
        <w:t>Ombudsman</w:t>
      </w:r>
      <w:proofErr w:type="spellEnd"/>
      <w:r w:rsidRPr="00764525">
        <w:t xml:space="preserve"> nije službeno pristupio registru transparentnosti EU-a, uspostavljenom </w:t>
      </w:r>
      <w:proofErr w:type="spellStart"/>
      <w:r w:rsidRPr="00764525">
        <w:t>Međuinstitucijskim</w:t>
      </w:r>
      <w:proofErr w:type="spellEnd"/>
      <w:r w:rsidRPr="00764525">
        <w:t xml:space="preserve"> sporazumom od 20. svibnja 2021. između Europskog parlamenta, Vijeća Europske unije i Europske komisije o obveznom registru transparentnosti, već je svoju praksu uskladio s načelima registra transparentnosti kako bi provjerio jesu li govornici ili sugovornici na događanjima ili sastancima koje </w:t>
      </w:r>
      <w:proofErr w:type="spellStart"/>
      <w:r w:rsidRPr="00764525">
        <w:t>Ombudsman</w:t>
      </w:r>
      <w:proofErr w:type="spellEnd"/>
      <w:r w:rsidRPr="00764525">
        <w:t xml:space="preserve"> organizira u njega upisani; pozdravlja visoki stupanj transparentnosti koji je </w:t>
      </w:r>
      <w:proofErr w:type="spellStart"/>
      <w:r w:rsidRPr="00764525">
        <w:t>Ombudsman</w:t>
      </w:r>
      <w:proofErr w:type="spellEnd"/>
      <w:r w:rsidRPr="00764525">
        <w:t xml:space="preserve"> postigao objavom informacija o istragama, službenim putovanjima, sjednicama i događanjima u kojima sudjeluje na svojoj internetskoj stranici;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32.</w:t>
      </w:r>
      <w:r w:rsidRPr="00764525">
        <w:tab/>
        <w:t xml:space="preserve">poziva </w:t>
      </w:r>
      <w:proofErr w:type="spellStart"/>
      <w:r w:rsidRPr="00764525">
        <w:t>Ombudsmana</w:t>
      </w:r>
      <w:proofErr w:type="spellEnd"/>
      <w:r w:rsidRPr="00764525">
        <w:t xml:space="preserve"> da periodično obavješćuje proračunsko tijelo o poteškoćama s kojima se susreće u svom radu na transparentnosti i odgovornosti Mehanizma za oporavak i otpornost;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33.</w:t>
      </w:r>
      <w:r w:rsidRPr="00764525">
        <w:tab/>
        <w:t xml:space="preserve">pozdravlja činjenicu da je </w:t>
      </w:r>
      <w:proofErr w:type="spellStart"/>
      <w:r w:rsidRPr="00764525">
        <w:t>Ombudsman</w:t>
      </w:r>
      <w:proofErr w:type="spellEnd"/>
      <w:r w:rsidRPr="00764525">
        <w:t xml:space="preserve"> 2022. objavio vodič za javnost o pravu na javni pristup dokumentima, s informacijama o tome kako najbolje ostvariti to pravo;</w:t>
      </w:r>
    </w:p>
    <w:p w:rsidR="00DB427B" w:rsidRPr="00764525" w:rsidRDefault="00DB427B" w:rsidP="00DB427B">
      <w:pPr>
        <w:pStyle w:val="NormalHanging12a"/>
        <w:rPr>
          <w:b/>
          <w:i/>
          <w:szCs w:val="24"/>
        </w:rPr>
      </w:pPr>
      <w:r w:rsidRPr="00764525">
        <w:rPr>
          <w:b/>
          <w:i/>
        </w:rPr>
        <w:t xml:space="preserve">Digitalizacija, </w:t>
      </w:r>
      <w:proofErr w:type="spellStart"/>
      <w:r w:rsidRPr="00764525">
        <w:rPr>
          <w:b/>
          <w:i/>
        </w:rPr>
        <w:t>kibernetička</w:t>
      </w:r>
      <w:proofErr w:type="spellEnd"/>
      <w:r w:rsidRPr="00764525">
        <w:rPr>
          <w:b/>
          <w:i/>
        </w:rPr>
        <w:t xml:space="preserve"> sigurnost i zaštita podataka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34.</w:t>
      </w:r>
      <w:r w:rsidRPr="00764525">
        <w:tab/>
        <w:t xml:space="preserve">čestita </w:t>
      </w:r>
      <w:proofErr w:type="spellStart"/>
      <w:r w:rsidRPr="00764525">
        <w:t>Ombudsmanu</w:t>
      </w:r>
      <w:proofErr w:type="spellEnd"/>
      <w:r w:rsidRPr="00764525">
        <w:t xml:space="preserve"> što aktivno promiče digitalizaciju kako bi se smanjilo korištenje papira i potaknulo dijeljenje i pohranjivanje dokumenata; napominje da su rashodi za informacijsku tehnologiju smanjeni za 48 % u usporedbi s 2021. jer nisu bila potrebna </w:t>
      </w:r>
      <w:r w:rsidRPr="00764525">
        <w:lastRenderedPageBreak/>
        <w:t xml:space="preserve">ulaganja za poboljšanje digitalizacije; pozdravlja opće korištenje </w:t>
      </w:r>
      <w:proofErr w:type="spellStart"/>
      <w:r w:rsidRPr="00764525">
        <w:t>videokonferenciranja</w:t>
      </w:r>
      <w:proofErr w:type="spellEnd"/>
      <w:r w:rsidRPr="00764525">
        <w:t xml:space="preserve"> i internetskih prijenosa što je smanjilo potrebu za putovanjima;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35.</w:t>
      </w:r>
      <w:r w:rsidRPr="00764525">
        <w:tab/>
        <w:t xml:space="preserve">konstatira da se, u pogledu informacijske tehnologije, </w:t>
      </w:r>
      <w:proofErr w:type="spellStart"/>
      <w:r w:rsidRPr="00764525">
        <w:t>Ombudsman</w:t>
      </w:r>
      <w:proofErr w:type="spellEnd"/>
      <w:r w:rsidRPr="00764525">
        <w:t xml:space="preserve"> oslanja na infrastrukturu i okvir za </w:t>
      </w:r>
      <w:proofErr w:type="spellStart"/>
      <w:r w:rsidRPr="00764525">
        <w:t>kibernetičku</w:t>
      </w:r>
      <w:proofErr w:type="spellEnd"/>
      <w:r w:rsidRPr="00764525">
        <w:t xml:space="preserve"> sigurnost Parlamenta te blisko surađuje s Komisijom u vezi s integracijom i održavanjem korporativnih alata Unije (SYSPER, ABAC, </w:t>
      </w:r>
      <w:proofErr w:type="spellStart"/>
      <w:r w:rsidRPr="00764525">
        <w:t>MiPS</w:t>
      </w:r>
      <w:proofErr w:type="spellEnd"/>
      <w:r w:rsidRPr="00764525">
        <w:t xml:space="preserve"> i ARES) i korištenjem okvirnih ugovora o informacijskim tehnologijama; konstatira da je, uzevši u obzir da je njegova razina kontrole nad podacima ograničena, </w:t>
      </w:r>
      <w:proofErr w:type="spellStart"/>
      <w:r w:rsidRPr="00764525">
        <w:t>Ombudsman</w:t>
      </w:r>
      <w:proofErr w:type="spellEnd"/>
      <w:r w:rsidRPr="00764525">
        <w:t xml:space="preserve"> zaključio sporazume o razini usluga s institucijama kako bi osigurao da je upravljanje osobnim podacima usklađeno s primjenjivim pravnim okvirom; sa zadovoljstvom primjećuje da </w:t>
      </w:r>
      <w:proofErr w:type="spellStart"/>
      <w:r w:rsidRPr="00764525">
        <w:t>Ombudsman</w:t>
      </w:r>
      <w:proofErr w:type="spellEnd"/>
      <w:r w:rsidRPr="00764525">
        <w:t xml:space="preserve"> 2022. nije pretrpio </w:t>
      </w:r>
      <w:proofErr w:type="spellStart"/>
      <w:r w:rsidRPr="00764525">
        <w:t>kibernapad</w:t>
      </w:r>
      <w:proofErr w:type="spellEnd"/>
      <w:r w:rsidRPr="00764525">
        <w:t>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36.</w:t>
      </w:r>
      <w:r w:rsidRPr="00764525">
        <w:tab/>
        <w:t xml:space="preserve">potiče </w:t>
      </w:r>
      <w:proofErr w:type="spellStart"/>
      <w:r w:rsidRPr="00764525">
        <w:t>Ombudsmana</w:t>
      </w:r>
      <w:proofErr w:type="spellEnd"/>
      <w:r w:rsidRPr="00764525">
        <w:t xml:space="preserve"> da blisko surađuje s ENISA-om (Agencija Europske unije za </w:t>
      </w:r>
      <w:proofErr w:type="spellStart"/>
      <w:r w:rsidRPr="00764525">
        <w:t>kibersigurnost</w:t>
      </w:r>
      <w:proofErr w:type="spellEnd"/>
      <w:r w:rsidRPr="00764525">
        <w:t xml:space="preserve">); predlaže da se svim zaposlenicima </w:t>
      </w:r>
      <w:proofErr w:type="spellStart"/>
      <w:r w:rsidRPr="00764525">
        <w:t>Ombudsmana</w:t>
      </w:r>
      <w:proofErr w:type="spellEnd"/>
      <w:r w:rsidRPr="00764525">
        <w:t xml:space="preserve"> ponude redovito ažurirani programi osposobljavanja u području </w:t>
      </w:r>
      <w:proofErr w:type="spellStart"/>
      <w:r w:rsidRPr="00764525">
        <w:t>kibernetičke</w:t>
      </w:r>
      <w:proofErr w:type="spellEnd"/>
      <w:r w:rsidRPr="00764525">
        <w:t xml:space="preserve"> sigurnosti;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37.</w:t>
      </w:r>
      <w:r w:rsidRPr="00764525">
        <w:tab/>
        <w:t xml:space="preserve">sa zadovoljstvom primjećuje da je 2022. </w:t>
      </w:r>
      <w:proofErr w:type="spellStart"/>
      <w:r w:rsidRPr="00764525">
        <w:t>Ombudsman</w:t>
      </w:r>
      <w:proofErr w:type="spellEnd"/>
      <w:r w:rsidRPr="00764525">
        <w:t xml:space="preserve"> proveo četiri mjere iz akcijskog plana od pet točaka donesenim nakon izvješća o unutarnjoj reviziji 21/03 o pregledu okvira institucije za zaštitu podataka čiji je cilj bio dodatno poboljšati učinkovitost i uspješnost obrade osobnih podataka u instituciji;</w:t>
      </w:r>
    </w:p>
    <w:p w:rsidR="00DB427B" w:rsidRPr="00764525" w:rsidRDefault="00DB427B" w:rsidP="00DB427B">
      <w:pPr>
        <w:pStyle w:val="NormalHanging12a"/>
        <w:rPr>
          <w:szCs w:val="24"/>
        </w:rPr>
      </w:pPr>
      <w:r w:rsidRPr="00764525">
        <w:t>38.</w:t>
      </w:r>
      <w:r w:rsidRPr="00764525">
        <w:tab/>
        <w:t xml:space="preserve">konstatira da je 2022. Europski nadzornik za zaštitu podataka (EDPS) dao povratne informacije u vezi s pritužbom koju je podnio građanin, tvrdeći da su informacije o zaštiti podataka koje je </w:t>
      </w:r>
      <w:proofErr w:type="spellStart"/>
      <w:r w:rsidRPr="00764525">
        <w:t>Ombudsman</w:t>
      </w:r>
      <w:proofErr w:type="spellEnd"/>
      <w:r w:rsidRPr="00764525">
        <w:t xml:space="preserve"> naveo u svojoj standardnoj potvrdi primitka nedostatne; sa zadovoljstvom konstatira da je EDPS zatvorio taj slučaj bez daljnjih mjera nakon što je </w:t>
      </w:r>
      <w:proofErr w:type="spellStart"/>
      <w:r w:rsidRPr="00764525">
        <w:t>Ombudsman</w:t>
      </w:r>
      <w:proofErr w:type="spellEnd"/>
      <w:r w:rsidRPr="00764525">
        <w:t xml:space="preserve"> unio predložene promjene u svoj obrazac potvrde;</w:t>
      </w:r>
    </w:p>
    <w:p w:rsidR="00DB427B" w:rsidRPr="00764525" w:rsidRDefault="00DB427B" w:rsidP="00DB427B">
      <w:pPr>
        <w:pStyle w:val="NormalHanging12a"/>
      </w:pPr>
      <w:r w:rsidRPr="00764525">
        <w:t>39.</w:t>
      </w:r>
      <w:r w:rsidRPr="00764525">
        <w:tab/>
        <w:t xml:space="preserve">pozdravlja činjenicu da je sustav elektroničkog izdavanja računa u postupku uvođenja, na čemu surađuje s Europskom komisijom (DG DIGIT); traži od </w:t>
      </w:r>
      <w:proofErr w:type="spellStart"/>
      <w:r w:rsidRPr="00764525">
        <w:t>Ombudsmana</w:t>
      </w:r>
      <w:proofErr w:type="spellEnd"/>
      <w:r w:rsidRPr="00764525">
        <w:t xml:space="preserve"> da detaljno utvrdi vremenski okvir za punu implementaciju sustava elektroničkog izdavanja računa;</w:t>
      </w:r>
    </w:p>
    <w:p w:rsidR="000C3523" w:rsidRPr="00764525" w:rsidRDefault="000C3523" w:rsidP="00DB427B">
      <w:pPr>
        <w:pStyle w:val="NormalHanging12a"/>
        <w:rPr>
          <w:szCs w:val="24"/>
        </w:rPr>
      </w:pPr>
      <w:r w:rsidRPr="00764525">
        <w:rPr>
          <w:szCs w:val="24"/>
          <w:lang w:eastAsia="en-US"/>
        </w:rPr>
        <w:t>40.</w:t>
      </w:r>
      <w:r w:rsidRPr="00764525">
        <w:rPr>
          <w:szCs w:val="24"/>
          <w:lang w:eastAsia="en-US"/>
        </w:rPr>
        <w:tab/>
        <w:t xml:space="preserve">čestita </w:t>
      </w:r>
      <w:proofErr w:type="spellStart"/>
      <w:r w:rsidRPr="00764525">
        <w:rPr>
          <w:szCs w:val="24"/>
          <w:lang w:eastAsia="en-US"/>
        </w:rPr>
        <w:t>Ombudsmanu</w:t>
      </w:r>
      <w:proofErr w:type="spellEnd"/>
      <w:r w:rsidRPr="00764525">
        <w:rPr>
          <w:szCs w:val="24"/>
          <w:lang w:eastAsia="en-US"/>
        </w:rPr>
        <w:t xml:space="preserve"> na upotrebi isključivo softvera otvorenog koda na svojim internetskim stranicama i na davanju prednosti korištenju alatima otvorenog koda u interne svrhe kada je to moguće;</w:t>
      </w:r>
    </w:p>
    <w:p w:rsidR="00DB427B" w:rsidRPr="00764525" w:rsidRDefault="00DB427B" w:rsidP="00DB427B">
      <w:pPr>
        <w:pStyle w:val="NormalHanging12a"/>
        <w:ind w:left="0" w:firstLine="0"/>
        <w:rPr>
          <w:b/>
          <w:i/>
          <w:szCs w:val="24"/>
        </w:rPr>
      </w:pPr>
      <w:r w:rsidRPr="00764525">
        <w:rPr>
          <w:b/>
          <w:i/>
        </w:rPr>
        <w:t>Zgrade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41</w:t>
      </w:r>
      <w:r w:rsidR="00DB427B" w:rsidRPr="00764525">
        <w:t>.</w:t>
      </w:r>
      <w:r w:rsidR="00DB427B" w:rsidRPr="00764525">
        <w:tab/>
        <w:t xml:space="preserve">napominje da je, nakon preseljenja ureda </w:t>
      </w:r>
      <w:proofErr w:type="spellStart"/>
      <w:r w:rsidR="00DB427B" w:rsidRPr="00764525">
        <w:t>Ombudsmana</w:t>
      </w:r>
      <w:proofErr w:type="spellEnd"/>
      <w:r w:rsidR="00DB427B" w:rsidRPr="00764525">
        <w:t xml:space="preserve"> u Bruxelles u nove prostorije koje je osigurao Parlament 2021., zgrada organizirana kao prostor za zajednički rad s vrlo malo pojedinačnih ureda i fleksibilnom opremom za sastanke za suradnju; pozitivno ocjenjuje to što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ne koristi zajedničku upotrebu radnih površina (engl. </w:t>
      </w:r>
      <w:proofErr w:type="spellStart"/>
      <w:r w:rsidR="00DB427B" w:rsidRPr="00764525">
        <w:t>hot-desking</w:t>
      </w:r>
      <w:proofErr w:type="spellEnd"/>
      <w:r w:rsidR="00DB427B" w:rsidRPr="00764525">
        <w:t xml:space="preserve">) i to što svi članovi osoblja imaju vlastiti stol s dovoljno prostora za pohranu; zabrinut je što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nije proveo anketu među osobljem prije preseljenja u prostor za zajednički rad u uredu u Bruxellesu; primjećuje da opća anketa o osoblju provedena 2023. pokazala da većina osoblja pozitivno ocjenjuje nova fizička rješenja; cijeni i to što je osoblje obavješćivano o nekim odlukama u vezi s opremanjem radnog prostora, kao što je odabir boja, prije preseljenja;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42</w:t>
      </w:r>
      <w:r w:rsidR="00DB427B" w:rsidRPr="00764525">
        <w:t>.</w:t>
      </w:r>
      <w:r w:rsidR="00DB427B" w:rsidRPr="00764525">
        <w:tab/>
        <w:t xml:space="preserve">primjećuje da je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vratio 20,5 % površine koju mu je Parlament iznajmio u </w:t>
      </w:r>
      <w:proofErr w:type="spellStart"/>
      <w:r w:rsidR="00DB427B" w:rsidRPr="00764525">
        <w:t>Strasbourgu</w:t>
      </w:r>
      <w:proofErr w:type="spellEnd"/>
      <w:r w:rsidR="00DB427B" w:rsidRPr="00764525">
        <w:t xml:space="preserve"> na zahtjev Parlamenta te da mu je najamnina naknadno smanjena;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lastRenderedPageBreak/>
        <w:t>43</w:t>
      </w:r>
      <w:r w:rsidR="00DB427B" w:rsidRPr="00764525">
        <w:t>.</w:t>
      </w:r>
      <w:r w:rsidR="00DB427B" w:rsidRPr="00764525">
        <w:tab/>
        <w:t xml:space="preserve">podsjeća na to da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nije vlasnik vlastitih zgrada, već unajmljuje zgradu u Bruxellesu i uredski prostor u </w:t>
      </w:r>
      <w:proofErr w:type="spellStart"/>
      <w:r w:rsidR="00DB427B" w:rsidRPr="00764525">
        <w:t>Strasbourgu</w:t>
      </w:r>
      <w:proofErr w:type="spellEnd"/>
      <w:r w:rsidR="00DB427B" w:rsidRPr="00764525">
        <w:t xml:space="preserve">; sa zadovoljstvom napominje da je zgrada Havel u </w:t>
      </w:r>
      <w:proofErr w:type="spellStart"/>
      <w:r w:rsidR="00DB427B" w:rsidRPr="00764525">
        <w:t>Strasbourgu</w:t>
      </w:r>
      <w:proofErr w:type="spellEnd"/>
      <w:r w:rsidR="00DB427B" w:rsidRPr="00764525">
        <w:t xml:space="preserve"> u potpunosti pristupačna osobama sa smanjenom pokretljivošću ili drugim poteškoćama i izražava duboko žaljenje zbog toga što tek treba poboljšati pristupačnost unajmljene zgrade u Bruxellesu; poziva Parlament da poboljša pristupačnost zgrade iznajmljene </w:t>
      </w:r>
      <w:proofErr w:type="spellStart"/>
      <w:r w:rsidR="00DB427B" w:rsidRPr="00764525">
        <w:t>Ombudsmanu</w:t>
      </w:r>
      <w:proofErr w:type="spellEnd"/>
      <w:r w:rsidR="00DB427B" w:rsidRPr="00764525">
        <w:t xml:space="preserve"> u Bruxellesu;</w:t>
      </w:r>
    </w:p>
    <w:p w:rsidR="00DB427B" w:rsidRPr="00764525" w:rsidRDefault="00DB427B" w:rsidP="00DB427B">
      <w:pPr>
        <w:pStyle w:val="NormalHanging12a"/>
        <w:ind w:left="0" w:firstLine="0"/>
        <w:rPr>
          <w:b/>
          <w:i/>
          <w:szCs w:val="24"/>
        </w:rPr>
      </w:pPr>
      <w:r w:rsidRPr="00764525">
        <w:rPr>
          <w:b/>
          <w:i/>
        </w:rPr>
        <w:t>Okoliš i održivost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44</w:t>
      </w:r>
      <w:r w:rsidR="00DB427B" w:rsidRPr="00764525">
        <w:t>.</w:t>
      </w:r>
      <w:r w:rsidR="00DB427B" w:rsidRPr="00764525">
        <w:tab/>
        <w:t xml:space="preserve">pozdravlja činjenicu da je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tijekom godina smanjio svoj ekološki otisak, posebno digitalizacijom svojih procesa i publikacija poput godišnjeg izvješća, ukidanjem pojedinačnih pisača i mjerama za održivija događanja; napominje da se u pogledu ekološkog otiska svojih zgrada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oslanja na mjere koje je poduzeo Parlament u svojstvu vlasnika zgrada; uzima na znanje da je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proslijedio svoj zahtjev Parlamentu, izražen u razrješnici proračuna za 2021., za postavljanje solarnih ploča na krovove njegovih zgrada;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45</w:t>
      </w:r>
      <w:r w:rsidR="00DB427B" w:rsidRPr="00764525">
        <w:t>.</w:t>
      </w:r>
      <w:r w:rsidR="00DB427B" w:rsidRPr="00764525">
        <w:tab/>
        <w:t xml:space="preserve">primjećuje da je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nastavio poticati održivu mobilnost 2022., osobito pružanjem financijske potpore za godišnje pretplate na javni prijevoz, ograničavanjem raspoloživih parkirnih mjesta te poboljšanjem objekata i parkirališta za bicikliste;</w:t>
      </w:r>
    </w:p>
    <w:p w:rsidR="00DB427B" w:rsidRPr="00764525" w:rsidRDefault="00DB427B" w:rsidP="00DB427B">
      <w:pPr>
        <w:pStyle w:val="NormalHanging12a"/>
        <w:ind w:left="0" w:firstLine="0"/>
        <w:rPr>
          <w:b/>
          <w:i/>
          <w:szCs w:val="24"/>
        </w:rPr>
      </w:pPr>
      <w:proofErr w:type="spellStart"/>
      <w:r w:rsidRPr="00764525">
        <w:rPr>
          <w:b/>
          <w:i/>
        </w:rPr>
        <w:t>Međuinstitucijska</w:t>
      </w:r>
      <w:proofErr w:type="spellEnd"/>
      <w:r w:rsidRPr="00764525">
        <w:rPr>
          <w:b/>
          <w:i/>
        </w:rPr>
        <w:t xml:space="preserve"> suradnja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46</w:t>
      </w:r>
      <w:r w:rsidR="00DB427B" w:rsidRPr="00764525">
        <w:t>.</w:t>
      </w:r>
      <w:r w:rsidR="00DB427B" w:rsidRPr="00764525">
        <w:tab/>
        <w:t xml:space="preserve">pozdravlja financijske i administrativne uštede postignute </w:t>
      </w:r>
      <w:proofErr w:type="spellStart"/>
      <w:r w:rsidR="00DB427B" w:rsidRPr="00764525">
        <w:t>međuinstitucijskom</w:t>
      </w:r>
      <w:proofErr w:type="spellEnd"/>
      <w:r w:rsidR="00DB427B" w:rsidRPr="00764525">
        <w:t xml:space="preserve"> suradnjom, posebno širokim rasponom sporazuma o razini usluga sklopljenih s Parlamentom i Komisijom te sudjelovanjem u </w:t>
      </w:r>
      <w:proofErr w:type="spellStart"/>
      <w:r w:rsidR="00DB427B" w:rsidRPr="00764525">
        <w:t>međuinstitucijskim</w:t>
      </w:r>
      <w:proofErr w:type="spellEnd"/>
      <w:r w:rsidR="00DB427B" w:rsidRPr="00764525">
        <w:t xml:space="preserve"> postupcima nabave; primjećuje da je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2022. razvio nove sinergije s drugim institucijama i potpisao ugovor o pružanju usluga s Komisijom za korištenje certifikata za kvalificirano elektroničko potpisivanje i ugovor s Parlamentom za usluge njegovog ureda za odnose s osobljem i info pulta;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47</w:t>
      </w:r>
      <w:r w:rsidR="00DB427B" w:rsidRPr="00764525">
        <w:t>.</w:t>
      </w:r>
      <w:r w:rsidR="00DB427B" w:rsidRPr="00764525">
        <w:tab/>
        <w:t xml:space="preserve">priznaje važnost održavanja visoke razine razmjene i suradnje s Europskom mrežom pučkih pravobranitelja; pozdravlja organizaciju godišnje konferencije i tematskog </w:t>
      </w:r>
      <w:proofErr w:type="spellStart"/>
      <w:r w:rsidR="00DB427B" w:rsidRPr="00764525">
        <w:t>webinara</w:t>
      </w:r>
      <w:proofErr w:type="spellEnd"/>
      <w:r w:rsidR="00DB427B" w:rsidRPr="00764525">
        <w:t xml:space="preserve"> Europske mreže pučkih pravobranitelja koji su bili važni forumi za raspravu o aktualnim temama koji su utjecali na rad </w:t>
      </w:r>
      <w:proofErr w:type="spellStart"/>
      <w:r w:rsidR="00DB427B" w:rsidRPr="00764525">
        <w:t>ombudsmana</w:t>
      </w:r>
      <w:proofErr w:type="spellEnd"/>
      <w:r w:rsidR="00DB427B" w:rsidRPr="00764525">
        <w:t xml:space="preserve"> diljem Europe 2022.;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48</w:t>
      </w:r>
      <w:r w:rsidR="00DB427B" w:rsidRPr="00764525">
        <w:t>.</w:t>
      </w:r>
      <w:r w:rsidR="00DB427B" w:rsidRPr="00764525">
        <w:tab/>
        <w:t xml:space="preserve">pozdravlja suradnju koju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održava s Uredom europskog javnog tužitelja, Revizorskim sudom i OLAF-om kako bi se smanjilo udvostručivanje istraga i raspravljalo o pitanjima od zajedničkog interesa kao što je poboljšanje nadzornog okvira Unije; također pozdravlja kanale suradnje uspostavljene s Europskim nadzornikom za zaštitu podataka kako bi se osigurale brze međusobne konzultacije u svakodnevnom radu obiju institucija i Memorandum o razumijevanju kojim se definiraju odgovarajuće nadležnosti svake institucije kako bi se izbjeglo udvostručivanje postupaka;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49</w:t>
      </w:r>
      <w:r w:rsidR="00DB427B" w:rsidRPr="00764525">
        <w:t>.</w:t>
      </w:r>
      <w:r w:rsidR="00DB427B" w:rsidRPr="00764525">
        <w:tab/>
        <w:t xml:space="preserve">pozdravlja da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blisko surađuje s relevantnim odborima Europskog parlamenta u važnim istragama, bilo da je to izravno predstavljanjem rada na sastancima odbora ili putem informacija koje se šalju predsjednicima odbora; naglašava da su strateške inicijative i istrage koje provodi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ključni za poboljšanje transparentnosti i odgovornosti uprave Unije;</w:t>
      </w:r>
    </w:p>
    <w:p w:rsidR="00DB427B" w:rsidRPr="00764525" w:rsidRDefault="00DB427B" w:rsidP="00DB427B">
      <w:pPr>
        <w:pStyle w:val="NormalHanging12a"/>
        <w:rPr>
          <w:b/>
          <w:i/>
          <w:szCs w:val="24"/>
        </w:rPr>
      </w:pPr>
      <w:r w:rsidRPr="00764525">
        <w:rPr>
          <w:b/>
          <w:i/>
        </w:rPr>
        <w:t>Komunikacija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lastRenderedPageBreak/>
        <w:t>50</w:t>
      </w:r>
      <w:r w:rsidR="00DB427B" w:rsidRPr="00764525">
        <w:t>.</w:t>
      </w:r>
      <w:r w:rsidR="00DB427B" w:rsidRPr="00764525">
        <w:tab/>
        <w:t xml:space="preserve">napominje da je ukupni proračun za komunikacijske i promotivne aktivnosti porastao s 92 100 EUR na 132 400 EUR odnosno 43,8 % između 2021. i 2022. godine; čestita </w:t>
      </w:r>
      <w:proofErr w:type="spellStart"/>
      <w:r w:rsidR="00DB427B" w:rsidRPr="00764525">
        <w:t>Ombudsmanu</w:t>
      </w:r>
      <w:proofErr w:type="spellEnd"/>
      <w:r w:rsidR="00DB427B" w:rsidRPr="00764525">
        <w:t xml:space="preserve"> što je razvio sveobuhvatnu komunikacijsku strategiju koja je pomogla u ostvarivanju kontakata sa stručnom publikom i općom javnošću; napominje da je u odnosu na 2021. godine u europskim medijima objavljeno 60 % više novinarskih članaka o </w:t>
      </w:r>
      <w:proofErr w:type="spellStart"/>
      <w:r w:rsidR="00DB427B" w:rsidRPr="00764525">
        <w:t>Ombudsmanu</w:t>
      </w:r>
      <w:proofErr w:type="spellEnd"/>
      <w:r w:rsidR="00DB427B" w:rsidRPr="00764525">
        <w:t>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51</w:t>
      </w:r>
      <w:r w:rsidR="00DB427B" w:rsidRPr="00764525">
        <w:t>.</w:t>
      </w:r>
      <w:r w:rsidR="00DB427B" w:rsidRPr="00764525">
        <w:tab/>
        <w:t xml:space="preserve">pozdravlja napore </w:t>
      </w:r>
      <w:proofErr w:type="spellStart"/>
      <w:r w:rsidR="00DB427B" w:rsidRPr="00764525">
        <w:t>Ombudsmana</w:t>
      </w:r>
      <w:proofErr w:type="spellEnd"/>
      <w:r w:rsidR="00DB427B" w:rsidRPr="00764525">
        <w:t xml:space="preserve"> da podigne svijest građana o njegovoj ulozi i mogućnosti da mu se obrate u slučaju nepravilnosti u postupanju od strane institucije Unije; prepoznaje napore poduzete za pružanje transparentnih informacija i objavljivanje podataka u informativnom formatu prilagođenom korisniku na internetskog stranici </w:t>
      </w:r>
      <w:proofErr w:type="spellStart"/>
      <w:r w:rsidR="00DB427B" w:rsidRPr="00764525">
        <w:t>Ombudsmana</w:t>
      </w:r>
      <w:proofErr w:type="spellEnd"/>
      <w:r w:rsidR="00DB427B" w:rsidRPr="00764525">
        <w:t xml:space="preserve">, iako ti podaci nisu dostupni u otvorenom formatu; pozdravlja usvajanje novog logotipa i vizualnog identiteta kako bi se povećala vidljivost rada </w:t>
      </w:r>
      <w:proofErr w:type="spellStart"/>
      <w:r w:rsidR="00DB427B" w:rsidRPr="00764525">
        <w:t>Ombudsmana</w:t>
      </w:r>
      <w:proofErr w:type="spellEnd"/>
      <w:r w:rsidR="00DB427B" w:rsidRPr="00764525">
        <w:t xml:space="preserve"> i kako bi bio prepoznatljiv kao tijelo Unije;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52</w:t>
      </w:r>
      <w:r w:rsidR="00DB427B" w:rsidRPr="00764525">
        <w:t>.</w:t>
      </w:r>
      <w:r w:rsidR="00DB427B" w:rsidRPr="00764525">
        <w:tab/>
        <w:t xml:space="preserve">cijeni činjenicu da se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koristi automatiziranim alatom za prevođenje predmeta na internetskoj stranici i traži od </w:t>
      </w:r>
      <w:proofErr w:type="spellStart"/>
      <w:r w:rsidR="00DB427B" w:rsidRPr="00764525">
        <w:t>Ombudsmana</w:t>
      </w:r>
      <w:proofErr w:type="spellEnd"/>
      <w:r w:rsidR="00DB427B" w:rsidRPr="00764525">
        <w:t xml:space="preserve"> da osigura neometan i pravovremen prijevod svojih predmeta na sve jezike;</w:t>
      </w:r>
    </w:p>
    <w:p w:rsidR="00DB427B" w:rsidRPr="00764525" w:rsidRDefault="00764525" w:rsidP="00DB427B">
      <w:pPr>
        <w:pStyle w:val="NormalHanging12a"/>
        <w:rPr>
          <w:szCs w:val="24"/>
        </w:rPr>
      </w:pPr>
      <w:r w:rsidRPr="00764525">
        <w:t>53</w:t>
      </w:r>
      <w:r w:rsidR="00DB427B" w:rsidRPr="00764525">
        <w:t>.</w:t>
      </w:r>
      <w:r w:rsidR="00DB427B" w:rsidRPr="00764525">
        <w:tab/>
        <w:t xml:space="preserve">napominje da </w:t>
      </w:r>
      <w:proofErr w:type="spellStart"/>
      <w:r w:rsidR="00DB427B" w:rsidRPr="00764525">
        <w:t>Ombudsman</w:t>
      </w:r>
      <w:proofErr w:type="spellEnd"/>
      <w:r w:rsidR="00DB427B" w:rsidRPr="00764525">
        <w:t xml:space="preserve"> ima račune društvenih medija na </w:t>
      </w:r>
      <w:proofErr w:type="spellStart"/>
      <w:r w:rsidR="00DB427B" w:rsidRPr="00764525">
        <w:t>Instagramu</w:t>
      </w:r>
      <w:proofErr w:type="spellEnd"/>
      <w:r w:rsidR="00DB427B" w:rsidRPr="00764525">
        <w:t xml:space="preserve">, LinkedInu, X-u (bivši Twitter), gdje su stope rasta sljedbenika i angažmana bile veće 2022. nego prethodnih godina; pozdravlja sudjelovanje </w:t>
      </w:r>
      <w:proofErr w:type="spellStart"/>
      <w:r w:rsidR="00DB427B" w:rsidRPr="00764525">
        <w:t>Ombudsmana</w:t>
      </w:r>
      <w:proofErr w:type="spellEnd"/>
      <w:r w:rsidR="00DB427B" w:rsidRPr="00764525">
        <w:t xml:space="preserve"> u pilot projektu koji vodi Europski nadzornik za zaštitu podataka s ciljem uključivanja institucija Unije u EU-</w:t>
      </w:r>
      <w:proofErr w:type="spellStart"/>
      <w:r w:rsidR="00DB427B" w:rsidRPr="00764525">
        <w:t>Voice</w:t>
      </w:r>
      <w:proofErr w:type="spellEnd"/>
      <w:r w:rsidR="00DB427B" w:rsidRPr="00764525">
        <w:t xml:space="preserve"> i EU-Video, dvije besplatne i otvorene mreže društvenih medija, temeljene na softveru </w:t>
      </w:r>
      <w:proofErr w:type="spellStart"/>
      <w:r w:rsidR="00DB427B" w:rsidRPr="00764525">
        <w:t>Mastodon</w:t>
      </w:r>
      <w:proofErr w:type="spellEnd"/>
      <w:r w:rsidR="00DB427B" w:rsidRPr="00764525">
        <w:t>, koje institucijama Unije omogućuju interakciju s javnošću dijeljenjem tekstova, slika, videa i podcasta.</w:t>
      </w:r>
    </w:p>
    <w:p w:rsidR="00DB427B" w:rsidRPr="00764525" w:rsidRDefault="00DB427B" w:rsidP="00DB427B"/>
    <w:p w:rsidR="00DB427B" w:rsidRPr="00764525" w:rsidRDefault="00DB427B" w:rsidP="00DB427B"/>
    <w:p w:rsidR="00E365E1" w:rsidRPr="00764525" w:rsidRDefault="00E365E1" w:rsidP="0022799B">
      <w:bookmarkStart w:id="10" w:name="TextBodyEnd"/>
      <w:bookmarkEnd w:id="10"/>
    </w:p>
    <w:sectPr w:rsidR="00E365E1" w:rsidRPr="00764525" w:rsidSect="00B40D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99B" w:rsidRPr="00B40D68" w:rsidRDefault="0022799B">
      <w:r w:rsidRPr="00B40D68">
        <w:separator/>
      </w:r>
    </w:p>
  </w:endnote>
  <w:endnote w:type="continuationSeparator" w:id="0">
    <w:p w:rsidR="0022799B" w:rsidRPr="00B40D68" w:rsidRDefault="0022799B">
      <w:r w:rsidRPr="00B40D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27B" w:rsidRPr="00B40D68" w:rsidRDefault="00DB427B" w:rsidP="00855A22">
    <w:pPr>
      <w:pStyle w:val="EPFooter"/>
    </w:pPr>
    <w:r w:rsidRPr="00B40D68">
      <w:t>PE</w:t>
    </w:r>
    <w:r w:rsidRPr="00B40D68">
      <w:rPr>
        <w:rStyle w:val="HideTWBExt"/>
      </w:rPr>
      <w:t>&lt;</w:t>
    </w:r>
    <w:proofErr w:type="spellStart"/>
    <w:r w:rsidRPr="00B40D68">
      <w:rPr>
        <w:rStyle w:val="HideTWBExt"/>
      </w:rPr>
      <w:t>NoPE</w:t>
    </w:r>
    <w:proofErr w:type="spellEnd"/>
    <w:r w:rsidRPr="00B40D68">
      <w:rPr>
        <w:rStyle w:val="HideTWBExt"/>
      </w:rPr>
      <w:t>&gt;</w:t>
    </w:r>
    <w:r w:rsidRPr="00B40D68">
      <w:t>753.486</w:t>
    </w:r>
    <w:r w:rsidRPr="00B40D68">
      <w:rPr>
        <w:rStyle w:val="HideTWBExt"/>
      </w:rPr>
      <w:t>&lt;/</w:t>
    </w:r>
    <w:proofErr w:type="spellStart"/>
    <w:r w:rsidRPr="00B40D68">
      <w:rPr>
        <w:rStyle w:val="HideTWBExt"/>
      </w:rPr>
      <w:t>NoPE</w:t>
    </w:r>
    <w:proofErr w:type="spellEnd"/>
    <w:r w:rsidRPr="00B40D68">
      <w:rPr>
        <w:rStyle w:val="HideTWBExt"/>
      </w:rPr>
      <w:t>&gt;&lt;Version&gt;</w:t>
    </w:r>
    <w:r w:rsidRPr="00B40D68">
      <w:t>v02-00</w:t>
    </w:r>
    <w:r w:rsidRPr="00B40D68">
      <w:rPr>
        <w:rStyle w:val="HideTWBExt"/>
      </w:rPr>
      <w:t>&lt;/</w:t>
    </w:r>
    <w:proofErr w:type="spellStart"/>
    <w:r w:rsidRPr="00B40D68">
      <w:rPr>
        <w:rStyle w:val="HideTWBExt"/>
      </w:rPr>
      <w:t>Version</w:t>
    </w:r>
    <w:proofErr w:type="spellEnd"/>
    <w:r w:rsidRPr="00B40D68">
      <w:rPr>
        <w:rStyle w:val="HideTWBExt"/>
      </w:rPr>
      <w:t>&gt;</w:t>
    </w:r>
    <w:r w:rsidRPr="00B40D68">
      <w:tab/>
    </w:r>
    <w:r w:rsidRPr="00B40D68">
      <w:fldChar w:fldCharType="begin"/>
    </w:r>
    <w:r w:rsidRPr="00B40D68">
      <w:instrText xml:space="preserve"> PAGE  \* MERGEFORMAT </w:instrText>
    </w:r>
    <w:r w:rsidRPr="00B40D68">
      <w:fldChar w:fldCharType="separate"/>
    </w:r>
    <w:r w:rsidR="00B40D68" w:rsidRPr="00B40D68">
      <w:rPr>
        <w:noProof/>
      </w:rPr>
      <w:t>2</w:t>
    </w:r>
    <w:r w:rsidRPr="00B40D68">
      <w:fldChar w:fldCharType="end"/>
    </w:r>
    <w:r w:rsidRPr="00B40D68">
      <w:t>/</w:t>
    </w:r>
    <w:fldSimple w:instr=" NUMPAGES  \* MERGEFORMAT ">
      <w:r w:rsidR="00B40D68" w:rsidRPr="00B40D68">
        <w:rPr>
          <w:noProof/>
        </w:rPr>
        <w:t>3</w:t>
      </w:r>
    </w:fldSimple>
    <w:r w:rsidRPr="00B40D68">
      <w:tab/>
    </w:r>
    <w:r w:rsidRPr="00B40D68">
      <w:rPr>
        <w:rStyle w:val="HideTWBExt"/>
      </w:rPr>
      <w:t>&lt;PathFdR&gt;</w:t>
    </w:r>
    <w:r w:rsidRPr="00B40D68">
      <w:t>RR\1298678HR.docx</w:t>
    </w:r>
    <w:r w:rsidRPr="00B40D68">
      <w:rPr>
        <w:rStyle w:val="HideTWBExt"/>
      </w:rPr>
      <w:t>&lt;/</w:t>
    </w:r>
    <w:proofErr w:type="spellStart"/>
    <w:r w:rsidRPr="00B40D68">
      <w:rPr>
        <w:rStyle w:val="HideTWBExt"/>
      </w:rPr>
      <w:t>PathFdR</w:t>
    </w:r>
    <w:proofErr w:type="spellEnd"/>
    <w:r w:rsidRPr="00B40D68">
      <w:rPr>
        <w:rStyle w:val="HideTWBExt"/>
      </w:rPr>
      <w:t>&gt;</w:t>
    </w:r>
  </w:p>
  <w:p w:rsidR="00DB427B" w:rsidRPr="00B40D68" w:rsidRDefault="00DB427B" w:rsidP="00855A22">
    <w:pPr>
      <w:pStyle w:val="EPFooter2"/>
    </w:pPr>
    <w:r w:rsidRPr="00B40D68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27B" w:rsidRPr="00B40D68" w:rsidRDefault="00DB427B" w:rsidP="00855A22">
    <w:pPr>
      <w:pStyle w:val="EPFooter"/>
    </w:pPr>
    <w:r w:rsidRPr="00B40D68">
      <w:rPr>
        <w:rStyle w:val="HideTWBExt"/>
      </w:rPr>
      <w:t>&lt;PathFdR&gt;</w:t>
    </w:r>
    <w:r w:rsidRPr="00B40D68">
      <w:t>RR\1298678HR.docx</w:t>
    </w:r>
    <w:r w:rsidRPr="00B40D68">
      <w:rPr>
        <w:rStyle w:val="HideTWBExt"/>
      </w:rPr>
      <w:t>&lt;/</w:t>
    </w:r>
    <w:proofErr w:type="spellStart"/>
    <w:r w:rsidRPr="00B40D68">
      <w:rPr>
        <w:rStyle w:val="HideTWBExt"/>
      </w:rPr>
      <w:t>PathFdR</w:t>
    </w:r>
    <w:proofErr w:type="spellEnd"/>
    <w:r w:rsidRPr="00B40D68">
      <w:rPr>
        <w:rStyle w:val="HideTWBExt"/>
      </w:rPr>
      <w:t>&gt;</w:t>
    </w:r>
    <w:r w:rsidRPr="00B40D68">
      <w:tab/>
    </w:r>
    <w:r w:rsidRPr="00B40D68">
      <w:tab/>
      <w:t>PE</w:t>
    </w:r>
    <w:r w:rsidRPr="00B40D68">
      <w:rPr>
        <w:rStyle w:val="HideTWBExt"/>
      </w:rPr>
      <w:t>&lt;</w:t>
    </w:r>
    <w:proofErr w:type="spellStart"/>
    <w:r w:rsidRPr="00B40D68">
      <w:rPr>
        <w:rStyle w:val="HideTWBExt"/>
      </w:rPr>
      <w:t>NoPE</w:t>
    </w:r>
    <w:proofErr w:type="spellEnd"/>
    <w:r w:rsidRPr="00B40D68">
      <w:rPr>
        <w:rStyle w:val="HideTWBExt"/>
      </w:rPr>
      <w:t>&gt;</w:t>
    </w:r>
    <w:r w:rsidRPr="00B40D68">
      <w:t>753.486</w:t>
    </w:r>
    <w:r w:rsidRPr="00B40D68">
      <w:rPr>
        <w:rStyle w:val="HideTWBExt"/>
      </w:rPr>
      <w:t>&lt;/</w:t>
    </w:r>
    <w:proofErr w:type="spellStart"/>
    <w:r w:rsidRPr="00B40D68">
      <w:rPr>
        <w:rStyle w:val="HideTWBExt"/>
      </w:rPr>
      <w:t>NoPE</w:t>
    </w:r>
    <w:proofErr w:type="spellEnd"/>
    <w:r w:rsidRPr="00B40D68">
      <w:rPr>
        <w:rStyle w:val="HideTWBExt"/>
      </w:rPr>
      <w:t>&gt;&lt;Version&gt;</w:t>
    </w:r>
    <w:r w:rsidRPr="00B40D68">
      <w:t>v02-00</w:t>
    </w:r>
    <w:r w:rsidRPr="00B40D68">
      <w:rPr>
        <w:rStyle w:val="HideTWBExt"/>
      </w:rPr>
      <w:t>&lt;/</w:t>
    </w:r>
    <w:proofErr w:type="spellStart"/>
    <w:r w:rsidRPr="00B40D68">
      <w:rPr>
        <w:rStyle w:val="HideTWBExt"/>
      </w:rPr>
      <w:t>Version</w:t>
    </w:r>
    <w:proofErr w:type="spellEnd"/>
    <w:r w:rsidRPr="00B40D68">
      <w:rPr>
        <w:rStyle w:val="HideTWBExt"/>
      </w:rPr>
      <w:t>&gt;</w:t>
    </w:r>
  </w:p>
  <w:p w:rsidR="00DB427B" w:rsidRPr="00B40D68" w:rsidRDefault="00DB427B" w:rsidP="00855A22">
    <w:pPr>
      <w:pStyle w:val="EPFooter2"/>
    </w:pPr>
    <w:r w:rsidRPr="00B40D68">
      <w:t>HR</w:t>
    </w:r>
    <w:r w:rsidRPr="00B40D68">
      <w:tab/>
    </w:r>
    <w:r w:rsidRPr="00B40D68">
      <w:rPr>
        <w:b w:val="0"/>
        <w:i/>
        <w:color w:val="C0C0C0"/>
        <w:sz w:val="22"/>
      </w:rPr>
      <w:t>Ujedinjena u raznolikosti</w:t>
    </w:r>
    <w:r w:rsidRPr="00B40D68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0D6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0D6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0D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99B" w:rsidRPr="00B40D68" w:rsidRDefault="0022799B">
      <w:r w:rsidRPr="00B40D68">
        <w:separator/>
      </w:r>
    </w:p>
  </w:footnote>
  <w:footnote w:type="continuationSeparator" w:id="0">
    <w:p w:rsidR="0022799B" w:rsidRPr="00B40D68" w:rsidRDefault="0022799B">
      <w:r w:rsidRPr="00B40D68">
        <w:continuationSeparator/>
      </w:r>
    </w:p>
  </w:footnote>
  <w:footnote w:id="1">
    <w:p w:rsidR="00DB427B" w:rsidRPr="00B40D68" w:rsidRDefault="00DB427B" w:rsidP="00B40D68">
      <w:pPr>
        <w:pStyle w:val="FootnoteText"/>
        <w:ind w:left="567" w:hanging="567"/>
        <w:rPr>
          <w:sz w:val="24"/>
          <w:lang w:val="hr-HR"/>
        </w:rPr>
      </w:pPr>
      <w:r w:rsidRPr="00B40D68">
        <w:rPr>
          <w:rStyle w:val="FootnoteReference"/>
          <w:sz w:val="24"/>
          <w:lang w:val="hr-HR"/>
        </w:rPr>
        <w:footnoteRef/>
      </w:r>
      <w:r w:rsidR="00B40D68" w:rsidRPr="00B40D68">
        <w:rPr>
          <w:sz w:val="24"/>
          <w:lang w:val="hr-HR"/>
        </w:rPr>
        <w:t xml:space="preserve"> </w:t>
      </w:r>
      <w:r w:rsidR="00B40D68" w:rsidRPr="00B40D68">
        <w:rPr>
          <w:sz w:val="24"/>
          <w:lang w:val="hr-HR"/>
        </w:rPr>
        <w:tab/>
      </w:r>
      <w:r w:rsidR="000C1455">
        <w:rPr>
          <w:sz w:val="24"/>
          <w:lang w:val="hr-HR"/>
        </w:rPr>
        <w:t>SL L 45, 24.2</w:t>
      </w:r>
      <w:r w:rsidRPr="00B40D68">
        <w:rPr>
          <w:sz w:val="24"/>
          <w:lang w:val="hr-HR"/>
        </w:rPr>
        <w:t>.2022.</w:t>
      </w:r>
    </w:p>
  </w:footnote>
  <w:footnote w:id="2">
    <w:p w:rsidR="00DB427B" w:rsidRPr="00B40D68" w:rsidRDefault="00DB427B" w:rsidP="00B40D68">
      <w:pPr>
        <w:pStyle w:val="FootnoteText"/>
        <w:ind w:left="567" w:hanging="567"/>
        <w:rPr>
          <w:sz w:val="24"/>
          <w:lang w:val="hr-HR"/>
        </w:rPr>
      </w:pPr>
      <w:r w:rsidRPr="00B40D68">
        <w:rPr>
          <w:rStyle w:val="FootnoteReference"/>
          <w:sz w:val="24"/>
          <w:lang w:val="hr-HR"/>
        </w:rPr>
        <w:footnoteRef/>
      </w:r>
      <w:r w:rsidR="00B40D68" w:rsidRPr="00B40D68">
        <w:rPr>
          <w:sz w:val="24"/>
          <w:lang w:val="hr-HR"/>
        </w:rPr>
        <w:t xml:space="preserve"> </w:t>
      </w:r>
      <w:r w:rsidR="00B40D68" w:rsidRPr="00B40D68">
        <w:rPr>
          <w:sz w:val="24"/>
          <w:lang w:val="hr-HR"/>
        </w:rPr>
        <w:tab/>
      </w:r>
      <w:r w:rsidRPr="00B40D68">
        <w:rPr>
          <w:sz w:val="24"/>
          <w:lang w:val="hr-HR"/>
        </w:rPr>
        <w:t>SL C, C/2023/2, 12.10.2023.</w:t>
      </w:r>
    </w:p>
  </w:footnote>
  <w:footnote w:id="3">
    <w:p w:rsidR="00DB427B" w:rsidRPr="00B40D68" w:rsidRDefault="00DB427B" w:rsidP="00B40D68">
      <w:pPr>
        <w:pStyle w:val="FootnoteText"/>
        <w:ind w:left="567" w:hanging="567"/>
        <w:rPr>
          <w:sz w:val="24"/>
          <w:lang w:val="hr-HR"/>
        </w:rPr>
      </w:pPr>
      <w:r w:rsidRPr="00B40D68">
        <w:rPr>
          <w:rStyle w:val="FootnoteReference"/>
          <w:sz w:val="24"/>
          <w:lang w:val="hr-HR"/>
        </w:rPr>
        <w:footnoteRef/>
      </w:r>
      <w:r w:rsidR="00B40D68" w:rsidRPr="00B40D68">
        <w:rPr>
          <w:sz w:val="24"/>
          <w:lang w:val="hr-HR"/>
        </w:rPr>
        <w:t xml:space="preserve"> </w:t>
      </w:r>
      <w:r w:rsidR="00B40D68" w:rsidRPr="00B40D68">
        <w:rPr>
          <w:sz w:val="24"/>
          <w:lang w:val="hr-HR"/>
        </w:rPr>
        <w:tab/>
      </w:r>
      <w:r w:rsidRPr="00B40D68">
        <w:rPr>
          <w:sz w:val="24"/>
          <w:lang w:val="hr-HR"/>
        </w:rPr>
        <w:t>SL C, C/2023/103, 4.10.2023.</w:t>
      </w:r>
    </w:p>
  </w:footnote>
  <w:footnote w:id="4">
    <w:p w:rsidR="00DB427B" w:rsidRPr="00B40D68" w:rsidRDefault="00DB427B" w:rsidP="00B40D68">
      <w:pPr>
        <w:pStyle w:val="FootnoteText"/>
        <w:ind w:left="567" w:hanging="567"/>
        <w:rPr>
          <w:sz w:val="24"/>
          <w:lang w:val="hr-HR"/>
        </w:rPr>
      </w:pPr>
      <w:r w:rsidRPr="00B40D68">
        <w:rPr>
          <w:rStyle w:val="FootnoteReference"/>
          <w:sz w:val="24"/>
          <w:lang w:val="hr-HR"/>
        </w:rPr>
        <w:footnoteRef/>
      </w:r>
      <w:r w:rsidR="00B40D68" w:rsidRPr="00B40D68">
        <w:rPr>
          <w:sz w:val="24"/>
          <w:lang w:val="hr-HR"/>
        </w:rPr>
        <w:t xml:space="preserve"> </w:t>
      </w:r>
      <w:r w:rsidR="00B40D68" w:rsidRPr="00B40D68">
        <w:rPr>
          <w:sz w:val="24"/>
          <w:lang w:val="hr-HR"/>
        </w:rPr>
        <w:tab/>
      </w:r>
      <w:r w:rsidRPr="00B40D68">
        <w:rPr>
          <w:sz w:val="24"/>
          <w:lang w:val="hr-HR"/>
        </w:rPr>
        <w:t>SL C, C/2023/112, 12.10.2023.</w:t>
      </w:r>
    </w:p>
  </w:footnote>
  <w:footnote w:id="5">
    <w:p w:rsidR="00DB427B" w:rsidRPr="00B40D68" w:rsidRDefault="00DB427B" w:rsidP="00B40D68">
      <w:pPr>
        <w:pStyle w:val="FootnoteText"/>
        <w:ind w:left="567" w:hanging="567"/>
        <w:rPr>
          <w:sz w:val="24"/>
          <w:szCs w:val="24"/>
          <w:lang w:val="hr-HR"/>
        </w:rPr>
      </w:pPr>
      <w:r w:rsidRPr="00B40D68">
        <w:rPr>
          <w:rStyle w:val="FootnoteReference"/>
          <w:sz w:val="24"/>
          <w:lang w:val="hr-HR"/>
        </w:rPr>
        <w:footnoteRef/>
      </w:r>
      <w:r w:rsidR="00B40D68" w:rsidRPr="00B40D68">
        <w:rPr>
          <w:sz w:val="24"/>
          <w:lang w:val="hr-HR"/>
        </w:rPr>
        <w:t xml:space="preserve"> </w:t>
      </w:r>
      <w:r w:rsidR="00B40D68" w:rsidRPr="00B40D68">
        <w:rPr>
          <w:sz w:val="24"/>
          <w:lang w:val="hr-HR"/>
        </w:rPr>
        <w:tab/>
      </w:r>
      <w:r w:rsidRPr="00B40D68">
        <w:rPr>
          <w:sz w:val="24"/>
          <w:lang w:val="hr-HR"/>
        </w:rPr>
        <w:t>SL L 193, 30.7.2018., str. 1.</w:t>
      </w:r>
    </w:p>
  </w:footnote>
  <w:footnote w:id="6">
    <w:p w:rsidR="00DB427B" w:rsidRPr="00B40D68" w:rsidRDefault="00DB427B" w:rsidP="00B40D68">
      <w:pPr>
        <w:pStyle w:val="FootnoteText"/>
        <w:ind w:left="567" w:hanging="567"/>
        <w:rPr>
          <w:sz w:val="24"/>
          <w:lang w:val="hr-HR"/>
        </w:rPr>
      </w:pPr>
      <w:r w:rsidRPr="00B40D68">
        <w:rPr>
          <w:rStyle w:val="FootnoteReference"/>
          <w:sz w:val="24"/>
          <w:lang w:val="hr-HR"/>
        </w:rPr>
        <w:footnoteRef/>
      </w:r>
      <w:r w:rsidR="00B40D68" w:rsidRPr="00B40D68">
        <w:rPr>
          <w:sz w:val="24"/>
          <w:lang w:val="hr-HR"/>
        </w:rPr>
        <w:t xml:space="preserve"> </w:t>
      </w:r>
      <w:r w:rsidR="00B40D68" w:rsidRPr="00B40D68">
        <w:rPr>
          <w:sz w:val="24"/>
          <w:lang w:val="hr-HR"/>
        </w:rPr>
        <w:tab/>
      </w:r>
      <w:r w:rsidRPr="00B40D68">
        <w:rPr>
          <w:sz w:val="24"/>
          <w:lang w:val="hr-HR"/>
        </w:rPr>
        <w:t>SL L 253, 16.7.2021</w:t>
      </w:r>
      <w:r w:rsidR="000C1455">
        <w:rPr>
          <w:sz w:val="24"/>
          <w:lang w:val="hr-HR"/>
        </w:rPr>
        <w:t>.</w:t>
      </w:r>
      <w:r w:rsidRPr="00B40D68">
        <w:rPr>
          <w:sz w:val="24"/>
          <w:lang w:val="hr-HR"/>
        </w:rPr>
        <w:t>, str. 1.</w:t>
      </w:r>
    </w:p>
  </w:footnote>
  <w:footnote w:id="7">
    <w:p w:rsidR="00DB427B" w:rsidRPr="00B40D68" w:rsidRDefault="00DB427B" w:rsidP="00B40D68">
      <w:pPr>
        <w:pStyle w:val="FootnoteText"/>
        <w:ind w:left="567" w:hanging="567"/>
        <w:rPr>
          <w:sz w:val="24"/>
          <w:lang w:val="hr-HR"/>
        </w:rPr>
      </w:pPr>
      <w:r w:rsidRPr="00B40D68">
        <w:rPr>
          <w:rStyle w:val="FootnoteReference"/>
          <w:sz w:val="24"/>
          <w:lang w:val="hr-HR"/>
        </w:rPr>
        <w:footnoteRef/>
      </w:r>
      <w:r w:rsidR="00B40D68" w:rsidRPr="00B40D68">
        <w:rPr>
          <w:sz w:val="24"/>
          <w:lang w:val="hr-HR"/>
        </w:rPr>
        <w:t xml:space="preserve"> </w:t>
      </w:r>
      <w:r w:rsidR="00B40D68" w:rsidRPr="00B40D68">
        <w:rPr>
          <w:sz w:val="24"/>
          <w:lang w:val="hr-HR"/>
        </w:rPr>
        <w:tab/>
      </w:r>
      <w:r w:rsidRPr="00B40D68">
        <w:rPr>
          <w:sz w:val="24"/>
          <w:lang w:val="hr-HR"/>
        </w:rPr>
        <w:t>https://www.ombudsman.europa.eu/hr/news-document/hr/152993</w:t>
      </w:r>
    </w:p>
  </w:footnote>
  <w:footnote w:id="8">
    <w:p w:rsidR="00DB427B" w:rsidRPr="00B40D68" w:rsidRDefault="00DB427B" w:rsidP="00B40D68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B40D68">
        <w:rPr>
          <w:rStyle w:val="FootnoteReference"/>
          <w:sz w:val="24"/>
          <w:lang w:val="hr-HR"/>
        </w:rPr>
        <w:footnoteRef/>
      </w:r>
      <w:r w:rsidR="00B40D68" w:rsidRPr="00B40D68">
        <w:rPr>
          <w:sz w:val="24"/>
          <w:lang w:val="hr-HR"/>
        </w:rPr>
        <w:t xml:space="preserve"> </w:t>
      </w:r>
      <w:r w:rsidR="00B40D68" w:rsidRPr="00B40D68">
        <w:rPr>
          <w:sz w:val="24"/>
          <w:lang w:val="hr-HR"/>
        </w:rPr>
        <w:tab/>
      </w:r>
      <w:r w:rsidRPr="00B40D68">
        <w:rPr>
          <w:sz w:val="24"/>
          <w:lang w:val="hr-HR"/>
        </w:rPr>
        <w:t>https://www.europarl.europa.eu/doceo/document/TA-9-2023-0295_HR.html</w:t>
      </w:r>
    </w:p>
  </w:footnote>
  <w:footnote w:id="9">
    <w:p w:rsidR="00DB427B" w:rsidRPr="00B40D68" w:rsidRDefault="00B40D68" w:rsidP="00B40D68">
      <w:pPr>
        <w:pStyle w:val="FootnoteText"/>
        <w:ind w:left="567" w:hanging="567"/>
        <w:rPr>
          <w:sz w:val="24"/>
          <w:lang w:val="hr-HR"/>
        </w:rPr>
      </w:pPr>
      <w:r w:rsidRPr="00B40D68">
        <w:rPr>
          <w:sz w:val="24"/>
          <w:lang w:val="hr-HR"/>
        </w:rPr>
        <w:t xml:space="preserve"> </w:t>
      </w:r>
      <w:r w:rsidRPr="00B40D68">
        <w:rPr>
          <w:sz w:val="24"/>
          <w:lang w:val="hr-HR"/>
        </w:rPr>
        <w:tab/>
      </w:r>
      <w:r w:rsidR="00DB427B" w:rsidRPr="00B40D68">
        <w:rPr>
          <w:sz w:val="24"/>
          <w:lang w:val="hr-HR"/>
        </w:rPr>
        <w:t>https://www.europarl.europa.eu/doceo/document/TA-9-2023-0295_HR.html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0D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0D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0D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4/2024"/>
    <w:docVar w:name="dvlangue" w:val="HR"/>
    <w:docVar w:name="dvnumam" w:val="0"/>
    <w:docVar w:name="dvpe" w:val="753.486"/>
    <w:docVar w:name="dvrapporteur" w:val="Izvjestitelj: "/>
    <w:docVar w:name="dvtitre" w:val="Odluka Europskog parlamenta od .... 2024. o razrješnici za izvršenje općeg proračuna Europske unije za financijsku godinu 2022., dio VIII. – Europski ombudsman(2023/2137(DEC))"/>
  </w:docVars>
  <w:rsids>
    <w:rsidRoot w:val="0022799B"/>
    <w:rsid w:val="00002272"/>
    <w:rsid w:val="00064002"/>
    <w:rsid w:val="000677B9"/>
    <w:rsid w:val="000831BA"/>
    <w:rsid w:val="000A42CC"/>
    <w:rsid w:val="000C1455"/>
    <w:rsid w:val="000C3523"/>
    <w:rsid w:val="000E7DD9"/>
    <w:rsid w:val="0010095E"/>
    <w:rsid w:val="00125B37"/>
    <w:rsid w:val="00187494"/>
    <w:rsid w:val="001F32AE"/>
    <w:rsid w:val="0022799B"/>
    <w:rsid w:val="002767FF"/>
    <w:rsid w:val="002B18FE"/>
    <w:rsid w:val="002B5493"/>
    <w:rsid w:val="003220E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52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D6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27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12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87711"/>
  <w15:chartTrackingRefBased/>
  <w15:docId w15:val="{684ACE29-729E-4A55-BB1B-10E4182C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B42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B427B"/>
    <w:pPr>
      <w:spacing w:before="480" w:after="240"/>
    </w:pPr>
  </w:style>
  <w:style w:type="paragraph" w:customStyle="1" w:styleId="PageHeading">
    <w:name w:val="PageHeading"/>
    <w:basedOn w:val="Normal"/>
    <w:rsid w:val="00DB42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B427B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DB427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B42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427B"/>
    <w:rPr>
      <w:sz w:val="24"/>
      <w:lang w:val="hr-HR"/>
    </w:rPr>
  </w:style>
  <w:style w:type="paragraph" w:customStyle="1" w:styleId="EPFooter">
    <w:name w:val="EPFooter"/>
    <w:basedOn w:val="Normal"/>
    <w:rsid w:val="00DB42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DB427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47811-0D6C-4131-B5AE-58C85ED0C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3590</Words>
  <Characters>21940</Characters>
  <Application>Microsoft Office Word</Application>
  <DocSecurity>0</DocSecurity>
  <Lines>182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2024-05-22T15:09:00Z</dcterms:created>
  <dcterms:modified xsi:type="dcterms:W3CDTF">2024-05-22T15:09:00Z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P9_TA(2024)0234_</vt:lpwstr>
  </property>
  <property fmtid="{D5CDD505-2E9C-101B-9397-08002B2CF9AE}" pid="4" name="&lt;Type&gt;">
    <vt:lpwstr>RR</vt:lpwstr>
  </property>
</Properties>
</file>