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682D" w:rsidTr="0010095E">
        <w:trPr>
          <w:trHeight w:hRule="exact" w:val="1418"/>
        </w:trPr>
        <w:tc>
          <w:tcPr>
            <w:tcW w:w="6804" w:type="dxa"/>
            <w:shd w:val="clear" w:color="auto" w:fill="auto"/>
            <w:vAlign w:val="center"/>
          </w:tcPr>
          <w:p w:rsidR="00751A4A" w:rsidRPr="00B2682D" w:rsidRDefault="00BC5108" w:rsidP="0010095E">
            <w:pPr>
              <w:pStyle w:val="EPName"/>
            </w:pPr>
            <w:bookmarkStart w:id="0" w:name="_GoBack"/>
            <w:bookmarkEnd w:id="0"/>
            <w:r w:rsidRPr="00B2682D">
              <w:t>Europos Parlamentas</w:t>
            </w:r>
          </w:p>
          <w:p w:rsidR="00751A4A" w:rsidRPr="00B2682D" w:rsidRDefault="00817416" w:rsidP="00756632">
            <w:pPr>
              <w:pStyle w:val="EPTerm"/>
              <w:rPr>
                <w:rStyle w:val="HideTWBExt"/>
                <w:noProof w:val="0"/>
                <w:vanish w:val="0"/>
                <w:color w:val="auto"/>
              </w:rPr>
            </w:pPr>
            <w:r w:rsidRPr="00B2682D">
              <w:t>2019-2024</w:t>
            </w:r>
          </w:p>
        </w:tc>
        <w:tc>
          <w:tcPr>
            <w:tcW w:w="2268" w:type="dxa"/>
            <w:shd w:val="clear" w:color="auto" w:fill="auto"/>
          </w:tcPr>
          <w:p w:rsidR="00751A4A" w:rsidRPr="00B2682D" w:rsidRDefault="00187494" w:rsidP="0010095E">
            <w:pPr>
              <w:pStyle w:val="EPLogo"/>
            </w:pPr>
            <w:r w:rsidRPr="00B2682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682D" w:rsidRDefault="00D058B8" w:rsidP="004C5D52">
      <w:pPr>
        <w:pStyle w:val="LineTop"/>
      </w:pPr>
    </w:p>
    <w:p w:rsidR="00680577" w:rsidRPr="00B2682D" w:rsidRDefault="00BC5108" w:rsidP="00680577">
      <w:pPr>
        <w:pStyle w:val="EPBodyTA1"/>
      </w:pPr>
      <w:r w:rsidRPr="00B2682D">
        <w:t>PRIIMTI TEKSTAI</w:t>
      </w:r>
    </w:p>
    <w:p w:rsidR="00D058B8" w:rsidRPr="00B2682D" w:rsidRDefault="00D058B8" w:rsidP="00D058B8">
      <w:pPr>
        <w:pStyle w:val="LineBottom"/>
      </w:pPr>
    </w:p>
    <w:p w:rsidR="00BC5108" w:rsidRPr="00B2682D" w:rsidRDefault="00BC5108" w:rsidP="00BC5108">
      <w:pPr>
        <w:pStyle w:val="ATHeading1"/>
      </w:pPr>
      <w:bookmarkStart w:id="1" w:name="TANumber"/>
      <w:r w:rsidRPr="00B2682D">
        <w:t>P9_TA(2024)0</w:t>
      </w:r>
      <w:r w:rsidR="00283A23">
        <w:t>234</w:t>
      </w:r>
      <w:bookmarkEnd w:id="1"/>
    </w:p>
    <w:p w:rsidR="00BC5108" w:rsidRPr="00B2682D" w:rsidRDefault="00BC5108" w:rsidP="00BC5108">
      <w:pPr>
        <w:pStyle w:val="ATHeading2"/>
      </w:pPr>
      <w:bookmarkStart w:id="2" w:name="title"/>
      <w:r w:rsidRPr="00B2682D">
        <w:t>2022 m. biudžeto įvykdymo patvirtinimas: ES bendrasis biudžetas – Europos ombudsmenas</w:t>
      </w:r>
      <w:bookmarkEnd w:id="2"/>
    </w:p>
    <w:p w:rsidR="00BC5108" w:rsidRPr="00B2682D" w:rsidRDefault="00BC5108" w:rsidP="00BC5108">
      <w:pPr>
        <w:rPr>
          <w:i/>
          <w:vanish/>
        </w:rPr>
      </w:pPr>
      <w:r w:rsidRPr="00B2682D">
        <w:rPr>
          <w:i/>
        </w:rPr>
        <w:fldChar w:fldCharType="begin"/>
      </w:r>
      <w:r w:rsidRPr="00B2682D">
        <w:rPr>
          <w:i/>
        </w:rPr>
        <w:instrText xml:space="preserve"> TC"(</w:instrText>
      </w:r>
      <w:bookmarkStart w:id="3" w:name="DocNumber"/>
      <w:r w:rsidRPr="00B2682D">
        <w:rPr>
          <w:i/>
        </w:rPr>
        <w:instrText>A9-0084/2024</w:instrText>
      </w:r>
      <w:bookmarkEnd w:id="3"/>
      <w:r w:rsidRPr="00B2682D">
        <w:rPr>
          <w:i/>
        </w:rPr>
        <w:instrText xml:space="preserve"> - Pranešėjas: Luke </w:instrText>
      </w:r>
      <w:proofErr w:type="spellStart"/>
      <w:r w:rsidRPr="00B2682D">
        <w:rPr>
          <w:i/>
        </w:rPr>
        <w:instrText>Ming</w:instrText>
      </w:r>
      <w:proofErr w:type="spellEnd"/>
      <w:r w:rsidRPr="00B2682D">
        <w:rPr>
          <w:i/>
        </w:rPr>
        <w:instrText xml:space="preserve"> </w:instrText>
      </w:r>
      <w:proofErr w:type="spellStart"/>
      <w:r w:rsidRPr="00B2682D">
        <w:rPr>
          <w:i/>
        </w:rPr>
        <w:instrText>Flanagan</w:instrText>
      </w:r>
      <w:proofErr w:type="spellEnd"/>
      <w:r w:rsidRPr="00B2682D">
        <w:rPr>
          <w:i/>
        </w:rPr>
        <w:instrText xml:space="preserve">)"\l3 \n&gt; \* MERGEFORMAT </w:instrText>
      </w:r>
      <w:r w:rsidRPr="00B2682D">
        <w:rPr>
          <w:i/>
        </w:rPr>
        <w:fldChar w:fldCharType="end"/>
      </w:r>
    </w:p>
    <w:p w:rsidR="00BC5108" w:rsidRPr="00B2682D" w:rsidRDefault="00BC5108" w:rsidP="00BC5108">
      <w:pPr>
        <w:rPr>
          <w:vanish/>
        </w:rPr>
      </w:pPr>
      <w:bookmarkStart w:id="4" w:name="Commission"/>
      <w:r w:rsidRPr="00B2682D">
        <w:rPr>
          <w:vanish/>
        </w:rPr>
        <w:t>Biudžeto kontrolės komitetas</w:t>
      </w:r>
      <w:bookmarkEnd w:id="4"/>
    </w:p>
    <w:p w:rsidR="00BC5108" w:rsidRPr="00B2682D" w:rsidRDefault="00BC5108" w:rsidP="00BC5108">
      <w:pPr>
        <w:rPr>
          <w:vanish/>
        </w:rPr>
      </w:pPr>
      <w:bookmarkStart w:id="5" w:name="PE"/>
      <w:r w:rsidRPr="00B2682D">
        <w:rPr>
          <w:vanish/>
        </w:rPr>
        <w:t>PE753.486</w:t>
      </w:r>
      <w:bookmarkEnd w:id="5"/>
    </w:p>
    <w:p w:rsidR="00BC5108" w:rsidRPr="00B2682D" w:rsidRDefault="00651F57" w:rsidP="00651F57">
      <w:pPr>
        <w:pStyle w:val="ATHeading3"/>
      </w:pPr>
      <w:bookmarkStart w:id="6" w:name="Sujet"/>
      <w:r>
        <w:t xml:space="preserve">1. 2024 m. balandžio 11 d. </w:t>
      </w:r>
      <w:r w:rsidR="00BC5108" w:rsidRPr="00B2682D">
        <w:t>Europos Parlamento sprendimas dėl 2022 finansinių metų Europos Sąjungos bendrojo biudžeto įvykdymo patvirtinimo, VIII skirsnis – Europos ombudsmenas</w:t>
      </w:r>
      <w:bookmarkEnd w:id="6"/>
      <w:r w:rsidR="00BC5108" w:rsidRPr="00B2682D">
        <w:t xml:space="preserve"> </w:t>
      </w:r>
      <w:bookmarkStart w:id="7" w:name="References"/>
      <w:r w:rsidR="00BC5108" w:rsidRPr="00B2682D">
        <w:t>(2023/2137(DEC))</w:t>
      </w:r>
      <w:bookmarkEnd w:id="7"/>
    </w:p>
    <w:p w:rsidR="00B70222" w:rsidRPr="00B2682D" w:rsidRDefault="00B70222" w:rsidP="00B70222">
      <w:pPr>
        <w:pStyle w:val="EPComma"/>
      </w:pPr>
      <w:bookmarkStart w:id="8" w:name="TextBodyBegin"/>
      <w:bookmarkEnd w:id="8"/>
      <w:r w:rsidRPr="00B2682D">
        <w:rPr>
          <w:i/>
        </w:rPr>
        <w:t>Europos Parlamentas</w:t>
      </w:r>
      <w:r w:rsidRPr="00B2682D">
        <w:t>,</w:t>
      </w:r>
    </w:p>
    <w:p w:rsidR="00B70222" w:rsidRPr="00B2682D" w:rsidRDefault="00B70222" w:rsidP="00B70222">
      <w:pPr>
        <w:pStyle w:val="NormalHanging12a"/>
      </w:pPr>
      <w:r w:rsidRPr="00B2682D">
        <w:t>–</w:t>
      </w:r>
      <w:r w:rsidRPr="00B2682D">
        <w:tab/>
        <w:t>atsižvelgdamas į 2022 finansinių metų Europos Sąjungos bendrąjį biudžetą</w:t>
      </w:r>
      <w:r w:rsidRPr="00B2682D">
        <w:rPr>
          <w:rStyle w:val="FootnoteReference"/>
        </w:rPr>
        <w:footnoteReference w:id="1"/>
      </w:r>
      <w:r w:rsidRPr="00B2682D">
        <w:t>,</w:t>
      </w:r>
    </w:p>
    <w:p w:rsidR="00B70222" w:rsidRPr="00B2682D" w:rsidRDefault="00B70222" w:rsidP="00B70222">
      <w:pPr>
        <w:pStyle w:val="NormalHanging12a"/>
      </w:pPr>
      <w:r w:rsidRPr="00B2682D">
        <w:t>–</w:t>
      </w:r>
      <w:r w:rsidRPr="00B2682D">
        <w:tab/>
        <w:t>atsižvelgdamas į 2022 finansinių metų Europos Sąjungos konsoliduotąsias metines ataskaitas (COM(2023)0391 – C9</w:t>
      </w:r>
      <w:r w:rsidRPr="00B2682D">
        <w:noBreakHyphen/>
        <w:t>0256/2023)</w:t>
      </w:r>
      <w:r w:rsidRPr="00B2682D">
        <w:rPr>
          <w:rStyle w:val="FootnoteReference"/>
        </w:rPr>
        <w:footnoteReference w:id="2"/>
      </w:r>
      <w:r w:rsidRPr="00B2682D">
        <w:t>,</w:t>
      </w:r>
    </w:p>
    <w:p w:rsidR="00B70222" w:rsidRPr="00B2682D" w:rsidRDefault="00B70222" w:rsidP="00B70222">
      <w:pPr>
        <w:pStyle w:val="NormalHanging12a"/>
      </w:pPr>
      <w:r w:rsidRPr="00B2682D">
        <w:t>–</w:t>
      </w:r>
      <w:r w:rsidRPr="00B2682D">
        <w:tab/>
        <w:t>atsižvelgdamas į Europos ombudsmeno 2022 m. metinę veiklos ataskaitą ir į jo 2022 finansinių metų biudžeto ir finansų valdymo ataskaitą,</w:t>
      </w:r>
    </w:p>
    <w:p w:rsidR="00B70222" w:rsidRPr="00B2682D" w:rsidRDefault="00B70222" w:rsidP="00B70222">
      <w:pPr>
        <w:pStyle w:val="NormalHanging12a"/>
      </w:pPr>
      <w:r w:rsidRPr="00B2682D">
        <w:t>–</w:t>
      </w:r>
      <w:r w:rsidRPr="00B2682D">
        <w:tab/>
        <w:t>atsižvelgdamas į Audito Rūmų 2022 finansinių metų metinę biudžeto vykdymo ataskaitą kartu su institucijų atsakymais</w:t>
      </w:r>
      <w:r w:rsidRPr="00B2682D">
        <w:rPr>
          <w:rStyle w:val="FootnoteReference"/>
        </w:rPr>
        <w:footnoteReference w:id="3"/>
      </w:r>
      <w:r w:rsidRPr="00B2682D">
        <w:t>,</w:t>
      </w:r>
    </w:p>
    <w:p w:rsidR="00B70222" w:rsidRPr="00B2682D" w:rsidRDefault="00B70222" w:rsidP="00B70222">
      <w:pPr>
        <w:pStyle w:val="NormalHanging12a"/>
      </w:pPr>
      <w:r w:rsidRPr="00B2682D">
        <w:t>–</w:t>
      </w:r>
      <w:r w:rsidRPr="00B2682D">
        <w:tab/>
        <w:t>atsižvelgdamas į Audito Rūmų pagal Sutarties dėl Europos Sąjungos veikimo 287 straipsnį pateiktą 2022 finansinių metų sąskaitų patikimumo ir pagal jas atliktų operacijų teisėtumo ir tvarkingumo patikinimo pareiškimą</w:t>
      </w:r>
      <w:r w:rsidRPr="00B2682D">
        <w:rPr>
          <w:rStyle w:val="FootnoteReference"/>
        </w:rPr>
        <w:footnoteReference w:id="4"/>
      </w:r>
      <w:r w:rsidRPr="00B2682D">
        <w:t>,</w:t>
      </w:r>
    </w:p>
    <w:p w:rsidR="00B70222" w:rsidRPr="00B2682D" w:rsidRDefault="00B70222" w:rsidP="00B70222">
      <w:pPr>
        <w:pStyle w:val="NormalHanging12a"/>
      </w:pPr>
      <w:r w:rsidRPr="00B2682D">
        <w:t>–</w:t>
      </w:r>
      <w:r w:rsidRPr="00B2682D">
        <w:tab/>
        <w:t>atsižvelgdamas į Sutarties dėl Europos Sąjungos veikimo 314 straipsnio 10 dalį ir 317, 318 ir 319 straipsnius,</w:t>
      </w:r>
    </w:p>
    <w:p w:rsidR="00B70222" w:rsidRPr="00B2682D" w:rsidRDefault="00B70222" w:rsidP="00B70222">
      <w:pPr>
        <w:pStyle w:val="NormalHanging12a"/>
      </w:pPr>
      <w:r w:rsidRPr="00B2682D">
        <w:t>–</w:t>
      </w:r>
      <w:r w:rsidRPr="00B2682D">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B2682D">
        <w:lastRenderedPageBreak/>
        <w:t>panaikinamas Reglamentas (ES, Euratomas) Nr. 966/2012</w:t>
      </w:r>
      <w:r w:rsidRPr="00B2682D">
        <w:rPr>
          <w:rStyle w:val="FootnoteReference"/>
        </w:rPr>
        <w:footnoteReference w:id="5"/>
      </w:r>
      <w:r w:rsidRPr="00B2682D">
        <w:t>, ypač į jo 59, 118, 260, 261 ir 262 straipsnius,</w:t>
      </w:r>
    </w:p>
    <w:p w:rsidR="00B70222" w:rsidRPr="00B2682D" w:rsidRDefault="00B70222" w:rsidP="00B70222">
      <w:pPr>
        <w:pStyle w:val="NormalHanging12a"/>
      </w:pPr>
      <w:r w:rsidRPr="00B2682D">
        <w:t>–</w:t>
      </w:r>
      <w:r w:rsidRPr="00B2682D">
        <w:tab/>
        <w:t>atsižvelgdamas į Darbo tvarkos taisyklių 100 straipsnį ir V priedą,</w:t>
      </w:r>
    </w:p>
    <w:p w:rsidR="00B70222" w:rsidRPr="00B2682D" w:rsidRDefault="00B70222" w:rsidP="00B70222">
      <w:pPr>
        <w:pStyle w:val="NormalHanging12a"/>
      </w:pPr>
      <w:r w:rsidRPr="00B2682D">
        <w:t>–</w:t>
      </w:r>
      <w:r w:rsidRPr="00B2682D">
        <w:tab/>
        <w:t>atsižvelgdamas į Biudžeto kontrolės komiteto pranešimą (A9</w:t>
      </w:r>
      <w:r w:rsidRPr="00B2682D">
        <w:noBreakHyphen/>
        <w:t>0084/2024),</w:t>
      </w:r>
    </w:p>
    <w:p w:rsidR="00B70222" w:rsidRPr="00B2682D" w:rsidRDefault="00B70222" w:rsidP="00B70222">
      <w:pPr>
        <w:pStyle w:val="NormalHanging12a"/>
      </w:pPr>
      <w:r w:rsidRPr="00B2682D">
        <w:t>1.</w:t>
      </w:r>
      <w:r w:rsidRPr="00B2682D">
        <w:tab/>
        <w:t xml:space="preserve">patvirtina Europos </w:t>
      </w:r>
      <w:proofErr w:type="spellStart"/>
      <w:r w:rsidRPr="00B2682D">
        <w:t>ombudsmenei</w:t>
      </w:r>
      <w:proofErr w:type="spellEnd"/>
      <w:r w:rsidRPr="00B2682D">
        <w:t>, kad Europos ombudsmeno 2022 finansinių metų biudžetas įvykdytas;</w:t>
      </w:r>
    </w:p>
    <w:p w:rsidR="00B70222" w:rsidRPr="00B2682D" w:rsidRDefault="00B70222" w:rsidP="00B70222">
      <w:pPr>
        <w:pStyle w:val="NormalHanging12a"/>
      </w:pPr>
      <w:r w:rsidRPr="00B2682D">
        <w:t>2.</w:t>
      </w:r>
      <w:r w:rsidRPr="00B2682D">
        <w:tab/>
        <w:t>išdėsto savo pastabas toliau pateikiamoje rezoliucijoje;</w:t>
      </w:r>
    </w:p>
    <w:p w:rsidR="00B70222" w:rsidRPr="00B2682D" w:rsidRDefault="00B70222" w:rsidP="00B70222">
      <w:pPr>
        <w:pStyle w:val="NormalHanging12a"/>
      </w:pPr>
      <w:r w:rsidRPr="00B2682D">
        <w:t>3.</w:t>
      </w:r>
      <w:r w:rsidRPr="00B2682D">
        <w:tab/>
        <w:t xml:space="preserve">paveda Pirmininkei perduoti šį sprendimą ir rezoliuciją, kuri yra neatskiriama jo dalis, Europos </w:t>
      </w:r>
      <w:proofErr w:type="spellStart"/>
      <w:r w:rsidRPr="00B2682D">
        <w:t>ombudsmen</w:t>
      </w:r>
      <w:r w:rsidR="00AB0626">
        <w:t>e</w:t>
      </w:r>
      <w:r w:rsidRPr="00B2682D">
        <w:t>i</w:t>
      </w:r>
      <w:proofErr w:type="spellEnd"/>
      <w:r w:rsidRPr="00B2682D">
        <w:t>, Europos Vadovų Tarybai, Tarybai, Komisijai, Europos Sąjungos Teisingumo Teismui, Audito Rūmams, Europos duomenų apsaugos priežiūros pareigūnui ir Europos išorės veiksmų tarnybai ir pasirūpinti, kad jie būtų paskelbti</w:t>
      </w:r>
      <w:r w:rsidRPr="00B2682D">
        <w:rPr>
          <w:i/>
        </w:rPr>
        <w:t xml:space="preserve"> Europos Sąjungos oficialiajame leidinyje</w:t>
      </w:r>
      <w:r w:rsidRPr="00B2682D">
        <w:t xml:space="preserve"> (L serijoje).</w:t>
      </w:r>
    </w:p>
    <w:p w:rsidR="00B70222" w:rsidRPr="00B2682D" w:rsidRDefault="00B70222" w:rsidP="00B70222"/>
    <w:p w:rsidR="00B70222" w:rsidRPr="00B2682D" w:rsidRDefault="00B70222" w:rsidP="00B70222">
      <w:pPr>
        <w:pStyle w:val="PageHeading"/>
        <w:sectPr w:rsidR="00B70222" w:rsidRPr="00B2682D" w:rsidSect="00B2682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70222" w:rsidRPr="00B2682D" w:rsidRDefault="00651F57" w:rsidP="00651F57">
      <w:pPr>
        <w:pStyle w:val="ATHeading3"/>
      </w:pPr>
      <w:r>
        <w:lastRenderedPageBreak/>
        <w:t xml:space="preserve">2. 2024 m. balandžio 11 d. </w:t>
      </w:r>
      <w:r w:rsidRPr="00B2682D">
        <w:t xml:space="preserve">Europos Parlamento </w:t>
      </w:r>
      <w:r>
        <w:t xml:space="preserve">rezoliucija </w:t>
      </w:r>
      <w:r w:rsidR="00B70222" w:rsidRPr="00B2682D">
        <w:t>su pastabomis, sudarančiomis neatskiriamą sprendimo dėl 2022 finansinių metų Europos Sąjungos bendrojo biudžeto įvykdymo patvirtinimo, VIII skirsnis – Europos ombudsmenas, dalį</w:t>
      </w:r>
      <w:r>
        <w:t xml:space="preserve"> </w:t>
      </w:r>
      <w:r w:rsidR="00B70222" w:rsidRPr="00B2682D">
        <w:t>(2023/2137(DEC))</w:t>
      </w:r>
    </w:p>
    <w:p w:rsidR="00B70222" w:rsidRPr="00B2682D" w:rsidRDefault="00B70222" w:rsidP="00B70222">
      <w:pPr>
        <w:pStyle w:val="EPComma"/>
      </w:pPr>
      <w:r w:rsidRPr="00B2682D">
        <w:rPr>
          <w:i/>
        </w:rPr>
        <w:t>Europos Parlamentas</w:t>
      </w:r>
      <w:r w:rsidRPr="00B2682D">
        <w:t>,</w:t>
      </w:r>
    </w:p>
    <w:p w:rsidR="00B70222" w:rsidRPr="00B2682D" w:rsidRDefault="00B70222" w:rsidP="00B70222">
      <w:pPr>
        <w:pStyle w:val="NormalHanging12a"/>
      </w:pPr>
      <w:r w:rsidRPr="00B2682D">
        <w:t>–</w:t>
      </w:r>
      <w:r w:rsidRPr="00B2682D">
        <w:tab/>
        <w:t>atsižvelgdamas į savo sprendimą dėl 2022 finansinių metų Europos Sąjungos bendrojo biudžeto įvykdymo patvirtinimo, VIII skirsnis – Europos ombudsmenas,</w:t>
      </w:r>
    </w:p>
    <w:p w:rsidR="00B70222" w:rsidRPr="00B2682D" w:rsidRDefault="00B70222" w:rsidP="00B70222">
      <w:pPr>
        <w:pStyle w:val="NormalHanging12a"/>
      </w:pPr>
      <w:r w:rsidRPr="00B2682D">
        <w:t>–</w:t>
      </w:r>
      <w:r w:rsidRPr="00B2682D">
        <w:tab/>
        <w:t>atsižvelgdamas į Darbo tvarkos taisyklių 100 straipsnį ir V priedą,</w:t>
      </w:r>
    </w:p>
    <w:p w:rsidR="00B70222" w:rsidRPr="00B2682D" w:rsidRDefault="00B70222" w:rsidP="00B70222">
      <w:pPr>
        <w:pStyle w:val="NormalHanging12a"/>
      </w:pPr>
      <w:r w:rsidRPr="00B2682D">
        <w:t>–</w:t>
      </w:r>
      <w:r w:rsidRPr="00B2682D">
        <w:tab/>
        <w:t>atsižvelgdamas į Biudžeto kontrolės komiteto pranešimą (A9</w:t>
      </w:r>
      <w:r w:rsidRPr="00B2682D">
        <w:noBreakHyphen/>
        <w:t>0084/2024),</w:t>
      </w:r>
    </w:p>
    <w:p w:rsidR="00B70222" w:rsidRPr="00B2682D" w:rsidRDefault="00B70222" w:rsidP="00B70222">
      <w:pPr>
        <w:pStyle w:val="NormalHanging12a"/>
        <w:rPr>
          <w:szCs w:val="24"/>
        </w:rPr>
      </w:pPr>
      <w:r w:rsidRPr="00B2682D">
        <w:t>A.</w:t>
      </w:r>
      <w:r w:rsidRPr="00B2682D">
        <w:tab/>
        <w:t>kadangi vykdant biudžeto įvykdymo patvirtinimo procedūrą biudžeto įvykdymą tvirtinanti institucija nori pabrėžti, jog nepaprastai svarbu toliau stiprinti Sąjungos institucijų demokratinį teisėtumą didinant skaidrumą ir atskaitomybę, įgyvendinant rezultatais grindžiamo biudžeto sudarymo koncepciją ir užtikrinant gerą žmogiškųjų išteklių valdymą;</w:t>
      </w:r>
    </w:p>
    <w:p w:rsidR="00B70222" w:rsidRPr="00B2682D" w:rsidRDefault="00B70222" w:rsidP="00B70222">
      <w:pPr>
        <w:pStyle w:val="NormalHanging12a"/>
        <w:rPr>
          <w:szCs w:val="24"/>
        </w:rPr>
      </w:pPr>
      <w:r w:rsidRPr="00B2682D">
        <w:t>B.</w:t>
      </w:r>
      <w:r w:rsidRPr="00B2682D">
        <w:tab/>
        <w:t>kadangi Sutarties dėl Europos Sąjungos veikimo 228 straipsnyje numatyta, kad Europos ombudsmenas, kurį renka Europos Parlamentas, turi įgaliojimus priimti bet kurio Sąjungos piliečio arba bet kurio fizinio ar juridinio asmens, gyvenančio ar turinčio registruotą buveinę valstybėje narėje, skundus dėl netinkamo administravimo atvejų Sąjungos institucijų, įstaigų ar organų veikloje, išskyrus Europos Sąjungos Teisingumo Teismą, kai jis vykdo teismines funkcijas. Ombudsmenas tokius skundus nagrinėja ir dėl jų parengia pranešimą;</w:t>
      </w:r>
    </w:p>
    <w:p w:rsidR="00B70222" w:rsidRPr="00B2682D" w:rsidRDefault="00B70222" w:rsidP="00B70222">
      <w:pPr>
        <w:pStyle w:val="NormalHanging12a"/>
        <w:rPr>
          <w:szCs w:val="24"/>
        </w:rPr>
      </w:pPr>
      <w:r w:rsidRPr="00B2682D">
        <w:t>C.</w:t>
      </w:r>
      <w:r w:rsidRPr="00B2682D">
        <w:tab/>
        <w:t>kadangi 2021 m. birželio 24 d. Europos Parlamento reglamentu (ES, Euratomas) 2021/1163</w:t>
      </w:r>
      <w:r w:rsidRPr="00B2682D">
        <w:rPr>
          <w:rStyle w:val="FootnoteReference"/>
          <w:szCs w:val="24"/>
        </w:rPr>
        <w:footnoteReference w:id="6"/>
      </w:r>
      <w:r w:rsidRPr="00B2682D">
        <w:t xml:space="preserve"> nustatomos ombudsmeno pareigų atlikimą reglamentuojančios nuostatos ir bendrosios sąlygos (Europos ombudsmeno statutas);</w:t>
      </w:r>
    </w:p>
    <w:p w:rsidR="00B70222" w:rsidRPr="00B2682D" w:rsidRDefault="00B70222" w:rsidP="00B70222">
      <w:pPr>
        <w:pStyle w:val="NormalHanging12a"/>
        <w:rPr>
          <w:szCs w:val="24"/>
        </w:rPr>
      </w:pPr>
      <w:r w:rsidRPr="00B2682D">
        <w:t>D.</w:t>
      </w:r>
      <w:r w:rsidRPr="00B2682D">
        <w:tab/>
        <w:t>kadangi Europos ombudsmeno sprendimas, kuriuo priimamos įgyvendinimo nuostatos, šiuo metu peržiūrimas, nes buvo priimtas Reglamentas (ES, Euratomas) 2021/1163;</w:t>
      </w:r>
    </w:p>
    <w:p w:rsidR="00B70222" w:rsidRPr="00B2682D" w:rsidRDefault="00B70222" w:rsidP="00B70222">
      <w:pPr>
        <w:pStyle w:val="NormalHanging12a"/>
        <w:rPr>
          <w:szCs w:val="24"/>
        </w:rPr>
      </w:pPr>
      <w:r w:rsidRPr="00B2682D">
        <w:t>1.</w:t>
      </w:r>
      <w:r w:rsidRPr="00B2682D">
        <w:tab/>
        <w:t>pažymi, kad Europos ombudsmeno (toliau – Ombudsmenas) biudžetas patenka į DFP 7 išlaidų kategoriją „Europos viešasis administravimas“, kurią 2022 m. iš viso sudarė 11,6 mlrd. EUR (t. y. 5,9 proc. Sąjungos biudžeto išlaidų); pažymi, kad 2022 m. Ombudsmeno biudžetas sudarė 0,1 proc. DFP 7 išlaidų kategorijos asignavimų;</w:t>
      </w:r>
    </w:p>
    <w:p w:rsidR="00B70222" w:rsidRPr="00B2682D" w:rsidRDefault="00B70222" w:rsidP="00B70222">
      <w:pPr>
        <w:pStyle w:val="NormalHanging12a"/>
        <w:rPr>
          <w:szCs w:val="24"/>
        </w:rPr>
      </w:pPr>
      <w:r w:rsidRPr="00B2682D">
        <w:t>2.</w:t>
      </w:r>
      <w:r w:rsidRPr="00B2682D">
        <w:tab/>
        <w:t>pažymi, kad Audito Rūmai savo 2022 finansinių metų metinėje ataskaitoje išanalizavo 60 administravimo srities operacijų imtį – tiek pat, kiek 2021 m.; taip pat pažymi, kad Audito Rūmai rašo, jog administracines išlaidas sudaro išlaidos žmogiškiesiems ištekliams, įskaitant pensijas, kurios 2022 m. sudarė apie 70 proc. visų administracinių išlaidų, taip pat pastatams, įrangai, energijai, ryšių ir informacinėms technologijoms, ir kad jų daugelio metų darbo patirtis rodo, jog apskritai šios išlaidos yra nedidelės rizikos;</w:t>
      </w:r>
    </w:p>
    <w:p w:rsidR="00B70222" w:rsidRPr="00B2682D" w:rsidRDefault="00B70222" w:rsidP="00B70222">
      <w:pPr>
        <w:pStyle w:val="NormalHanging12a"/>
        <w:rPr>
          <w:szCs w:val="24"/>
        </w:rPr>
      </w:pPr>
      <w:r w:rsidRPr="00B2682D">
        <w:t>3.</w:t>
      </w:r>
      <w:r w:rsidRPr="00B2682D">
        <w:tab/>
        <w:t xml:space="preserve">pažymi, kad Audito Rūmai, atlikdami 2022 m. auditą, išnagrinėjo Ombudsmeno </w:t>
      </w:r>
      <w:r w:rsidRPr="00B2682D">
        <w:lastRenderedPageBreak/>
        <w:t xml:space="preserve">priežiūros ir kontrolės sistemas, visų pirma vidaus kontrolės standartų įgyvendinimą, rizikos valdymą ir reglamente (ES, Euratomas) 2018/1046 (Finansinis reglamentas) apibrėžtų pagrindinių kontrolės priemonių veikimą, įskaitant mokėjimų </w:t>
      </w:r>
      <w:proofErr w:type="spellStart"/>
      <w:r w:rsidRPr="00B2682D">
        <w:rPr>
          <w:i/>
          <w:iCs/>
        </w:rPr>
        <w:t>ex</w:t>
      </w:r>
      <w:proofErr w:type="spellEnd"/>
      <w:r w:rsidRPr="00B2682D">
        <w:rPr>
          <w:i/>
          <w:iCs/>
        </w:rPr>
        <w:t xml:space="preserve"> ante</w:t>
      </w:r>
      <w:r w:rsidRPr="00B2682D">
        <w:t xml:space="preserve"> ir </w:t>
      </w:r>
      <w:proofErr w:type="spellStart"/>
      <w:r w:rsidRPr="00B2682D">
        <w:rPr>
          <w:i/>
          <w:iCs/>
        </w:rPr>
        <w:t>ex</w:t>
      </w:r>
      <w:proofErr w:type="spellEnd"/>
      <w:r w:rsidRPr="00B2682D">
        <w:rPr>
          <w:i/>
          <w:iCs/>
        </w:rPr>
        <w:t xml:space="preserve"> </w:t>
      </w:r>
      <w:proofErr w:type="spellStart"/>
      <w:r w:rsidRPr="00B2682D">
        <w:rPr>
          <w:i/>
          <w:iCs/>
        </w:rPr>
        <w:t>post</w:t>
      </w:r>
      <w:proofErr w:type="spellEnd"/>
      <w:r w:rsidRPr="00B2682D">
        <w:t xml:space="preserve"> kontrolę;</w:t>
      </w:r>
    </w:p>
    <w:p w:rsidR="00B70222" w:rsidRPr="00B2682D" w:rsidRDefault="00B70222" w:rsidP="00B70222">
      <w:pPr>
        <w:pStyle w:val="NormalHanging12a"/>
        <w:rPr>
          <w:szCs w:val="24"/>
        </w:rPr>
      </w:pPr>
      <w:r w:rsidRPr="00B2682D">
        <w:t>4.</w:t>
      </w:r>
      <w:r w:rsidRPr="00B2682D">
        <w:tab/>
        <w:t>pažymi, kad 14 (23 proc.) iš 60 operacijų buvo klaidų, tačiau Audito Rūmai, remdamiesi penkiomis kiekybiškai įvertintomis klaidomis, apskaičiavo, kad klaidų lygis nesiekia reikšmingumo ribos;</w:t>
      </w:r>
    </w:p>
    <w:p w:rsidR="00B70222" w:rsidRPr="00B2682D" w:rsidRDefault="00B70222" w:rsidP="00B70222">
      <w:pPr>
        <w:pStyle w:val="NormalHanging12a"/>
        <w:rPr>
          <w:szCs w:val="24"/>
        </w:rPr>
      </w:pPr>
      <w:r w:rsidRPr="00B2682D">
        <w:t>5.</w:t>
      </w:r>
      <w:r w:rsidRPr="00B2682D">
        <w:tab/>
        <w:t>su pasitenkinimu atkreipia dėmesį į tai, jog savo 2022 finansinių metų metinėje ataskaitoje Audito Rūmai pažymi nenustatę jokių konkrečių su Ombudsmenu susijusių problemų;</w:t>
      </w:r>
    </w:p>
    <w:p w:rsidR="00B70222" w:rsidRPr="00B2682D" w:rsidRDefault="00B70222" w:rsidP="00B70222">
      <w:pPr>
        <w:pStyle w:val="NormalHanging12a"/>
        <w:rPr>
          <w:b/>
          <w:i/>
          <w:szCs w:val="24"/>
        </w:rPr>
      </w:pPr>
      <w:r w:rsidRPr="00B2682D">
        <w:rPr>
          <w:b/>
          <w:i/>
        </w:rPr>
        <w:t>Biudžeto ir finansų valdymas</w:t>
      </w:r>
    </w:p>
    <w:p w:rsidR="00B70222" w:rsidRPr="00B2682D" w:rsidRDefault="00B70222" w:rsidP="00B70222">
      <w:pPr>
        <w:pStyle w:val="NormalHanging12a"/>
        <w:rPr>
          <w:szCs w:val="24"/>
        </w:rPr>
      </w:pPr>
      <w:r w:rsidRPr="00B2682D">
        <w:t>6.</w:t>
      </w:r>
      <w:r w:rsidRPr="00B2682D">
        <w:tab/>
        <w:t>pažymi, kad 2022 m. Ombudsmeno biudžetas siekė 12 222 108 EUR, t. y. buvo 280 000 EUR mažesnis, palyginti su 2021 m.; supranta, kad šis sumažinimas yra biudžeto racionalizavimo, grindžiamo faktiniais poreikiais, rezultatas;</w:t>
      </w:r>
    </w:p>
    <w:p w:rsidR="00B70222" w:rsidRPr="00B2682D" w:rsidRDefault="00B70222" w:rsidP="00B70222">
      <w:pPr>
        <w:pStyle w:val="NormalHanging12a"/>
        <w:rPr>
          <w:szCs w:val="24"/>
        </w:rPr>
      </w:pPr>
      <w:r w:rsidRPr="00B2682D">
        <w:t>7.</w:t>
      </w:r>
      <w:r w:rsidRPr="00B2682D">
        <w:tab/>
        <w:t>pažymi, kad 2022 m. biudžeto įvykdymo lygis buvo 96,97 proc., t. y. didesnis nei ankstesniais metais, kai dėl apribojimų, susijusių su COVID-19 pandemija, įvykdymo lygis buvo 88,8 proc.;</w:t>
      </w:r>
    </w:p>
    <w:p w:rsidR="00B70222" w:rsidRPr="00B2682D" w:rsidRDefault="00B70222" w:rsidP="00B70222">
      <w:pPr>
        <w:pStyle w:val="NormalHanging12a"/>
        <w:rPr>
          <w:szCs w:val="24"/>
        </w:rPr>
      </w:pPr>
      <w:r w:rsidRPr="00B2682D">
        <w:t>8.</w:t>
      </w:r>
      <w:r w:rsidRPr="00B2682D">
        <w:tab/>
        <w:t xml:space="preserve">pažymi, kad 2022 m. Ombudsmenas atliko 6 biudžeto </w:t>
      </w:r>
      <w:proofErr w:type="spellStart"/>
      <w:r w:rsidRPr="00B2682D">
        <w:t>perkėlimus</w:t>
      </w:r>
      <w:proofErr w:type="spellEnd"/>
      <w:r w:rsidRPr="00B2682D">
        <w:t xml:space="preserve"> pagal Finansinio reglamento 29 straipsnį, o tai iš viso sudaro 344 460 EUR arba 2,8 proc. tų finansinių metų asignavimų; taip pat pažymi, kad 2000 punkto biudžeto nomenklatūra buvo padalyta į keturias </w:t>
      </w:r>
      <w:proofErr w:type="spellStart"/>
      <w:r w:rsidRPr="00B2682D">
        <w:t>pakategores</w:t>
      </w:r>
      <w:proofErr w:type="spellEnd"/>
      <w:r w:rsidRPr="00B2682D">
        <w:t>, siekiant padidinti informacijos, reikalingos Ombudsmeno pastatams abiejose darbo vietose, skaidrumą; pripažįsta, kad asignavimai, perkelti iš nuomos biudžeto punkto, nebuvo panaudoti, nes Ombudsmenas visas naujojo Ombudsmeno pastato įrengimo išlaidas padengė iš 2021 m. biudžeto, o ne paskirstė jas šešeriems metams;</w:t>
      </w:r>
    </w:p>
    <w:p w:rsidR="00B70222" w:rsidRPr="00B2682D" w:rsidRDefault="00B70222" w:rsidP="00B70222">
      <w:pPr>
        <w:pStyle w:val="NormalHanging12a"/>
        <w:rPr>
          <w:szCs w:val="24"/>
        </w:rPr>
      </w:pPr>
      <w:r w:rsidRPr="00B2682D">
        <w:t>9.</w:t>
      </w:r>
      <w:r w:rsidRPr="00B2682D">
        <w:tab/>
        <w:t>palankiai vertina tai, kad, nors 2021–2022 m. mokėjimų laikas pailgėjo nuo 11,35 iki 13 dienų, vidutinis mokėjimų laikas ir toliau yra palyginti trumpas; mano, kad elektroninių sąskaitų faktūrų išrašymo sistemos įgyvendinimas nuo 2023 m. gali tik pagerinti mokėjimų proceso veiksmingumą;</w:t>
      </w:r>
    </w:p>
    <w:p w:rsidR="00B70222" w:rsidRPr="00B2682D" w:rsidRDefault="00B70222" w:rsidP="00B70222">
      <w:pPr>
        <w:pStyle w:val="NormalHanging12a"/>
        <w:rPr>
          <w:szCs w:val="24"/>
        </w:rPr>
      </w:pPr>
      <w:r w:rsidRPr="00B2682D">
        <w:t>10.</w:t>
      </w:r>
      <w:r w:rsidRPr="00B2682D">
        <w:tab/>
        <w:t>pažymi, kad Ombudsmenas nepranešė apie Rusijos agresijos karo prieš Ukrainą poveikį savo 2022 m. komandiruočių, viešųjų pirkimų ar pastatų biudžetui; rekomenduoja Ombudsmenui atsižvelgti į tai, kad dėl kitos metinės nuomos ir vienkartinių pastatų mokesčių peržiūros, kurią atliks Parlamentas, Ombudsmeno 2023 m. biudžete gali atsirasti papildomų išlaidų;</w:t>
      </w:r>
    </w:p>
    <w:p w:rsidR="00B70222" w:rsidRPr="00B2682D" w:rsidRDefault="00B70222" w:rsidP="00B70222">
      <w:pPr>
        <w:pStyle w:val="NormalHanging12a"/>
        <w:rPr>
          <w:szCs w:val="24"/>
        </w:rPr>
      </w:pPr>
      <w:r w:rsidRPr="00B2682D">
        <w:t>11.</w:t>
      </w:r>
      <w:r w:rsidRPr="00B2682D">
        <w:tab/>
        <w:t>pažymi, kad darbuotojų komandiruotėms skirtas biudžetas sumažėjo nuo 135 000 EUR 2021 m. iki 120 000 EUR 2022 m. dėl sutaupytų lėšų, remiantis COVID-19 pandemijos metu įgyta patirtimi, ir dėl plataus vaizdo konferencijų įrangos naudojimo vidaus ir išorės posėdžiams abiejose darbo vietose;</w:t>
      </w:r>
    </w:p>
    <w:p w:rsidR="00B70222" w:rsidRPr="00B2682D" w:rsidRDefault="00B70222" w:rsidP="00B70222">
      <w:pPr>
        <w:pStyle w:val="NormalHanging12a"/>
        <w:rPr>
          <w:b/>
          <w:i/>
          <w:szCs w:val="24"/>
        </w:rPr>
      </w:pPr>
      <w:r w:rsidRPr="00B2682D">
        <w:rPr>
          <w:b/>
          <w:i/>
        </w:rPr>
        <w:t>Vidaus valdymas, veikla ir vidaus kontrolė</w:t>
      </w:r>
    </w:p>
    <w:p w:rsidR="00B70222" w:rsidRPr="00B2682D" w:rsidRDefault="00B70222" w:rsidP="00B70222">
      <w:pPr>
        <w:pStyle w:val="NormalHanging12a"/>
        <w:rPr>
          <w:szCs w:val="24"/>
        </w:rPr>
      </w:pPr>
      <w:r w:rsidRPr="00B2682D">
        <w:t>12.</w:t>
      </w:r>
      <w:r w:rsidRPr="00B2682D">
        <w:tab/>
        <w:t xml:space="preserve">pažymi, kad 2022 m. Ombudsmenas toliau įgyvendino konkrečius veiksmus, atsižvelgdamas į Ombudsmeno penkerių metų strategijos „2024 m. link“ tikslus ir </w:t>
      </w:r>
      <w:r w:rsidRPr="00B2682D">
        <w:lastRenderedPageBreak/>
        <w:t>prioritetus, kaip nustatyta jo metiniame valdymo plane (MVP); ypač pabrėžia, kad Ombudsmenas sėkmingai pateikė nuostatų, kuriomis įgyvendinamas naujasis Ombudsmeno pareigas reglamentuojantis statutas, projektą Komisijai, Tarybai ir Parlamentui konsultacijoms pagal 2022 m. MVP;</w:t>
      </w:r>
    </w:p>
    <w:p w:rsidR="00B70222" w:rsidRPr="00B2682D" w:rsidRDefault="00B70222" w:rsidP="00B70222">
      <w:pPr>
        <w:pStyle w:val="NormalHanging12a"/>
        <w:rPr>
          <w:szCs w:val="24"/>
        </w:rPr>
      </w:pPr>
      <w:r w:rsidRPr="00B2682D">
        <w:t>13.</w:t>
      </w:r>
      <w:r w:rsidRPr="00B2682D">
        <w:tab/>
        <w:t xml:space="preserve">pabrėžia, kad 2022 m. </w:t>
      </w:r>
      <w:proofErr w:type="spellStart"/>
      <w:r w:rsidRPr="00B2682D">
        <w:t>ombudsmenė</w:t>
      </w:r>
      <w:proofErr w:type="spellEnd"/>
      <w:r w:rsidRPr="00B2682D">
        <w:t>, pastebėjusi akivaizdų viešosios informacijos nebuvimą, iš anksto paklausė Europos Komisijos, kaip ji užtikrins derybų dėl nacionalinių ekonomikos gaivinimo planų skaidrumą, viešą valstybių narių pasiektų tarpinių reikšmių kontrolę ir kaip ji prižiūrės auditus</w:t>
      </w:r>
      <w:r w:rsidRPr="00B2682D">
        <w:rPr>
          <w:szCs w:val="24"/>
          <w:vertAlign w:val="superscript"/>
        </w:rPr>
        <w:footnoteReference w:id="7"/>
      </w:r>
      <w:r w:rsidRPr="00B2682D">
        <w:t>;</w:t>
      </w:r>
    </w:p>
    <w:p w:rsidR="00B70222" w:rsidRPr="00B2682D" w:rsidRDefault="00B70222" w:rsidP="00B70222">
      <w:pPr>
        <w:pStyle w:val="NormalHanging12a"/>
        <w:rPr>
          <w:szCs w:val="24"/>
        </w:rPr>
      </w:pPr>
      <w:r w:rsidRPr="00B2682D">
        <w:t>14.</w:t>
      </w:r>
      <w:r w:rsidRPr="00B2682D">
        <w:tab/>
        <w:t>pažymi, kad 2022 m. Ombudsmenas gavo 2 223 skundus, palyginti su 2 192 skundais 2021 m., iš kurių 35 proc. priklausė Ombudsmeno įgaliojimų sričiai; taip pat pažymi, kad Ombudsmenas pradėjo 348 tyrimus, įskaitant 60 visuomeninės svarbos tyrimų, ir 2022 m. baigė 330 tyrimų, palyginti su 338 pradėtais tyrimais ir 305 baigtais tyrimais 2021 m.;</w:t>
      </w:r>
    </w:p>
    <w:p w:rsidR="00B70222" w:rsidRPr="00B2682D" w:rsidRDefault="00B70222" w:rsidP="00B70222">
      <w:pPr>
        <w:pStyle w:val="NormalHanging12a"/>
        <w:rPr>
          <w:szCs w:val="24"/>
        </w:rPr>
      </w:pPr>
      <w:r w:rsidRPr="00B2682D">
        <w:t>15.</w:t>
      </w:r>
      <w:r w:rsidRPr="00B2682D">
        <w:tab/>
        <w:t xml:space="preserve">itin susirūpinęs pažymi, kad Ombudsmenas gauna daug piliečių skundų dėl to, kad stipriai vėluojama leisti susipažinti su prašomais dokumentais; pritaria </w:t>
      </w:r>
      <w:proofErr w:type="spellStart"/>
      <w:r w:rsidRPr="00B2682D">
        <w:t>ombudsmenės</w:t>
      </w:r>
      <w:proofErr w:type="spellEnd"/>
      <w:r w:rsidRPr="00B2682D">
        <w:t xml:space="preserve"> nuomonei, kad delsimas leisti susipažinti su dokumentais faktiškai reiškia atsisakymą leisti su jais susipažinti ir kad administracinės procedūros turėtų būti supaprastintos siekiant užtikrinti, kad piliečiai galėtų laiku susipažinti su dokumentais</w:t>
      </w:r>
      <w:r w:rsidRPr="00B2682D">
        <w:rPr>
          <w:szCs w:val="24"/>
          <w:vertAlign w:val="superscript"/>
        </w:rPr>
        <w:footnoteReference w:id="8"/>
      </w:r>
      <w:r w:rsidRPr="00B2682D">
        <w:t>;</w:t>
      </w:r>
    </w:p>
    <w:p w:rsidR="00B70222" w:rsidRPr="00B2682D" w:rsidRDefault="00B70222" w:rsidP="00B70222">
      <w:pPr>
        <w:pStyle w:val="NormalHanging12a"/>
        <w:rPr>
          <w:szCs w:val="24"/>
        </w:rPr>
      </w:pPr>
      <w:r w:rsidRPr="00B2682D">
        <w:t>16.</w:t>
      </w:r>
      <w:r w:rsidRPr="00B2682D">
        <w:tab/>
        <w:t xml:space="preserve">palankiai vertina tai, kad parengtas supaprastintas </w:t>
      </w:r>
      <w:proofErr w:type="spellStart"/>
      <w:r w:rsidRPr="00B2682D">
        <w:t>neatsakymo</w:t>
      </w:r>
      <w:proofErr w:type="spellEnd"/>
      <w:r w:rsidRPr="00B2682D">
        <w:t xml:space="preserve"> atvejų nagrinėjimo procesas; taip pat palankiai vertina tai, kad pradėta taikyti supaprastinta su įgaliojimais nesusijusių skundų nagrinėjimo procedūra, taip sutrumpinant tokių prašymų nagrinėjimo laiką nuo 15 iki 3 dienų; vis dėlto yra susirūpinęs dėl to, kad vidutinis skundo nagrinėjimo pagal įgaliojimus laikas padidėjo nuo 61 iki 91 dienos, o vidutinis tyrimo atlikimo laikas 2021–2022 m. padidėjo nuo 112 iki 166 dienų;</w:t>
      </w:r>
    </w:p>
    <w:p w:rsidR="00B70222" w:rsidRPr="00B2682D" w:rsidRDefault="00B70222" w:rsidP="00B70222">
      <w:pPr>
        <w:pStyle w:val="NormalHanging12a"/>
        <w:rPr>
          <w:szCs w:val="24"/>
        </w:rPr>
      </w:pPr>
      <w:r w:rsidRPr="00B2682D">
        <w:t>17.</w:t>
      </w:r>
      <w:r w:rsidRPr="00B2682D">
        <w:tab/>
        <w:t>pažymi, kad 2022 m. etika ir skaidrumas ir toliau buvo svarbios Ombudsmeno darbo sritys, kurios ir toliau prisidėjo prie pažangos, tačiau taip pat buvo susidurta su sunkumais, ir kad 2022 m. skundų, susijusių su skaidrumu ir atskaitomybe, skaičius sudarė 32 proc. visų bylų;</w:t>
      </w:r>
    </w:p>
    <w:p w:rsidR="00B70222" w:rsidRPr="00B2682D" w:rsidRDefault="00B70222" w:rsidP="00B70222">
      <w:pPr>
        <w:pStyle w:val="NormalHanging12a"/>
        <w:rPr>
          <w:szCs w:val="24"/>
        </w:rPr>
      </w:pPr>
      <w:r w:rsidRPr="00B2682D">
        <w:t>18.</w:t>
      </w:r>
      <w:r w:rsidRPr="00B2682D">
        <w:tab/>
        <w:t>pažymi, kad 2022 m. galimybė visuomenei susipažinti su dokumentais ir toliau buvo vienas iš svarbiausių Ombudsmeno prioritetų – gautas 121 skundas, t. y. didžiausias per metus užregistruotas skaičius, ir atlikti tyrimai dėl 90 skundų; palankiai vertina tai, kad greitai nagrinėjamos bylos, susijusios su visuomenės galimybe susipažinti su dokumentais, t. y. vidutiniškai 46 darbo dienos iki skundo nagrinėjimo pabaigos ir 67 darbo dienos, susijusios tik su tyrimais; supranta, kad, nepaisant padidėjusio bylų skaičiaus, paspartintų tyrimų dalis sudarė tik 28 proc. visų tyrimų dėl visuomenės galimybės susipažinti su dokumentais, palyginti su 58 proc. 2021 m.; palankiai vertina svarbių tyrimų, susijusių su Komisija ir kitomis Sąjungos agentūromis, pvz., FRONTEX, ir institucijomis bei įstaigomis, pvz., EIB, rezultatus dėl jų administracinio prašymų leisti visuomenei susipažinti su dokumentais valdymo;</w:t>
      </w:r>
    </w:p>
    <w:p w:rsidR="00B70222" w:rsidRPr="00B2682D" w:rsidRDefault="00B70222" w:rsidP="00B70222">
      <w:pPr>
        <w:pStyle w:val="NormalHanging12a"/>
        <w:rPr>
          <w:szCs w:val="24"/>
        </w:rPr>
      </w:pPr>
      <w:r w:rsidRPr="00B2682D">
        <w:t>19.</w:t>
      </w:r>
      <w:r w:rsidRPr="00B2682D">
        <w:tab/>
        <w:t xml:space="preserve">primena, kad, anot Europos ombudsmeno, teisės susipažinti su dokumentais, ypač su teisėkūros procedūra priimtais dokumentais, apribojimai turėtų būti išimtiniai ir taikomi </w:t>
      </w:r>
      <w:r w:rsidRPr="00B2682D">
        <w:lastRenderedPageBreak/>
        <w:t>tik tais atvejais, kai tai tikrai būtina; taip pat primena, kad bet koks sprendimas dėl draudimo visuomenei susipažinti su dokumentais turi būti pagrįstas aiškiai ir griežtai apibrėžtomis teisinėmis išimtimis, kartu pateikiant pagrįstą ir konkretų pagrindimą, kad piliečiai galėtų suprasti, kodėl neleista susipažinti su dokumentu, ir veiksmingai pasinaudoti esamomis teisinėmis teisių gynimo priemonėmis; mano, kad iniciatyvesnis požiūris padėtų užtikrinti veiksmingą skaidrumą ir išvengti brangiai kainuojančių ir varginančių teisinių ginčų tarp piliečių ir institucijų</w:t>
      </w:r>
      <w:r w:rsidRPr="00B2682D">
        <w:rPr>
          <w:szCs w:val="24"/>
          <w:vertAlign w:val="superscript"/>
        </w:rPr>
        <w:footnoteReference w:id="9"/>
      </w:r>
      <w:r w:rsidRPr="00B2682D">
        <w:t>;</w:t>
      </w:r>
    </w:p>
    <w:p w:rsidR="00B70222" w:rsidRPr="00B2682D" w:rsidRDefault="00B70222" w:rsidP="00B70222">
      <w:pPr>
        <w:pStyle w:val="NormalHanging12a"/>
        <w:rPr>
          <w:b/>
          <w:i/>
          <w:szCs w:val="24"/>
        </w:rPr>
      </w:pPr>
      <w:r w:rsidRPr="00B2682D">
        <w:rPr>
          <w:b/>
          <w:i/>
        </w:rPr>
        <w:t>Žmogiškieji ištekliai, lygybė ir darbuotojų gerovė</w:t>
      </w:r>
    </w:p>
    <w:p w:rsidR="00B70222" w:rsidRPr="00B2682D" w:rsidRDefault="00B70222" w:rsidP="00B70222">
      <w:pPr>
        <w:pStyle w:val="NormalHanging12a"/>
        <w:rPr>
          <w:szCs w:val="24"/>
        </w:rPr>
      </w:pPr>
      <w:r w:rsidRPr="00B2682D">
        <w:t>20.</w:t>
      </w:r>
      <w:r w:rsidRPr="00B2682D">
        <w:tab/>
        <w:t>pažymi, kad darbuotojų sudėtis pagal statusą ir darbo profilius pastaraisiais metais išliko stabili – 2022 m. pabaigoje iš viso dirbo 74 darbuotojai, t. y. tiek pat, kiek ir 2021 m.; taip pat pažymi, kad 2022 m. Ombudsmeno tarnyboje dirbo 39 pareigūnai, palyginti su 37 ir 38 pareigūnais atitinkamai 2020 ir 2021 m., 28 laikinieji darbuotojai, palyginti su 28 ir 30 laikinųjų darbuotojų atitinkamai 2020 ir 2021 m., ir 7 sutartininkai, palyginti su 8 ir 6 sutartininkais atitinkamai 2020 ir 2021 m.; pažymi, kad 2022 m. darbuotojai buvo pasiskirstę lygiomis dalimis: maždaug 40 proc. darbuotojų dirbo administravimo (žmogiškųjų išteklių, finansų, procesų valdymo) klausimais, o 40 proc. nagrinėjo skundus ir vykdė tyrimus;</w:t>
      </w:r>
    </w:p>
    <w:p w:rsidR="00B70222" w:rsidRPr="00B2682D" w:rsidRDefault="00B70222" w:rsidP="00B70222">
      <w:pPr>
        <w:pStyle w:val="NormalHanging12a"/>
        <w:rPr>
          <w:szCs w:val="24"/>
        </w:rPr>
      </w:pPr>
      <w:r w:rsidRPr="00B2682D">
        <w:t>21.</w:t>
      </w:r>
      <w:r w:rsidRPr="00B2682D">
        <w:tab/>
        <w:t>apgailestauja, kad generalinio sekretoriaus pareigybė laisva nuo 2022 m. rugsėjo 1 d.;</w:t>
      </w:r>
    </w:p>
    <w:p w:rsidR="00B70222" w:rsidRPr="00B2682D" w:rsidRDefault="00B70222" w:rsidP="00B70222">
      <w:pPr>
        <w:pStyle w:val="NormalHanging12a"/>
        <w:rPr>
          <w:szCs w:val="24"/>
        </w:rPr>
      </w:pPr>
      <w:r w:rsidRPr="00B2682D">
        <w:t>22.</w:t>
      </w:r>
      <w:r w:rsidRPr="00B2682D">
        <w:tab/>
        <w:t>pažymi, kad 2022 m. Ombudsmenas paskelbė kvietimą pareikšti susidomėjimą, siekdamas sudaryti kandidatų rezervą, kad būtų galima greičiau įdarbinti laikinuosius darbuotojus; nori sužinoti apie tolesnius veiksmus, susijusius su veiksmingumo padidėjimu dėl šios procedūros;</w:t>
      </w:r>
    </w:p>
    <w:p w:rsidR="00B70222" w:rsidRPr="00B2682D" w:rsidRDefault="00B70222" w:rsidP="00B70222">
      <w:pPr>
        <w:pStyle w:val="NormalHanging12a"/>
        <w:rPr>
          <w:szCs w:val="24"/>
        </w:rPr>
      </w:pPr>
      <w:r w:rsidRPr="00B2682D">
        <w:t>23.</w:t>
      </w:r>
      <w:r w:rsidRPr="00B2682D">
        <w:tab/>
        <w:t>pažymi, kad Ombudsmeno tarnyboje dirba 18 tautybių atstovai, nes vykdoma iniciatyvi komunikacija ir informuojama įvairesnė auditorija, visų pirma socialinės žiniasklaidos kanalais; primygtinai ragina Ombudsmeną toliau stengtis užtikrinti subalansuotą geografinį visų valstybių narių piliečių pasiskirstymą tarp savo darbuotojų;</w:t>
      </w:r>
    </w:p>
    <w:p w:rsidR="00B70222" w:rsidRPr="00B2682D" w:rsidRDefault="00B70222" w:rsidP="00B70222">
      <w:pPr>
        <w:pStyle w:val="NormalHanging12a"/>
        <w:rPr>
          <w:szCs w:val="24"/>
        </w:rPr>
      </w:pPr>
      <w:r w:rsidRPr="00B2682D">
        <w:t>24.</w:t>
      </w:r>
      <w:r w:rsidRPr="00B2682D">
        <w:tab/>
        <w:t>pažymi, kad, kalbant apie lyčių pusiausvyrą, Ombudsmeno tarnyboje dirba daugiau moterų nei vyrų visose darbuotojų kategorijose, ypač vadovybės lygmeniu, t. y. iš viso 67 proc. moterų ir 33 proc. vyrų, palyginti su 68 proc. moterų ir 32 proc. vyrų 2021 m.; ragina Ombudsmeną ir toliau stengtis užtikrinti subalansuotą darbuotojų pasiskirstymą lyčių atžvilgiu;</w:t>
      </w:r>
    </w:p>
    <w:p w:rsidR="00B70222" w:rsidRPr="00B2682D" w:rsidRDefault="00B70222" w:rsidP="00B70222">
      <w:pPr>
        <w:pStyle w:val="NormalHanging12a"/>
        <w:rPr>
          <w:szCs w:val="24"/>
        </w:rPr>
      </w:pPr>
      <w:r w:rsidRPr="00B2682D">
        <w:t>25.</w:t>
      </w:r>
      <w:r w:rsidRPr="00B2682D">
        <w:tab/>
        <w:t>pažymi, kad 2022 m. Ombudsmenas pradėjo įgyvendinti naują 2021 m. spalio mėn. priimtą darbo laiko ir mišraus darbo politiką, į kurią įtrauktos nuostatos, pvz., dėl nuotolinio darbo, be kita ko, iš užsienio, ergonominės įrangos, skirtos dirbti namuose, tiekimo, darbo ne visą darbo dieną, vaiko priežiūros atostogų, lankstaus darbo laiko ir teisės atsijungti, ir džiaugiasi, kad ji taikoma visų kategorijų darbuotojams; palankiai vertina bendrus 2023 m. atliktos darbuotojų apklausos rezultatus, iš kurių matyti bendras 97 proc. darbuotojų pasitenkinimo mišriomis ir lanksčiomis darbo sąlygomis lygis;</w:t>
      </w:r>
    </w:p>
    <w:p w:rsidR="00B70222" w:rsidRPr="00B2682D" w:rsidRDefault="00B70222" w:rsidP="00B70222">
      <w:pPr>
        <w:pStyle w:val="NormalHanging12a"/>
        <w:rPr>
          <w:szCs w:val="24"/>
        </w:rPr>
      </w:pPr>
      <w:r w:rsidRPr="00B2682D">
        <w:t>26.</w:t>
      </w:r>
      <w:r w:rsidRPr="00B2682D">
        <w:tab/>
        <w:t xml:space="preserve">pripažįsta, kad vadovai gerai susipažinę su darbuotojų darbo krūviu, reguliariai stebi darbo paskirstymą ir prireikus jį tikslina; pažymi, kad Europos Parlamento medicinos </w:t>
      </w:r>
      <w:r w:rsidRPr="00B2682D">
        <w:lastRenderedPageBreak/>
        <w:t>tarnyba, kuri nagrinėja su Ombudsmeno darbuotojais susijusius medicininius klausimus, neinformavo Ombudsmeno apie jokią ilgalaikę ligą, sukeltą perdegimo;</w:t>
      </w:r>
    </w:p>
    <w:p w:rsidR="00B70222" w:rsidRPr="00B2682D" w:rsidRDefault="00B70222" w:rsidP="00B70222">
      <w:pPr>
        <w:pStyle w:val="NormalHanging12a"/>
        <w:rPr>
          <w:szCs w:val="24"/>
        </w:rPr>
      </w:pPr>
      <w:r w:rsidRPr="00B2682D">
        <w:t>27.</w:t>
      </w:r>
      <w:r w:rsidRPr="00B2682D">
        <w:tab/>
        <w:t>džiaugiasi, kad 2022 m. nepranešta apie priekabiavimo atvejus; ragina Ombudsmeną toliau dėti pastangas siekiant užtikrinti darbo aplinką be seksualinio ir psichologinio priekabiavimo, visų pirma didinant informuotumą ir rengiant mokymus; su pasitenkinimu pažymi, kad vykdant etikos sistemos vidaus auditą atliktas tyrimas parodė, jog 2023 m. pradžioje 90 proc. darbuotojų žinojo apie politiką ir gaires, susijusias su priekabiavimu;</w:t>
      </w:r>
    </w:p>
    <w:p w:rsidR="00B70222" w:rsidRPr="00B2682D" w:rsidRDefault="00B70222" w:rsidP="00B70222">
      <w:pPr>
        <w:pStyle w:val="NormalHanging12a"/>
        <w:rPr>
          <w:szCs w:val="24"/>
        </w:rPr>
      </w:pPr>
      <w:r w:rsidRPr="00B2682D">
        <w:t>28.</w:t>
      </w:r>
      <w:r w:rsidRPr="00B2682D">
        <w:tab/>
        <w:t>džiaugiasi, kad 2022 m. Ombudsmenas priėmė 18 apmokamų stažuotojų, palyginti su 16 stažuotojų 2021 m., kurie naudojasi atlyginimų paketu ir tomis pačiomis darbo sąlygomis kaip ir kiti darbuotojai; ragina Ombudsmeną, kaip planuota 2023 m., pradėti stažuotės programą, skirtą jaunimui su negalia;</w:t>
      </w:r>
    </w:p>
    <w:p w:rsidR="00B70222" w:rsidRPr="00B2682D" w:rsidRDefault="00B70222" w:rsidP="00B70222">
      <w:pPr>
        <w:pStyle w:val="NormalHanging12a"/>
        <w:rPr>
          <w:b/>
          <w:i/>
          <w:szCs w:val="24"/>
        </w:rPr>
      </w:pPr>
      <w:r w:rsidRPr="00B2682D">
        <w:rPr>
          <w:b/>
          <w:i/>
        </w:rPr>
        <w:t>Etikos sistema ir skaidrumas</w:t>
      </w:r>
    </w:p>
    <w:p w:rsidR="00B70222" w:rsidRPr="00B2682D" w:rsidRDefault="00B70222" w:rsidP="00B70222">
      <w:pPr>
        <w:pStyle w:val="NormalHanging12a"/>
        <w:rPr>
          <w:szCs w:val="24"/>
        </w:rPr>
      </w:pPr>
      <w:r w:rsidRPr="00B2682D">
        <w:t>29.</w:t>
      </w:r>
      <w:r w:rsidRPr="00B2682D">
        <w:tab/>
        <w:t>palankiai vertina nuolatines pastangas stiprinti institucijos etikos sistemą ir didinti informuotumą apie ją; šiuo klausimu pažymi, kad Ombudsmenas surengė Ombudsmeno išorės veiklos politikos pristatymą, mokymus priekabiavimo klausimais ir pietų metu visiems darbuotojams skirtą sesiją dėl interesų konfliktų; taip pat pažymi, kad siekiant užtikrinti nuoseklų Tarnybos nuostatų ir vidaus taisyklių taikymą buvo peržiūrėtos interesų konfliktų deklaracijų, išorės veiklos, leidinių ir profesinės veiklos išėjus iš Sąjungos viešosios tarnybos formos; palankiai vertina 2022 m. pradėtą Ombudsmeno etikos sistemos vidaus auditą, į kurio rezultatus bus atsižvelgta siekiant toliau gerinti praktiką šioje srityje;</w:t>
      </w:r>
    </w:p>
    <w:p w:rsidR="00B70222" w:rsidRPr="00B2682D" w:rsidRDefault="00B70222" w:rsidP="00B70222">
      <w:pPr>
        <w:pStyle w:val="NormalHanging12a"/>
      </w:pPr>
      <w:r w:rsidRPr="00B2682D">
        <w:t>30.</w:t>
      </w:r>
      <w:r w:rsidRPr="00B2682D">
        <w:tab/>
        <w:t>pažymi, kad Ombudsmeno kovos su sukčiavimu strategija iš esmės grindžiama galiojančia etikos sistema ir su finansinėmis funkcijomis susijusių pareigų atskyrimo principu; džiaugdamasis pažymi, kad 2022 m. apie interesų konfliktų atvejus ar informavimo apie pažeidimą atvejus pranešta nebuvo;</w:t>
      </w:r>
    </w:p>
    <w:p w:rsidR="00B70222" w:rsidRPr="00B2682D" w:rsidRDefault="00B70222" w:rsidP="00B70222">
      <w:pPr>
        <w:pStyle w:val="NormalHanging12a"/>
        <w:rPr>
          <w:szCs w:val="24"/>
        </w:rPr>
      </w:pPr>
      <w:r w:rsidRPr="00B2682D">
        <w:t>31.</w:t>
      </w:r>
      <w:r w:rsidRPr="00B2682D">
        <w:tab/>
        <w:t xml:space="preserve">apgailestauja, kad Ombudsmenas oficialiai neprisijungė prie ES skaidrumo registro, įsteigto 2021 m. gegužės 20 d. Europos Parlamento, Europos Sąjungos Tarybos ir Europos Komisijos </w:t>
      </w:r>
      <w:proofErr w:type="spellStart"/>
      <w:r w:rsidRPr="00B2682D">
        <w:t>tarpinstituciniu</w:t>
      </w:r>
      <w:proofErr w:type="spellEnd"/>
      <w:r w:rsidRPr="00B2682D">
        <w:t xml:space="preserve"> susitarimu dėl privalomo skaidrumo registro, tačiau suderino savo praktiką, susijusią su skaidrumo registro principais, tikrinant, ar jame registruojami Ombudsmeno organizuojamuose renginiuose ar posėdžiuose dalyvaujantys pranešėjai ar dialogo partneriai; palankiai vertina aukštą skaidrumo lygį, kurį Ombudsmenas pasiekė savo interneto svetainėje skelbdamas informaciją apie tyrimus, komandiruotes, susitikimus ir renginius, kuriuose dalyvauja Ombudsmenas;</w:t>
      </w:r>
    </w:p>
    <w:p w:rsidR="00B70222" w:rsidRPr="00B2682D" w:rsidRDefault="00B70222" w:rsidP="00B70222">
      <w:pPr>
        <w:pStyle w:val="NormalHanging12a"/>
        <w:rPr>
          <w:szCs w:val="24"/>
        </w:rPr>
      </w:pPr>
      <w:r w:rsidRPr="00B2682D">
        <w:t>32.</w:t>
      </w:r>
      <w:r w:rsidRPr="00B2682D">
        <w:tab/>
        <w:t>ragina Ombudsmeną reguliariai informuoti biudžeto valdymo instituciją apie sunkumus, su kuriais susidurta taikant skaidrumo ir atskaitomybės principus Ekonomikos gaivinimo ir atsparumo didinimo priemonei;</w:t>
      </w:r>
    </w:p>
    <w:p w:rsidR="00B70222" w:rsidRPr="00B2682D" w:rsidRDefault="00B70222" w:rsidP="00B70222">
      <w:pPr>
        <w:pStyle w:val="NormalHanging12a"/>
        <w:rPr>
          <w:szCs w:val="24"/>
        </w:rPr>
      </w:pPr>
      <w:r w:rsidRPr="00B2682D">
        <w:t>33.</w:t>
      </w:r>
      <w:r w:rsidRPr="00B2682D">
        <w:tab/>
        <w:t>palankiai vertina tai, kad 2022 m. Ombudsmenas paskelbė visuomenei skirtą vadovą dėl visuomenės teisės susipažinti su dokumentais, jame pateikiama informacija apie tai, kaip geriausiai pasinaudoti šia teise;</w:t>
      </w:r>
    </w:p>
    <w:p w:rsidR="00B70222" w:rsidRPr="00B2682D" w:rsidRDefault="00B70222" w:rsidP="00B70222">
      <w:pPr>
        <w:pStyle w:val="NormalHanging12a"/>
        <w:rPr>
          <w:b/>
          <w:i/>
          <w:szCs w:val="24"/>
        </w:rPr>
      </w:pPr>
      <w:r w:rsidRPr="00B2682D">
        <w:rPr>
          <w:b/>
          <w:i/>
        </w:rPr>
        <w:t>Skaitmeninimas, kibernetinis saugumas ir duomenų apsauga</w:t>
      </w:r>
    </w:p>
    <w:p w:rsidR="00B70222" w:rsidRPr="00B2682D" w:rsidRDefault="00B70222" w:rsidP="00B70222">
      <w:pPr>
        <w:pStyle w:val="NormalHanging12a"/>
        <w:rPr>
          <w:szCs w:val="24"/>
        </w:rPr>
      </w:pPr>
      <w:r w:rsidRPr="00B2682D">
        <w:t>34.</w:t>
      </w:r>
      <w:r w:rsidRPr="00B2682D">
        <w:tab/>
        <w:t xml:space="preserve">palankiai vertina tai, kad Ombudsmenas aktyviai skatina skaitmeninimą, kad būtų </w:t>
      </w:r>
      <w:r w:rsidRPr="00B2682D">
        <w:lastRenderedPageBreak/>
        <w:t>sumažintas popieriaus naudojimas ir sudarytos palankesnės sąlygos keistis dokumentais ir juos saugoti; pažymi, kad 2022 m. IT išlaidos, palyginti su 2021 m., sumažėjo 48 proc., nes skaitmeninimui stiprinti nereikėjo jokių konkrečių investicijų; palankiai vertina tai, kad visuotinai naudojamos vaizdo konferencijos ir transliacijos internetu, dėl kurių sumažėjo kelionių poreikis;</w:t>
      </w:r>
    </w:p>
    <w:p w:rsidR="00B70222" w:rsidRPr="00B2682D" w:rsidRDefault="00B70222" w:rsidP="00B70222">
      <w:pPr>
        <w:pStyle w:val="NormalHanging12a"/>
        <w:rPr>
          <w:szCs w:val="24"/>
        </w:rPr>
      </w:pPr>
      <w:r w:rsidRPr="00B2682D">
        <w:t>35.</w:t>
      </w:r>
      <w:r w:rsidRPr="00B2682D">
        <w:tab/>
        <w:t xml:space="preserve">pažymi, kad, kalbant apie IT, Ombudsmenas remiasi Parlamento infrastruktūros ir kibernetinio saugumo sistema ir glaudžiai bendradarbiauja su Komisija Sąjungos institucinių priemonių (SYSPER, ABAC, </w:t>
      </w:r>
      <w:proofErr w:type="spellStart"/>
      <w:r w:rsidRPr="00B2682D">
        <w:t>MiPS</w:t>
      </w:r>
      <w:proofErr w:type="spellEnd"/>
      <w:r w:rsidRPr="00B2682D">
        <w:t xml:space="preserve"> ir ARES) integravimo ir priežiūros bei IT preliminariųjų sutarčių naudojimo klausimais; pažymi, kad Ombudsmenas, atsižvelgdamas į ribotą duomenų kontrolės lygį, su atitinkamomis institucijomis sudarė susitarimus dėl paslaugų lygio, siekdamas užtikrinti, kad asmens duomenų tvarkymas atitiktų taikomą teisinę sistemą; su pasitenkinimu pažymi, kad 2022 m. Ombudsmenas nesusidūrė su jokiu kibernetiniu išpuoliu;</w:t>
      </w:r>
    </w:p>
    <w:p w:rsidR="00B70222" w:rsidRPr="00B2682D" w:rsidRDefault="00B70222" w:rsidP="00B70222">
      <w:pPr>
        <w:pStyle w:val="NormalHanging12a"/>
        <w:rPr>
          <w:szCs w:val="24"/>
        </w:rPr>
      </w:pPr>
      <w:r w:rsidRPr="00B2682D">
        <w:t>36.</w:t>
      </w:r>
      <w:r w:rsidRPr="00B2682D">
        <w:tab/>
        <w:t>ragina Ombudsmeną glaudžiai bendradarbiauti su Europos Sąjungos kibernetinio saugumo agentūra (ENISA); rekomenduoja visiems Ombudsmeno darbuotojams siūlyti reguliariai atnaujinamas su kibernetiniu saugumu susijusias mokymo programas;</w:t>
      </w:r>
    </w:p>
    <w:p w:rsidR="00B70222" w:rsidRPr="00B2682D" w:rsidRDefault="00B70222" w:rsidP="00B70222">
      <w:pPr>
        <w:pStyle w:val="NormalHanging12a"/>
        <w:rPr>
          <w:szCs w:val="24"/>
        </w:rPr>
      </w:pPr>
      <w:r w:rsidRPr="00B2682D">
        <w:t>37.</w:t>
      </w:r>
      <w:r w:rsidRPr="00B2682D">
        <w:tab/>
        <w:t>su pasitenkinimu pažymi, kad 2022 m. Ombudsmenas užbaigė keturis veiksmus pagal po vidaus audito ataskaitos Nr. 21/03 dėl institucijos duomenų apsaugos sistemos peržiūros priimtą penkių punktų veiksmų planą, kuriuo siekiama toliau didinti institucijos atliekamo asmens duomenų tvarkymo veiksmingumą ir efektyvumą;</w:t>
      </w:r>
    </w:p>
    <w:p w:rsidR="00B70222" w:rsidRPr="00B2682D" w:rsidRDefault="00B70222" w:rsidP="00B70222">
      <w:pPr>
        <w:pStyle w:val="NormalHanging12a"/>
        <w:rPr>
          <w:szCs w:val="24"/>
        </w:rPr>
      </w:pPr>
      <w:r w:rsidRPr="00B2682D">
        <w:t>38.</w:t>
      </w:r>
      <w:r w:rsidRPr="00B2682D">
        <w:tab/>
        <w:t>pažymi, kad 2022 m. Europos duomenų apsaugos priežiūros pareigūnas (EDAPP) pateikė grįžtamąją informaciją dėl piliečio skundo, teigdamas, kad Ombudsmeno standartiniame gavimo patvirtinime pateikta informacija apie duomenų apsaugą buvo nepakankama; su pasitenkinimu pažymi, kad EDAPP baigė nagrinėti bylą nesiimdamas jokių tolesnių veiksmų po to, kai Ombudsmenas pateikė siūlomus šablono pakeitimus;</w:t>
      </w:r>
    </w:p>
    <w:p w:rsidR="00B70222" w:rsidRDefault="00B70222" w:rsidP="00B70222">
      <w:pPr>
        <w:pStyle w:val="NormalHanging12a"/>
      </w:pPr>
      <w:r w:rsidRPr="00B2682D">
        <w:t>39.</w:t>
      </w:r>
      <w:r w:rsidRPr="00B2682D">
        <w:tab/>
        <w:t>palankiai vertina tai, kad šiuo metu bendradarbiaujant su Europos Komisija (DIGIT GD) įgyvendinama elektroninių sąskaitų faktūrų sistema; prašo Ombudsmeno pateikti išsamų visiško elektroninių sąskaitų faktūrų sistemos įgyvendinimo tvarkaraštį;</w:t>
      </w:r>
    </w:p>
    <w:p w:rsidR="00403033" w:rsidRPr="00403033" w:rsidRDefault="00403033" w:rsidP="00B70222">
      <w:pPr>
        <w:pStyle w:val="NormalHanging12a"/>
        <w:rPr>
          <w:szCs w:val="24"/>
        </w:rPr>
      </w:pPr>
      <w:r>
        <w:t>40</w:t>
      </w:r>
      <w:r w:rsidRPr="008D5091">
        <w:t>.</w:t>
      </w:r>
      <w:r w:rsidRPr="00403033">
        <w:tab/>
      </w:r>
      <w:r w:rsidRPr="008D5091">
        <w:t>sveikina Ombudsmeną už tai, kad jis savo interneto svetainėje naudoja tik atvirojo kodo programinę įrangą ir, kai įmanoma, pirmenybę teikia atvirojo kodo priemonių naudojimui vidaus tikslais;</w:t>
      </w:r>
    </w:p>
    <w:p w:rsidR="00B70222" w:rsidRPr="00B2682D" w:rsidRDefault="00B70222" w:rsidP="00B70222">
      <w:pPr>
        <w:pStyle w:val="NormalHanging12a"/>
        <w:ind w:left="0" w:firstLine="0"/>
        <w:rPr>
          <w:b/>
          <w:i/>
          <w:szCs w:val="24"/>
        </w:rPr>
      </w:pPr>
      <w:r w:rsidRPr="00B2682D">
        <w:rPr>
          <w:b/>
          <w:i/>
        </w:rPr>
        <w:t>Pastatai</w:t>
      </w:r>
    </w:p>
    <w:p w:rsidR="00B70222" w:rsidRPr="00B2682D" w:rsidRDefault="00B70222" w:rsidP="00B70222">
      <w:pPr>
        <w:pStyle w:val="NormalHanging12a"/>
        <w:rPr>
          <w:szCs w:val="24"/>
        </w:rPr>
      </w:pPr>
      <w:r w:rsidRPr="00B2682D">
        <w:t>4</w:t>
      </w:r>
      <w:r w:rsidR="00403033">
        <w:t>1</w:t>
      </w:r>
      <w:r w:rsidRPr="00B2682D">
        <w:t>.</w:t>
      </w:r>
      <w:r w:rsidRPr="00B2682D">
        <w:tab/>
        <w:t xml:space="preserve">pažymi, kad po to, kai 2021 m. Ombudsmeno biuras Briuselyje persikėlė į naujas patalpas, kurias suteikė Parlamentas, pastatas buvo sutvarkytas kaip bendradarbiavimo erdvė su vos keliais atskirais kabinetais ir lanksčiomis bendradarbiavimo susitikimams skirtomis patalpomis; teigiamai vertina tai, kad Ombudsmeno tarnyboje netaikoma praktika, kai darbuotojai naudojasi viena darbo vieta skirtingu laiku, ir kad visi darbuotojai turi savo stalus su pakankamai vietos daiktams laikyti; yra susirūpinęs dėl to, kad Ombudsmenas, prieš persikeliant į bendradarbiavimo erdvę Briuselyje, nesurengė darbuotojų apklausos; pažymi, kad 2023 m. atlikta bendra darbuotojų apklausa parodė, jog dauguma darbuotojų teigiamai vertina naują darbo erdvių išdėstymą; taip pat palankiai vertina tai, kad darbuotojai prieš persikeliant buvo informuoti apie kai kuriuos sprendimus dėl darbo erdvės įrengimo, pvz., dėl spalvų </w:t>
      </w:r>
      <w:r w:rsidRPr="00B2682D">
        <w:lastRenderedPageBreak/>
        <w:t>gamų;</w:t>
      </w:r>
    </w:p>
    <w:p w:rsidR="00B70222" w:rsidRPr="00B2682D" w:rsidRDefault="00B70222" w:rsidP="00B70222">
      <w:pPr>
        <w:pStyle w:val="NormalHanging12a"/>
        <w:rPr>
          <w:szCs w:val="24"/>
        </w:rPr>
      </w:pPr>
      <w:r w:rsidRPr="00B2682D">
        <w:t>4</w:t>
      </w:r>
      <w:r w:rsidR="00403033">
        <w:t>2</w:t>
      </w:r>
      <w:r w:rsidRPr="00B2682D">
        <w:t>.</w:t>
      </w:r>
      <w:r w:rsidRPr="00B2682D">
        <w:tab/>
        <w:t>pažymi, kad Ombudsmenas grąžino 20,5 proc. Parlamento Strasbūre išsinuomoto ploto pastarojo prašymu ir kad vėliau jo nuomos mokestis buvo sumažintas;</w:t>
      </w:r>
    </w:p>
    <w:p w:rsidR="00B70222" w:rsidRPr="00B2682D" w:rsidRDefault="00B70222" w:rsidP="00B70222">
      <w:pPr>
        <w:pStyle w:val="NormalHanging12a"/>
        <w:rPr>
          <w:szCs w:val="24"/>
        </w:rPr>
      </w:pPr>
      <w:r w:rsidRPr="00B2682D">
        <w:t>4</w:t>
      </w:r>
      <w:r w:rsidR="00403033">
        <w:t>3</w:t>
      </w:r>
      <w:r w:rsidRPr="00B2682D">
        <w:t>.</w:t>
      </w:r>
      <w:r w:rsidRPr="00B2682D">
        <w:tab/>
        <w:t xml:space="preserve">primena, kad Ombudsmenas neturi savo pastatų, o nuomojasi pastatą Briuselyje ir biuro patalpas Strasbūre; džiaugdamasis pažymi, kad V. Havelo pastatas Strasbūre yra visiškai prieinamas riboto </w:t>
      </w:r>
      <w:proofErr w:type="spellStart"/>
      <w:r w:rsidRPr="00B2682D">
        <w:t>judumo</w:t>
      </w:r>
      <w:proofErr w:type="spellEnd"/>
      <w:r w:rsidRPr="00B2682D">
        <w:t xml:space="preserve"> ar kitą negalią turintiems asmenims ir kad reikia gerinti Briuselyje nuomojamo pastato prieinamumą; ragina Parlamentą pagerinti Briuselyje Ombudsmenui nuomojamo pastato prieinamumą;</w:t>
      </w:r>
    </w:p>
    <w:p w:rsidR="00B70222" w:rsidRPr="00B2682D" w:rsidRDefault="00B70222" w:rsidP="00B70222">
      <w:pPr>
        <w:pStyle w:val="NormalHanging12a"/>
        <w:ind w:left="0" w:firstLine="0"/>
        <w:rPr>
          <w:b/>
          <w:i/>
          <w:szCs w:val="24"/>
        </w:rPr>
      </w:pPr>
      <w:r w:rsidRPr="00B2682D">
        <w:rPr>
          <w:b/>
          <w:i/>
        </w:rPr>
        <w:t>Aplinka ir tvarumas</w:t>
      </w:r>
    </w:p>
    <w:p w:rsidR="00B70222" w:rsidRPr="00B2682D" w:rsidRDefault="00B70222" w:rsidP="00B70222">
      <w:pPr>
        <w:pStyle w:val="NormalHanging12a"/>
        <w:rPr>
          <w:szCs w:val="24"/>
        </w:rPr>
      </w:pPr>
      <w:r w:rsidRPr="00B2682D">
        <w:t>4</w:t>
      </w:r>
      <w:r w:rsidR="00403033">
        <w:t>4</w:t>
      </w:r>
      <w:r w:rsidRPr="00B2682D">
        <w:t>.</w:t>
      </w:r>
      <w:r w:rsidRPr="00B2682D">
        <w:tab/>
        <w:t>palankiai vertina tai, kad per daugelį metų Ombudsmenas sumažino savo aplinkosauginį pėdsaką, visų pirma skaitmenizuodamas savo procesus ir leidinius, pvz., metinę ataskaitą, pašalindamas asmeninius spausdintuvus ir imdamasis priemonių, kuriomis siekiama, kad renginiai taptų tvaresni; pažymi, kad, kalbant apie pastatų aplinkosauginį pėdsaką, Ombudsmenas remiasi priemonėmis, kurių imasi Parlamentas kaip pastatų savininkas; pripažįsta, kad Ombudsmenas turi perduoti Parlamentui savo prašymą, išreikštą per 2021 m. biudžeto įvykdymo patvirtinimo procedūrą, įrengti saulės baterijų plokštes ant jo pastatų stogo;</w:t>
      </w:r>
    </w:p>
    <w:p w:rsidR="00B70222" w:rsidRPr="00B2682D" w:rsidRDefault="00B70222" w:rsidP="00B70222">
      <w:pPr>
        <w:pStyle w:val="NormalHanging12a"/>
        <w:rPr>
          <w:szCs w:val="24"/>
        </w:rPr>
      </w:pPr>
      <w:r w:rsidRPr="00B2682D">
        <w:t>4</w:t>
      </w:r>
      <w:r w:rsidR="00403033">
        <w:t>5</w:t>
      </w:r>
      <w:r w:rsidRPr="00B2682D">
        <w:t>.</w:t>
      </w:r>
      <w:r w:rsidRPr="00B2682D">
        <w:tab/>
        <w:t xml:space="preserve">pažymi, kad 2022 m. Ombudsmenas toliau skatino tvarų </w:t>
      </w:r>
      <w:proofErr w:type="spellStart"/>
      <w:r w:rsidRPr="00B2682D">
        <w:t>judumą</w:t>
      </w:r>
      <w:proofErr w:type="spellEnd"/>
      <w:r w:rsidRPr="00B2682D">
        <w:t>, visų pirma teikdamas finansinę paramą metiniams viešojo transporto abonementams, apribodamas esamas automobilių stovėjimo vietas ir gerindamas dviratininkams skirtas patalpas ir dviračių stovėjimo aikšteles;</w:t>
      </w:r>
    </w:p>
    <w:p w:rsidR="00B70222" w:rsidRPr="00B2682D" w:rsidRDefault="00B70222" w:rsidP="00B70222">
      <w:pPr>
        <w:pStyle w:val="NormalHanging12a"/>
        <w:ind w:left="0" w:firstLine="0"/>
        <w:rPr>
          <w:b/>
          <w:i/>
          <w:szCs w:val="24"/>
        </w:rPr>
      </w:pPr>
      <w:proofErr w:type="spellStart"/>
      <w:r w:rsidRPr="00B2682D">
        <w:rPr>
          <w:b/>
          <w:i/>
        </w:rPr>
        <w:t>Tarpinstitucinis</w:t>
      </w:r>
      <w:proofErr w:type="spellEnd"/>
      <w:r w:rsidRPr="00B2682D">
        <w:rPr>
          <w:b/>
          <w:i/>
        </w:rPr>
        <w:t xml:space="preserve"> bendradarbiavimas</w:t>
      </w:r>
    </w:p>
    <w:p w:rsidR="00B70222" w:rsidRPr="00B2682D" w:rsidRDefault="00652338" w:rsidP="00B70222">
      <w:pPr>
        <w:pStyle w:val="NormalHanging12a"/>
        <w:rPr>
          <w:szCs w:val="24"/>
        </w:rPr>
      </w:pPr>
      <w:r>
        <w:t>46</w:t>
      </w:r>
      <w:r w:rsidR="00B70222" w:rsidRPr="00B2682D">
        <w:t>.</w:t>
      </w:r>
      <w:r w:rsidR="00B70222" w:rsidRPr="00B2682D">
        <w:tab/>
        <w:t xml:space="preserve">palankiai vertina dėl </w:t>
      </w:r>
      <w:proofErr w:type="spellStart"/>
      <w:r w:rsidR="00B70222" w:rsidRPr="00B2682D">
        <w:t>tarpinstitucinio</w:t>
      </w:r>
      <w:proofErr w:type="spellEnd"/>
      <w:r w:rsidR="00B70222" w:rsidRPr="00B2682D">
        <w:t xml:space="preserve"> bendradarbiavimo sutaupytas finansines ir administracines lėšas, visų pirma tai, kad su Parlamentu ir Komisija sudaryti įvairūs susitarimai dėl paslaugų lygio ir kad buvo dalyvaujama </w:t>
      </w:r>
      <w:proofErr w:type="spellStart"/>
      <w:r w:rsidR="00B70222" w:rsidRPr="00B2682D">
        <w:t>tarpinstitucinėse</w:t>
      </w:r>
      <w:proofErr w:type="spellEnd"/>
      <w:r w:rsidR="00B70222" w:rsidRPr="00B2682D">
        <w:t xml:space="preserve"> viešųjų pirkimų procedūrose; pažymi, kad 2022 m. Ombudsmenas sukūrė naujų </w:t>
      </w:r>
      <w:proofErr w:type="spellStart"/>
      <w:r w:rsidR="00B70222" w:rsidRPr="00B2682D">
        <w:t>sinergijų</w:t>
      </w:r>
      <w:proofErr w:type="spellEnd"/>
      <w:r w:rsidR="00B70222" w:rsidRPr="00B2682D">
        <w:t xml:space="preserve"> su kitomis institucijomis ir pasirašė susitarimus dėl paslaugų teikimo siekiant naudotis Komisijos kvalifikuoto pasirašymo nuotoliniu būdu pažymėjimais ir dėl Parlamento Darbuotojų priimamojo ir informacijos centro paslaugų teikimo;</w:t>
      </w:r>
    </w:p>
    <w:p w:rsidR="00B70222" w:rsidRPr="00B2682D" w:rsidRDefault="00652338" w:rsidP="00B70222">
      <w:pPr>
        <w:pStyle w:val="NormalHanging12a"/>
        <w:rPr>
          <w:szCs w:val="24"/>
        </w:rPr>
      </w:pPr>
      <w:r>
        <w:t>47</w:t>
      </w:r>
      <w:r w:rsidR="00B70222" w:rsidRPr="00B2682D">
        <w:t>.</w:t>
      </w:r>
      <w:r w:rsidR="00B70222" w:rsidRPr="00B2682D">
        <w:tab/>
        <w:t>pripažįsta, kad svarbu, jog Ombudsmenas tęstų aukšto lygio mainus ir bendradarbiavimą su Europos ombudsmenų tinklu; palankiai vertina tai, kad 2022 m. surengta metinė Europos ombudsmenų tinklo konferencija ir teminis internetinis seminaras, nes tai yra svarbūs diskusijų forumai aktualiais klausimais, darančiais poveikį visos Europos ombudsmenų darbui;</w:t>
      </w:r>
    </w:p>
    <w:p w:rsidR="00B70222" w:rsidRPr="00B2682D" w:rsidRDefault="00652338" w:rsidP="00B70222">
      <w:pPr>
        <w:pStyle w:val="NormalHanging12a"/>
        <w:rPr>
          <w:szCs w:val="24"/>
        </w:rPr>
      </w:pPr>
      <w:r>
        <w:t>48</w:t>
      </w:r>
      <w:r w:rsidR="00B70222" w:rsidRPr="00B2682D">
        <w:t>.</w:t>
      </w:r>
      <w:r w:rsidR="00B70222" w:rsidRPr="00B2682D">
        <w:tab/>
        <w:t>palankiai vertina Ombudsmeno bendradarbiavimą su Europos prokuratūra, Europos Audito Rūmais ir OLAF siekiant išvengti tyrimų dubliavimo ir aptarti abipusio intereso klausimus, pvz., dėl Sąjungos priežiūros sistemos tobulinimo; taip pat palankiai vertina bendradarbiavimo su EDAPP kanalus, kuriais siekiama užtikrinti greitą abipusį konsultavimąsi kasdieniame abiejų institucijų darbe, ir susitarimo memorandumą, kuriame apibrėžiamos atitinkamos kiekvienos institucijos kompetencijos sritys, siekiant, kad procedūros nesidubliuotų;</w:t>
      </w:r>
    </w:p>
    <w:p w:rsidR="00B70222" w:rsidRPr="00B2682D" w:rsidRDefault="00652338" w:rsidP="00B70222">
      <w:pPr>
        <w:pStyle w:val="NormalHanging12a"/>
        <w:rPr>
          <w:szCs w:val="24"/>
        </w:rPr>
      </w:pPr>
      <w:r>
        <w:t>49</w:t>
      </w:r>
      <w:r w:rsidR="00B70222" w:rsidRPr="00B2682D">
        <w:t>.</w:t>
      </w:r>
      <w:r w:rsidR="00B70222" w:rsidRPr="00B2682D">
        <w:tab/>
        <w:t xml:space="preserve">palankiai vertina tai, kad Ombudsmenas glaudžiai bendradarbiauja su atitinkamais </w:t>
      </w:r>
      <w:r w:rsidR="00B70222" w:rsidRPr="00B2682D">
        <w:lastRenderedPageBreak/>
        <w:t>Europos Parlamento komitetais svarbių tyrimų klausimais, tiesiogiai pristatydamas darbą komitetų posėdžiuose arba siųsdamas informaciją komitetų pirmininkams; pabrėžia, kad strateginės iniciatyvos ir tyrimai, kuriuos vykdo Ombudsmenas, yra labai svarbūs didinant Sąjungos administracijos skaidrumą ir atskaitomybę;</w:t>
      </w:r>
    </w:p>
    <w:p w:rsidR="00B70222" w:rsidRPr="00B2682D" w:rsidRDefault="00B70222" w:rsidP="00B70222">
      <w:pPr>
        <w:pStyle w:val="NormalHanging12a"/>
        <w:rPr>
          <w:b/>
          <w:i/>
          <w:szCs w:val="24"/>
        </w:rPr>
      </w:pPr>
      <w:r w:rsidRPr="00B2682D">
        <w:rPr>
          <w:b/>
          <w:i/>
        </w:rPr>
        <w:t>Komunikacija</w:t>
      </w:r>
    </w:p>
    <w:p w:rsidR="00B70222" w:rsidRPr="00B2682D" w:rsidRDefault="00142644" w:rsidP="00B70222">
      <w:pPr>
        <w:pStyle w:val="NormalHanging12a"/>
        <w:rPr>
          <w:szCs w:val="24"/>
        </w:rPr>
      </w:pPr>
      <w:r>
        <w:t>50</w:t>
      </w:r>
      <w:r w:rsidR="00B70222" w:rsidRPr="00B2682D">
        <w:t>.</w:t>
      </w:r>
      <w:r w:rsidR="00B70222" w:rsidRPr="00B2682D">
        <w:tab/>
        <w:t>pažymi, kad 2021–2022 m. bendras komunikacijos ir reklaminės veiklos biudžetas padidėjo nuo 92 100 EUR iki 132 400 EUR, t. y. 43,8 proc.; palankiai vertina tai, kad Ombudsmenas parengė išsamią komunikacijos strategiją, kuri padėjo geriau informuoti specialistų auditoriją ir plačiąją visuomenę; pažymi, kad Europos žiniasklaida paskelbė 60 proc. daugiau straipsnių spaudoje apie Ombudsmeną, palyginti su 2021 m.;</w:t>
      </w:r>
    </w:p>
    <w:p w:rsidR="00B70222" w:rsidRPr="00B2682D" w:rsidRDefault="00142644" w:rsidP="00B70222">
      <w:pPr>
        <w:pStyle w:val="NormalHanging12a"/>
        <w:rPr>
          <w:szCs w:val="24"/>
        </w:rPr>
      </w:pPr>
      <w:r>
        <w:t>51</w:t>
      </w:r>
      <w:r w:rsidR="00B70222" w:rsidRPr="00B2682D">
        <w:t>.</w:t>
      </w:r>
      <w:r w:rsidR="00B70222" w:rsidRPr="00B2682D">
        <w:tab/>
        <w:t>palankiai vertina Ombudsmeno pastangas didinti piliečių informuotumą apie Ombudsmeno vaidmenį ir galimybę į jį kreiptis netinkamo Sąjungos institucijos administravimo atveju; pripažįsta pastangas, dedamas siekiant teikti skaidrią informaciją ir skelbti duomenis informatyviu ir naudotojui patogiu formatu Ombudsmeno interneto svetainėje, nors tokių duomenų nėra atviruoju formatu; palankiai vertina tai, kad patvirtintas naujas logotipas ir vaizdinė tapatybė, siekiant padidinti Ombudsmeno darbo matomumą ir padaryti jį atpažįstamą kaip Sąjungos organą;</w:t>
      </w:r>
    </w:p>
    <w:p w:rsidR="00B70222" w:rsidRPr="00B2682D" w:rsidRDefault="00142644" w:rsidP="00B70222">
      <w:pPr>
        <w:pStyle w:val="NormalHanging12a"/>
        <w:rPr>
          <w:szCs w:val="24"/>
        </w:rPr>
      </w:pPr>
      <w:r>
        <w:t>52</w:t>
      </w:r>
      <w:r w:rsidR="00B70222" w:rsidRPr="00B2682D">
        <w:t>.</w:t>
      </w:r>
      <w:r w:rsidR="00B70222" w:rsidRPr="00B2682D">
        <w:tab/>
        <w:t>palankiai vertina tai, kad Ombudsmenas naudoja automatizuotą bylų vertimo raštu priemonę interneto svetainėje, ir prašo Ombudsmeno užtikrinti sklandų ir savalaikį bylų vertimą į visas kalbas;</w:t>
      </w:r>
    </w:p>
    <w:p w:rsidR="00E365E1" w:rsidRPr="00B2682D" w:rsidRDefault="00142644" w:rsidP="00651F57">
      <w:pPr>
        <w:ind w:left="567" w:hanging="567"/>
      </w:pPr>
      <w:r>
        <w:t>53</w:t>
      </w:r>
      <w:r w:rsidR="00B70222" w:rsidRPr="00B2682D">
        <w:t>.</w:t>
      </w:r>
      <w:r w:rsidR="00B70222" w:rsidRPr="00B2682D">
        <w:tab/>
        <w:t>pažymi, kad Ombudsmenas turi socialinių tinklų paskyras „</w:t>
      </w:r>
      <w:proofErr w:type="spellStart"/>
      <w:r w:rsidR="00B70222" w:rsidRPr="00B2682D">
        <w:t>Instagram</w:t>
      </w:r>
      <w:proofErr w:type="spellEnd"/>
      <w:r w:rsidR="00B70222" w:rsidRPr="00B2682D">
        <w:t>“, „</w:t>
      </w:r>
      <w:proofErr w:type="spellStart"/>
      <w:r w:rsidR="00B70222" w:rsidRPr="00B2682D">
        <w:t>LinkedIn</w:t>
      </w:r>
      <w:proofErr w:type="spellEnd"/>
      <w:r w:rsidR="00B70222" w:rsidRPr="00B2682D">
        <w:t>“, „X“ (buvusi „</w:t>
      </w:r>
      <w:proofErr w:type="spellStart"/>
      <w:r w:rsidR="00B70222" w:rsidRPr="00B2682D">
        <w:t>Twitter</w:t>
      </w:r>
      <w:proofErr w:type="spellEnd"/>
      <w:r w:rsidR="00B70222" w:rsidRPr="00B2682D">
        <w:t>“ platforma), kur sekėjų skaičiaus augimas ir įsitraukimo lygis 2022 m. buvo didesnis nei ankstesniais metais; palankiai vertina Ombudsmeno dalyvavimą bandomajame projekte, kuriam vadovauja EDAPP ir kuriuo siekiama Sąjungos institucijas įtraukti į „EU-</w:t>
      </w:r>
      <w:proofErr w:type="spellStart"/>
      <w:r w:rsidR="00B70222" w:rsidRPr="00B2682D">
        <w:t>Voice</w:t>
      </w:r>
      <w:proofErr w:type="spellEnd"/>
      <w:r w:rsidR="00B70222" w:rsidRPr="00B2682D">
        <w:t>“ ir „EU-</w:t>
      </w:r>
      <w:proofErr w:type="spellStart"/>
      <w:r w:rsidR="00B70222" w:rsidRPr="00B2682D">
        <w:t>Video</w:t>
      </w:r>
      <w:proofErr w:type="spellEnd"/>
      <w:r w:rsidR="00B70222" w:rsidRPr="00B2682D">
        <w:t>“ – du nemokamus atvirojo kodo socialinės žiniasklaidos tinklus, pagrįstus „</w:t>
      </w:r>
      <w:proofErr w:type="spellStart"/>
      <w:r w:rsidR="00B70222" w:rsidRPr="00B2682D">
        <w:t>Mastodon</w:t>
      </w:r>
      <w:proofErr w:type="spellEnd"/>
      <w:r w:rsidR="00B70222" w:rsidRPr="00B2682D">
        <w:t xml:space="preserve">“ programine įranga, kad Sąjungos institucijos galėtų bendrauti su visuomene dalydamosi tekstais, vaizdais, vaizdo įrašais ir </w:t>
      </w:r>
      <w:proofErr w:type="spellStart"/>
      <w:r w:rsidR="00B70222" w:rsidRPr="00B2682D">
        <w:t>tinklalaidėmis</w:t>
      </w:r>
      <w:proofErr w:type="spellEnd"/>
      <w:r w:rsidR="00B70222" w:rsidRPr="00B2682D">
        <w:t>.</w:t>
      </w:r>
      <w:bookmarkStart w:id="9" w:name="TextBodyEnd"/>
      <w:bookmarkEnd w:id="9"/>
    </w:p>
    <w:sectPr w:rsidR="00E365E1" w:rsidRPr="00B2682D" w:rsidSect="00B2682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108" w:rsidRPr="00B2682D" w:rsidRDefault="00BC5108">
      <w:r w:rsidRPr="00B2682D">
        <w:separator/>
      </w:r>
    </w:p>
  </w:endnote>
  <w:endnote w:type="continuationSeparator" w:id="0">
    <w:p w:rsidR="00BC5108" w:rsidRPr="00B2682D" w:rsidRDefault="00BC5108">
      <w:r w:rsidRPr="00B268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222" w:rsidRPr="00B2682D" w:rsidRDefault="00B70222" w:rsidP="002202C3">
    <w:pPr>
      <w:pStyle w:val="EPFooter"/>
    </w:pPr>
    <w:r w:rsidRPr="00B2682D">
      <w:t>PE</w:t>
    </w:r>
    <w:r w:rsidRPr="00B2682D">
      <w:rPr>
        <w:rStyle w:val="HideTWBExt"/>
      </w:rPr>
      <w:t>&lt;</w:t>
    </w:r>
    <w:proofErr w:type="spellStart"/>
    <w:r w:rsidRPr="00B2682D">
      <w:rPr>
        <w:rStyle w:val="HideTWBExt"/>
      </w:rPr>
      <w:t>NoPE</w:t>
    </w:r>
    <w:proofErr w:type="spellEnd"/>
    <w:r w:rsidRPr="00B2682D">
      <w:rPr>
        <w:rStyle w:val="HideTWBExt"/>
      </w:rPr>
      <w:t>&gt;</w:t>
    </w:r>
    <w:r w:rsidRPr="00B2682D">
      <w:t>753.486</w:t>
    </w:r>
    <w:r w:rsidRPr="00B2682D">
      <w:rPr>
        <w:rStyle w:val="HideTWBExt"/>
      </w:rPr>
      <w:t>&lt;/</w:t>
    </w:r>
    <w:proofErr w:type="spellStart"/>
    <w:r w:rsidRPr="00B2682D">
      <w:rPr>
        <w:rStyle w:val="HideTWBExt"/>
      </w:rPr>
      <w:t>NoPE</w:t>
    </w:r>
    <w:proofErr w:type="spellEnd"/>
    <w:r w:rsidRPr="00B2682D">
      <w:rPr>
        <w:rStyle w:val="HideTWBExt"/>
      </w:rPr>
      <w:t>&gt;&lt;Version&gt;</w:t>
    </w:r>
    <w:r w:rsidRPr="00B2682D">
      <w:t>v02-00</w:t>
    </w:r>
    <w:r w:rsidRPr="00B2682D">
      <w:rPr>
        <w:rStyle w:val="HideTWBExt"/>
      </w:rPr>
      <w:t>&lt;/</w:t>
    </w:r>
    <w:proofErr w:type="spellStart"/>
    <w:r w:rsidRPr="00B2682D">
      <w:rPr>
        <w:rStyle w:val="HideTWBExt"/>
      </w:rPr>
      <w:t>Version</w:t>
    </w:r>
    <w:proofErr w:type="spellEnd"/>
    <w:r w:rsidRPr="00B2682D">
      <w:rPr>
        <w:rStyle w:val="HideTWBExt"/>
      </w:rPr>
      <w:t>&gt;</w:t>
    </w:r>
    <w:r w:rsidRPr="00B2682D">
      <w:tab/>
    </w:r>
    <w:r w:rsidRPr="00B2682D">
      <w:fldChar w:fldCharType="begin"/>
    </w:r>
    <w:r w:rsidRPr="00B2682D">
      <w:instrText xml:space="preserve"> PAGE  \* MERGEFORMAT </w:instrText>
    </w:r>
    <w:r w:rsidRPr="00B2682D">
      <w:fldChar w:fldCharType="separate"/>
    </w:r>
    <w:r w:rsidRPr="00B2682D">
      <w:rPr>
        <w:noProof/>
      </w:rPr>
      <w:t>2</w:t>
    </w:r>
    <w:r w:rsidRPr="00B2682D">
      <w:fldChar w:fldCharType="end"/>
    </w:r>
    <w:r w:rsidRPr="00B2682D">
      <w:t>/</w:t>
    </w:r>
    <w:r w:rsidR="008D5091">
      <w:fldChar w:fldCharType="begin"/>
    </w:r>
    <w:r w:rsidR="008D5091">
      <w:instrText xml:space="preserve"> NUMPAGES  \* MERGEFORMAT </w:instrText>
    </w:r>
    <w:r w:rsidR="008D5091">
      <w:fldChar w:fldCharType="separate"/>
    </w:r>
    <w:r w:rsidRPr="00B2682D">
      <w:rPr>
        <w:noProof/>
      </w:rPr>
      <w:t>2</w:t>
    </w:r>
    <w:r w:rsidR="008D5091">
      <w:rPr>
        <w:noProof/>
      </w:rPr>
      <w:fldChar w:fldCharType="end"/>
    </w:r>
    <w:r w:rsidRPr="00B2682D">
      <w:tab/>
    </w:r>
    <w:r w:rsidRPr="00B2682D">
      <w:rPr>
        <w:rStyle w:val="HideTWBExt"/>
      </w:rPr>
      <w:t>&lt;PathFdR&gt;</w:t>
    </w:r>
    <w:r w:rsidRPr="00B2682D">
      <w:t>RR\1298678LT.docx</w:t>
    </w:r>
    <w:r w:rsidRPr="00B2682D">
      <w:rPr>
        <w:rStyle w:val="HideTWBExt"/>
      </w:rPr>
      <w:t>&lt;/</w:t>
    </w:r>
    <w:proofErr w:type="spellStart"/>
    <w:r w:rsidRPr="00B2682D">
      <w:rPr>
        <w:rStyle w:val="HideTWBExt"/>
      </w:rPr>
      <w:t>PathFdR</w:t>
    </w:r>
    <w:proofErr w:type="spellEnd"/>
    <w:r w:rsidRPr="00B2682D">
      <w:rPr>
        <w:rStyle w:val="HideTWBExt"/>
      </w:rPr>
      <w:t>&gt;</w:t>
    </w:r>
  </w:p>
  <w:p w:rsidR="00B70222" w:rsidRPr="00B2682D" w:rsidRDefault="00B70222" w:rsidP="002202C3">
    <w:pPr>
      <w:pStyle w:val="EPFooter2"/>
    </w:pPr>
    <w:r w:rsidRPr="00B2682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222" w:rsidRPr="00B2682D" w:rsidRDefault="00B70222" w:rsidP="002202C3">
    <w:pPr>
      <w:pStyle w:val="EPFooter"/>
    </w:pPr>
    <w:r w:rsidRPr="00B2682D">
      <w:rPr>
        <w:rStyle w:val="HideTWBExt"/>
      </w:rPr>
      <w:t>&lt;PathFdR&gt;</w:t>
    </w:r>
    <w:r w:rsidRPr="00B2682D">
      <w:t>RR\1298678LT.docx</w:t>
    </w:r>
    <w:r w:rsidRPr="00B2682D">
      <w:rPr>
        <w:rStyle w:val="HideTWBExt"/>
      </w:rPr>
      <w:t>&lt;/</w:t>
    </w:r>
    <w:proofErr w:type="spellStart"/>
    <w:r w:rsidRPr="00B2682D">
      <w:rPr>
        <w:rStyle w:val="HideTWBExt"/>
      </w:rPr>
      <w:t>PathFdR</w:t>
    </w:r>
    <w:proofErr w:type="spellEnd"/>
    <w:r w:rsidRPr="00B2682D">
      <w:rPr>
        <w:rStyle w:val="HideTWBExt"/>
      </w:rPr>
      <w:t>&gt;</w:t>
    </w:r>
    <w:r w:rsidRPr="00B2682D">
      <w:tab/>
    </w:r>
    <w:r w:rsidRPr="00B2682D">
      <w:tab/>
      <w:t>PE</w:t>
    </w:r>
    <w:r w:rsidRPr="00B2682D">
      <w:rPr>
        <w:rStyle w:val="HideTWBExt"/>
      </w:rPr>
      <w:t>&lt;</w:t>
    </w:r>
    <w:proofErr w:type="spellStart"/>
    <w:r w:rsidRPr="00B2682D">
      <w:rPr>
        <w:rStyle w:val="HideTWBExt"/>
      </w:rPr>
      <w:t>NoPE</w:t>
    </w:r>
    <w:proofErr w:type="spellEnd"/>
    <w:r w:rsidRPr="00B2682D">
      <w:rPr>
        <w:rStyle w:val="HideTWBExt"/>
      </w:rPr>
      <w:t>&gt;</w:t>
    </w:r>
    <w:r w:rsidRPr="00B2682D">
      <w:t>753.486</w:t>
    </w:r>
    <w:r w:rsidRPr="00B2682D">
      <w:rPr>
        <w:rStyle w:val="HideTWBExt"/>
      </w:rPr>
      <w:t>&lt;/</w:t>
    </w:r>
    <w:proofErr w:type="spellStart"/>
    <w:r w:rsidRPr="00B2682D">
      <w:rPr>
        <w:rStyle w:val="HideTWBExt"/>
      </w:rPr>
      <w:t>NoPE</w:t>
    </w:r>
    <w:proofErr w:type="spellEnd"/>
    <w:r w:rsidRPr="00B2682D">
      <w:rPr>
        <w:rStyle w:val="HideTWBExt"/>
      </w:rPr>
      <w:t>&gt;&lt;Version&gt;</w:t>
    </w:r>
    <w:r w:rsidRPr="00B2682D">
      <w:t>v02-00</w:t>
    </w:r>
    <w:r w:rsidRPr="00B2682D">
      <w:rPr>
        <w:rStyle w:val="HideTWBExt"/>
      </w:rPr>
      <w:t>&lt;/</w:t>
    </w:r>
    <w:proofErr w:type="spellStart"/>
    <w:r w:rsidRPr="00B2682D">
      <w:rPr>
        <w:rStyle w:val="HideTWBExt"/>
      </w:rPr>
      <w:t>Version</w:t>
    </w:r>
    <w:proofErr w:type="spellEnd"/>
    <w:r w:rsidRPr="00B2682D">
      <w:rPr>
        <w:rStyle w:val="HideTWBExt"/>
      </w:rPr>
      <w:t>&gt;</w:t>
    </w:r>
  </w:p>
  <w:p w:rsidR="00B70222" w:rsidRPr="00B2682D" w:rsidRDefault="00B70222" w:rsidP="002202C3">
    <w:pPr>
      <w:pStyle w:val="EPFooter2"/>
    </w:pPr>
    <w:r w:rsidRPr="00B2682D">
      <w:t>LT</w:t>
    </w:r>
    <w:r w:rsidRPr="00B2682D">
      <w:tab/>
    </w:r>
    <w:r w:rsidRPr="00B2682D">
      <w:rPr>
        <w:b w:val="0"/>
        <w:i/>
        <w:color w:val="C0C0C0"/>
        <w:sz w:val="22"/>
      </w:rPr>
      <w:t>Suvienijusi įvairovę</w:t>
    </w:r>
    <w:r w:rsidRPr="00B2682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82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82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8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108" w:rsidRPr="00B2682D" w:rsidRDefault="00BC5108">
      <w:r w:rsidRPr="00B2682D">
        <w:separator/>
      </w:r>
    </w:p>
  </w:footnote>
  <w:footnote w:type="continuationSeparator" w:id="0">
    <w:p w:rsidR="00BC5108" w:rsidRPr="00B2682D" w:rsidRDefault="00BC5108">
      <w:r w:rsidRPr="00B2682D">
        <w:continuationSeparator/>
      </w:r>
    </w:p>
  </w:footnote>
  <w:footnote w:id="1">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r w:rsidRPr="00B2682D">
        <w:rPr>
          <w:sz w:val="24"/>
          <w:lang w:val="lt-LT"/>
        </w:rPr>
        <w:t>OL L 45, 2022 2 24.</w:t>
      </w:r>
    </w:p>
  </w:footnote>
  <w:footnote w:id="2">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r w:rsidRPr="00B2682D">
        <w:rPr>
          <w:sz w:val="24"/>
          <w:lang w:val="lt-LT"/>
        </w:rPr>
        <w:t>OL C, C/2023/2, 2023 10 12.</w:t>
      </w:r>
    </w:p>
  </w:footnote>
  <w:footnote w:id="3">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r w:rsidRPr="00B2682D">
        <w:rPr>
          <w:sz w:val="24"/>
          <w:lang w:val="lt-LT"/>
        </w:rPr>
        <w:t>OL C, C/2023/103, 2023 10 4.</w:t>
      </w:r>
    </w:p>
  </w:footnote>
  <w:footnote w:id="4">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r w:rsidRPr="00B2682D">
        <w:rPr>
          <w:sz w:val="24"/>
          <w:lang w:val="lt-LT"/>
        </w:rPr>
        <w:t>OL C, C/2023/112, 2023 10 12.</w:t>
      </w:r>
    </w:p>
  </w:footnote>
  <w:footnote w:id="5">
    <w:p w:rsidR="00B70222" w:rsidRPr="00B2682D" w:rsidRDefault="00B70222" w:rsidP="00B2682D">
      <w:pPr>
        <w:pStyle w:val="FootnoteText"/>
        <w:ind w:left="567" w:hanging="567"/>
        <w:rPr>
          <w:sz w:val="24"/>
          <w:szCs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r w:rsidRPr="00B2682D">
        <w:rPr>
          <w:sz w:val="24"/>
          <w:lang w:val="lt-LT"/>
        </w:rPr>
        <w:t>OL L 193, 2018 7 30, p. 1.</w:t>
      </w:r>
    </w:p>
  </w:footnote>
  <w:footnote w:id="6">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r w:rsidRPr="00B2682D">
        <w:rPr>
          <w:sz w:val="24"/>
          <w:lang w:val="lt-LT"/>
        </w:rPr>
        <w:t>OL L 253, 2021 7 16, p. 1.</w:t>
      </w:r>
    </w:p>
  </w:footnote>
  <w:footnote w:id="7">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hyperlink r:id="rId1" w:history="1">
        <w:r w:rsidRPr="00AB0626">
          <w:rPr>
            <w:rStyle w:val="Hyperlink"/>
            <w:sz w:val="24"/>
            <w:lang w:val="lt-LT"/>
          </w:rPr>
          <w:t>https://www.ombudsman.europa.eu/en/news-document/lt/152993</w:t>
        </w:r>
      </w:hyperlink>
    </w:p>
  </w:footnote>
  <w:footnote w:id="8">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hyperlink r:id="rId2" w:history="1">
        <w:r w:rsidRPr="00AB0626">
          <w:rPr>
            <w:rStyle w:val="Hyperlink"/>
            <w:sz w:val="24"/>
            <w:lang w:val="lt-LT"/>
          </w:rPr>
          <w:t>https://www.europarl.europa.eu/doceo/document/TA-9-2023-0295_LT.html</w:t>
        </w:r>
      </w:hyperlink>
    </w:p>
  </w:footnote>
  <w:footnote w:id="9">
    <w:p w:rsidR="00B70222" w:rsidRPr="00B2682D" w:rsidRDefault="00B70222" w:rsidP="00B2682D">
      <w:pPr>
        <w:pStyle w:val="FootnoteText"/>
        <w:ind w:left="567" w:hanging="567"/>
        <w:rPr>
          <w:sz w:val="24"/>
          <w:lang w:val="lt-LT"/>
        </w:rPr>
      </w:pPr>
      <w:r w:rsidRPr="00B2682D">
        <w:rPr>
          <w:rStyle w:val="FootnoteReference"/>
          <w:sz w:val="24"/>
          <w:lang w:val="lt-LT"/>
        </w:rPr>
        <w:footnoteRef/>
      </w:r>
      <w:r w:rsidR="00B2682D" w:rsidRPr="00B2682D">
        <w:rPr>
          <w:sz w:val="24"/>
          <w:lang w:val="lt-LT"/>
        </w:rPr>
        <w:t xml:space="preserve"> </w:t>
      </w:r>
      <w:r w:rsidR="00B2682D" w:rsidRPr="00B2682D">
        <w:rPr>
          <w:sz w:val="24"/>
          <w:lang w:val="lt-LT"/>
        </w:rPr>
        <w:tab/>
      </w:r>
      <w:hyperlink r:id="rId3" w:history="1">
        <w:r w:rsidRPr="004E2B04">
          <w:rPr>
            <w:rStyle w:val="Hyperlink"/>
            <w:sz w:val="24"/>
            <w:lang w:val="lt-LT"/>
          </w:rPr>
          <w:t>https://www.europarl.europa.eu/doceo/document/TA-9-2023-0295_LT.html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8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8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8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LT"/>
    <w:docVar w:name="dvnumam" w:val="0"/>
    <w:docVar w:name="dvpe" w:val="753.486"/>
    <w:docVar w:name="dvrapporteur" w:val="Pranešėjas: "/>
    <w:docVar w:name="dvtitre" w:val="Europos Parlamento sprendimas dėl 2022 finansinių metų Europos Sąjungos bendrojo biudžeto įvykdymo patvirtinimo, VIII skirsnis – Europos ombudsmenas(2023/2137(DEC))"/>
  </w:docVars>
  <w:rsids>
    <w:rsidRoot w:val="00BC5108"/>
    <w:rsid w:val="00002272"/>
    <w:rsid w:val="00064002"/>
    <w:rsid w:val="000677B9"/>
    <w:rsid w:val="000831BA"/>
    <w:rsid w:val="000A42CC"/>
    <w:rsid w:val="000E7DD9"/>
    <w:rsid w:val="0010095E"/>
    <w:rsid w:val="00125B37"/>
    <w:rsid w:val="00142644"/>
    <w:rsid w:val="00187494"/>
    <w:rsid w:val="001F32AE"/>
    <w:rsid w:val="002767FF"/>
    <w:rsid w:val="00283A23"/>
    <w:rsid w:val="002B18FE"/>
    <w:rsid w:val="002B5493"/>
    <w:rsid w:val="00343214"/>
    <w:rsid w:val="00361C00"/>
    <w:rsid w:val="00395FA1"/>
    <w:rsid w:val="003E15D4"/>
    <w:rsid w:val="00403033"/>
    <w:rsid w:val="00411CCE"/>
    <w:rsid w:val="0041666E"/>
    <w:rsid w:val="00421060"/>
    <w:rsid w:val="00471C19"/>
    <w:rsid w:val="004867E3"/>
    <w:rsid w:val="00494A28"/>
    <w:rsid w:val="004C0004"/>
    <w:rsid w:val="004C5D52"/>
    <w:rsid w:val="004E2B04"/>
    <w:rsid w:val="0050519A"/>
    <w:rsid w:val="005072A1"/>
    <w:rsid w:val="00514517"/>
    <w:rsid w:val="00545827"/>
    <w:rsid w:val="00560270"/>
    <w:rsid w:val="005C2568"/>
    <w:rsid w:val="006037C0"/>
    <w:rsid w:val="00651F57"/>
    <w:rsid w:val="0065233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091"/>
    <w:rsid w:val="00930C23"/>
    <w:rsid w:val="0093193B"/>
    <w:rsid w:val="009509D8"/>
    <w:rsid w:val="00950B64"/>
    <w:rsid w:val="00981893"/>
    <w:rsid w:val="00A1687D"/>
    <w:rsid w:val="00A43E52"/>
    <w:rsid w:val="00A4678D"/>
    <w:rsid w:val="00A778C7"/>
    <w:rsid w:val="00AB0626"/>
    <w:rsid w:val="00AB441E"/>
    <w:rsid w:val="00AB6293"/>
    <w:rsid w:val="00AE0928"/>
    <w:rsid w:val="00AF3B82"/>
    <w:rsid w:val="00B12E95"/>
    <w:rsid w:val="00B22876"/>
    <w:rsid w:val="00B2682D"/>
    <w:rsid w:val="00B558F0"/>
    <w:rsid w:val="00B70222"/>
    <w:rsid w:val="00BC5108"/>
    <w:rsid w:val="00BD48FE"/>
    <w:rsid w:val="00BD5B13"/>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A53F10-CD48-4D15-ADFB-03E03DE4A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22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222"/>
    <w:pPr>
      <w:spacing w:before="480" w:after="240"/>
    </w:pPr>
  </w:style>
  <w:style w:type="paragraph" w:customStyle="1" w:styleId="PageHeading">
    <w:name w:val="PageHeading"/>
    <w:basedOn w:val="Normal"/>
    <w:rsid w:val="00B70222"/>
    <w:pPr>
      <w:keepNext/>
      <w:spacing w:after="480"/>
      <w:jc w:val="center"/>
    </w:pPr>
    <w:rPr>
      <w:rFonts w:ascii="Arial" w:hAnsi="Arial" w:cs="Arial"/>
      <w:b/>
    </w:rPr>
  </w:style>
  <w:style w:type="paragraph" w:customStyle="1" w:styleId="NormalBold">
    <w:name w:val="NormalBold"/>
    <w:basedOn w:val="Normal"/>
    <w:rsid w:val="00B70222"/>
    <w:rPr>
      <w:b/>
    </w:rPr>
  </w:style>
  <w:style w:type="paragraph" w:customStyle="1" w:styleId="NormalHanging12a">
    <w:name w:val="NormalHanging12a"/>
    <w:basedOn w:val="Normal"/>
    <w:link w:val="NormalHanging12aChar"/>
    <w:qFormat/>
    <w:rsid w:val="00B70222"/>
    <w:pPr>
      <w:spacing w:after="240"/>
      <w:ind w:left="567" w:hanging="567"/>
    </w:pPr>
  </w:style>
  <w:style w:type="paragraph" w:styleId="Header">
    <w:name w:val="header"/>
    <w:basedOn w:val="Normal"/>
    <w:link w:val="HeaderChar"/>
    <w:rsid w:val="00B70222"/>
    <w:pPr>
      <w:tabs>
        <w:tab w:val="center" w:pos="4513"/>
        <w:tab w:val="right" w:pos="9026"/>
      </w:tabs>
    </w:pPr>
  </w:style>
  <w:style w:type="character" w:customStyle="1" w:styleId="HeaderChar">
    <w:name w:val="Header Char"/>
    <w:basedOn w:val="DefaultParagraphFont"/>
    <w:link w:val="Header"/>
    <w:rsid w:val="00B70222"/>
    <w:rPr>
      <w:sz w:val="24"/>
      <w:lang w:val="lt-LT"/>
    </w:rPr>
  </w:style>
  <w:style w:type="paragraph" w:customStyle="1" w:styleId="EPFooter">
    <w:name w:val="EPFooter"/>
    <w:basedOn w:val="Normal"/>
    <w:rsid w:val="00B7022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70222"/>
    <w:rPr>
      <w:sz w:val="24"/>
      <w:lang w:val="lt-LT"/>
    </w:rPr>
  </w:style>
  <w:style w:type="paragraph" w:styleId="Footer">
    <w:name w:val="footer"/>
    <w:basedOn w:val="Normal"/>
    <w:link w:val="FooterChar"/>
    <w:rsid w:val="00651F57"/>
    <w:pPr>
      <w:tabs>
        <w:tab w:val="center" w:pos="4513"/>
        <w:tab w:val="right" w:pos="9026"/>
      </w:tabs>
    </w:pPr>
  </w:style>
  <w:style w:type="character" w:customStyle="1" w:styleId="FooterChar">
    <w:name w:val="Footer Char"/>
    <w:basedOn w:val="DefaultParagraphFont"/>
    <w:link w:val="Footer"/>
    <w:rsid w:val="00651F57"/>
    <w:rPr>
      <w:sz w:val="24"/>
      <w:lang w:val="lt-LT"/>
    </w:rPr>
  </w:style>
  <w:style w:type="paragraph" w:styleId="BalloonText">
    <w:name w:val="Balloon Text"/>
    <w:basedOn w:val="Normal"/>
    <w:link w:val="BalloonTextChar"/>
    <w:rsid w:val="00AB0626"/>
    <w:rPr>
      <w:rFonts w:ascii="Segoe UI" w:hAnsi="Segoe UI" w:cs="Segoe UI"/>
      <w:sz w:val="18"/>
      <w:szCs w:val="18"/>
    </w:rPr>
  </w:style>
  <w:style w:type="character" w:customStyle="1" w:styleId="BalloonTextChar">
    <w:name w:val="Balloon Text Char"/>
    <w:basedOn w:val="DefaultParagraphFont"/>
    <w:link w:val="BalloonText"/>
    <w:rsid w:val="00AB0626"/>
    <w:rPr>
      <w:rFonts w:ascii="Segoe UI" w:hAnsi="Segoe UI" w:cs="Segoe UI"/>
      <w:sz w:val="18"/>
      <w:szCs w:val="18"/>
      <w:lang w:val="lt-LT"/>
    </w:rPr>
  </w:style>
  <w:style w:type="character" w:styleId="Hyperlink">
    <w:name w:val="Hyperlink"/>
    <w:basedOn w:val="DefaultParagraphFont"/>
    <w:rsid w:val="00AB06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3-0295_LT.html" TargetMode="External"/><Relationship Id="rId2" Type="http://schemas.openxmlformats.org/officeDocument/2006/relationships/hyperlink" Target="https://www.europarl.europa.eu/doceo/document/TA-9-2023-0295_LT.html" TargetMode="External"/><Relationship Id="rId1" Type="http://schemas.openxmlformats.org/officeDocument/2006/relationships/hyperlink" Target="https://www.ombudsman.europa.eu/en/news-document/lt/152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F6B0F-8F1C-49AA-B767-6567A3F7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3343</Words>
  <Characters>22692</Characters>
  <Application>Microsoft Office Word</Application>
  <DocSecurity>0</DocSecurity>
  <Lines>189</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8</cp:revision>
  <cp:lastPrinted>2004-11-19T15:42:00Z</cp:lastPrinted>
  <dcterms:created xsi:type="dcterms:W3CDTF">2024-03-26T16:50:00Z</dcterms:created>
  <dcterms:modified xsi:type="dcterms:W3CDTF">2024-04-11T13:57:00Z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A9-0084/2024</vt:lpwstr>
  </property>
  <property fmtid="{D5CDD505-2E9C-101B-9397-08002B2CF9AE}" pid="4" name="&lt;Type&gt;">
    <vt:lpwstr>RR</vt:lpwstr>
  </property>
</Properties>
</file>