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4AB4" w:rsidTr="0010095E">
        <w:trPr>
          <w:trHeight w:hRule="exact" w:val="1418"/>
        </w:trPr>
        <w:tc>
          <w:tcPr>
            <w:tcW w:w="6804" w:type="dxa"/>
            <w:shd w:val="clear" w:color="auto" w:fill="auto"/>
            <w:vAlign w:val="center"/>
          </w:tcPr>
          <w:p w:rsidR="00751A4A" w:rsidRPr="00CB4AB4" w:rsidRDefault="00DA5621" w:rsidP="0010095E">
            <w:pPr>
              <w:pStyle w:val="EPName"/>
            </w:pPr>
            <w:r w:rsidRPr="00CB4AB4">
              <w:t>Europees Parlement</w:t>
            </w:r>
          </w:p>
          <w:p w:rsidR="00751A4A" w:rsidRPr="00CB4AB4" w:rsidRDefault="00817416" w:rsidP="00756632">
            <w:pPr>
              <w:pStyle w:val="EPTerm"/>
              <w:rPr>
                <w:rStyle w:val="HideTWBExt"/>
                <w:noProof w:val="0"/>
                <w:vanish w:val="0"/>
                <w:color w:val="auto"/>
              </w:rPr>
            </w:pPr>
            <w:r w:rsidRPr="00CB4AB4">
              <w:t>2019-2024</w:t>
            </w:r>
          </w:p>
        </w:tc>
        <w:tc>
          <w:tcPr>
            <w:tcW w:w="2268" w:type="dxa"/>
            <w:shd w:val="clear" w:color="auto" w:fill="auto"/>
          </w:tcPr>
          <w:p w:rsidR="00751A4A" w:rsidRPr="00CB4AB4" w:rsidRDefault="00187494" w:rsidP="0010095E">
            <w:pPr>
              <w:pStyle w:val="EPLogo"/>
            </w:pPr>
            <w:r w:rsidRPr="00CB4A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4AB4" w:rsidRDefault="00D058B8" w:rsidP="004C5D52">
      <w:pPr>
        <w:pStyle w:val="LineTop"/>
      </w:pPr>
    </w:p>
    <w:p w:rsidR="00680577" w:rsidRPr="00CB4AB4" w:rsidRDefault="00DA5621" w:rsidP="00680577">
      <w:pPr>
        <w:pStyle w:val="EPBodyTA1"/>
      </w:pPr>
      <w:r w:rsidRPr="00CB4AB4">
        <w:t>AANGENOMEN TEKSTEN</w:t>
      </w:r>
    </w:p>
    <w:p w:rsidR="00D058B8" w:rsidRPr="00CB4AB4" w:rsidRDefault="00D058B8" w:rsidP="00D058B8">
      <w:pPr>
        <w:pStyle w:val="LineBottom"/>
      </w:pPr>
    </w:p>
    <w:p w:rsidR="00DA5621" w:rsidRPr="00CB4AB4" w:rsidRDefault="00DA5621" w:rsidP="00DA5621">
      <w:pPr>
        <w:pStyle w:val="ATHeading1"/>
      </w:pPr>
      <w:bookmarkStart w:id="0" w:name="TANumber"/>
      <w:r w:rsidRPr="00CB4AB4">
        <w:t>P9_TA(2024)</w:t>
      </w:r>
      <w:bookmarkEnd w:id="0"/>
      <w:r w:rsidR="004508A8" w:rsidRPr="00CB4AB4">
        <w:t>0234</w:t>
      </w:r>
    </w:p>
    <w:p w:rsidR="00DA5621" w:rsidRPr="00CB4AB4" w:rsidRDefault="00DA5621" w:rsidP="00DA5621">
      <w:pPr>
        <w:pStyle w:val="ATHeading2"/>
      </w:pPr>
      <w:bookmarkStart w:id="1" w:name="title"/>
      <w:r w:rsidRPr="00CB4AB4">
        <w:t>Kwijting 2022: Algemene begroting van de EU – Europese Ombudsman</w:t>
      </w:r>
      <w:bookmarkEnd w:id="1"/>
    </w:p>
    <w:p w:rsidR="00DA5621" w:rsidRPr="00CB4AB4" w:rsidRDefault="00DA5621" w:rsidP="00DA5621">
      <w:pPr>
        <w:rPr>
          <w:i/>
          <w:vanish/>
        </w:rPr>
      </w:pPr>
      <w:r w:rsidRPr="00CB4AB4">
        <w:rPr>
          <w:i/>
        </w:rPr>
        <w:fldChar w:fldCharType="begin"/>
      </w:r>
      <w:r w:rsidRPr="00CB4AB4">
        <w:rPr>
          <w:i/>
        </w:rPr>
        <w:instrText xml:space="preserve"> TC"(</w:instrText>
      </w:r>
      <w:bookmarkStart w:id="2" w:name="DocNumber"/>
      <w:r w:rsidRPr="00CB4AB4">
        <w:rPr>
          <w:i/>
        </w:rPr>
        <w:instrText>A9-0084/2024</w:instrText>
      </w:r>
      <w:bookmarkEnd w:id="2"/>
      <w:r w:rsidRPr="00CB4AB4">
        <w:rPr>
          <w:i/>
        </w:rPr>
        <w:instrText xml:space="preserve"> - Rapporteur: Luke Ming Flanagan)"\l3 \n&gt; \* MERGEFORMAT </w:instrText>
      </w:r>
      <w:r w:rsidRPr="00CB4AB4">
        <w:rPr>
          <w:i/>
        </w:rPr>
        <w:fldChar w:fldCharType="end"/>
      </w:r>
    </w:p>
    <w:p w:rsidR="00DA5621" w:rsidRPr="00CB4AB4" w:rsidRDefault="00DA5621" w:rsidP="00DA5621">
      <w:pPr>
        <w:rPr>
          <w:vanish/>
        </w:rPr>
      </w:pPr>
      <w:bookmarkStart w:id="3" w:name="Commission"/>
      <w:r w:rsidRPr="00CB4AB4">
        <w:rPr>
          <w:vanish/>
        </w:rPr>
        <w:t>Commissie begrotingscontrole</w:t>
      </w:r>
      <w:bookmarkEnd w:id="3"/>
    </w:p>
    <w:p w:rsidR="00DA5621" w:rsidRPr="00CB4AB4" w:rsidRDefault="00DA5621" w:rsidP="00DA5621">
      <w:pPr>
        <w:rPr>
          <w:vanish/>
        </w:rPr>
      </w:pPr>
      <w:bookmarkStart w:id="4" w:name="PE"/>
      <w:r w:rsidRPr="00CB4AB4">
        <w:rPr>
          <w:vanish/>
        </w:rPr>
        <w:t>PE753.486</w:t>
      </w:r>
      <w:bookmarkEnd w:id="4"/>
    </w:p>
    <w:p w:rsidR="00DA5621" w:rsidRPr="00CB4AB4" w:rsidRDefault="004B10ED" w:rsidP="00DA5621">
      <w:pPr>
        <w:pStyle w:val="ATHeading3"/>
      </w:pPr>
      <w:bookmarkStart w:id="5" w:name="Sujet"/>
      <w:r w:rsidRPr="00CB4AB4">
        <w:t>1. B</w:t>
      </w:r>
      <w:r w:rsidR="00DA5621" w:rsidRPr="00CB4AB4">
        <w:t xml:space="preserve">esluit van het Europees Parlement van </w:t>
      </w:r>
      <w:r w:rsidRPr="00CB4AB4">
        <w:t>11</w:t>
      </w:r>
      <w:r w:rsidR="00DA5621" w:rsidRPr="00CB4AB4">
        <w:t xml:space="preserve"> april 2024 over het verlenen van kwijting voor de uitvoering van de algemene begroting van de Europese Unie voor het begrotingsjaar 2022, afdeling VIII – Europese Ombudsman</w:t>
      </w:r>
      <w:bookmarkEnd w:id="5"/>
      <w:r w:rsidR="00DA5621" w:rsidRPr="00CB4AB4">
        <w:t xml:space="preserve"> </w:t>
      </w:r>
      <w:bookmarkStart w:id="6" w:name="References"/>
      <w:r w:rsidR="00DA5621" w:rsidRPr="00CB4AB4">
        <w:t>(2023/2137(DEC))</w:t>
      </w:r>
      <w:bookmarkEnd w:id="6"/>
    </w:p>
    <w:p w:rsidR="00303976" w:rsidRPr="00CB4AB4" w:rsidRDefault="00303976" w:rsidP="00303976">
      <w:pPr>
        <w:pStyle w:val="EPComma"/>
      </w:pPr>
      <w:bookmarkStart w:id="7" w:name="TextBodyBegin"/>
      <w:bookmarkEnd w:id="7"/>
      <w:r w:rsidRPr="00CB4AB4">
        <w:rPr>
          <w:i/>
        </w:rPr>
        <w:t>Het Europees Parlement</w:t>
      </w:r>
      <w:r w:rsidRPr="00CB4AB4">
        <w:t>,</w:t>
      </w:r>
    </w:p>
    <w:p w:rsidR="00303976" w:rsidRPr="00CB4AB4" w:rsidRDefault="00303976" w:rsidP="00303976">
      <w:pPr>
        <w:pStyle w:val="NormalHanging12a"/>
      </w:pPr>
      <w:r w:rsidRPr="00CB4AB4">
        <w:t>–</w:t>
      </w:r>
      <w:r w:rsidRPr="00CB4AB4">
        <w:tab/>
        <w:t>gezien de algemene begroting van de Europese Unie voor het begrotingsjaar 2022</w:t>
      </w:r>
      <w:r w:rsidRPr="00CB4AB4">
        <w:rPr>
          <w:rStyle w:val="FootnoteReference"/>
        </w:rPr>
        <w:footnoteReference w:id="1"/>
      </w:r>
      <w:r w:rsidRPr="00CB4AB4">
        <w:t>,</w:t>
      </w:r>
    </w:p>
    <w:p w:rsidR="00303976" w:rsidRPr="00CB4AB4" w:rsidRDefault="00303976" w:rsidP="00303976">
      <w:pPr>
        <w:pStyle w:val="NormalHanging12a"/>
      </w:pPr>
      <w:r w:rsidRPr="00CB4AB4">
        <w:t>–</w:t>
      </w:r>
      <w:r w:rsidRPr="00CB4AB4">
        <w:tab/>
        <w:t>gezien de geconsolideerde jaarrekening van de Europese Unie voor het begrotingsjaar 2022 (COM(2023)0391 – C9</w:t>
      </w:r>
      <w:r w:rsidRPr="00CB4AB4">
        <w:noBreakHyphen/>
        <w:t>0256/2023)</w:t>
      </w:r>
      <w:r w:rsidRPr="00CB4AB4">
        <w:rPr>
          <w:rStyle w:val="FootnoteReference"/>
        </w:rPr>
        <w:footnoteReference w:id="2"/>
      </w:r>
      <w:r w:rsidRPr="00CB4AB4">
        <w:t>,</w:t>
      </w:r>
    </w:p>
    <w:p w:rsidR="00303976" w:rsidRPr="00CB4AB4" w:rsidRDefault="00303976" w:rsidP="00303976">
      <w:pPr>
        <w:pStyle w:val="NormalHanging12a"/>
      </w:pPr>
      <w:r w:rsidRPr="00CB4AB4">
        <w:t>–</w:t>
      </w:r>
      <w:r w:rsidRPr="00CB4AB4">
        <w:tab/>
        <w:t>gezien het jaarlijks activiteitenverslag 2022 van de Europese Ombudsman en haar verslag over het begrotings- en financieel beheer van het begrotingsjaar 2022,</w:t>
      </w:r>
    </w:p>
    <w:p w:rsidR="00303976" w:rsidRPr="00CB4AB4" w:rsidRDefault="00303976" w:rsidP="00303976">
      <w:pPr>
        <w:pStyle w:val="NormalHanging12a"/>
      </w:pPr>
      <w:r w:rsidRPr="00CB4AB4">
        <w:t>–</w:t>
      </w:r>
      <w:r w:rsidRPr="00CB4AB4">
        <w:tab/>
        <w:t>gezien het jaarverslag van de Rekenkamer over de uitvoering van de begroting voor het begrotingsjaar 2022, vergezeld van de antwoorden van de instellingen</w:t>
      </w:r>
      <w:r w:rsidRPr="00CB4AB4">
        <w:rPr>
          <w:rStyle w:val="FootnoteReference"/>
        </w:rPr>
        <w:footnoteReference w:id="3"/>
      </w:r>
      <w:r w:rsidRPr="00CB4AB4">
        <w:t>,</w:t>
      </w:r>
    </w:p>
    <w:p w:rsidR="00303976" w:rsidRPr="00CB4AB4" w:rsidRDefault="00303976" w:rsidP="00303976">
      <w:pPr>
        <w:pStyle w:val="NormalHanging12a"/>
      </w:pPr>
      <w:r w:rsidRPr="00CB4AB4">
        <w:t>–</w:t>
      </w:r>
      <w:r w:rsidRPr="00CB4AB4">
        <w:tab/>
        <w:t>gezien de verklaring van de Rekenkamer</w:t>
      </w:r>
      <w:r w:rsidRPr="00CB4AB4">
        <w:rPr>
          <w:rStyle w:val="FootnoteReference"/>
        </w:rPr>
        <w:footnoteReference w:id="4"/>
      </w:r>
      <w:r w:rsidRPr="00CB4AB4">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rsidR="00303976" w:rsidRPr="00CB4AB4" w:rsidRDefault="00303976" w:rsidP="00303976">
      <w:pPr>
        <w:pStyle w:val="NormalHanging12a"/>
      </w:pPr>
      <w:r w:rsidRPr="00CB4AB4">
        <w:t>–</w:t>
      </w:r>
      <w:r w:rsidRPr="00CB4AB4">
        <w:tab/>
        <w:t>gezien artikel 314, lid 10, en de artikelen 317, 318 en 319 van het Verdrag betreffende de werking van de Europese Unie,</w:t>
      </w:r>
    </w:p>
    <w:p w:rsidR="00303976" w:rsidRPr="00CB4AB4" w:rsidRDefault="00303976" w:rsidP="00303976">
      <w:pPr>
        <w:pStyle w:val="NormalHanging12a"/>
      </w:pPr>
      <w:r w:rsidRPr="00CB4AB4">
        <w:t>–</w:t>
      </w:r>
      <w:r w:rsidRPr="00CB4AB4">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CB4AB4">
        <w:lastRenderedPageBreak/>
        <w:t>intrekking van Verordening (EU, Euratom) nr. 966/2012</w:t>
      </w:r>
      <w:r w:rsidRPr="00CB4AB4">
        <w:rPr>
          <w:rStyle w:val="FootnoteReference"/>
        </w:rPr>
        <w:footnoteReference w:id="5"/>
      </w:r>
      <w:r w:rsidRPr="00CB4AB4">
        <w:t>, en met name de artikelen 59, 118, 260, 261 en 262,</w:t>
      </w:r>
    </w:p>
    <w:p w:rsidR="00303976" w:rsidRPr="00CB4AB4" w:rsidRDefault="00303976" w:rsidP="00303976">
      <w:pPr>
        <w:pStyle w:val="NormalHanging12a"/>
      </w:pPr>
      <w:r w:rsidRPr="00CB4AB4">
        <w:t>–</w:t>
      </w:r>
      <w:r w:rsidRPr="00CB4AB4">
        <w:tab/>
        <w:t>gezien artikel 100 van en bijlage V bij zijn Reglement,</w:t>
      </w:r>
    </w:p>
    <w:p w:rsidR="00303976" w:rsidRPr="00CB4AB4" w:rsidRDefault="00303976" w:rsidP="00303976">
      <w:pPr>
        <w:pStyle w:val="NormalHanging12a"/>
      </w:pPr>
      <w:r w:rsidRPr="00CB4AB4">
        <w:t>–</w:t>
      </w:r>
      <w:r w:rsidRPr="00CB4AB4">
        <w:tab/>
        <w:t>gezien het verslag van de Commissie begrotingscontrole (A9</w:t>
      </w:r>
      <w:r w:rsidRPr="00CB4AB4">
        <w:noBreakHyphen/>
        <w:t>0084/2024),</w:t>
      </w:r>
    </w:p>
    <w:p w:rsidR="00303976" w:rsidRPr="00CB4AB4" w:rsidRDefault="00303976" w:rsidP="00303976">
      <w:pPr>
        <w:pStyle w:val="NormalHanging12a"/>
      </w:pPr>
      <w:r w:rsidRPr="00CB4AB4">
        <w:t>1.</w:t>
      </w:r>
      <w:r w:rsidRPr="00CB4AB4">
        <w:tab/>
        <w:t>verleent de Europese Ombudsman kwijting voor de uitvoering van de begroting van de Europese Ombudsman voor het begrotingsjaar 2022;</w:t>
      </w:r>
    </w:p>
    <w:p w:rsidR="00303976" w:rsidRPr="00CB4AB4" w:rsidRDefault="00303976" w:rsidP="00303976">
      <w:pPr>
        <w:pStyle w:val="NormalHanging12a"/>
      </w:pPr>
      <w:r w:rsidRPr="00CB4AB4">
        <w:t>2.</w:t>
      </w:r>
      <w:r w:rsidRPr="00CB4AB4">
        <w:tab/>
        <w:t>formuleert zijn opmerkingen in bijgaande resolutie;</w:t>
      </w:r>
    </w:p>
    <w:p w:rsidR="00303976" w:rsidRPr="00CB4AB4" w:rsidRDefault="00303976" w:rsidP="00303976">
      <w:pPr>
        <w:pStyle w:val="NormalHanging12a"/>
      </w:pPr>
      <w:r w:rsidRPr="00CB4AB4">
        <w:t>3.</w:t>
      </w:r>
      <w:r w:rsidRPr="00CB4AB4">
        <w:tab/>
        <w:t xml:space="preserve">verzoekt zijn Voorzitter dit besluit en de resolutie die daarvan een integrerend deel uitmaakt, te doen toekomen aan de Europese Ombudsman, de Europese Raad, de Raad, de Commissie, de Rekenkamer, het Hof van Justitie van de Europese Unie, de Europese Toezichthouder voor gegevensbescherming en de Europese Dienst voor extern optreden, en te zorgen voor publicatie ervan in het </w:t>
      </w:r>
      <w:r w:rsidRPr="00CB4AB4">
        <w:rPr>
          <w:i/>
        </w:rPr>
        <w:t>Publicatieblad van de Europese Unie</w:t>
      </w:r>
      <w:r w:rsidRPr="00CB4AB4">
        <w:t xml:space="preserve"> (L-serie).</w:t>
      </w:r>
    </w:p>
    <w:p w:rsidR="00303976" w:rsidRPr="00CB4AB4" w:rsidRDefault="00303976" w:rsidP="00303976"/>
    <w:p w:rsidR="00303976" w:rsidRPr="00CB4AB4" w:rsidRDefault="00303976" w:rsidP="00303976">
      <w:pPr>
        <w:pStyle w:val="PageHeading"/>
        <w:sectPr w:rsidR="00303976" w:rsidRPr="00CB4AB4" w:rsidSect="0017612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03976" w:rsidRPr="00CB4AB4" w:rsidRDefault="004B10ED" w:rsidP="00D165DE">
      <w:pPr>
        <w:pStyle w:val="ATHeading3"/>
      </w:pPr>
      <w:r w:rsidRPr="00CB4AB4">
        <w:lastRenderedPageBreak/>
        <w:t xml:space="preserve">2. Resolutie van het Europees Parlement van 11 april 2024 </w:t>
      </w:r>
      <w:r w:rsidR="00303976" w:rsidRPr="00CB4AB4">
        <w:t>met de opmerkingen die een integrerend deel uitmaken van het besluit over het verlenen van kwijting voor de uitvoering van de algemene begroting van de Europese Unie voor het begrotingsjaar 2022, afdeling VIII – Europese Ombudsman</w:t>
      </w:r>
      <w:r w:rsidRPr="00CB4AB4">
        <w:t xml:space="preserve"> </w:t>
      </w:r>
      <w:r w:rsidR="00303976" w:rsidRPr="00CB4AB4">
        <w:t>(2023/2137(DEC))</w:t>
      </w:r>
    </w:p>
    <w:p w:rsidR="00303976" w:rsidRPr="00CB4AB4" w:rsidRDefault="00303976" w:rsidP="00303976">
      <w:pPr>
        <w:pStyle w:val="EPComma"/>
      </w:pPr>
      <w:r w:rsidRPr="00CB4AB4">
        <w:rPr>
          <w:i/>
        </w:rPr>
        <w:t>Het Europees Parlement</w:t>
      </w:r>
      <w:r w:rsidRPr="00CB4AB4">
        <w:t>,</w:t>
      </w:r>
    </w:p>
    <w:p w:rsidR="00303976" w:rsidRPr="00CB4AB4" w:rsidRDefault="00303976" w:rsidP="00303976">
      <w:pPr>
        <w:pStyle w:val="NormalHanging12a"/>
      </w:pPr>
      <w:r w:rsidRPr="00CB4AB4">
        <w:t>–</w:t>
      </w:r>
      <w:r w:rsidRPr="00CB4AB4">
        <w:tab/>
        <w:t>gezien zijn besluit over het verlenen van kwijting voor de uitvoering van de algemene begroting van de Europese Unie voor het begrotingsjaar 2022, afdeling VIII – Europese Ombudsman,</w:t>
      </w:r>
    </w:p>
    <w:p w:rsidR="00303976" w:rsidRPr="00CB4AB4" w:rsidRDefault="00303976" w:rsidP="00303976">
      <w:pPr>
        <w:pStyle w:val="NormalHanging12a"/>
      </w:pPr>
      <w:r w:rsidRPr="00CB4AB4">
        <w:t>–</w:t>
      </w:r>
      <w:r w:rsidRPr="00CB4AB4">
        <w:tab/>
        <w:t>gezien artikel 100 van en bijlage V bij zijn Reglement,</w:t>
      </w:r>
    </w:p>
    <w:p w:rsidR="00303976" w:rsidRPr="00CB4AB4" w:rsidRDefault="00303976" w:rsidP="00303976">
      <w:pPr>
        <w:pStyle w:val="NormalHanging12a"/>
      </w:pPr>
      <w:r w:rsidRPr="00CB4AB4">
        <w:t>–</w:t>
      </w:r>
      <w:r w:rsidRPr="00CB4AB4">
        <w:tab/>
        <w:t>gezien het verslag van de Commissie begrotingscontrole (A9</w:t>
      </w:r>
      <w:r w:rsidRPr="00CB4AB4">
        <w:noBreakHyphen/>
        <w:t>0084/2024),</w:t>
      </w:r>
    </w:p>
    <w:p w:rsidR="00303976" w:rsidRPr="00CB4AB4" w:rsidRDefault="00303976" w:rsidP="00303976">
      <w:pPr>
        <w:pStyle w:val="NormalHanging12a"/>
      </w:pPr>
      <w:r w:rsidRPr="00CB4AB4">
        <w:t>A.</w:t>
      </w:r>
      <w:r w:rsidRPr="00CB4AB4">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goed personeelsbeheer toe te passen;</w:t>
      </w:r>
    </w:p>
    <w:p w:rsidR="00303976" w:rsidRPr="00CB4AB4" w:rsidRDefault="00303976" w:rsidP="00303976">
      <w:pPr>
        <w:pStyle w:val="NormalHanging12a"/>
      </w:pPr>
      <w:r w:rsidRPr="00CB4AB4">
        <w:t>B.</w:t>
      </w:r>
      <w:r w:rsidRPr="00CB4AB4">
        <w:tab/>
        <w:t>overwegende dat artikel 228 van het Verdrag betreffende de werking van de Europese Unie voorziet in de verkiezing van een Europese Ombudsman door het Europees Parlement, die de bevoegdheid krijgt om kennis te nemen van klachten van burgers van de Unie of van natuurlijke of rechtspersonen met verblijfplaats of statutaire zetel in een lidstaat over gevallen van wanbeheer bij het optreden van de instellingen, organen of instanties van de Unie, met uitzondering van het Hof van Justitie van de Europese Unie bij de uitoefening van zijn gerechtelijke taak. Hij onderzoekt die klachten en brengt ter zake verslag uit;</w:t>
      </w:r>
    </w:p>
    <w:p w:rsidR="00303976" w:rsidRPr="00CB4AB4" w:rsidRDefault="00303976" w:rsidP="00303976">
      <w:pPr>
        <w:pStyle w:val="NormalHanging12a"/>
      </w:pPr>
      <w:r w:rsidRPr="00CB4AB4">
        <w:t>C.</w:t>
      </w:r>
      <w:r w:rsidRPr="00CB4AB4">
        <w:tab/>
        <w:t>overwegende dat in Verordening (EU, Euratom) 2021/1163 van het Europees Parlement van 24 juni 2021</w:t>
      </w:r>
      <w:r w:rsidRPr="00CB4AB4">
        <w:rPr>
          <w:rStyle w:val="FootnoteReference"/>
        </w:rPr>
        <w:footnoteReference w:id="6"/>
      </w:r>
      <w:r w:rsidRPr="00CB4AB4">
        <w:t xml:space="preserve"> het statuut en de algemene voorwaarden voor de uitoefening van het ambt van de Europese Ombudsman (statuut van de Europese Ombudsman) worden vastgesteld;</w:t>
      </w:r>
    </w:p>
    <w:p w:rsidR="00303976" w:rsidRPr="00CB4AB4" w:rsidRDefault="00303976" w:rsidP="00303976">
      <w:pPr>
        <w:pStyle w:val="NormalHanging12a"/>
      </w:pPr>
      <w:r w:rsidRPr="00CB4AB4">
        <w:t>D.</w:t>
      </w:r>
      <w:r w:rsidRPr="00CB4AB4">
        <w:tab/>
        <w:t>overwegende dat het besluit van de Europese Ombudsman tot vaststelling van uitvoeringsbepalingen momenteel als gevolg van de vaststelling van Verordening (EU, Euratom) 2021/1163 wordt herzien;</w:t>
      </w:r>
    </w:p>
    <w:p w:rsidR="00303976" w:rsidRPr="00CB4AB4" w:rsidRDefault="00303976" w:rsidP="00303976">
      <w:pPr>
        <w:pStyle w:val="NormalHanging12a"/>
        <w:rPr>
          <w:szCs w:val="24"/>
        </w:rPr>
      </w:pPr>
      <w:r w:rsidRPr="00CB4AB4">
        <w:t>1.</w:t>
      </w:r>
      <w:r w:rsidRPr="00CB4AB4">
        <w:tab/>
        <w:t>merkt op dat de begroting van de Europese Ombudsman (de “Ombudsman”) valt onder MFK-rubriek 7, “Europees openbaar bestuur”, die in 2022 in totaal 11,6 miljard EUR bedroeg, oftewel 5,9 % van de begrotingsuitgaven van de Unie; merkt op dat de begroting van de Ombudsman goed was voor 0,1 % van de kredieten van rubriek 7 van het MFK;</w:t>
      </w:r>
    </w:p>
    <w:p w:rsidR="00303976" w:rsidRPr="00CB4AB4" w:rsidRDefault="00303976" w:rsidP="00303976">
      <w:pPr>
        <w:pStyle w:val="NormalHanging12a"/>
        <w:rPr>
          <w:szCs w:val="24"/>
        </w:rPr>
      </w:pPr>
      <w:r w:rsidRPr="00CB4AB4">
        <w:t>2.</w:t>
      </w:r>
      <w:r w:rsidRPr="00CB4AB4">
        <w:tab/>
        <w:t xml:space="preserve">neemt er nota van dat de Europese Rekenkamer (de “Rekenkamer”) in haar jaarverslag over het begrotingsjaar 2022 een steekproef van 60 verrichtingen onder beheer heeft onderzocht, hetzelfde aantal als voor 2021; merkt voorts op dat de administratieve uitgaven volgens de Rekenkamer uitgaven voor personele middelen omvatten, met </w:t>
      </w:r>
      <w:r w:rsidRPr="00CB4AB4">
        <w:lastRenderedPageBreak/>
        <w:t>inbegrip van pensioenen, die in 2022 goed waren voor ongeveer 70 % van de totale administratieve uitgaven, en voor gebouwen, uitrusting, energie, communicatie en informatietechnologie, en dat haar werkzaamheden gedurende vele jaren erop wijzen dat deze uitgaven over het algemeen een laag risico inhouden;</w:t>
      </w:r>
    </w:p>
    <w:p w:rsidR="00303976" w:rsidRPr="00CB4AB4" w:rsidRDefault="00303976" w:rsidP="00303976">
      <w:pPr>
        <w:pStyle w:val="NormalHanging12a"/>
        <w:rPr>
          <w:szCs w:val="24"/>
        </w:rPr>
      </w:pPr>
      <w:r w:rsidRPr="00CB4AB4">
        <w:t>3.</w:t>
      </w:r>
      <w:r w:rsidRPr="00CB4AB4">
        <w:tab/>
        <w:t>neemt er nota van dat de Rekenkamer in het kader van de controle van 2022 de toezicht- en controlesystemen van de Ombudsman heeft onderzocht, met name de toepassing van de internecontrolenormen, het risicobeheer en de werking van de in Verordening (EU, Euratom) 2018/1046 (het “Financieel Reglement”) omschreven essentiële controles, met inbegrip van de controles vooraf en achteraf van de betalingen;</w:t>
      </w:r>
    </w:p>
    <w:p w:rsidR="00303976" w:rsidRPr="00CB4AB4" w:rsidRDefault="00303976" w:rsidP="00303976">
      <w:pPr>
        <w:pStyle w:val="NormalHanging12a"/>
        <w:rPr>
          <w:szCs w:val="24"/>
        </w:rPr>
      </w:pPr>
      <w:r w:rsidRPr="00CB4AB4">
        <w:t>4.</w:t>
      </w:r>
      <w:r w:rsidRPr="00CB4AB4">
        <w:tab/>
        <w:t>merkt op dat 14 (23 %) van de 60 verrichtingen fouten bevatten, maar dat de Rekenkamer op basis van de vijf gekwantificeerde fouten inschat dat het foutenpercentage onder de materialiteitsdrempel ligt;</w:t>
      </w:r>
    </w:p>
    <w:p w:rsidR="00303976" w:rsidRPr="00CB4AB4" w:rsidRDefault="00303976" w:rsidP="00303976">
      <w:pPr>
        <w:pStyle w:val="NormalHanging12a"/>
        <w:rPr>
          <w:szCs w:val="24"/>
        </w:rPr>
      </w:pPr>
      <w:r w:rsidRPr="00CB4AB4">
        <w:t>5.</w:t>
      </w:r>
      <w:r w:rsidRPr="00CB4AB4">
        <w:tab/>
        <w:t>merkt met tevredenheid op dat de Rekenkamer in haar jaarverslag over het begrotingsjaar 2022 verklaart dat zij geen specifieke kwesties met betrekking tot de Ombudsman heeft vastgesteld;</w:t>
      </w:r>
    </w:p>
    <w:p w:rsidR="00303976" w:rsidRPr="00CB4AB4" w:rsidRDefault="00303976" w:rsidP="00303976">
      <w:pPr>
        <w:pStyle w:val="NormalHanging12a"/>
        <w:rPr>
          <w:b/>
          <w:i/>
          <w:szCs w:val="24"/>
        </w:rPr>
      </w:pPr>
      <w:r w:rsidRPr="00CB4AB4">
        <w:rPr>
          <w:b/>
          <w:i/>
        </w:rPr>
        <w:t>Begrotings- en financieel beheer</w:t>
      </w:r>
    </w:p>
    <w:p w:rsidR="00303976" w:rsidRPr="00CB4AB4" w:rsidRDefault="00303976" w:rsidP="00303976">
      <w:pPr>
        <w:pStyle w:val="NormalHanging12a"/>
        <w:rPr>
          <w:szCs w:val="24"/>
        </w:rPr>
      </w:pPr>
      <w:r w:rsidRPr="00CB4AB4">
        <w:t>6.</w:t>
      </w:r>
      <w:r w:rsidRPr="00CB4AB4">
        <w:tab/>
        <w:t>stelt vast dat de begroting van de Ombudsman in 2022 12 222 108 EUR bedroeg, een daling met 280 000 EUR ten opzichte van 2021; begrijpt dat deze daling het gevolg is van een rationalisering van de begroting op basis van de reële behoeften;</w:t>
      </w:r>
    </w:p>
    <w:p w:rsidR="00303976" w:rsidRPr="00CB4AB4" w:rsidRDefault="00303976" w:rsidP="00303976">
      <w:pPr>
        <w:pStyle w:val="NormalHanging12a"/>
        <w:rPr>
          <w:szCs w:val="24"/>
        </w:rPr>
      </w:pPr>
      <w:r w:rsidRPr="00CB4AB4">
        <w:t>7.</w:t>
      </w:r>
      <w:r w:rsidRPr="00CB4AB4">
        <w:tab/>
        <w:t>stelt vast dat het uitvoeringspercentage van de begroting in 2022 96,97 % bedroeg, wat hoger is dan in het voorgaande jaar, toen het uitvoeringspercentage 88,8 % bedroeg als gevolg van beperkingen in verband met de COVID-19-pandemie;</w:t>
      </w:r>
    </w:p>
    <w:p w:rsidR="00303976" w:rsidRPr="00CB4AB4" w:rsidRDefault="00303976" w:rsidP="00303976">
      <w:pPr>
        <w:pStyle w:val="NormalHanging12a"/>
        <w:rPr>
          <w:szCs w:val="24"/>
        </w:rPr>
      </w:pPr>
      <w:r w:rsidRPr="00CB4AB4">
        <w:t>8.</w:t>
      </w:r>
      <w:r w:rsidRPr="00CB4AB4">
        <w:tab/>
        <w:t>merkt op dat de Ombudsman in de loop van 2022 zes begrotingsoverschrijvingen heeft verricht overeenkomstig artikel 29 van het Financieel Reglement, die in totaal 344 460 EUR oftewel 2,8 % van de kredieten van dat begrotingsjaar vertegenwoordigen; merkt voorts op dat de begrotingsnomenclatuur voor post “2000” is opgesplitst in vier subcategorieën om de benodigde informatie voor de gebouwen van de Ombudsman in beide werklocaties transparanter te maken; neemt er nota van dat de van de begrotingspost “huur” overgeschreven kredieten niet zijn gebruikt omdat de Ombudsman alle kosten voor de inrichting van het nieuwe gebouw van de Ombudsman via de begroting 2021 heeft betaald in plaats van ze over zes jaar te spreiden;</w:t>
      </w:r>
    </w:p>
    <w:p w:rsidR="00303976" w:rsidRPr="00CB4AB4" w:rsidRDefault="00303976" w:rsidP="00303976">
      <w:pPr>
        <w:pStyle w:val="NormalHanging12a"/>
        <w:rPr>
          <w:szCs w:val="24"/>
        </w:rPr>
      </w:pPr>
      <w:r w:rsidRPr="00CB4AB4">
        <w:t>9.</w:t>
      </w:r>
      <w:r w:rsidRPr="00CB4AB4">
        <w:tab/>
        <w:t>waardeert het dat, hoewel de betalingstermijn tussen 2021 en 2022 is toegenomen van 11,35 tot 13 dagen, de gemiddelde betalingstermijn relatief kort blijft; is van mening dat de invoering van een elektronisch factureringssysteem sinds 2023 de efficiëntie van het betalingsproces alleen maar kan verbeteren;</w:t>
      </w:r>
    </w:p>
    <w:p w:rsidR="00303976" w:rsidRPr="00CB4AB4" w:rsidRDefault="00303976" w:rsidP="00303976">
      <w:pPr>
        <w:pStyle w:val="NormalHanging12a"/>
        <w:rPr>
          <w:szCs w:val="24"/>
        </w:rPr>
      </w:pPr>
      <w:r w:rsidRPr="00CB4AB4">
        <w:t>10.</w:t>
      </w:r>
      <w:r w:rsidRPr="00CB4AB4">
        <w:tab/>
        <w:t>merkt op dat de Ombudsman geen melding heeft gemaakt van enige gevolgen van de Russische aanvalsoorlog tegen Oekraïne voor de begroting 2022 voor dienstreizen, aanbestedingen of gebouwen; beveelt de Ombudsman aan er rekening mee te houden dat de volgende jaarlijkse herziening van de huur en de vaste kosten van de gebouwen door het Parlement tot extra kosten voor de begroting van de Ombudsman voor 2023 zou kunnen leiden;</w:t>
      </w:r>
    </w:p>
    <w:p w:rsidR="00303976" w:rsidRPr="00CB4AB4" w:rsidRDefault="00303976" w:rsidP="00303976">
      <w:pPr>
        <w:pStyle w:val="NormalHanging12a"/>
        <w:rPr>
          <w:szCs w:val="24"/>
        </w:rPr>
      </w:pPr>
      <w:r w:rsidRPr="00CB4AB4">
        <w:t>11.</w:t>
      </w:r>
      <w:r w:rsidRPr="00CB4AB4">
        <w:tab/>
        <w:t xml:space="preserve">merkt op dat de begroting voor dienstreizen van personeelsleden is gedaald van </w:t>
      </w:r>
      <w:r w:rsidRPr="00CB4AB4">
        <w:lastRenderedPageBreak/>
        <w:t>135 000 EUR in 2021 tot 120 000 EUR in 2022 als gevolg van besparingen op basis van de lessen die uit de COVID-19-pandemie zijn getrokken en het ruime gebruik van videoconferentiefaciliteiten voor interne en externe vergaderingen op beide werklocaties;</w:t>
      </w:r>
    </w:p>
    <w:p w:rsidR="00303976" w:rsidRPr="00CB4AB4" w:rsidRDefault="00303976" w:rsidP="00303976">
      <w:pPr>
        <w:pStyle w:val="NormalHanging12a"/>
        <w:rPr>
          <w:b/>
          <w:i/>
          <w:szCs w:val="24"/>
        </w:rPr>
      </w:pPr>
      <w:r w:rsidRPr="00CB4AB4">
        <w:rPr>
          <w:b/>
          <w:i/>
        </w:rPr>
        <w:t>Intern beheer, prestaties en interne controle</w:t>
      </w:r>
    </w:p>
    <w:p w:rsidR="00303976" w:rsidRPr="00CB4AB4" w:rsidRDefault="00303976" w:rsidP="00303976">
      <w:pPr>
        <w:pStyle w:val="NormalHanging12a"/>
        <w:rPr>
          <w:szCs w:val="24"/>
        </w:rPr>
      </w:pPr>
      <w:r w:rsidRPr="00CB4AB4">
        <w:t>12.</w:t>
      </w:r>
      <w:r w:rsidRPr="00CB4AB4">
        <w:tab/>
        <w:t>merkt op dat de Ombudsman in de loop van 2022 specifieke acties is blijven uitvoeren in overeenstemming met de doelstellingen en prioriteiten van de vijfjarenstrategie “Op weg naar 2024” van de Ombudsman, zoals uiteengezet in het jaarlijks beheersplan; wijst er met name op dat de Ombudsman de ontwerpbepalingen ter uitvoering van het nieuwe statuut betreffende de taken van de Ombudsman met succes aan de Commissie, de Raad en het Parlement heeft voorgelegd met het oog op raadpleging overeenkomstig het jaarlijks beheersplan voor 2022;</w:t>
      </w:r>
    </w:p>
    <w:p w:rsidR="00303976" w:rsidRPr="00CB4AB4" w:rsidRDefault="00303976" w:rsidP="00303976">
      <w:pPr>
        <w:pStyle w:val="NormalHanging12a"/>
        <w:rPr>
          <w:szCs w:val="24"/>
        </w:rPr>
      </w:pPr>
      <w:r w:rsidRPr="00CB4AB4">
        <w:t>13.</w:t>
      </w:r>
      <w:r w:rsidRPr="00CB4AB4">
        <w:tab/>
        <w:t>onderstreept dat de Ombudsman, gezien het flagrante gebrek aan openbare informatie, de Europese Commissie in 2022 al van tevoren heeft gevraagd hoe zij voor transparantie zal zorgen bij de onderhandelingen over nationale herstelplannen, hoe zij publieke controle op de door de lidstaten bereikte mijlpalen zal waarborgen en hoe zij toezicht zal houden op de audits</w:t>
      </w:r>
      <w:r w:rsidRPr="00CB4AB4">
        <w:rPr>
          <w:szCs w:val="24"/>
          <w:vertAlign w:val="superscript"/>
        </w:rPr>
        <w:footnoteReference w:id="7"/>
      </w:r>
      <w:r w:rsidRPr="00CB4AB4">
        <w:t>;</w:t>
      </w:r>
    </w:p>
    <w:p w:rsidR="00303976" w:rsidRPr="00CB4AB4" w:rsidRDefault="00303976" w:rsidP="00303976">
      <w:pPr>
        <w:pStyle w:val="NormalHanging12a"/>
        <w:rPr>
          <w:szCs w:val="24"/>
        </w:rPr>
      </w:pPr>
      <w:r w:rsidRPr="00CB4AB4">
        <w:t>14.</w:t>
      </w:r>
      <w:r w:rsidRPr="00CB4AB4">
        <w:tab/>
        <w:t>neemt er nota van dat de Ombudsman in 2022 2 223 klachten heeft ontvangen, tegenover 2 192 in 2021, waarvan 35 % binnen het mandaat van de Ombudsman viel; neemt er voorts nota van dat de Ombudsman in 2022 348 onderzoeken, waaronder 60 onderzoeken van openbaar belang, heeft geopend en 330 onderzoeken heeft afgesloten, tegenover 338 geopende en 305 afgesloten onderzoeken in 2021;</w:t>
      </w:r>
    </w:p>
    <w:p w:rsidR="00303976" w:rsidRPr="00CB4AB4" w:rsidRDefault="00303976" w:rsidP="00303976">
      <w:pPr>
        <w:pStyle w:val="NormalHanging12a"/>
        <w:rPr>
          <w:szCs w:val="24"/>
        </w:rPr>
      </w:pPr>
      <w:r w:rsidRPr="00CB4AB4">
        <w:t>15.</w:t>
      </w:r>
      <w:r w:rsidRPr="00CB4AB4">
        <w:tab/>
        <w:t>stelt met grote bezorgdheid vast dat de Ombudsman veel klachten ontvangt van burgers met betrekking tot extreme vertragingen bij het verkrijgen van toegang tot opgevraagde documenten; schaart zich achter het standpunt van de Ombudsman dat vertraagde toegang in feite neerkomt op geweigerde toegang en dat administratieve processen moeten worden gestroomlijnd om ervoor te zorgen dat burgers tijdig toegang krijgen tot documenten</w:t>
      </w:r>
      <w:r w:rsidRPr="00CB4AB4">
        <w:rPr>
          <w:szCs w:val="24"/>
          <w:vertAlign w:val="superscript"/>
        </w:rPr>
        <w:footnoteReference w:id="8"/>
      </w:r>
      <w:r w:rsidRPr="00CB4AB4">
        <w:t>;</w:t>
      </w:r>
    </w:p>
    <w:p w:rsidR="00303976" w:rsidRPr="00CB4AB4" w:rsidRDefault="00303976" w:rsidP="00303976">
      <w:pPr>
        <w:pStyle w:val="NormalHanging12a"/>
        <w:rPr>
          <w:szCs w:val="24"/>
        </w:rPr>
      </w:pPr>
      <w:r w:rsidRPr="00CB4AB4">
        <w:t>16.</w:t>
      </w:r>
      <w:r w:rsidRPr="00CB4AB4">
        <w:tab/>
        <w:t>is verheugd dat er een gestroomlijnde procedure is ontwikkeld voor als er bij een onderzoek geen antwoord komt op vragen; is eveneens verheugd dat er een vereenvoudigde procedure is ingevoerd voor de behandeling van klachten die buiten het mandaat vallen, waardoor de termijn voor de behandeling van dergelijke verzoeken is teruggebracht van 15 tot 3 dagen; is niettemin bezorgd over het feit dat de gemiddelde termijn voor de behandeling van een klacht die binnen het mandaat valt, tussen 2021 en 2022 is toegenomen van 61 tot 91 dagen en dat de gemiddelde termijn voor de behandeling van een onderzoek is toegenomen van 112 tot 166 dagen;</w:t>
      </w:r>
    </w:p>
    <w:p w:rsidR="00303976" w:rsidRPr="00CB4AB4" w:rsidRDefault="00303976" w:rsidP="00303976">
      <w:pPr>
        <w:pStyle w:val="NormalHanging12a"/>
        <w:rPr>
          <w:szCs w:val="24"/>
        </w:rPr>
      </w:pPr>
      <w:r w:rsidRPr="00CB4AB4">
        <w:t>17.</w:t>
      </w:r>
      <w:r w:rsidRPr="00CB4AB4">
        <w:tab/>
        <w:t>merkt op dat ethiek en transparantie ook in 2022 belangrijke werkterreinen van de Ombudsman waren, waarop verdere vooruitgang werd geboekt, maar waarop zich ook uitdagingen voordeden, en dat het aantal klachten in verband met transparantie en verantwoordingsplicht in 2022 32 % van alle gevallen uitmaakte;</w:t>
      </w:r>
    </w:p>
    <w:p w:rsidR="00303976" w:rsidRPr="00CB4AB4" w:rsidRDefault="00303976" w:rsidP="00303976">
      <w:pPr>
        <w:pStyle w:val="NormalHanging12a"/>
        <w:rPr>
          <w:szCs w:val="24"/>
        </w:rPr>
      </w:pPr>
      <w:r w:rsidRPr="00CB4AB4">
        <w:lastRenderedPageBreak/>
        <w:t>18.</w:t>
      </w:r>
      <w:r w:rsidRPr="00CB4AB4">
        <w:tab/>
        <w:t>merkt op dat de toegang van het publiek tot documenten ook in 2022 een belangrijke prioriteit voor de Ombudsman was, met 121 ontvangen klachten, het hoogste aantal dat ooit in een jaar is geregistreerd, en dat onderzoeken hebben geleid tot 90 klachten; is ingenomen met de snelle behandeling van zaken over de toegang van het publiek tot documenten, met een gemiddelde van 46 werkdagen tot de afsluiting van de klacht en 67 werkdagen als het alleen onderzoeken betrof; neemt er nota van dat, ondanks de toename van het aantal zaken, het aandeel versnelde onderzoeken slechts 28 % van alle onderzoeken over de toegang van het publiek tot documenten uitmaakte, tegenover 58 % in 2021; is ingenomen met de bevindingen van belangrijke onderzoeken naar de Commissie, andere agentschappen van de Unie, zoals Frontex, en instellingen en organen zoals de EIB over hun administratieve beheer van verzoeken om toegang van het publiek tot documenten;</w:t>
      </w:r>
    </w:p>
    <w:p w:rsidR="00303976" w:rsidRPr="00CB4AB4" w:rsidRDefault="00303976" w:rsidP="00303976">
      <w:pPr>
        <w:pStyle w:val="NormalHanging12a"/>
        <w:rPr>
          <w:szCs w:val="24"/>
        </w:rPr>
      </w:pPr>
      <w:r w:rsidRPr="00CB4AB4">
        <w:t>19.</w:t>
      </w:r>
      <w:r w:rsidRPr="00CB4AB4">
        <w:tab/>
        <w:t>herinnert eraan dat de toegang tot documenten, met name wetgevingsdocumenten, volgens de Europese Ombudsman slechts mag worden beperkt in uitzonderlijke situaties waarin dit absoluut noodzakelijk is; herhaalt ook dat besluiten om de toegang van het publiek tot documenten te weigeren, op duidelijk en streng omlijnde wettelijke uitzonderingen moeten stoelen en vergezeld moeten gaan van een gemotiveerde, specifieke toelichting om de burgers in staat te stellen de reden voor de weigering te begrijpen en doeltreffend gebruik te maken van de beschikbare rechtsmiddelen; is van mening dat een proactievere aanpak daadwerkelijke transparantie in de hand zou werken en dure en omslachtige juridische geschillen tussen burgers en instellingen zou helpen voorkomen</w:t>
      </w:r>
      <w:r w:rsidRPr="00CB4AB4">
        <w:rPr>
          <w:szCs w:val="24"/>
          <w:vertAlign w:val="superscript"/>
        </w:rPr>
        <w:footnoteReference w:id="9"/>
      </w:r>
      <w:r w:rsidRPr="00CB4AB4">
        <w:t>;</w:t>
      </w:r>
    </w:p>
    <w:p w:rsidR="00303976" w:rsidRPr="00CB4AB4" w:rsidRDefault="00303976" w:rsidP="00303976">
      <w:pPr>
        <w:pStyle w:val="NormalHanging12a"/>
        <w:rPr>
          <w:b/>
          <w:i/>
          <w:szCs w:val="24"/>
        </w:rPr>
      </w:pPr>
      <w:r w:rsidRPr="00CB4AB4">
        <w:rPr>
          <w:b/>
          <w:i/>
        </w:rPr>
        <w:t>Personele middelen, gelijkheid en welzijn van het personeel</w:t>
      </w:r>
    </w:p>
    <w:p w:rsidR="00303976" w:rsidRPr="00CB4AB4" w:rsidRDefault="00303976" w:rsidP="00303976">
      <w:pPr>
        <w:pStyle w:val="NormalHanging12a"/>
        <w:rPr>
          <w:szCs w:val="24"/>
        </w:rPr>
      </w:pPr>
      <w:r w:rsidRPr="00CB4AB4">
        <w:t>20.</w:t>
      </w:r>
      <w:r w:rsidRPr="00CB4AB4">
        <w:tab/>
        <w:t>stelt vast dat de samenstelling van het personeel qua status en functieprofielen de afgelopen jaren stabiel is gebleven, met eind 2022 in totaal 74 personeelsleden, hetzelfde aantal als in 2021; stelt voorts vast dat de Ombudsman in 2022 39 ambtenaren in dienst had, tegenover 37 en 38 in respectievelijk 2020 en 2021, 28 tijdelijke functionarissen, tegenover 28 en 30 in respectievelijk 2020 en 2021, en 7 arbeidscontractanten, tegenover 8 en 6 in respectievelijk 2020 en 2021; merkt op dat in 2022 een gelijk aandeel van ongeveer 40 % van het personeel zich bezighield met administratie (human resources, financiën en procesbeheer) en 40 % met klachten en onderzoeken;</w:t>
      </w:r>
    </w:p>
    <w:p w:rsidR="00303976" w:rsidRPr="00CB4AB4" w:rsidRDefault="00303976" w:rsidP="00303976">
      <w:pPr>
        <w:pStyle w:val="NormalHanging12a"/>
        <w:rPr>
          <w:szCs w:val="24"/>
        </w:rPr>
      </w:pPr>
      <w:r w:rsidRPr="00CB4AB4">
        <w:t>21.</w:t>
      </w:r>
      <w:r w:rsidRPr="00CB4AB4">
        <w:tab/>
        <w:t>betreurt het dat de post van secretaris-generaal sinds 1 september 2022 vacant is;</w:t>
      </w:r>
    </w:p>
    <w:p w:rsidR="00303976" w:rsidRPr="00CB4AB4" w:rsidRDefault="00303976" w:rsidP="00303976">
      <w:pPr>
        <w:pStyle w:val="NormalHanging12a"/>
        <w:rPr>
          <w:szCs w:val="24"/>
        </w:rPr>
      </w:pPr>
      <w:r w:rsidRPr="00CB4AB4">
        <w:t>22.</w:t>
      </w:r>
      <w:r w:rsidRPr="00CB4AB4">
        <w:tab/>
        <w:t>merkt op dat de Ombudsman in 2022 een oproep tot het indienen van blijken van belangstelling heeft gedaan met als doel een pool van kandidaten samen te stellen om sneller tijdelijke functionarissen te kunnen aanwerven; is geïnteresseerd in een follow-up van de efficiëntiewinst die deze procedure oplevert;</w:t>
      </w:r>
    </w:p>
    <w:p w:rsidR="00303976" w:rsidRPr="00CB4AB4" w:rsidRDefault="00303976" w:rsidP="00303976">
      <w:pPr>
        <w:pStyle w:val="NormalHanging12a"/>
        <w:rPr>
          <w:szCs w:val="24"/>
        </w:rPr>
      </w:pPr>
      <w:r w:rsidRPr="00CB4AB4">
        <w:t>23.</w:t>
      </w:r>
      <w:r w:rsidRPr="00CB4AB4">
        <w:tab/>
        <w:t>merkt op dat de Ombudsman erin is geslaagd 18 nationaliteiten onder haar personeel te tellen, dankzij proactieve communicatie en het aanspreken van een diverser publiek, met name via socialemediakanalen; dringt er bij de Ombudsman op aan te blijven streven naar een evenwichtige geografische spreiding van onderdanen uit alle lidstaten bij het personeel;</w:t>
      </w:r>
    </w:p>
    <w:p w:rsidR="00303976" w:rsidRPr="00CB4AB4" w:rsidRDefault="00303976" w:rsidP="00303976">
      <w:pPr>
        <w:pStyle w:val="NormalHanging12a"/>
        <w:rPr>
          <w:szCs w:val="24"/>
        </w:rPr>
      </w:pPr>
      <w:r w:rsidRPr="00CB4AB4">
        <w:lastRenderedPageBreak/>
        <w:t>24.</w:t>
      </w:r>
      <w:r w:rsidRPr="00CB4AB4">
        <w:tab/>
        <w:t>stelt vast dat de Ombudsman wat genderevenwicht betreft, in alle personeelscategorieën meer vrouwen dan mannen in dienst heeft, met name op managementniveau, met een totale vertegenwoordiging van 67 % vrouwen en 33 % mannen, tegenover 68 % vrouwen en 32 % mannen in 2021; moedigt de Ombudsman aan om zich te blijven inspannen om binnen het personeelsbestand een genderevenwicht te bereiken;</w:t>
      </w:r>
    </w:p>
    <w:p w:rsidR="00303976" w:rsidRPr="00CB4AB4" w:rsidRDefault="00303976" w:rsidP="00303976">
      <w:pPr>
        <w:pStyle w:val="NormalHanging12a"/>
        <w:rPr>
          <w:szCs w:val="24"/>
        </w:rPr>
      </w:pPr>
      <w:r w:rsidRPr="00CB4AB4">
        <w:t>25.</w:t>
      </w:r>
      <w:r w:rsidRPr="00CB4AB4">
        <w:tab/>
        <w:t>neemt er nota van dat de Ombudsman in 2022 haar nieuwe beleid inzake arbeidstijd en hybride werk, dat in oktober 2021 is goedgekeurd, heeft ingevoerd, dat bijvoorbeeld bepalingen omvat betreffende telewerken, ook vanuit het buitenland, de verstrekking van ergonomische apparatuur voor thuiswerken, deeltijdwerk, ouderschapsverlof, flexibele werktijden en het recht om offline te zijn, en juicht het toe dat dit beleid op alle personeelscategorieën van toepassing is; is ingenomen met het algemene resultaat van een in 2023 uitgevoerde personeelsenquête, waaruit blijkt dat 97 % van het personeel tevreden is over de hybride en flexibele werkregelingen;</w:t>
      </w:r>
    </w:p>
    <w:p w:rsidR="00303976" w:rsidRPr="00CB4AB4" w:rsidRDefault="00303976" w:rsidP="00303976">
      <w:pPr>
        <w:pStyle w:val="NormalHanging12a"/>
        <w:rPr>
          <w:szCs w:val="24"/>
        </w:rPr>
      </w:pPr>
      <w:r w:rsidRPr="00CB4AB4">
        <w:t>26.</w:t>
      </w:r>
      <w:r w:rsidRPr="00CB4AB4">
        <w:tab/>
        <w:t>erkent dat de managers een goed overzicht hebben van de werklast van het personeel en dat zij de werkverdeling regelmatig monitoren en zo nodig bijsturen; merkt op dat de Medische Dienst van het Europees Parlement, die medische aangelegenheden met betrekking tot het personeel van de Ombudsman beheert, de Ombudsman niet heeft geattendeerd op enige langdurige ziekte als gevolg van burn-out;</w:t>
      </w:r>
    </w:p>
    <w:p w:rsidR="00303976" w:rsidRPr="00CB4AB4" w:rsidRDefault="00303976" w:rsidP="00303976">
      <w:pPr>
        <w:pStyle w:val="NormalHanging12a"/>
        <w:rPr>
          <w:szCs w:val="24"/>
        </w:rPr>
      </w:pPr>
      <w:r w:rsidRPr="00CB4AB4">
        <w:t>27.</w:t>
      </w:r>
      <w:r w:rsidRPr="00CB4AB4">
        <w:tab/>
        <w:t>waardeert het dat er in 2022 geen meldingen waren van intimidatie; moedigt de Ombudsman aan zich te blijven inspannen om, met name door bewustmaking en opleiding, te zorgen voor een werkomgeving die vrij is van seksuele en psychologische intimidatie; stelt met voldoening vast dat uit een onderzoek in het kader van een interne audit van het ethisch kader is gebleken dat begin 2023 90 % van het personeel op de hoogte was van het beleid en de richtsnoeren inzake intimidatie;</w:t>
      </w:r>
    </w:p>
    <w:p w:rsidR="00303976" w:rsidRPr="00CB4AB4" w:rsidRDefault="00303976" w:rsidP="00303976">
      <w:pPr>
        <w:pStyle w:val="NormalHanging12a"/>
        <w:rPr>
          <w:szCs w:val="24"/>
        </w:rPr>
      </w:pPr>
      <w:r w:rsidRPr="00CB4AB4">
        <w:t>28.</w:t>
      </w:r>
      <w:r w:rsidRPr="00CB4AB4">
        <w:tab/>
        <w:t>juicht het toe dat de Ombudsman in 2022 18 betaalde stagiairs heeft verwelkomd, tegenover 16 in 2021, die een beloningspakket en dezelfde werkregelingen hebben als de rest van het personeel; moedigt de Ombudsman aan om, zoals gepland voor 2023, een stageprogramma voor jongeren met een handicap op te zetten;</w:t>
      </w:r>
    </w:p>
    <w:p w:rsidR="00303976" w:rsidRPr="00CB4AB4" w:rsidRDefault="00303976" w:rsidP="00303976">
      <w:pPr>
        <w:pStyle w:val="NormalHanging12a"/>
        <w:rPr>
          <w:b/>
          <w:i/>
          <w:szCs w:val="24"/>
        </w:rPr>
      </w:pPr>
      <w:r w:rsidRPr="00CB4AB4">
        <w:rPr>
          <w:b/>
          <w:i/>
        </w:rPr>
        <w:t>Ethisch kader en transparantie</w:t>
      </w:r>
    </w:p>
    <w:p w:rsidR="00303976" w:rsidRPr="00CB4AB4" w:rsidRDefault="00303976" w:rsidP="00303976">
      <w:pPr>
        <w:pStyle w:val="NormalHanging12a"/>
        <w:rPr>
          <w:szCs w:val="24"/>
        </w:rPr>
      </w:pPr>
      <w:r w:rsidRPr="00CB4AB4">
        <w:t>29.</w:t>
      </w:r>
      <w:r w:rsidRPr="00CB4AB4">
        <w:tab/>
        <w:t>is ingenomen met de aanhoudende inspanningen om het ethisch kader van de instelling te versterken en er meer bekendheid aan te geven; neemt er nota van dat de Ombudsman in dit verband een presentatie van het beleid van de Ombudsman inzake externe activiteiten, een opleiding over intimidatie en een lunchsessie over belangenconflicten voor alle personeelsleden heeft georganiseerd; neemt er voorts nota van dat de formulieren voor de verklaringen inzake belangenconflicten, externe activiteiten, publicaties en de uitoefening van een beroepsactiviteit na beëindiging van de dienst zijn herzien om een consistente toepassing van het Statuut en de interne regels te waarborgen; is ingenomen met de interne audit van het ethisch kader van de Ombudsman die in 2022 van start is gegaan en waarvan de resultaten in aanmerking zullen worden genomen om de praktijk op dit gebied verder te verbeteren;</w:t>
      </w:r>
    </w:p>
    <w:p w:rsidR="00303976" w:rsidRPr="00CB4AB4" w:rsidRDefault="00303976" w:rsidP="00303976">
      <w:pPr>
        <w:pStyle w:val="NormalHanging12a"/>
      </w:pPr>
      <w:r w:rsidRPr="00CB4AB4">
        <w:t>30.</w:t>
      </w:r>
      <w:r w:rsidRPr="00CB4AB4">
        <w:tab/>
        <w:t>merkt op dat de fraudebestrijdingsstrategie van de Ombudsman grotendeels is gebaseerd op het bestaande ethisch kader en het beginsel van scheiding van taken voor financiële functies; stelt met tevredenheid vast dat er in 2022 geen gevallen van belangenconflicten of klokkenluiden zijn gemeld;</w:t>
      </w:r>
    </w:p>
    <w:p w:rsidR="00303976" w:rsidRPr="00CB4AB4" w:rsidRDefault="00303976" w:rsidP="00303976">
      <w:pPr>
        <w:pStyle w:val="NormalHanging12a"/>
        <w:rPr>
          <w:szCs w:val="24"/>
        </w:rPr>
      </w:pPr>
      <w:r w:rsidRPr="00CB4AB4">
        <w:lastRenderedPageBreak/>
        <w:t>31.</w:t>
      </w:r>
      <w:r w:rsidRPr="00CB4AB4">
        <w:tab/>
        <w:t>betreurt het dat de Ombudsman zich niet formeel heeft aangesloten bij het transparantieregister van de EU dat is ingesteld bij het Interinstitutioneel Akkoord van 20 mei 2021 tussen het Europees Parlement, de Raad van de Europese Unie en de Europese Commissie over een verplicht transparantieregister, maar wel haar praktijken met de beginselen van het transparantieregister in overeenstemming heeft gebracht door te controleren of sprekers of gesprekspartners bij door de Ombudsman georganiseerde events of vergaderingen daarin zijn geregistreerd; is ingenomen met de hoge mate van transparantie die de Ombudsman aan de dag heeft gelegd door informatie over onderzoeken, dienstreizen, vergaderingen en events waaraan de Ombudsman deelneemt, op haar website te publiceren;</w:t>
      </w:r>
    </w:p>
    <w:p w:rsidR="00303976" w:rsidRPr="00CB4AB4" w:rsidRDefault="00303976" w:rsidP="00303976">
      <w:pPr>
        <w:pStyle w:val="NormalHanging12a"/>
        <w:rPr>
          <w:szCs w:val="24"/>
        </w:rPr>
      </w:pPr>
      <w:r w:rsidRPr="00CB4AB4">
        <w:t>32.</w:t>
      </w:r>
      <w:r w:rsidRPr="00CB4AB4">
        <w:tab/>
        <w:t>verzoekt de Ombudsman de begrotingsautoriteit regelmatig op de hoogte te stellen van de moeilijkheden die zij ondervindt bij haar werkzaamheden met betrekking tot de transparantie en verantwoordingsplicht van de herstel- en veerkrachtfaciliteit;</w:t>
      </w:r>
    </w:p>
    <w:p w:rsidR="00303976" w:rsidRPr="00CB4AB4" w:rsidRDefault="00303976" w:rsidP="00303976">
      <w:pPr>
        <w:pStyle w:val="NormalHanging12a"/>
        <w:rPr>
          <w:szCs w:val="24"/>
        </w:rPr>
      </w:pPr>
      <w:r w:rsidRPr="00CB4AB4">
        <w:t>33.</w:t>
      </w:r>
      <w:r w:rsidRPr="00CB4AB4">
        <w:tab/>
        <w:t>is verheugd dat de Ombudsman in 2022 een gids voor het publiek heeft gepubliceerd over het recht van het publiek op toegang tot documenten, met informatie over hoe dit recht het best kan worden uitgeoefend;</w:t>
      </w:r>
    </w:p>
    <w:p w:rsidR="00303976" w:rsidRPr="00CB4AB4" w:rsidRDefault="00303976" w:rsidP="00303976">
      <w:pPr>
        <w:pStyle w:val="NormalHanging12a"/>
        <w:rPr>
          <w:b/>
          <w:i/>
          <w:szCs w:val="24"/>
        </w:rPr>
      </w:pPr>
      <w:r w:rsidRPr="00CB4AB4">
        <w:rPr>
          <w:b/>
          <w:i/>
        </w:rPr>
        <w:t>Digitalisering, cyberbeveiliging en gegevensbescherming</w:t>
      </w:r>
    </w:p>
    <w:p w:rsidR="00303976" w:rsidRPr="00CB4AB4" w:rsidRDefault="00303976" w:rsidP="00303976">
      <w:pPr>
        <w:pStyle w:val="NormalHanging12a"/>
        <w:rPr>
          <w:szCs w:val="24"/>
        </w:rPr>
      </w:pPr>
      <w:r w:rsidRPr="00CB4AB4">
        <w:t>34.</w:t>
      </w:r>
      <w:r w:rsidRPr="00CB4AB4">
        <w:tab/>
        <w:t>feliciteert de Ombudsman omdat zij digitalisering actief heeft bevorderd teneinde minder papier te gebruiken en de uitwisseling en opslag van documenten te vergemakkelijken; merkt op dat de IT-uitgaven in 2022 met 48 % zijn gedaald ten opzichte van 2021 omdat er geen specifieke investeringen nodig waren om de digitalisering te bevorderen; is ingenomen met het veralgemeende gebruik van videoconferenties en webstreaming, waardoor er minder hoeft te worden gereisd;</w:t>
      </w:r>
    </w:p>
    <w:p w:rsidR="00303976" w:rsidRPr="00CB4AB4" w:rsidRDefault="00303976" w:rsidP="00303976">
      <w:pPr>
        <w:pStyle w:val="NormalHanging12a"/>
        <w:rPr>
          <w:szCs w:val="24"/>
        </w:rPr>
      </w:pPr>
      <w:r w:rsidRPr="00CB4AB4">
        <w:t>35.</w:t>
      </w:r>
      <w:r w:rsidRPr="00CB4AB4">
        <w:tab/>
        <w:t>merkt op dat de Ombudsman op het gebied van IT gebruikmaakt van de infrastructuur en het cyberbeveiligingskader van het Parlement en nauw samenwerkt met de Commissie wat betreft de integratie en het onderhoud van de bedrijfstools van de Unie (Sysper, ABAC, MiPS en ARES) en het gebruik van IT-kadercontracten; merkt op dat de Ombudsman, aangezien zij slechts beperkte controle over de gegevens heeft, dienstenniveauovereenkomsten met de betrokken instellingen heeft gesloten om ervoor te zorgen dat de verwerking van persoonsgegevens in overeenstemming is met het toepasselijke rechtskader; stelt met tevredenheid vast dat er in 2022 geen cyberaanvallen bij de Ombudsman hebben plaatsgevonden;</w:t>
      </w:r>
    </w:p>
    <w:p w:rsidR="00303976" w:rsidRPr="00CB4AB4" w:rsidRDefault="00303976" w:rsidP="00303976">
      <w:pPr>
        <w:pStyle w:val="NormalHanging12a"/>
        <w:rPr>
          <w:szCs w:val="24"/>
        </w:rPr>
      </w:pPr>
      <w:r w:rsidRPr="00CB4AB4">
        <w:t>36.</w:t>
      </w:r>
      <w:r w:rsidRPr="00CB4AB4">
        <w:tab/>
        <w:t>moedigt de Ombudsman aan om nauw samen te werken met het Agentschap van de Europese Unie voor cyberbeveiliging (Enisa); stelt voor om regelmatig up-to-date opleidingsprogramma’s op het gebied van cyberbeveiliging aan te bieden voor alle personeelsleden van de Ombudsman;</w:t>
      </w:r>
    </w:p>
    <w:p w:rsidR="00303976" w:rsidRPr="00CB4AB4" w:rsidRDefault="00303976" w:rsidP="00303976">
      <w:pPr>
        <w:pStyle w:val="NormalHanging12a"/>
        <w:rPr>
          <w:szCs w:val="24"/>
        </w:rPr>
      </w:pPr>
      <w:r w:rsidRPr="00CB4AB4">
        <w:t>37.</w:t>
      </w:r>
      <w:r w:rsidRPr="00CB4AB4">
        <w:tab/>
        <w:t>stelt met tevredenheid vast dat de Ombudsman in 2022 vier acties heeft afgerond van het vijfpuntenactieplan dat is aangenomen naar aanleiding van internecontroleverslag 21/03 over de herziening van het gegevensbeschermingskader van de instelling, dat tot doel heeft de doeltreffendheid en doelmatigheid van de verwerking van persoonsgegevens door de instelling verder te verbeteren;</w:t>
      </w:r>
    </w:p>
    <w:p w:rsidR="00303976" w:rsidRPr="00CB4AB4" w:rsidRDefault="00303976" w:rsidP="00303976">
      <w:pPr>
        <w:pStyle w:val="NormalHanging12a"/>
        <w:rPr>
          <w:szCs w:val="24"/>
        </w:rPr>
      </w:pPr>
      <w:r w:rsidRPr="00CB4AB4">
        <w:t>38.</w:t>
      </w:r>
      <w:r w:rsidRPr="00CB4AB4">
        <w:tab/>
        <w:t xml:space="preserve">neemt er nota van dat de Europese Toezichthouder voor gegevensbescherming (de “EDPS”) in 2022 feedback heeft gegeven over een klacht van een burger die beweerde </w:t>
      </w:r>
      <w:r w:rsidRPr="00CB4AB4">
        <w:lastRenderedPageBreak/>
        <w:t>dat de informatie over gegevensbescherming die de Ombudsman in zijn standaardontvangstbevestiging had verstrekt, ontoereikend was; stelt met tevredenheid vast dat de EDPS de zaak zonder verdere maatregelen heeft afgesloten nadat de Ombudsman de voorgestelde wijzigingen in haar template had aangebracht;</w:t>
      </w:r>
    </w:p>
    <w:p w:rsidR="00303976" w:rsidRPr="00CB4AB4" w:rsidRDefault="00303976" w:rsidP="00303976">
      <w:pPr>
        <w:pStyle w:val="NormalHanging12a"/>
      </w:pPr>
      <w:r w:rsidRPr="00CB4AB4">
        <w:t>39.</w:t>
      </w:r>
      <w:r w:rsidRPr="00CB4AB4">
        <w:tab/>
        <w:t>is ingenomen met het feit dat momenteel in samenwerking met de Europese Commissie (DG DIGIT) een elektronisch factureringssysteem wordt ingevoerd; verzoekt de Ombudsman een tijdschema op te stellen voor de volledige implementatie van het elektronisch factureringssysteem;</w:t>
      </w:r>
    </w:p>
    <w:p w:rsidR="004508A8" w:rsidRPr="00C14981" w:rsidRDefault="004508A8" w:rsidP="00303976">
      <w:pPr>
        <w:pStyle w:val="NormalHanging12a"/>
        <w:rPr>
          <w:szCs w:val="24"/>
        </w:rPr>
      </w:pPr>
      <w:r w:rsidRPr="00C14981">
        <w:t>40.</w:t>
      </w:r>
      <w:r w:rsidRPr="00C14981">
        <w:tab/>
        <w:t>feliciteert de Ombudsman met het feit dat zij op haar website uitsluitend opensourcesoftware gebruikt en dat voor interne doeleinden waar mogelijk prioritair opensourcetools worden gebruikt;</w:t>
      </w:r>
    </w:p>
    <w:p w:rsidR="00303976" w:rsidRPr="00CB4AB4" w:rsidRDefault="00303976" w:rsidP="00303976">
      <w:pPr>
        <w:pStyle w:val="NormalHanging12a"/>
        <w:ind w:left="0" w:firstLine="0"/>
        <w:rPr>
          <w:b/>
          <w:i/>
          <w:szCs w:val="24"/>
        </w:rPr>
      </w:pPr>
      <w:r w:rsidRPr="00CB4AB4">
        <w:rPr>
          <w:b/>
          <w:i/>
        </w:rPr>
        <w:t>Gebouwen</w:t>
      </w:r>
    </w:p>
    <w:p w:rsidR="00303976" w:rsidRPr="00CB4AB4" w:rsidRDefault="004508A8" w:rsidP="00303976">
      <w:pPr>
        <w:pStyle w:val="NormalHanging12a"/>
        <w:rPr>
          <w:szCs w:val="24"/>
        </w:rPr>
      </w:pPr>
      <w:r w:rsidRPr="00CB4AB4">
        <w:t>41</w:t>
      </w:r>
      <w:r w:rsidR="00303976" w:rsidRPr="00CB4AB4">
        <w:t>.</w:t>
      </w:r>
      <w:r w:rsidR="00303976" w:rsidRPr="00CB4AB4">
        <w:tab/>
        <w:t>merkt op dat na de verhuizing van het kantoor van de Ombudsman in Brussel naar de nieuwe faciliteiten die het Parlement in 2021 ter beschikking heeft gesteld, het gebouw is ingericht als een collaboratieve werkruimte met zeer weinig individuele kantoren en flexibele collaboratieve vergaderfaciliteiten; neemt er met tevredenheid nota van dat de Ombudsman niet met flexplekken werkt en dat alle personeelsleden een eigen bureau met voldoende opbergruimte hebben; is bezorgd over het feit dat de Ombudsman geen personeelsenquête heeft georganiseerd vóór de verhuizing naar een collaboratieve ruimte in het kantoor in Brussel; merkt op dat uit een algemene personeelsenquête in 2023 is gebleken dat de meerderheid van het personeel positief heeft gereageerd op de nieuwe fysieke regelingen; waardeert het ook dat het personeel vóór de verhuizing op de hoogte is gehouden van een aantal beslissingen over de inrichting van de werkruimte, zoals de kleurenschema’s;</w:t>
      </w:r>
    </w:p>
    <w:p w:rsidR="00303976" w:rsidRPr="00CB4AB4" w:rsidRDefault="004508A8" w:rsidP="00303976">
      <w:pPr>
        <w:pStyle w:val="NormalHanging12a"/>
        <w:rPr>
          <w:szCs w:val="24"/>
        </w:rPr>
      </w:pPr>
      <w:r w:rsidRPr="00CB4AB4">
        <w:t>42</w:t>
      </w:r>
      <w:r w:rsidR="00303976" w:rsidRPr="00CB4AB4">
        <w:t>.</w:t>
      </w:r>
      <w:r w:rsidR="00303976" w:rsidRPr="00CB4AB4">
        <w:tab/>
        <w:t>neemt er nota van dat de Ombudsman 20,5 % van de door het Parlement verhuurde oppervlakte in Straatsburg op verzoek van het Parlement heeft teruggegeven en dat de huur vervolgens is verlaagd;</w:t>
      </w:r>
    </w:p>
    <w:p w:rsidR="00303976" w:rsidRPr="00CB4AB4" w:rsidRDefault="004508A8" w:rsidP="00303976">
      <w:pPr>
        <w:pStyle w:val="NormalHanging12a"/>
        <w:rPr>
          <w:szCs w:val="24"/>
        </w:rPr>
      </w:pPr>
      <w:r w:rsidRPr="00CB4AB4">
        <w:t>43</w:t>
      </w:r>
      <w:r w:rsidR="00303976" w:rsidRPr="00CB4AB4">
        <w:t>.</w:t>
      </w:r>
      <w:r w:rsidR="00303976" w:rsidRPr="00CB4AB4">
        <w:tab/>
        <w:t>herinnert eraan dat de Ombudsman geen eigen gebouwen bezit, maar een gebouw in Brussel en kantoorruimte in Straatsburg huurt; merkt met tevredenheid op dat het Havelgebouw in Straatsburg volledig toegankelijk is voor personen met beperkte mobiliteit of andere handicaps en betreurt ten zeerste dat de toegankelijkheid van het in Brussel gehuurde gebouw moet worden verbeterd; verzoekt het Parlement de toegankelijkheid van het gebouw in Brussel dat aan de Ombudsman wordt verhuurd, te verbeteren;</w:t>
      </w:r>
    </w:p>
    <w:p w:rsidR="00303976" w:rsidRPr="00CB4AB4" w:rsidRDefault="00303976" w:rsidP="00303976">
      <w:pPr>
        <w:pStyle w:val="NormalHanging12a"/>
        <w:ind w:left="0" w:firstLine="0"/>
        <w:rPr>
          <w:b/>
          <w:i/>
          <w:szCs w:val="24"/>
        </w:rPr>
      </w:pPr>
      <w:r w:rsidRPr="00CB4AB4">
        <w:rPr>
          <w:b/>
          <w:i/>
        </w:rPr>
        <w:t>Milieu en duurzaamheid</w:t>
      </w:r>
    </w:p>
    <w:p w:rsidR="00303976" w:rsidRPr="00CB4AB4" w:rsidRDefault="004508A8" w:rsidP="00303976">
      <w:pPr>
        <w:pStyle w:val="NormalHanging12a"/>
        <w:rPr>
          <w:szCs w:val="24"/>
        </w:rPr>
      </w:pPr>
      <w:r w:rsidRPr="00CB4AB4">
        <w:t>44</w:t>
      </w:r>
      <w:r w:rsidR="00303976" w:rsidRPr="00CB4AB4">
        <w:t>.</w:t>
      </w:r>
      <w:r w:rsidR="00303976" w:rsidRPr="00CB4AB4">
        <w:tab/>
        <w:t>is verheugd dat de Ombudsman in de loop der jaren haar ecologische voetafdruk heeft verkleind, met name door haar processen en publicaties, zoals het jaarverslag, te digitaliseren, individuele printers te verwijderen en maatregelen te nemen om events duurzamer te maken; merkt op dat de Ombudsman wat de ecologische voetafdruk van haar gebouwen betreft, afhangt van de maatregelen die het Parlement als eigenaar van de gebouwen neemt; neemt er nota van dat de Ombudsman haar in het kader van de kwijting 2021 geformuleerde verzoek om zonnepanelen op het dak van haar gebouwen te laten installeren, aan het Parlement heeft doen toekomen;</w:t>
      </w:r>
    </w:p>
    <w:p w:rsidR="00303976" w:rsidRPr="00CB4AB4" w:rsidRDefault="004508A8" w:rsidP="00303976">
      <w:pPr>
        <w:pStyle w:val="NormalHanging12a"/>
        <w:rPr>
          <w:szCs w:val="24"/>
        </w:rPr>
      </w:pPr>
      <w:r w:rsidRPr="00CB4AB4">
        <w:lastRenderedPageBreak/>
        <w:t>45</w:t>
      </w:r>
      <w:r w:rsidR="00303976" w:rsidRPr="00CB4AB4">
        <w:t>.</w:t>
      </w:r>
      <w:r w:rsidR="00303976" w:rsidRPr="00CB4AB4">
        <w:tab/>
        <w:t>merkt op dat de Ombudsman in 2022 duurzame mobiliteit is blijven aanmoedigen, met name door financiële steun te verlenen voor jaarabonnementen voor het openbaar vervoer, door de beschikbare parkeerplaatsen voor auto’s te beperken en door de faciliteiten voor fietsers en de fietsenstallingen te verbeteren;</w:t>
      </w:r>
    </w:p>
    <w:p w:rsidR="00303976" w:rsidRPr="00CB4AB4" w:rsidRDefault="00303976" w:rsidP="00303976">
      <w:pPr>
        <w:pStyle w:val="NormalHanging12a"/>
        <w:ind w:left="0" w:firstLine="0"/>
        <w:rPr>
          <w:b/>
          <w:i/>
          <w:szCs w:val="24"/>
        </w:rPr>
      </w:pPr>
      <w:r w:rsidRPr="00CB4AB4">
        <w:rPr>
          <w:b/>
          <w:i/>
        </w:rPr>
        <w:t>Interinstitutionele samenwerking</w:t>
      </w:r>
    </w:p>
    <w:p w:rsidR="00303976" w:rsidRPr="00CB4AB4" w:rsidRDefault="004508A8" w:rsidP="00303976">
      <w:pPr>
        <w:pStyle w:val="NormalHanging12a"/>
        <w:rPr>
          <w:szCs w:val="24"/>
        </w:rPr>
      </w:pPr>
      <w:r w:rsidRPr="00CB4AB4">
        <w:t>46</w:t>
      </w:r>
      <w:r w:rsidR="00303976" w:rsidRPr="00CB4AB4">
        <w:t>.</w:t>
      </w:r>
      <w:r w:rsidR="00303976" w:rsidRPr="00CB4AB4">
        <w:tab/>
        <w:t>is ingenomen met de financiële en administratieve besparingen die dankzij interinstitutionele samenwerking zijn gerealiseerd, met name de grote reeks dienstenniveauovereenkomsten met het Parlement en de Commissie en de deelname aan interinstitutionele aanbestedingsprocedures; merkt op dat de Ombudsman in 2022 nieuwe synergieën met andere instellingen heeft ontwikkeld en overeenkomsten heeft gesloten over de verlening van diensten voor het gebruik van elektronische handtekeningen door de Commissie en dienstverlening door de Frontoffice personeel en de Infodesk van het Parlement;</w:t>
      </w:r>
    </w:p>
    <w:p w:rsidR="00303976" w:rsidRPr="00CB4AB4" w:rsidRDefault="004508A8" w:rsidP="00303976">
      <w:pPr>
        <w:pStyle w:val="NormalHanging12a"/>
        <w:rPr>
          <w:szCs w:val="24"/>
        </w:rPr>
      </w:pPr>
      <w:r w:rsidRPr="00CB4AB4">
        <w:t>47</w:t>
      </w:r>
      <w:r w:rsidR="00303976" w:rsidRPr="00CB4AB4">
        <w:t>.</w:t>
      </w:r>
      <w:r w:rsidR="00303976" w:rsidRPr="00CB4AB4">
        <w:tab/>
        <w:t>erkent dat het belangrijk is om een intensieve uitwisseling en samenwerking met het Europees netwerk van ombudsmannen (ENO) te handhaven; is ingenomen met de organisatie van de jaarlijkse conferentie en het thematisch webinar van het ENO als belangrijke discussiefora over actuele kwesties die van invloed zijn op de werkzaamheden van ombudsmannen in heel Europa in 2022;</w:t>
      </w:r>
    </w:p>
    <w:p w:rsidR="00303976" w:rsidRPr="00CB4AB4" w:rsidRDefault="004508A8" w:rsidP="00303976">
      <w:pPr>
        <w:pStyle w:val="NormalHanging12a"/>
        <w:rPr>
          <w:szCs w:val="24"/>
        </w:rPr>
      </w:pPr>
      <w:r w:rsidRPr="00CB4AB4">
        <w:t>48</w:t>
      </w:r>
      <w:r w:rsidR="00303976" w:rsidRPr="00CB4AB4">
        <w:t>.</w:t>
      </w:r>
      <w:r w:rsidR="00303976" w:rsidRPr="00CB4AB4">
        <w:tab/>
        <w:t>is ingenomen met de samenwerking die de Ombudsman met het EOM, de Rekenkamer en OLAF onderhoudt om dubbel onderzoek te voorkomen en onderwerpen van wederzijds belang te bespreken, zoals de verbetering van het toezichtskader van de Unie; is eveneens ingenomen met de samenwerkingskanalen die met de EDPS zijn opgezet om snel met elkaar te overleggen over de dagelijkse werkzaamheden van beide instellingen, en met het memorandum van overeenstemming waarin de respectieve bevoegdheden van elke instelling worden afgebakend om overlapping van procedures te voorkomen;</w:t>
      </w:r>
    </w:p>
    <w:p w:rsidR="00303976" w:rsidRPr="00CB4AB4" w:rsidRDefault="004508A8" w:rsidP="00303976">
      <w:pPr>
        <w:pStyle w:val="NormalHanging12a"/>
        <w:rPr>
          <w:szCs w:val="24"/>
        </w:rPr>
      </w:pPr>
      <w:r w:rsidRPr="00CB4AB4">
        <w:t>49</w:t>
      </w:r>
      <w:r w:rsidR="00303976" w:rsidRPr="00CB4AB4">
        <w:t>.</w:t>
      </w:r>
      <w:r w:rsidR="00303976" w:rsidRPr="00CB4AB4">
        <w:tab/>
        <w:t>is ingenomen met het feit dat de Ombudsman bij belangrijke onderzoeken nauw samenwerkt met de bevoegde commissies van het Europees Parlement door de werkzaamheden rechtstreeks in commissievergaderingen te presenteren of door informatie te verstrekken aan de commissievoorzitters; benadrukt dat de strategische initiatieven en onderzoeken van de Ombudsman van cruciaal belang zijn om de transparantie en verantwoordingsplicht van het bestuur van de Unie te verbeteren;</w:t>
      </w:r>
    </w:p>
    <w:p w:rsidR="00303976" w:rsidRPr="00CB4AB4" w:rsidRDefault="00303976" w:rsidP="00303976">
      <w:pPr>
        <w:pStyle w:val="NormalHanging12a"/>
        <w:rPr>
          <w:b/>
          <w:i/>
          <w:szCs w:val="24"/>
        </w:rPr>
      </w:pPr>
      <w:r w:rsidRPr="00CB4AB4">
        <w:rPr>
          <w:b/>
          <w:i/>
        </w:rPr>
        <w:t>Communicatie</w:t>
      </w:r>
    </w:p>
    <w:p w:rsidR="00303976" w:rsidRPr="00CB4AB4" w:rsidRDefault="004508A8" w:rsidP="00303976">
      <w:pPr>
        <w:pStyle w:val="NormalHanging12a"/>
        <w:rPr>
          <w:szCs w:val="24"/>
        </w:rPr>
      </w:pPr>
      <w:r w:rsidRPr="00CB4AB4">
        <w:t>50</w:t>
      </w:r>
      <w:r w:rsidR="00303976" w:rsidRPr="00CB4AB4">
        <w:t>.</w:t>
      </w:r>
      <w:r w:rsidR="00303976" w:rsidRPr="00CB4AB4">
        <w:tab/>
        <w:t>merkt op dat de totale begroting voor communicatie- en promotieactiviteiten tussen 2021 en 2022 van 92 100 EUR tot 132 400 EUR, oftewel met 43,8 %, is gestegen; feliciteert de Ombudsman met de ontwikkeling van een alomvattende communicatiestrategie die heeft bijgedragen tot het vergroten van het bereik van specifieke doelgroepen en het grote publiek; merkt op dat Europese media 60 % meer persartikelen over de Ombudsman hebben gepubliceerd dan in 2021;</w:t>
      </w:r>
    </w:p>
    <w:p w:rsidR="00303976" w:rsidRPr="00CB4AB4" w:rsidRDefault="004508A8" w:rsidP="00303976">
      <w:pPr>
        <w:pStyle w:val="NormalHanging12a"/>
        <w:rPr>
          <w:szCs w:val="24"/>
        </w:rPr>
      </w:pPr>
      <w:r w:rsidRPr="00CB4AB4">
        <w:t>51</w:t>
      </w:r>
      <w:r w:rsidR="00303976" w:rsidRPr="00CB4AB4">
        <w:t>.</w:t>
      </w:r>
      <w:r w:rsidR="00303976" w:rsidRPr="00CB4AB4">
        <w:tab/>
        <w:t xml:space="preserve">is ingenomen met de inspanningen van de Ombudsman om burgers beter bewust te maken van de rol van de Ombudsman en de mogelijkheid om er een beroep op te doen in geval van wanbeheer door een instelling van de Unie; erkent de inspanningen die zijn geleverd om transparante informatie te verstrekken en gegevens in een informatieve en </w:t>
      </w:r>
      <w:r w:rsidR="00303976" w:rsidRPr="00CB4AB4">
        <w:lastRenderedPageBreak/>
        <w:t>gebruikersvriendelijke vorm op de website van de Ombudsman te publiceren, hoewel die gegevens niet in een open formaat beschikbaar zijn; is ingenomen met de goedkeuring van een nieuw logo en een nieuwe visuele identiteit om de werkzaamheden van de Ombudsman zichtbaarder te maken en de Ombudsman herkenbaar te maken als orgaan van de Unie;</w:t>
      </w:r>
    </w:p>
    <w:p w:rsidR="00303976" w:rsidRPr="00CB4AB4" w:rsidRDefault="004508A8" w:rsidP="00303976">
      <w:pPr>
        <w:pStyle w:val="NormalHanging12a"/>
        <w:rPr>
          <w:szCs w:val="24"/>
        </w:rPr>
      </w:pPr>
      <w:r w:rsidRPr="00CB4AB4">
        <w:t>52</w:t>
      </w:r>
      <w:r w:rsidR="00303976" w:rsidRPr="00CB4AB4">
        <w:t>.</w:t>
      </w:r>
      <w:r w:rsidR="00303976" w:rsidRPr="00CB4AB4">
        <w:tab/>
        <w:t>waardeert het dat de Ombudsman op de website een geautomatiseerde tool voor het vertalen van zaken gebruikt en verzoekt de Ombudsman te zorgen voor een naadloze en tijdige vertaling van haar zaken in alle talen;</w:t>
      </w:r>
    </w:p>
    <w:p w:rsidR="00303976" w:rsidRPr="00CB4AB4" w:rsidRDefault="004508A8" w:rsidP="00303976">
      <w:pPr>
        <w:pStyle w:val="NormalHanging12a"/>
        <w:rPr>
          <w:szCs w:val="24"/>
        </w:rPr>
      </w:pPr>
      <w:r w:rsidRPr="00CB4AB4">
        <w:t>53</w:t>
      </w:r>
      <w:r w:rsidR="00303976" w:rsidRPr="00CB4AB4">
        <w:t>.</w:t>
      </w:r>
      <w:r w:rsidR="00303976" w:rsidRPr="00CB4AB4">
        <w:tab/>
        <w:t>merkt op dat de Ombudsman socialemedia-accounts heeft op Instagram, LinkedIn en X (het vroegere Twitter), waar het aantal volgers en de participatiegraad in 2022 meer zijn toegenomen dan in de voorgaande jaren; merkt op dat de Ombudsman heeft deelgenomen aan het proefproject onder leiding van de EDPS, dat tot doel had de instellingen van de Unie op EU-Voice en EU-Video te brengen, twee gratis opensource- en socialemedianetwerken op basis van Mastodon-software waarop die instellingen met het publiek kunnen communiceren door teksten, beelden, video’s en podcasts te delen.</w:t>
      </w:r>
    </w:p>
    <w:p w:rsidR="00303976" w:rsidRPr="00CB4AB4" w:rsidRDefault="00303976" w:rsidP="00303976">
      <w:bookmarkStart w:id="8" w:name="_GoBack"/>
      <w:bookmarkEnd w:id="8"/>
    </w:p>
    <w:sectPr w:rsidR="00303976" w:rsidRPr="00CB4AB4" w:rsidSect="0017612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621" w:rsidRPr="0017612A" w:rsidRDefault="00DA5621">
      <w:r w:rsidRPr="0017612A">
        <w:separator/>
      </w:r>
    </w:p>
  </w:endnote>
  <w:endnote w:type="continuationSeparator" w:id="0">
    <w:p w:rsidR="00DA5621" w:rsidRPr="0017612A" w:rsidRDefault="00DA5621">
      <w:r w:rsidRPr="001761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976" w:rsidRPr="0017612A" w:rsidRDefault="00303976" w:rsidP="005B1A1B">
    <w:pPr>
      <w:pStyle w:val="EPFooter"/>
    </w:pPr>
    <w:r w:rsidRPr="0017612A">
      <w:t>PE</w:t>
    </w:r>
    <w:r w:rsidRPr="0017612A">
      <w:rPr>
        <w:rStyle w:val="HideTWBExt"/>
      </w:rPr>
      <w:t>&lt;NoPE&gt;</w:t>
    </w:r>
    <w:r w:rsidRPr="0017612A">
      <w:t>753.486</w:t>
    </w:r>
    <w:r w:rsidRPr="0017612A">
      <w:rPr>
        <w:rStyle w:val="HideTWBExt"/>
      </w:rPr>
      <w:t>&lt;/NoPE&gt;&lt;Version&gt;</w:t>
    </w:r>
    <w:r w:rsidRPr="0017612A">
      <w:t>v02-00</w:t>
    </w:r>
    <w:r w:rsidRPr="0017612A">
      <w:rPr>
        <w:rStyle w:val="HideTWBExt"/>
      </w:rPr>
      <w:t>&lt;/Version&gt;</w:t>
    </w:r>
    <w:r w:rsidRPr="0017612A">
      <w:tab/>
    </w:r>
    <w:r w:rsidRPr="0017612A">
      <w:fldChar w:fldCharType="begin"/>
    </w:r>
    <w:r w:rsidRPr="0017612A">
      <w:instrText xml:space="preserve"> PAGE  \* MERGEFORMAT </w:instrText>
    </w:r>
    <w:r w:rsidRPr="0017612A">
      <w:fldChar w:fldCharType="separate"/>
    </w:r>
    <w:r w:rsidR="0017612A" w:rsidRPr="0017612A">
      <w:rPr>
        <w:noProof/>
      </w:rPr>
      <w:t>2</w:t>
    </w:r>
    <w:r w:rsidRPr="0017612A">
      <w:fldChar w:fldCharType="end"/>
    </w:r>
    <w:r w:rsidRPr="0017612A">
      <w:t>/</w:t>
    </w:r>
    <w:r w:rsidR="00115006">
      <w:fldChar w:fldCharType="begin"/>
    </w:r>
    <w:r w:rsidR="00115006">
      <w:instrText xml:space="preserve"> NUMPAGES  \* MERGEFORMAT </w:instrText>
    </w:r>
    <w:r w:rsidR="00115006">
      <w:fldChar w:fldCharType="separate"/>
    </w:r>
    <w:r w:rsidR="0017612A" w:rsidRPr="0017612A">
      <w:rPr>
        <w:noProof/>
      </w:rPr>
      <w:t>3</w:t>
    </w:r>
    <w:r w:rsidR="00115006">
      <w:rPr>
        <w:noProof/>
      </w:rPr>
      <w:fldChar w:fldCharType="end"/>
    </w:r>
    <w:r w:rsidRPr="0017612A">
      <w:tab/>
    </w:r>
    <w:r w:rsidRPr="0017612A">
      <w:rPr>
        <w:rStyle w:val="HideTWBExt"/>
      </w:rPr>
      <w:t>&lt;PathFdR&gt;</w:t>
    </w:r>
    <w:r w:rsidRPr="0017612A">
      <w:t>RR\1298678NL.docx</w:t>
    </w:r>
    <w:r w:rsidRPr="0017612A">
      <w:rPr>
        <w:rStyle w:val="HideTWBExt"/>
      </w:rPr>
      <w:t>&lt;/PathFdR&gt;</w:t>
    </w:r>
  </w:p>
  <w:p w:rsidR="00303976" w:rsidRPr="0017612A" w:rsidRDefault="00303976" w:rsidP="005B1A1B">
    <w:pPr>
      <w:pStyle w:val="EPFooter2"/>
    </w:pPr>
    <w:r w:rsidRPr="0017612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976" w:rsidRPr="0017612A" w:rsidRDefault="00303976" w:rsidP="005B1A1B">
    <w:pPr>
      <w:pStyle w:val="EPFooter"/>
    </w:pPr>
    <w:r w:rsidRPr="0017612A">
      <w:rPr>
        <w:rStyle w:val="HideTWBExt"/>
      </w:rPr>
      <w:t>&lt;PathFdR&gt;</w:t>
    </w:r>
    <w:r w:rsidRPr="0017612A">
      <w:t>RR\1298678NL.docx</w:t>
    </w:r>
    <w:r w:rsidRPr="0017612A">
      <w:rPr>
        <w:rStyle w:val="HideTWBExt"/>
      </w:rPr>
      <w:t>&lt;/PathFdR&gt;</w:t>
    </w:r>
    <w:r w:rsidRPr="0017612A">
      <w:tab/>
    </w:r>
    <w:r w:rsidRPr="0017612A">
      <w:tab/>
      <w:t>PE</w:t>
    </w:r>
    <w:r w:rsidRPr="0017612A">
      <w:rPr>
        <w:rStyle w:val="HideTWBExt"/>
      </w:rPr>
      <w:t>&lt;NoPE&gt;</w:t>
    </w:r>
    <w:r w:rsidRPr="0017612A">
      <w:t>753.486</w:t>
    </w:r>
    <w:r w:rsidRPr="0017612A">
      <w:rPr>
        <w:rStyle w:val="HideTWBExt"/>
      </w:rPr>
      <w:t>&lt;/NoPE&gt;&lt;Version&gt;</w:t>
    </w:r>
    <w:r w:rsidRPr="0017612A">
      <w:t>v02-00</w:t>
    </w:r>
    <w:r w:rsidRPr="0017612A">
      <w:rPr>
        <w:rStyle w:val="HideTWBExt"/>
      </w:rPr>
      <w:t>&lt;/Version&gt;</w:t>
    </w:r>
  </w:p>
  <w:p w:rsidR="00303976" w:rsidRPr="0017612A" w:rsidRDefault="00303976" w:rsidP="005B1A1B">
    <w:pPr>
      <w:pStyle w:val="EPFooter2"/>
    </w:pPr>
    <w:r w:rsidRPr="0017612A">
      <w:t>NL</w:t>
    </w:r>
    <w:r w:rsidRPr="0017612A">
      <w:tab/>
    </w:r>
    <w:r w:rsidRPr="0017612A">
      <w:rPr>
        <w:b w:val="0"/>
        <w:i/>
        <w:color w:val="C0C0C0"/>
        <w:sz w:val="22"/>
      </w:rPr>
      <w:t>In verscheidenheid verenigd</w:t>
    </w:r>
    <w:r w:rsidRPr="0017612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612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612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61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621" w:rsidRPr="0017612A" w:rsidRDefault="00DA5621">
      <w:r w:rsidRPr="0017612A">
        <w:separator/>
      </w:r>
    </w:p>
  </w:footnote>
  <w:footnote w:type="continuationSeparator" w:id="0">
    <w:p w:rsidR="00DA5621" w:rsidRPr="0017612A" w:rsidRDefault="00DA5621">
      <w:r w:rsidRPr="0017612A">
        <w:continuationSeparator/>
      </w:r>
    </w:p>
  </w:footnote>
  <w:footnote w:id="1">
    <w:p w:rsidR="00303976" w:rsidRPr="0017612A" w:rsidRDefault="00303976" w:rsidP="0017612A">
      <w:pPr>
        <w:pStyle w:val="FootnoteText"/>
        <w:ind w:left="567" w:hanging="567"/>
        <w:rPr>
          <w:sz w:val="24"/>
          <w:lang w:val="nl-NL"/>
        </w:rPr>
      </w:pPr>
      <w:r w:rsidRPr="0017612A">
        <w:rPr>
          <w:rStyle w:val="FootnoteReference"/>
          <w:sz w:val="24"/>
          <w:lang w:val="nl-NL"/>
        </w:rPr>
        <w:footnoteRef/>
      </w:r>
      <w:r w:rsidR="0017612A" w:rsidRPr="0017612A">
        <w:rPr>
          <w:sz w:val="24"/>
          <w:lang w:val="nl-NL"/>
        </w:rPr>
        <w:tab/>
      </w:r>
      <w:r w:rsidRPr="0017612A">
        <w:rPr>
          <w:sz w:val="24"/>
          <w:lang w:val="nl-NL"/>
        </w:rPr>
        <w:t>PB L 45 van 24.2.2022.</w:t>
      </w:r>
    </w:p>
  </w:footnote>
  <w:footnote w:id="2">
    <w:p w:rsidR="00303976" w:rsidRPr="0017612A" w:rsidRDefault="00303976" w:rsidP="0017612A">
      <w:pPr>
        <w:pStyle w:val="FootnoteText"/>
        <w:ind w:left="567" w:hanging="567"/>
        <w:rPr>
          <w:sz w:val="24"/>
          <w:lang w:val="nl-NL"/>
        </w:rPr>
      </w:pPr>
      <w:r w:rsidRPr="0017612A">
        <w:rPr>
          <w:rStyle w:val="FootnoteReference"/>
          <w:sz w:val="24"/>
          <w:lang w:val="nl-NL"/>
        </w:rPr>
        <w:footnoteRef/>
      </w:r>
      <w:r w:rsidR="0017612A" w:rsidRPr="0017612A">
        <w:rPr>
          <w:sz w:val="24"/>
          <w:lang w:val="nl-NL"/>
        </w:rPr>
        <w:tab/>
      </w:r>
      <w:r w:rsidRPr="0017612A">
        <w:rPr>
          <w:sz w:val="24"/>
          <w:lang w:val="nl-NL"/>
        </w:rPr>
        <w:t>PB C, C/2023/2 van 12.10.2023.</w:t>
      </w:r>
    </w:p>
  </w:footnote>
  <w:footnote w:id="3">
    <w:p w:rsidR="00303976" w:rsidRPr="0017612A" w:rsidRDefault="00303976" w:rsidP="0017612A">
      <w:pPr>
        <w:pStyle w:val="FootnoteText"/>
        <w:ind w:left="567" w:hanging="567"/>
        <w:rPr>
          <w:sz w:val="24"/>
          <w:lang w:val="nl-NL"/>
        </w:rPr>
      </w:pPr>
      <w:r w:rsidRPr="0017612A">
        <w:rPr>
          <w:rStyle w:val="FootnoteReference"/>
          <w:sz w:val="24"/>
          <w:lang w:val="nl-NL"/>
        </w:rPr>
        <w:footnoteRef/>
      </w:r>
      <w:r w:rsidR="0017612A" w:rsidRPr="0017612A">
        <w:rPr>
          <w:sz w:val="24"/>
          <w:lang w:val="nl-NL"/>
        </w:rPr>
        <w:tab/>
      </w:r>
      <w:r w:rsidRPr="0017612A">
        <w:rPr>
          <w:sz w:val="24"/>
          <w:lang w:val="nl-NL"/>
        </w:rPr>
        <w:t>PB C, C/2023/103 van 4.10.2023.</w:t>
      </w:r>
    </w:p>
  </w:footnote>
  <w:footnote w:id="4">
    <w:p w:rsidR="00303976" w:rsidRPr="0017612A" w:rsidRDefault="00303976" w:rsidP="0017612A">
      <w:pPr>
        <w:pStyle w:val="FootnoteText"/>
        <w:ind w:left="567" w:hanging="567"/>
        <w:rPr>
          <w:sz w:val="24"/>
          <w:lang w:val="nl-NL"/>
        </w:rPr>
      </w:pPr>
      <w:r w:rsidRPr="0017612A">
        <w:rPr>
          <w:rStyle w:val="FootnoteReference"/>
          <w:sz w:val="24"/>
          <w:lang w:val="nl-NL"/>
        </w:rPr>
        <w:footnoteRef/>
      </w:r>
      <w:r w:rsidR="0017612A" w:rsidRPr="0017612A">
        <w:rPr>
          <w:sz w:val="24"/>
          <w:lang w:val="nl-NL"/>
        </w:rPr>
        <w:tab/>
      </w:r>
      <w:r w:rsidRPr="0017612A">
        <w:rPr>
          <w:sz w:val="24"/>
          <w:lang w:val="nl-NL"/>
        </w:rPr>
        <w:t>PB C, C/2023/112 van 12.10.2023.</w:t>
      </w:r>
    </w:p>
  </w:footnote>
  <w:footnote w:id="5">
    <w:p w:rsidR="00303976" w:rsidRPr="0017612A" w:rsidRDefault="00303976" w:rsidP="0017612A">
      <w:pPr>
        <w:pStyle w:val="FootnoteText"/>
        <w:ind w:left="567" w:hanging="567"/>
        <w:rPr>
          <w:sz w:val="24"/>
          <w:lang w:val="nl-NL"/>
        </w:rPr>
      </w:pPr>
      <w:r w:rsidRPr="0017612A">
        <w:rPr>
          <w:rStyle w:val="FootnoteReference"/>
          <w:sz w:val="24"/>
          <w:lang w:val="nl-NL"/>
        </w:rPr>
        <w:footnoteRef/>
      </w:r>
      <w:r w:rsidR="0017612A" w:rsidRPr="0017612A">
        <w:rPr>
          <w:sz w:val="24"/>
          <w:lang w:val="nl-NL"/>
        </w:rPr>
        <w:tab/>
      </w:r>
      <w:r w:rsidRPr="0017612A">
        <w:rPr>
          <w:sz w:val="24"/>
          <w:lang w:val="nl-NL"/>
        </w:rPr>
        <w:t>PB L 193 van 30.7.2018, blz. 1.</w:t>
      </w:r>
    </w:p>
  </w:footnote>
  <w:footnote w:id="6">
    <w:p w:rsidR="00303976" w:rsidRPr="0017612A" w:rsidRDefault="00303976" w:rsidP="0017612A">
      <w:pPr>
        <w:pStyle w:val="FootnoteText"/>
        <w:ind w:left="567" w:hanging="567"/>
        <w:rPr>
          <w:sz w:val="24"/>
          <w:lang w:val="nl-NL"/>
        </w:rPr>
      </w:pPr>
      <w:r w:rsidRPr="0017612A">
        <w:rPr>
          <w:rStyle w:val="FootnoteReference"/>
          <w:sz w:val="24"/>
          <w:lang w:val="nl-NL"/>
        </w:rPr>
        <w:footnoteRef/>
      </w:r>
      <w:r w:rsidR="0017612A" w:rsidRPr="0017612A">
        <w:rPr>
          <w:sz w:val="24"/>
          <w:lang w:val="nl-NL"/>
        </w:rPr>
        <w:tab/>
      </w:r>
      <w:r w:rsidRPr="0017612A">
        <w:rPr>
          <w:sz w:val="24"/>
          <w:lang w:val="nl-NL"/>
        </w:rPr>
        <w:t>PB L 253 van 16.7.2021, blz. 1.</w:t>
      </w:r>
    </w:p>
  </w:footnote>
  <w:footnote w:id="7">
    <w:p w:rsidR="00303976" w:rsidRPr="0017612A" w:rsidRDefault="00303976" w:rsidP="0017612A">
      <w:pPr>
        <w:pStyle w:val="FootnoteText"/>
        <w:ind w:left="567" w:hanging="567"/>
        <w:rPr>
          <w:sz w:val="24"/>
          <w:lang w:val="nl-NL"/>
        </w:rPr>
      </w:pPr>
      <w:r w:rsidRPr="0017612A">
        <w:rPr>
          <w:rStyle w:val="FootnoteReference"/>
          <w:sz w:val="24"/>
          <w:lang w:val="nl-NL"/>
        </w:rPr>
        <w:footnoteRef/>
      </w:r>
      <w:r w:rsidR="0017612A" w:rsidRPr="0017612A">
        <w:rPr>
          <w:sz w:val="24"/>
          <w:lang w:val="nl-NL"/>
        </w:rPr>
        <w:tab/>
      </w:r>
      <w:r w:rsidRPr="0017612A">
        <w:rPr>
          <w:sz w:val="24"/>
          <w:lang w:val="nl-NL"/>
        </w:rPr>
        <w:t>https://www.ombudsman.europa.eu/en/news-document/en/152993.</w:t>
      </w:r>
    </w:p>
  </w:footnote>
  <w:footnote w:id="8">
    <w:p w:rsidR="00303976" w:rsidRPr="0017612A" w:rsidRDefault="00303976" w:rsidP="0017612A">
      <w:pPr>
        <w:pStyle w:val="FootnoteText"/>
        <w:ind w:left="567" w:hanging="567"/>
        <w:rPr>
          <w:sz w:val="24"/>
          <w:lang w:val="nl-NL"/>
        </w:rPr>
      </w:pPr>
      <w:r w:rsidRPr="0017612A">
        <w:rPr>
          <w:rStyle w:val="FootnoteReference"/>
          <w:sz w:val="24"/>
          <w:lang w:val="nl-NL"/>
        </w:rPr>
        <w:footnoteRef/>
      </w:r>
      <w:r w:rsidR="0017612A" w:rsidRPr="0017612A">
        <w:rPr>
          <w:sz w:val="24"/>
          <w:lang w:val="nl-NL"/>
        </w:rPr>
        <w:tab/>
      </w:r>
      <w:r w:rsidRPr="0017612A">
        <w:rPr>
          <w:sz w:val="24"/>
          <w:lang w:val="nl-NL"/>
        </w:rPr>
        <w:t>https://www.europarl.europa.eu/doceo/document/TA-9-2023-0295_NL.html.</w:t>
      </w:r>
    </w:p>
  </w:footnote>
  <w:footnote w:id="9">
    <w:p w:rsidR="00303976" w:rsidRPr="0017612A" w:rsidRDefault="00303976" w:rsidP="0017612A">
      <w:pPr>
        <w:pStyle w:val="FootnoteText"/>
        <w:ind w:left="567" w:hanging="567"/>
        <w:rPr>
          <w:sz w:val="24"/>
          <w:lang w:val="nl-NL"/>
        </w:rPr>
      </w:pPr>
      <w:r w:rsidRPr="0017612A">
        <w:rPr>
          <w:rStyle w:val="FootnoteReference"/>
          <w:sz w:val="24"/>
          <w:lang w:val="nl-NL"/>
        </w:rPr>
        <w:footnoteRef/>
      </w:r>
      <w:r w:rsidR="0017612A" w:rsidRPr="0017612A">
        <w:rPr>
          <w:sz w:val="24"/>
          <w:lang w:val="nl-NL"/>
        </w:rPr>
        <w:tab/>
      </w:r>
      <w:r w:rsidRPr="0017612A">
        <w:rPr>
          <w:sz w:val="24"/>
          <w:lang w:val="nl-NL"/>
        </w:rPr>
        <w:t>https://www.europarl.europa.eu/doceo/document/TA-9-2023-0295_NL.html.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61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61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61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NL"/>
    <w:docVar w:name="dvnumam" w:val="0"/>
    <w:docVar w:name="dvpe" w:val="753.486"/>
    <w:docVar w:name="dvrapporteur" w:val="Rapporteur: "/>
    <w:docVar w:name="dvtitre" w:val="Besluit van het Europees Parlement van xx april 2024 over het verlenen van kwijting voor de uitvoering van de algemene begroting van de Europese Unie voor het begrotingsjaar 2022, afdeling VIII – Europese Ombudsman(2023/2137(DEC))"/>
  </w:docVars>
  <w:rsids>
    <w:rsidRoot w:val="00DA5621"/>
    <w:rsid w:val="00002272"/>
    <w:rsid w:val="00064002"/>
    <w:rsid w:val="000677B9"/>
    <w:rsid w:val="000831BA"/>
    <w:rsid w:val="000A42CC"/>
    <w:rsid w:val="000E7DD9"/>
    <w:rsid w:val="0010095E"/>
    <w:rsid w:val="00115006"/>
    <w:rsid w:val="00125B37"/>
    <w:rsid w:val="0015647C"/>
    <w:rsid w:val="0017612A"/>
    <w:rsid w:val="00187494"/>
    <w:rsid w:val="001F32AE"/>
    <w:rsid w:val="002767FF"/>
    <w:rsid w:val="002B18FE"/>
    <w:rsid w:val="002B5493"/>
    <w:rsid w:val="00303976"/>
    <w:rsid w:val="00343214"/>
    <w:rsid w:val="00361C00"/>
    <w:rsid w:val="00395FA1"/>
    <w:rsid w:val="003E15D4"/>
    <w:rsid w:val="00411CCE"/>
    <w:rsid w:val="0041666E"/>
    <w:rsid w:val="00421060"/>
    <w:rsid w:val="004508A8"/>
    <w:rsid w:val="00471C19"/>
    <w:rsid w:val="004867E3"/>
    <w:rsid w:val="00494A28"/>
    <w:rsid w:val="004B10ED"/>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7E0"/>
    <w:rsid w:val="00BD48FE"/>
    <w:rsid w:val="00BD7BD8"/>
    <w:rsid w:val="00BE6ADC"/>
    <w:rsid w:val="00C05BFE"/>
    <w:rsid w:val="00C14981"/>
    <w:rsid w:val="00C23CD4"/>
    <w:rsid w:val="00C61C0C"/>
    <w:rsid w:val="00C941CB"/>
    <w:rsid w:val="00CB4AB4"/>
    <w:rsid w:val="00CC2357"/>
    <w:rsid w:val="00CF071A"/>
    <w:rsid w:val="00D058B8"/>
    <w:rsid w:val="00D165DE"/>
    <w:rsid w:val="00D56C11"/>
    <w:rsid w:val="00D834A0"/>
    <w:rsid w:val="00D872DF"/>
    <w:rsid w:val="00D91E21"/>
    <w:rsid w:val="00DA56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A6C8A"/>
  <w15:chartTrackingRefBased/>
  <w15:docId w15:val="{D8D1FD89-DDDE-465D-8267-60C10C663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0397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03976"/>
    <w:pPr>
      <w:spacing w:before="480" w:after="240"/>
    </w:pPr>
  </w:style>
  <w:style w:type="paragraph" w:customStyle="1" w:styleId="PageHeading">
    <w:name w:val="PageHeading"/>
    <w:basedOn w:val="Normal"/>
    <w:rsid w:val="00303976"/>
    <w:pPr>
      <w:keepNext/>
      <w:spacing w:after="480"/>
      <w:jc w:val="center"/>
    </w:pPr>
    <w:rPr>
      <w:rFonts w:ascii="Arial" w:hAnsi="Arial" w:cs="Arial"/>
      <w:b/>
    </w:rPr>
  </w:style>
  <w:style w:type="paragraph" w:customStyle="1" w:styleId="NormalBold">
    <w:name w:val="NormalBold"/>
    <w:basedOn w:val="Normal"/>
    <w:rsid w:val="00303976"/>
    <w:rPr>
      <w:b/>
    </w:rPr>
  </w:style>
  <w:style w:type="paragraph" w:customStyle="1" w:styleId="NormalHanging12a">
    <w:name w:val="NormalHanging12a"/>
    <w:basedOn w:val="Normal"/>
    <w:link w:val="NormalHanging12aChar"/>
    <w:qFormat/>
    <w:rsid w:val="00303976"/>
    <w:pPr>
      <w:spacing w:after="240"/>
      <w:ind w:left="567" w:hanging="567"/>
    </w:pPr>
  </w:style>
  <w:style w:type="paragraph" w:styleId="Header">
    <w:name w:val="header"/>
    <w:basedOn w:val="Normal"/>
    <w:link w:val="HeaderChar"/>
    <w:rsid w:val="00303976"/>
    <w:pPr>
      <w:tabs>
        <w:tab w:val="center" w:pos="4513"/>
        <w:tab w:val="right" w:pos="9026"/>
      </w:tabs>
    </w:pPr>
  </w:style>
  <w:style w:type="character" w:customStyle="1" w:styleId="HeaderChar">
    <w:name w:val="Header Char"/>
    <w:basedOn w:val="DefaultParagraphFont"/>
    <w:link w:val="Header"/>
    <w:rsid w:val="00303976"/>
    <w:rPr>
      <w:sz w:val="24"/>
      <w:lang w:val="nl-NL"/>
    </w:rPr>
  </w:style>
  <w:style w:type="paragraph" w:customStyle="1" w:styleId="EPFooter">
    <w:name w:val="EPFooter"/>
    <w:basedOn w:val="Normal"/>
    <w:rsid w:val="0030397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03976"/>
    <w:rPr>
      <w:sz w:val="24"/>
      <w:lang w:val="nl-NL"/>
    </w:rPr>
  </w:style>
  <w:style w:type="paragraph" w:styleId="Footer">
    <w:name w:val="footer"/>
    <w:basedOn w:val="Normal"/>
    <w:link w:val="FooterChar"/>
    <w:rsid w:val="0015647C"/>
    <w:pPr>
      <w:tabs>
        <w:tab w:val="center" w:pos="4513"/>
        <w:tab w:val="right" w:pos="9026"/>
      </w:tabs>
    </w:pPr>
  </w:style>
  <w:style w:type="character" w:customStyle="1" w:styleId="FooterChar">
    <w:name w:val="Footer Char"/>
    <w:basedOn w:val="DefaultParagraphFont"/>
    <w:link w:val="Footer"/>
    <w:rsid w:val="0015647C"/>
    <w:rPr>
      <w:sz w:val="24"/>
      <w:lang w:val="nl-NL"/>
    </w:rPr>
  </w:style>
  <w:style w:type="paragraph" w:styleId="BalloonText">
    <w:name w:val="Balloon Text"/>
    <w:basedOn w:val="Normal"/>
    <w:link w:val="BalloonTextChar"/>
    <w:rsid w:val="004508A8"/>
    <w:rPr>
      <w:rFonts w:ascii="Segoe UI" w:hAnsi="Segoe UI" w:cs="Segoe UI"/>
      <w:sz w:val="18"/>
      <w:szCs w:val="18"/>
    </w:rPr>
  </w:style>
  <w:style w:type="character" w:customStyle="1" w:styleId="BalloonTextChar">
    <w:name w:val="Balloon Text Char"/>
    <w:basedOn w:val="DefaultParagraphFont"/>
    <w:link w:val="BalloonText"/>
    <w:rsid w:val="004508A8"/>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288EB-FCC7-44CA-97CC-172DDE59A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4328</Words>
  <Characters>24672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2024-05-15T11:02:00Z</dcterms:created>
  <dcterms:modified xsi:type="dcterms:W3CDTF">2024-05-15T11:02:00Z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P9_TA(2024)0234_</vt:lpwstr>
  </property>
  <property fmtid="{D5CDD505-2E9C-101B-9397-08002B2CF9AE}" pid="4" name="&lt;Type&gt;">
    <vt:lpwstr>RR</vt:lpwstr>
  </property>
</Properties>
</file>