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528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5288" w:rsidRDefault="00685D90" w:rsidP="0010095E">
            <w:pPr>
              <w:pStyle w:val="EPName"/>
            </w:pPr>
            <w:r w:rsidRPr="007E5288">
              <w:t>Európsky parlament</w:t>
            </w:r>
          </w:p>
          <w:p w:rsidR="00751A4A" w:rsidRPr="007E528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528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E5288" w:rsidRDefault="00187494" w:rsidP="0010095E">
            <w:pPr>
              <w:pStyle w:val="EPLogo"/>
            </w:pPr>
            <w:r w:rsidRPr="007E528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5288" w:rsidRDefault="00D058B8" w:rsidP="004C5D52">
      <w:pPr>
        <w:pStyle w:val="LineTop"/>
      </w:pPr>
    </w:p>
    <w:p w:rsidR="00680577" w:rsidRPr="007E5288" w:rsidRDefault="00685D90" w:rsidP="00680577">
      <w:pPr>
        <w:pStyle w:val="EPBodyTA1"/>
      </w:pPr>
      <w:r w:rsidRPr="007E5288">
        <w:t>PRIJATÉ TEXTY</w:t>
      </w:r>
    </w:p>
    <w:p w:rsidR="00D058B8" w:rsidRPr="007E5288" w:rsidRDefault="00D058B8" w:rsidP="00D058B8">
      <w:pPr>
        <w:pStyle w:val="LineBottom"/>
      </w:pPr>
    </w:p>
    <w:p w:rsidR="00685D90" w:rsidRPr="007E5288" w:rsidRDefault="00685D90" w:rsidP="00685D90">
      <w:pPr>
        <w:pStyle w:val="ATHeading1"/>
      </w:pPr>
      <w:bookmarkStart w:id="0" w:name="TANumber"/>
      <w:r w:rsidRPr="007E5288">
        <w:t>P9_TA(2024)0</w:t>
      </w:r>
      <w:r w:rsidR="007E5288" w:rsidRPr="007E5288">
        <w:t>23</w:t>
      </w:r>
      <w:r w:rsidR="00E75D71">
        <w:t>4</w:t>
      </w:r>
      <w:bookmarkEnd w:id="0"/>
    </w:p>
    <w:p w:rsidR="00685D90" w:rsidRPr="007E5288" w:rsidRDefault="00685D90" w:rsidP="00685D90">
      <w:pPr>
        <w:pStyle w:val="ATHeading2"/>
      </w:pPr>
      <w:bookmarkStart w:id="1" w:name="title"/>
      <w:r w:rsidRPr="007E5288">
        <w:t>Absolutórium za rok 2022: všeobecný rozpočet EÚ – európsky ombudsman</w:t>
      </w:r>
      <w:bookmarkEnd w:id="1"/>
    </w:p>
    <w:p w:rsidR="00685D90" w:rsidRPr="007E5288" w:rsidRDefault="00685D90" w:rsidP="00685D90">
      <w:pPr>
        <w:rPr>
          <w:i/>
          <w:vanish/>
        </w:rPr>
      </w:pPr>
      <w:r w:rsidRPr="007E5288">
        <w:rPr>
          <w:i/>
        </w:rPr>
        <w:fldChar w:fldCharType="begin"/>
      </w:r>
      <w:r w:rsidRPr="007E5288">
        <w:rPr>
          <w:i/>
        </w:rPr>
        <w:instrText xml:space="preserve"> TC"(</w:instrText>
      </w:r>
      <w:bookmarkStart w:id="2" w:name="DocNumber"/>
      <w:r w:rsidRPr="007E5288">
        <w:rPr>
          <w:i/>
        </w:rPr>
        <w:instrText>A9-0084/2024</w:instrText>
      </w:r>
      <w:bookmarkEnd w:id="2"/>
      <w:r w:rsidRPr="007E5288">
        <w:rPr>
          <w:i/>
        </w:rPr>
        <w:instrText xml:space="preserve"> - Spravodajca: Luke Ming Flanagan)"\l3 \n&gt; \* MERGEFORMAT </w:instrText>
      </w:r>
      <w:r w:rsidRPr="007E5288">
        <w:rPr>
          <w:i/>
        </w:rPr>
        <w:fldChar w:fldCharType="end"/>
      </w:r>
    </w:p>
    <w:p w:rsidR="00685D90" w:rsidRPr="007E5288" w:rsidRDefault="00685D90" w:rsidP="00685D90">
      <w:pPr>
        <w:rPr>
          <w:vanish/>
        </w:rPr>
      </w:pPr>
      <w:bookmarkStart w:id="3" w:name="Commission"/>
      <w:r w:rsidRPr="007E5288">
        <w:rPr>
          <w:vanish/>
        </w:rPr>
        <w:t>Výbor pre kontrolu rozpočtu</w:t>
      </w:r>
      <w:bookmarkEnd w:id="3"/>
    </w:p>
    <w:p w:rsidR="00685D90" w:rsidRPr="007E5288" w:rsidRDefault="00685D90" w:rsidP="00685D90">
      <w:pPr>
        <w:rPr>
          <w:vanish/>
        </w:rPr>
      </w:pPr>
      <w:bookmarkStart w:id="4" w:name="PE"/>
      <w:r w:rsidRPr="007E5288">
        <w:rPr>
          <w:vanish/>
        </w:rPr>
        <w:t>PE753.486</w:t>
      </w:r>
      <w:bookmarkEnd w:id="4"/>
    </w:p>
    <w:p w:rsidR="00685D90" w:rsidRPr="007E5288" w:rsidRDefault="008F3416" w:rsidP="00685D90">
      <w:pPr>
        <w:pStyle w:val="ATHeading3"/>
      </w:pPr>
      <w:bookmarkStart w:id="5" w:name="Sujet"/>
      <w:r w:rsidRPr="007E5288">
        <w:t>1. R</w:t>
      </w:r>
      <w:r w:rsidR="00685D90" w:rsidRPr="007E5288">
        <w:t>ozhodnutie Európskeho parlamentu z</w:t>
      </w:r>
      <w:r w:rsidR="000E2727" w:rsidRPr="007E5288">
        <w:t> 11</w:t>
      </w:r>
      <w:r w:rsidR="00685D90" w:rsidRPr="007E5288">
        <w:t>. apríla 2024 o absolutóriu za plnenie všeobecného rozpočtu Európskej únie za rozpočtový rok 2022, oddiel VIII – európsky ombudsman</w:t>
      </w:r>
      <w:bookmarkEnd w:id="5"/>
      <w:r w:rsidR="00685D90" w:rsidRPr="007E5288">
        <w:t xml:space="preserve"> </w:t>
      </w:r>
      <w:bookmarkStart w:id="6" w:name="References"/>
      <w:r w:rsidR="00685D90" w:rsidRPr="007E5288">
        <w:t>(2023/2137(DEC))</w:t>
      </w:r>
      <w:bookmarkEnd w:id="6"/>
    </w:p>
    <w:p w:rsidR="00A76CA2" w:rsidRPr="007E5288" w:rsidRDefault="00A76CA2" w:rsidP="00A76CA2">
      <w:pPr>
        <w:pStyle w:val="EPComma"/>
      </w:pPr>
      <w:bookmarkStart w:id="7" w:name="TextBodyBegin"/>
      <w:bookmarkEnd w:id="7"/>
      <w:r w:rsidRPr="007E5288">
        <w:rPr>
          <w:i/>
        </w:rPr>
        <w:t>Európsky parlament</w:t>
      </w:r>
      <w:r w:rsidRPr="007E5288">
        <w:t>,</w:t>
      </w:r>
    </w:p>
    <w:p w:rsidR="00A76CA2" w:rsidRPr="007E5288" w:rsidRDefault="00A76CA2" w:rsidP="00A76CA2">
      <w:pPr>
        <w:pStyle w:val="NormalHanging12a"/>
      </w:pPr>
      <w:r w:rsidRPr="007E5288">
        <w:t>–</w:t>
      </w:r>
      <w:r w:rsidRPr="007E5288">
        <w:tab/>
        <w:t>so zreteľom na všeobecný rozpočet Európskej únie na rozpočtový rok 2022</w:t>
      </w:r>
      <w:r w:rsidRPr="007E5288">
        <w:rPr>
          <w:rStyle w:val="FootnoteReference"/>
        </w:rPr>
        <w:footnoteReference w:id="1"/>
      </w:r>
      <w:r w:rsidRPr="007E5288">
        <w:t>,</w:t>
      </w:r>
    </w:p>
    <w:p w:rsidR="00A76CA2" w:rsidRPr="007E5288" w:rsidRDefault="00A76CA2" w:rsidP="00A76CA2">
      <w:pPr>
        <w:pStyle w:val="NormalHanging12a"/>
      </w:pPr>
      <w:r w:rsidRPr="007E5288">
        <w:t>–</w:t>
      </w:r>
      <w:r w:rsidRPr="007E5288">
        <w:tab/>
        <w:t>so zreteľom na konsolidovanú ročnú účtovnú závierku Európskej únie za rozpočtový rok 2022 (COM(2023)0391 – C9</w:t>
      </w:r>
      <w:r w:rsidRPr="007E5288">
        <w:noBreakHyphen/>
        <w:t>0256/2023)</w:t>
      </w:r>
      <w:r w:rsidRPr="007E5288">
        <w:rPr>
          <w:rStyle w:val="FootnoteReference"/>
        </w:rPr>
        <w:footnoteReference w:id="2"/>
      </w:r>
      <w:r w:rsidRPr="007E5288">
        <w:t>,</w:t>
      </w:r>
    </w:p>
    <w:p w:rsidR="00A76CA2" w:rsidRPr="007E5288" w:rsidRDefault="00A76CA2" w:rsidP="00A76CA2">
      <w:pPr>
        <w:pStyle w:val="NormalHanging12a"/>
      </w:pPr>
      <w:r w:rsidRPr="007E5288">
        <w:t>–</w:t>
      </w:r>
      <w:r w:rsidRPr="007E5288">
        <w:tab/>
        <w:t>so zreteľom na výročnú správu o činnosti európskeho ombudsmana za rok 2022 a jeho správu o rozpočtovom a finančnom riadení za rozpočtový rok 2022,</w:t>
      </w:r>
    </w:p>
    <w:p w:rsidR="00A76CA2" w:rsidRPr="007E5288" w:rsidRDefault="00A76CA2" w:rsidP="00A76CA2">
      <w:pPr>
        <w:pStyle w:val="NormalHanging12a"/>
      </w:pPr>
      <w:r w:rsidRPr="007E5288">
        <w:t>–</w:t>
      </w:r>
      <w:r w:rsidRPr="007E5288">
        <w:tab/>
        <w:t>so zreteľom na výročnú správu Dvora audítorov o plnení rozpočtu za rozpočtový rok 2022 spolu s odpoveďami inštitúcií</w:t>
      </w:r>
      <w:r w:rsidRPr="007E5288">
        <w:rPr>
          <w:rStyle w:val="FootnoteReference"/>
        </w:rPr>
        <w:footnoteReference w:id="3"/>
      </w:r>
      <w:r w:rsidRPr="007E5288">
        <w:t>,</w:t>
      </w:r>
    </w:p>
    <w:p w:rsidR="00A76CA2" w:rsidRPr="007E5288" w:rsidRDefault="00A76CA2" w:rsidP="00A76CA2">
      <w:pPr>
        <w:pStyle w:val="NormalHanging12a"/>
      </w:pPr>
      <w:r w:rsidRPr="007E5288">
        <w:t>–</w:t>
      </w:r>
      <w:r w:rsidRPr="007E5288">
        <w:tab/>
        <w:t>so zreteľom na vyhlásenie o vierohodnosti</w:t>
      </w:r>
      <w:r w:rsidRPr="007E5288">
        <w:rPr>
          <w:rStyle w:val="FootnoteReference"/>
        </w:rPr>
        <w:footnoteReference w:id="4"/>
      </w:r>
      <w:r w:rsidRPr="007E5288">
        <w:t xml:space="preserve"> vedenia účtov a zákonnosti a správnosti príslušných operácií, ktoré poskytol Dvor audítorov za rozpočtový rok 2022 v súlade s článkom 287 Zmluvy o fungovaní Európskej únie,</w:t>
      </w:r>
    </w:p>
    <w:p w:rsidR="00A76CA2" w:rsidRPr="007E5288" w:rsidRDefault="00A76CA2" w:rsidP="00A76CA2">
      <w:pPr>
        <w:pStyle w:val="NormalHanging12a"/>
      </w:pPr>
      <w:r w:rsidRPr="007E5288">
        <w:t>–</w:t>
      </w:r>
      <w:r w:rsidRPr="007E5288">
        <w:tab/>
        <w:t>so zreteľom na článok 314 ods. 10 a články 317, 318 a 319 Zmluvy o fungovaní Európskej únie,</w:t>
      </w:r>
    </w:p>
    <w:p w:rsidR="00A76CA2" w:rsidRPr="007E5288" w:rsidRDefault="00A76CA2" w:rsidP="00A76CA2">
      <w:pPr>
        <w:pStyle w:val="NormalHanging12a"/>
      </w:pPr>
      <w:r w:rsidRPr="007E5288">
        <w:t>–</w:t>
      </w:r>
      <w:r w:rsidRPr="007E5288">
        <w:tab/>
        <w:t xml:space="preserve">so zreteľom na nariadenie Európskeho parlamentu a Rady (EÚ, </w:t>
      </w:r>
      <w:proofErr w:type="spellStart"/>
      <w:r w:rsidRPr="007E5288">
        <w:t>Euratom</w:t>
      </w:r>
      <w:proofErr w:type="spellEnd"/>
      <w:r w:rsidRPr="007E5288"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7E5288">
        <w:t>Euratom</w:t>
      </w:r>
      <w:proofErr w:type="spellEnd"/>
      <w:r w:rsidRPr="007E5288">
        <w:t>) č. 966/2012</w:t>
      </w:r>
      <w:r w:rsidRPr="007E5288">
        <w:rPr>
          <w:rStyle w:val="FootnoteReference"/>
        </w:rPr>
        <w:footnoteReference w:id="5"/>
      </w:r>
      <w:r w:rsidRPr="007E5288">
        <w:t>, a najmä na jeho články 59, 118, 260, 261 a 262,</w:t>
      </w:r>
    </w:p>
    <w:p w:rsidR="00A76CA2" w:rsidRPr="007E5288" w:rsidRDefault="00A76CA2" w:rsidP="00A76CA2">
      <w:pPr>
        <w:pStyle w:val="NormalHanging12a"/>
      </w:pPr>
      <w:r w:rsidRPr="007E5288">
        <w:t>–</w:t>
      </w:r>
      <w:r w:rsidRPr="007E5288">
        <w:tab/>
        <w:t>so zreteľom na článok 100 a prílohu V k rokovaciemu poriadku,</w:t>
      </w:r>
    </w:p>
    <w:p w:rsidR="00A76CA2" w:rsidRPr="007E5288" w:rsidRDefault="00A76CA2" w:rsidP="00A76CA2">
      <w:pPr>
        <w:pStyle w:val="NormalHanging12a"/>
      </w:pPr>
      <w:r w:rsidRPr="007E5288">
        <w:lastRenderedPageBreak/>
        <w:t>–</w:t>
      </w:r>
      <w:r w:rsidRPr="007E5288">
        <w:tab/>
        <w:t>so zreteľom na správu Výboru pre kontrolu rozpočtu (A9-0084/2024),</w:t>
      </w:r>
    </w:p>
    <w:p w:rsidR="00A76CA2" w:rsidRPr="007E5288" w:rsidRDefault="00A76CA2" w:rsidP="00A76CA2">
      <w:pPr>
        <w:pStyle w:val="NormalHanging12a"/>
      </w:pPr>
      <w:r w:rsidRPr="007E5288">
        <w:t>1.</w:t>
      </w:r>
      <w:r w:rsidRPr="007E5288">
        <w:tab/>
        <w:t>udeľuje európskej ombudsmanke absolutórium za plnenie rozpočtu európskeho ombudsmana za rozpočtový rok 2022;</w:t>
      </w:r>
    </w:p>
    <w:p w:rsidR="00A76CA2" w:rsidRPr="007E5288" w:rsidRDefault="00A76CA2" w:rsidP="00A76CA2">
      <w:pPr>
        <w:pStyle w:val="NormalHanging12a"/>
      </w:pPr>
      <w:r w:rsidRPr="007E5288">
        <w:t>2.</w:t>
      </w:r>
      <w:r w:rsidRPr="007E5288">
        <w:tab/>
        <w:t>uvádza svoje poznámky v priloženom uznesení;</w:t>
      </w:r>
    </w:p>
    <w:p w:rsidR="00A76CA2" w:rsidRPr="007E5288" w:rsidRDefault="00A76CA2" w:rsidP="00A76CA2">
      <w:pPr>
        <w:pStyle w:val="NormalHanging12a"/>
      </w:pPr>
      <w:r w:rsidRPr="007E5288">
        <w:t>3.</w:t>
      </w:r>
      <w:r w:rsidRPr="007E5288">
        <w:tab/>
        <w:t>poveruje svoju predsedníčku, aby postúpila toto rozhodnutie a uznesenie, ktoré je jeho neoddeliteľnou súčasťou, európskej ombudsmanke, Európskej rade, Rade, Komisii, Dvoru audítorov, Súdnemu dvoru Európskej únie, európskemu dozornému úradníkovi pre ochranu údajov a Európskej službe pre vonkajšiu činnosť a aby zabezpečila ich uverejnenie v </w:t>
      </w:r>
      <w:r w:rsidRPr="007E5288">
        <w:rPr>
          <w:i/>
        </w:rPr>
        <w:t>Úradnom vestníku Európskej únie</w:t>
      </w:r>
      <w:r w:rsidRPr="007E5288">
        <w:t xml:space="preserve"> (v sérii L).</w:t>
      </w:r>
    </w:p>
    <w:p w:rsidR="00A76CA2" w:rsidRPr="007E5288" w:rsidRDefault="00A76CA2" w:rsidP="00A76CA2"/>
    <w:p w:rsidR="00A76CA2" w:rsidRPr="007E5288" w:rsidRDefault="00A76CA2" w:rsidP="00A76CA2">
      <w:pPr>
        <w:pStyle w:val="PageHeading"/>
        <w:sectPr w:rsidR="00A76CA2" w:rsidRPr="007E5288" w:rsidSect="00162EA0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76CA2" w:rsidRPr="007E5288" w:rsidRDefault="00A76CA2" w:rsidP="008F3416">
      <w:pPr>
        <w:pStyle w:val="ATHeading3"/>
      </w:pPr>
      <w:bookmarkStart w:id="9" w:name="_Toc161737841"/>
      <w:r w:rsidRPr="007E5288">
        <w:lastRenderedPageBreak/>
        <w:t xml:space="preserve">2. </w:t>
      </w:r>
      <w:bookmarkEnd w:id="9"/>
      <w:r w:rsidR="008F3416" w:rsidRPr="007E5288">
        <w:t>Uznesenie Európskeho parlamentu z</w:t>
      </w:r>
      <w:r w:rsidR="000E2727" w:rsidRPr="007E5288">
        <w:t> 11</w:t>
      </w:r>
      <w:r w:rsidR="008F3416" w:rsidRPr="007E5288">
        <w:t xml:space="preserve">. apríla 2024 </w:t>
      </w:r>
      <w:r w:rsidRPr="007E5288">
        <w:t xml:space="preserve">s poznámkami, ktoré </w:t>
      </w:r>
      <w:r w:rsidR="008F3416" w:rsidRPr="007E5288">
        <w:t xml:space="preserve">je </w:t>
      </w:r>
      <w:r w:rsidRPr="007E5288">
        <w:t>neoddeliteľnou súčasťou rozhodnutia o absolutóriu za plnenie všeobecného rozpočtu Európskej únie za rozpočtový rok 2022, oddiel VIII – európsky ombudsman</w:t>
      </w:r>
      <w:r w:rsidR="008F3416" w:rsidRPr="007E5288">
        <w:t xml:space="preserve"> </w:t>
      </w:r>
      <w:r w:rsidRPr="007E5288">
        <w:t>(2023/2137(DEC))</w:t>
      </w:r>
    </w:p>
    <w:p w:rsidR="00A76CA2" w:rsidRPr="007E5288" w:rsidRDefault="00A76CA2" w:rsidP="00A76CA2">
      <w:pPr>
        <w:pStyle w:val="EPComma"/>
      </w:pPr>
      <w:r w:rsidRPr="007E5288">
        <w:rPr>
          <w:i/>
        </w:rPr>
        <w:t>Európsky parlament</w:t>
      </w:r>
      <w:r w:rsidRPr="007E5288">
        <w:t>,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–</w:t>
      </w:r>
      <w:r w:rsidRPr="007E5288">
        <w:tab/>
        <w:t>so zreteľom na svoje rozhodnutie o absolutóriu za plnenie všeobecného rozpočtu Európskej únie za rozpočtový rok 2022, oddiel VIII – európsky ombudsman,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–</w:t>
      </w:r>
      <w:r w:rsidRPr="007E5288">
        <w:tab/>
        <w:t>so zreteľom na článok 100 a prílohu V k rokovaciemu poriadku,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–</w:t>
      </w:r>
      <w:r w:rsidRPr="007E5288">
        <w:tab/>
        <w:t>so zreteľom na správu Výboru pre kontrolu rozpočtu (A9-0084/2024),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A.</w:t>
      </w:r>
      <w:r w:rsidRPr="007E5288">
        <w:tab/>
        <w:t>keďže v súvislosti s postupom udelenia absolutória chce orgán udeľujúci absolutórium podčiarknuť osobitný význam ďalšieho posilňovania demokratickej legitimity inštitúcií Únie zvyšovaním transparentnosti a zodpovednosti a zavedením koncepcie zostavovania rozpočtu na základe výkonnosti a dobrého riadenia ľudských zdrojov;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B.</w:t>
      </w:r>
      <w:r w:rsidRPr="007E5288">
        <w:tab/>
        <w:t>keďže v článku 228 Zmluvy o fungovaní Európskej únii sa stanovuje, že Európsky parlament volí európskeho ombudsmana, ktorý je oprávnený prijímať od občanov Únie alebo od fyzických či právnických osôb s bydliskom alebo zaregistrovaným sídlom v členskom štáte sťažnosti týkajúce sa prípadov nesprávneho úradného postupu inštitúcií, orgánov, úradov alebo agentúr Únie s výnimkou Súdneho dvora Európskej únie pri výkone jeho súdnych právomocí. Takéto sťažnosti preskúma a podá o nich správu;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C.</w:t>
      </w:r>
      <w:r w:rsidRPr="007E5288">
        <w:tab/>
        <w:t xml:space="preserve">keďže v nariadení Európskeho parlamentu (EÚ, </w:t>
      </w:r>
      <w:proofErr w:type="spellStart"/>
      <w:r w:rsidRPr="007E5288">
        <w:t>Euratom</w:t>
      </w:r>
      <w:proofErr w:type="spellEnd"/>
      <w:r w:rsidRPr="007E5288">
        <w:t>) 2021/1163 z 24. júna 2021</w:t>
      </w:r>
      <w:r w:rsidRPr="007E5288">
        <w:rPr>
          <w:rStyle w:val="FootnoteReference"/>
          <w:szCs w:val="24"/>
        </w:rPr>
        <w:footnoteReference w:id="6"/>
      </w:r>
      <w:r w:rsidRPr="007E5288">
        <w:t xml:space="preserve"> sa stanovujú pravidlá a všeobecné podmienky upravujúce výkon funkcie ombudsmana (štatút európskeho ombudsmana);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D.</w:t>
      </w:r>
      <w:r w:rsidRPr="007E5288">
        <w:tab/>
        <w:t xml:space="preserve">keďže rozhodnutie európskeho ombudsmana, ktorým sa prijímajú vykonávacie ustanovenia, je v súčasnosti predmetom revízie v nadväznosti na prijatie nariadenia (EÚ, </w:t>
      </w:r>
      <w:proofErr w:type="spellStart"/>
      <w:r w:rsidRPr="007E5288">
        <w:t>Euratom</w:t>
      </w:r>
      <w:proofErr w:type="spellEnd"/>
      <w:r w:rsidRPr="007E5288">
        <w:t>) 2021/1163;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1.</w:t>
      </w:r>
      <w:r w:rsidRPr="007E5288">
        <w:tab/>
        <w:t>konštatuje, že rozpočet európskeho ombudsmana (ďalej len „ombudsman“) patrí do okruhu 7 VFR (Európska verejná správa), ktorý v roku 2022 predstavoval celkovo 11,6 miliardy EUR, t. j. 5,9 % rozpočtových výdavkov Únie; konštatuje, že rozpočet ombudsmana predstavoval 0,1 % rozpočtových prostriedkov okruhu 7 VFR;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2.</w:t>
      </w:r>
      <w:r w:rsidRPr="007E5288">
        <w:tab/>
        <w:t>poznamenáva, že Európsky dvor audítorov (ďalej len „Dvor audítorov“) vo výročnej správe za rozpočtový rok 2022 preskúmal vzorku 60 transakcií v oddiele Administratíva, rovnako ako v roku 2021; ďalej konštatuje, že podľa Dvora audítorov administratívne výdavky zahŕňajú výdavky na ľudské zdroje vrátane dôchodkov, ktoré v roku 2022 predstavovali približne 70 % celkových administratívnych výdavkov, a výdavky na budovy, zariadenie, energie, komunikáciu a informačné technológie, a že z jeho dlhoročnej práce možno usudzovať, že tieto výdavky sú celkovo nízkorizikové;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3.</w:t>
      </w:r>
      <w:r w:rsidRPr="007E5288">
        <w:tab/>
        <w:t xml:space="preserve">konštatuje, že Dvor audítorov v rámci auditu za rok 2022 preskúmal systémy dohľadu a </w:t>
      </w:r>
      <w:r w:rsidRPr="007E5288">
        <w:lastRenderedPageBreak/>
        <w:t xml:space="preserve">kontroly ombudsmana, najmä vykonávanie noriem vnútornej kontroly, riadenie rizík a fungovanie kľúčových kontrol stanovených v nariadení (EÚ, </w:t>
      </w:r>
      <w:proofErr w:type="spellStart"/>
      <w:r w:rsidRPr="007E5288">
        <w:t>Euratom</w:t>
      </w:r>
      <w:proofErr w:type="spellEnd"/>
      <w:r w:rsidRPr="007E5288">
        <w:t xml:space="preserve">) 2018/1046 (ďalej len „nariadenie o rozpočtových pravidlách“), a vykonal aj </w:t>
      </w:r>
      <w:r w:rsidRPr="007E5288">
        <w:rPr>
          <w:i/>
        </w:rPr>
        <w:t xml:space="preserve">ex </w:t>
      </w:r>
      <w:proofErr w:type="spellStart"/>
      <w:r w:rsidRPr="007E5288">
        <w:rPr>
          <w:i/>
        </w:rPr>
        <w:t>ante</w:t>
      </w:r>
      <w:proofErr w:type="spellEnd"/>
      <w:r w:rsidRPr="007E5288">
        <w:t xml:space="preserve"> a </w:t>
      </w:r>
      <w:r w:rsidRPr="007E5288">
        <w:rPr>
          <w:i/>
        </w:rPr>
        <w:t>ex post</w:t>
      </w:r>
      <w:r w:rsidRPr="007E5288">
        <w:t xml:space="preserve"> kontroly platieb;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4.</w:t>
      </w:r>
      <w:r w:rsidRPr="007E5288">
        <w:tab/>
        <w:t>konštatuje, že 14 zo 60 (23 %) operácií obsahovalo chyby, ale že Dvor audítorov na základe piatich vyčíslených chýb odhaduje, že chybovosť bola pod prahom významnosti;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5.</w:t>
      </w:r>
      <w:r w:rsidRPr="007E5288">
        <w:tab/>
        <w:t>s uspokojením konštatuje, že Dvor audítorov vo výročnej správe za rozpočtový rok 2022 uvádza, že nezistil žiadne konkrétne problémy týkajúce sa ombudsmana;</w:t>
      </w:r>
    </w:p>
    <w:p w:rsidR="00A76CA2" w:rsidRPr="007E5288" w:rsidRDefault="00A76CA2" w:rsidP="00A76CA2">
      <w:pPr>
        <w:pStyle w:val="NormalHanging12a"/>
        <w:rPr>
          <w:b/>
          <w:i/>
          <w:szCs w:val="24"/>
        </w:rPr>
      </w:pPr>
      <w:r w:rsidRPr="007E5288">
        <w:rPr>
          <w:b/>
          <w:i/>
        </w:rPr>
        <w:t>Rozpočtové a finančné riadenie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6.</w:t>
      </w:r>
      <w:r w:rsidRPr="007E5288">
        <w:tab/>
        <w:t>konštatuje, že rozpočet ombudsmana v roku 2022 predstavoval 12 222 108 EUR, čo v porovnaní s rokom 2021 predstavuje zníženie o 280 000 EUR; chápe, že toto zníženie je výsledkom racionalizácie rozpočtu na základe skutočných potrieb;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7.</w:t>
      </w:r>
      <w:r w:rsidRPr="007E5288">
        <w:tab/>
        <w:t xml:space="preserve">konštatuje, že miera plnenia rozpočtu v roku 2022 bola 96,97 %, čo je viac ako v predchádzajúcom roku, v ktorom dosiahla 88,8 % v dôsledku obmedzení súvisiacich s pandémiou </w:t>
      </w:r>
      <w:r w:rsidR="008F3416" w:rsidRPr="007E5288">
        <w:t xml:space="preserve">ochorenia </w:t>
      </w:r>
      <w:r w:rsidRPr="007E5288">
        <w:t>COVID-19;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8.</w:t>
      </w:r>
      <w:r w:rsidRPr="007E5288">
        <w:tab/>
        <w:t xml:space="preserve">konštatuje, že v priebehu roka 2022 ombudsman uskutočnil 6 rozpočtových presunov podľa článku 29 nariadenia o rozpočtových pravidlách, čo predstavuje celkovo 344 460 EUR, resp. 2,8 % rozpočtových prostriedkov na daný rozpočtový rok; ďalej konštatuje, že rozpočtová nomenklatúra pre položku „2000“ bola rozdelená do štyroch </w:t>
      </w:r>
      <w:proofErr w:type="spellStart"/>
      <w:r w:rsidRPr="007E5288">
        <w:t>podkategórií</w:t>
      </w:r>
      <w:proofErr w:type="spellEnd"/>
      <w:r w:rsidRPr="007E5288">
        <w:t xml:space="preserve"> s cieľom zvýšiť transparentnosť informácií požadovaných pre budovy ombudsmana na oboch pracoviskách; berie na vedomie, že rozpočtové prostriedky presunuté z rozpočtovej položky týkajúcej sa nájomného neboli využité, pretože ombudsman uhradil všetky náklady na zariadenie priestorov novej budovy ombudsmana prostredníctvom rozpočtu na rok 2021 namiesto ich rozloženia do šiestich rokov;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9.</w:t>
      </w:r>
      <w:r w:rsidRPr="007E5288">
        <w:tab/>
        <w:t>oceňuje, že aj napriek predĺženiu lehoty na vykonanie platby z 11,35 v roku 2021 na 13 dní v roku 2022 je priemerná lehota na platby naďalej relatívne krátka; domnieva sa, že zavedením systému elektronickej fakturácie od roku 2023 sa platobný proces môže len zefektívniť;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10.</w:t>
      </w:r>
      <w:r w:rsidRPr="007E5288">
        <w:tab/>
        <w:t xml:space="preserve">konštatuje, že ombudsmanka nekonštatovala žiadny vplyv ruskej útočnej vojny proti Ukrajine na rozpočet ombudsmana na služobné cesty, obstarávanie alebo budovy na rok 2022; odporúča, aby ombudsmanka zohľadnila, že ďalšia ročná revízia nájomného a paušálnych poplatkov za budovy </w:t>
      </w:r>
      <w:r w:rsidR="008F3416" w:rsidRPr="007E5288">
        <w:t>Európskym p</w:t>
      </w:r>
      <w:r w:rsidRPr="007E5288">
        <w:t>arlamentom môže viesť k dodatočným nákladom v rozpočte ombudsmana na rok 2023;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11.</w:t>
      </w:r>
      <w:r w:rsidRPr="007E5288">
        <w:tab/>
        <w:t xml:space="preserve">konštatuje, že rozpočet na služobné cesty zamestnancov sa znížil z 135 000 EUR v roku 2021 na 120 000 EUR v roku 2022 v dôsledku úspor na základe poznatkov získaných z pandémie </w:t>
      </w:r>
      <w:r w:rsidR="008F3416" w:rsidRPr="007E5288">
        <w:t xml:space="preserve">ochorenia </w:t>
      </w:r>
      <w:r w:rsidRPr="007E5288">
        <w:t xml:space="preserve">COVID-19 a širokého využívania </w:t>
      </w:r>
      <w:proofErr w:type="spellStart"/>
      <w:r w:rsidRPr="007E5288">
        <w:t>videokonferenčných</w:t>
      </w:r>
      <w:proofErr w:type="spellEnd"/>
      <w:r w:rsidRPr="007E5288">
        <w:t xml:space="preserve"> zariadení na interné a externé schôdze na oboch pracoviskách;</w:t>
      </w:r>
    </w:p>
    <w:p w:rsidR="00A76CA2" w:rsidRPr="007E5288" w:rsidRDefault="00A76CA2" w:rsidP="00A76CA2">
      <w:pPr>
        <w:pStyle w:val="NormalHanging12a"/>
        <w:rPr>
          <w:b/>
          <w:i/>
          <w:szCs w:val="24"/>
        </w:rPr>
      </w:pPr>
      <w:r w:rsidRPr="007E5288">
        <w:rPr>
          <w:b/>
          <w:i/>
        </w:rPr>
        <w:t>Vnútorné riadenie, výkonnosť a vnútorná kontrola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12.</w:t>
      </w:r>
      <w:r w:rsidRPr="007E5288">
        <w:tab/>
        <w:t xml:space="preserve">konštatuje, že ombudsmanka v priebehu roka 2022 pokračovala vo vykonávaní konkrétnych opatrení v súlade s cieľmi a prioritami päťročnej stratégie tohto úradu </w:t>
      </w:r>
      <w:r w:rsidRPr="007E5288">
        <w:lastRenderedPageBreak/>
        <w:t>s názvom Smerom k roku 2024, ako je uvedené v príslušnom ročnom pláne riadenia; najmä zdôrazňuje, že ombudsmanka úspešne predložila Komisii, Rade a</w:t>
      </w:r>
      <w:r w:rsidR="008F3416" w:rsidRPr="007E5288">
        <w:t> Európskemu p</w:t>
      </w:r>
      <w:r w:rsidRPr="007E5288">
        <w:t>arlamentu na konzultáciu návrh ustanovení, ktorými sa vykonáva nový štatút upravujúci povinnosti ombudsmana v súlade s ročným plánom riadenia na rok 2022;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13.</w:t>
      </w:r>
      <w:r w:rsidRPr="007E5288">
        <w:tab/>
        <w:t>zdôrazňuje, že v roku 2022, poukazujúc na zjavnú absenciu informovania verejnosti, ombudsmanka predbežne položila Komisii otázku, ako zabezpečí transparentnosť rokovaní o národných plánoch obnovy, ako zaručí verejnú kontrolu míľnikov dosiahnutých členskými štátmi a ako dohliadne na audity</w:t>
      </w:r>
      <w:r w:rsidRPr="007E5288">
        <w:rPr>
          <w:szCs w:val="24"/>
          <w:vertAlign w:val="superscript"/>
        </w:rPr>
        <w:footnoteReference w:id="7"/>
      </w:r>
      <w:r w:rsidRPr="007E5288">
        <w:t>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14.</w:t>
      </w:r>
      <w:r w:rsidRPr="007E5288">
        <w:tab/>
        <w:t>konštatuje, že ombudsmanke bolo v roku 2022 doručených 2 223 sťažností v porovnaní s 2 192 sťažnosťami v roku 2021, z ktorých 35 % patrilo do jej pôsobnosti; ďalej konštatuje, že v roku 2022 ombudsmanka začala 348 vyšetrovaní vrátane 60 vyšetrovaní verejného významu a uzavrela ich 330, pričom v roku 2021 začala 338 vyšetrovaní a uzavrela 305 vyšetrovaní;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15.</w:t>
      </w:r>
      <w:r w:rsidRPr="007E5288">
        <w:tab/>
        <w:t>s veľkým znepokojením konštatuje, že ombudsmanka dostáva množstvo sťažností od občanov týkajúcich sa mimoriadne dlhých oneskorení pri získavaní prístupu k požadovaným dokumentom; podporuje názor ombudsmanky, že oneskorený prístup sa prakticky rovná znemožneniu prístupu a že administratívne postupy by sa mali zjednodušiť, aby sa občanom zaručil včasný prístup k dokumentom</w:t>
      </w:r>
      <w:r w:rsidRPr="007E5288">
        <w:rPr>
          <w:szCs w:val="24"/>
          <w:vertAlign w:val="superscript"/>
        </w:rPr>
        <w:footnoteReference w:id="8"/>
      </w:r>
      <w:r w:rsidRPr="007E5288">
        <w:t>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16.</w:t>
      </w:r>
      <w:r w:rsidRPr="007E5288">
        <w:tab/>
        <w:t>víta vytvorenie zjednodušeného postupu na riešenie vyšetrovaní, pri ktorých sa neposkytli odpovede; tiež víta zavedenie zjednodušeného postupu na vybavovanie sťažností, ktoré nespadajú do pôsobnosti ombudsmana, čím sa čas na vybavenie takýchto žiadostí skrátil z 15 na 3 dni; je však znepokojený tým, že priemerný čas na vybavenie sťažnosti, ktorá spadá do jeho pôsobnosti, sa medzi rokmi 2021 a 2022 predĺžil zo 61 na 91 dní a priemerný čas na dokončenie vyšetrovania sa predĺžil zo 112 na 166 dní;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17.</w:t>
      </w:r>
      <w:r w:rsidRPr="007E5288">
        <w:tab/>
        <w:t>konštatuje, že etika a transparentnosť boli aj v roku 2022 dôležitými oblasťami činností ombudsmanky, ktoré naďalej prispievali k pokroku, ale tiež čelili výzvam, a že počet sťažností týkajúcich sa transparentnosti a zodpovednosti v roku 2022 predstavoval 32 % všetkých prípadov;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18.</w:t>
      </w:r>
      <w:r w:rsidRPr="007E5288">
        <w:tab/>
        <w:t>konštatuje, že prístup verejnosti k dokumentom bol pre ombudsmanku aj v roku 2022 hlavnou prioritou, pričom prijala 121 sťažností, čo je najvyšší počet zaznamenaný v priebehu jedného roka, a výsledkom vyšetrovaní bolo 90 sťažností; víta rýchle vybavovanie prípadov v oblasti prístupu verejnosti k dokumentom s priemerným počtom 46 pracovných dní do uzavretia sťažnosti a 67 pracovných dní, pokiaľ ide len o vyšetrovania; chápe, že napriek nárastu počtu prípadov predstavoval podiel zrýchlených vyšetrovaní len 28 % všetkých vyšetrovaní v oblasti prístupu verejnosti k dokumentom v porovnaní s 58 % v roku 2021; víta zistenia hlavných vyšetrovaní týkajúcich sa Komisie a ďalších agentúr Únie, ako je agentúra FRONTEX, a inštitúcií a orgánov, ako je EIB, pokiaľ ide o ich administratívne riadenie žiadostí o prístup verejnosti k dokumentom;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19.</w:t>
      </w:r>
      <w:r w:rsidRPr="007E5288">
        <w:tab/>
        <w:t xml:space="preserve">pripomína, že podľa európskej ombudsmanky by sa obmedzenia prístupu </w:t>
      </w:r>
      <w:r w:rsidRPr="007E5288">
        <w:lastRenderedPageBreak/>
        <w:t>k dokumentom, najmä k legislatívnym dokumentom, mali uplatňovať výnimočne a obmedzovať na to, čo je absolútne nevyhnutné; tiež pripomína, že každé rozhodnutie o zamietnutí prístupu verejnosti k dokumentom musí byť založené na jasne a prísne vymedzených zákonných výnimkách a musí byť sprevádzané odôvodnením s uvedením konkrétnych dôvodov, aby občania porozumeli zamietnutiu prístupu a mohli účinne využiť dostupné právne prostriedky nápravy; domnieva sa, že aktívnejší prístup by pomohol zabezpečiť účinnú transparentnosť a predchádzať nákladným a zaťažujúcim právnym sporom medzi občanmi a inštitúciami</w:t>
      </w:r>
      <w:r w:rsidRPr="007E5288">
        <w:rPr>
          <w:szCs w:val="24"/>
          <w:vertAlign w:val="superscript"/>
        </w:rPr>
        <w:footnoteReference w:id="9"/>
      </w:r>
      <w:r w:rsidRPr="007E5288">
        <w:t>;</w:t>
      </w:r>
    </w:p>
    <w:p w:rsidR="00A76CA2" w:rsidRPr="007E5288" w:rsidRDefault="00A76CA2" w:rsidP="00A76CA2">
      <w:pPr>
        <w:pStyle w:val="NormalHanging12a"/>
        <w:rPr>
          <w:b/>
          <w:i/>
          <w:szCs w:val="24"/>
        </w:rPr>
      </w:pPr>
      <w:r w:rsidRPr="007E5288">
        <w:rPr>
          <w:b/>
          <w:i/>
        </w:rPr>
        <w:t>Ľudské zdroje, rovnosť a dobré pracovné podmienky zamestnancov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20.</w:t>
      </w:r>
      <w:r w:rsidRPr="007E5288">
        <w:tab/>
        <w:t>konštatuje, že zloženie zamestnancov z hľadiska postavenia a pracovných profilov zostalo v posledných rokoch stabilné a na konci roka 2022 ich bolo celkovo 74, čo je rovnaký počet ako v roku 2021; ďalej konštatuje, že v roku 2022 ombudsman zamestnával 39 úradníkov v porovnaní s 37 v roku 2020 a 38 v roku 2021, 28 dočasných zamestnancov v porovnaní s 28 v roku 2020 a 30 v roku 2021 a 7 zmluvných zamestnancov v porovnaní s 8 v roku 2020 a 6 v roku 2021; konštatuje, že v roku 2022 sa rovnaký podiel zamestnancov, približne 40 %, zaoberal na jednej strane administratívou (ľudské zdroje, financie, riadenie procesov) a 40 % sťažnosťami a vyšetrovaniami na strane druhej;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21.</w:t>
      </w:r>
      <w:r w:rsidRPr="007E5288">
        <w:tab/>
        <w:t>vyjadruje poľutovanie nad tým, že miesto generálneho tajomníka je od 1. septembra 2022 neobsadené;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22.</w:t>
      </w:r>
      <w:r w:rsidRPr="007E5288">
        <w:tab/>
        <w:t>konštatuje, že v roku 2022 ombudsman uverejnil výzvu na vyjadrenie záujmu s cieľom vytvoriť skupinu kandidátov, aby bolo možné rýchlejšie prijímať dočasných zamestnancov; so záujmom bude sledovať, ako tento postup zvýši efektivitu;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23.</w:t>
      </w:r>
      <w:r w:rsidRPr="007E5288">
        <w:tab/>
        <w:t>konštatuje, že ombudsmanovi sa podarilo dosiahnuť zastúpenie 18 štátnych príslušností medzi zamestnancami, a to vďaka proaktívnej komunikácii a oslovovaniu rôznorodejšieho publika, najmä prostredníctvom kanálov sociálnych médií; naliehavo žiada ombudsmanku, aby pokračovala vo svojom úsilí o dosiahnutie vyváženého geografického rozloženia štátnych príslušníkov zo všetkých členských krajín v rámci svojho personálu;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24.</w:t>
      </w:r>
      <w:r w:rsidRPr="007E5288">
        <w:tab/>
        <w:t>konštatuje, že pokiaľ ide o vyvážené zastúpenie mužov a žien, ombudsman zamestnáva viac žien ako mužov vo všetkých kategóriách zamestnancov, najmä na riadiacej úrovni, pričom celkové zastúpenie žien je 67 % a mužov 33 % v porovnaní so 68 % žien a 32 % mužov v roku 2021; nabáda ombudsmanku, aby pokračovala vo svojom úsilí o dosiahnutie vyváženého zastúpenia mužov a žien medzi zamestnancami;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25.</w:t>
      </w:r>
      <w:r w:rsidRPr="007E5288">
        <w:tab/>
        <w:t xml:space="preserve">konštatuje, že v roku 2022 ombudsmanka zaviedla novú politiku v oblasti pracovného času a hybridnej práce, ktorá bola prijatá v októbri 2021 a ktorá obsahuje napríklad ustanovenia o </w:t>
      </w:r>
      <w:proofErr w:type="spellStart"/>
      <w:r w:rsidRPr="007E5288">
        <w:t>telepráci</w:t>
      </w:r>
      <w:proofErr w:type="spellEnd"/>
      <w:r w:rsidRPr="007E5288">
        <w:t xml:space="preserve">, a to aj zo zahraničia, poskytovaní ergonomického vybavenia na prácu z domu, práci na čiastočný úväzok, rodičovskej dovolenke, flexibilnom pracovnom čase a práve na odpojenie, a víta skutočnosť, že sa vzťahuje na všetky kategórie zamestnancov; víta celkový výsledok prieskumu medzi zamestnancami uskutočneného v roku 2023, z ktorého vyplýva, že s hybridnými a flexibilnými formami </w:t>
      </w:r>
      <w:r w:rsidRPr="007E5288">
        <w:lastRenderedPageBreak/>
        <w:t>organizácie práce je vo všeobecnosti spokojných 97 % zamestnancov;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26.</w:t>
      </w:r>
      <w:r w:rsidRPr="007E5288">
        <w:tab/>
        <w:t>berie na vedomie, že vedúci pracovníci majú dobrý prehľad o pracovnej záťaži zamestnancov, pravidelne monitorujú rozdelenie práce a v prípade potreby ho dolaďujú; konštatuje, že lekárska služba Európskeho parlamentu, ktorá sa zaoberá lekárskymi záležitosťami týkajúcimi sa zamestnancov ombudsmana, neupozornila ombudsmanku na žiadne dlhodobé ochorenie, ktoré by bolo spôsobené vyhorením;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27.</w:t>
      </w:r>
      <w:r w:rsidRPr="007E5288">
        <w:tab/>
        <w:t>oceňuje, že v roku 2022 nebol oznámený žiadny prípad obťažovania; nabáda ombudsmanku, aby pokračovala vo svojom úsilí o zabezpečenie pracovného prostredia bez sexuálneho a psychického obťažovania, najmä prostredníctvom zvyšovania informovanosti a odbornej prípravy; s uspokojením konštatuje, že prieskum uskutočnený v rámci vnútorného auditu etického rámca ukázal, že na začiatku roka 2023 malo o politike a usmerneniach týkajúcich sa obťažovania informácie 90 % zamestnancov;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28.</w:t>
      </w:r>
      <w:r w:rsidRPr="007E5288">
        <w:tab/>
        <w:t>víta, že ombudsman v roku 2022 prijal 18 platených stážistov v porovnaní so 16 v roku 2021, ktorí majú balík odmien a rovnaké pracovné podmienky ako ostatní zamestnanci; nabáda ombudsmanku, aby podľa plánu na rok 2023 začala realizovať program stáží určený pre mladých ľudí so zdravotným postihnutím;</w:t>
      </w:r>
    </w:p>
    <w:p w:rsidR="00A76CA2" w:rsidRPr="007E5288" w:rsidRDefault="00A76CA2" w:rsidP="00A76CA2">
      <w:pPr>
        <w:pStyle w:val="NormalHanging12a"/>
        <w:rPr>
          <w:b/>
          <w:i/>
          <w:szCs w:val="24"/>
        </w:rPr>
      </w:pPr>
      <w:r w:rsidRPr="007E5288">
        <w:rPr>
          <w:b/>
          <w:i/>
        </w:rPr>
        <w:t>Etický rámec a transparentnosť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29.</w:t>
      </w:r>
      <w:r w:rsidRPr="007E5288">
        <w:tab/>
        <w:t>víta pokračujúce úsilie o posilnenie etického rámca inštitúcie a zvýšenie informovanosti o ňom; konštatuje, že ombudsmanka v tejto súvislosti usporiadala prezentáciu politiky ombudsmana v oblasti vonkajších činností, školenie o obťažovaní a obedňajšie stretnutie o konflikte záujmov pre všetkých zamestnancov; ďalej konštatuje, že boli revidované formuláre pre vyhlásenia o konflikte záujmov, vonkajších činnostiach, publikáciách a vykonávaní pracovnej činnosti po odchode z verejnej služby Únie s cieľom zabezpečiť jednotné uplatňovanie služobného poriadku a vnútorných pravidiel; víta vnútorný audit etického rámca ombudsmana, ktorý sa začal v roku 2022 a ktorého výsledky sa zohľadnia v záujme ďalšieho zlepšovania postupov v tejto oblasti;</w:t>
      </w:r>
    </w:p>
    <w:p w:rsidR="00A76CA2" w:rsidRPr="007E5288" w:rsidRDefault="00A76CA2" w:rsidP="00A76CA2">
      <w:pPr>
        <w:pStyle w:val="NormalHanging12a"/>
      </w:pPr>
      <w:r w:rsidRPr="007E5288">
        <w:t>30.</w:t>
      </w:r>
      <w:r w:rsidRPr="007E5288">
        <w:tab/>
        <w:t>konštatuje, že stratégia ombudsmana v oblasti boja proti podvodom je vo veľkej miere založená na zavedenom etickom rámci a zásade oddelenia povinností pri finančných funkciách; s uspokojením konštatuje, že v roku 2022 neboli hlásené žiadne prípady konfliktov záujmov ani prípady oznamovania protispoločenskej činnosti;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31.</w:t>
      </w:r>
      <w:r w:rsidRPr="007E5288">
        <w:tab/>
        <w:t xml:space="preserve">vyjadruje poľutovanie nad tým, že ombudsman sa formálne nepridal k registru transparentnosti EÚ zriadenému na základe </w:t>
      </w:r>
      <w:proofErr w:type="spellStart"/>
      <w:r w:rsidRPr="007E5288">
        <w:t>medziinštitucionálnej</w:t>
      </w:r>
      <w:proofErr w:type="spellEnd"/>
      <w:r w:rsidRPr="007E5288">
        <w:t xml:space="preserve"> dohody z 20. mája 2021 medzi Európskym parlamentom, Radou Európskej únie a Európskou komisiou o povinnom registri transparentnosti, ale zosúladil svoje postupy so zásadami registra transparentnosti, pričom kontroluje, či sú v ňom registrovaní rečníci alebo účastníci podujatí alebo stretnutí, ktoré organizuje ombudsman; víta vysokú mieru transparentnosti, ktorú ombudsman dosiahol tým, že na svojom webovom sídle uverejňuje informácie o vyšetrovaniach, služobných cestách, stretnutiach a podujatiach, na ktorých sa zúčastňuje;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32.</w:t>
      </w:r>
      <w:r w:rsidRPr="007E5288">
        <w:tab/>
        <w:t>vyzýva ombudsmanku, aby pravidelne informovala rozpočtový orgán o ťažkostiach, s ktorými sa stretáva pri svojej práci na transparentnosti a zodpovednosti Mechanizmu na podporu obnovy a odolnosti;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lastRenderedPageBreak/>
        <w:t>33.</w:t>
      </w:r>
      <w:r w:rsidRPr="007E5288">
        <w:tab/>
        <w:t>víta skutočnosť, že ombudsman v roku 2022 uverejnila príručku pre verejnosť o práve na prístup verejnosti k dokumentom s informáciami o tom, ako čo najlepšie uplatniť toto právo;</w:t>
      </w:r>
    </w:p>
    <w:p w:rsidR="00A76CA2" w:rsidRPr="007E5288" w:rsidRDefault="00A76CA2" w:rsidP="00A76CA2">
      <w:pPr>
        <w:pStyle w:val="NormalHanging12a"/>
        <w:rPr>
          <w:b/>
          <w:i/>
          <w:szCs w:val="24"/>
        </w:rPr>
      </w:pPr>
      <w:r w:rsidRPr="007E5288">
        <w:rPr>
          <w:b/>
          <w:i/>
        </w:rPr>
        <w:t>Digitalizácia, kybernetická bezpečnosť a ochrana údajov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34.</w:t>
      </w:r>
      <w:r w:rsidRPr="007E5288">
        <w:tab/>
        <w:t>blahoželá ombudsmanke k aktívnej podpore digitalizácie s cieľom znížiť používanie papiera a uľahčiť výmenu a uchovávanie dokumentov; konštatuje, že výdavky na IT sa v roku 2022 v porovnaní s rokom 2021 znížili o 48 %, keďže na posilnenie digitalizácie neboli potrebné žiadne osobitné investície; víta všeobecné využívanie videokonferencií a internetového vysielania, ktoré znížili potrebu cestovania;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35.</w:t>
      </w:r>
      <w:r w:rsidRPr="007E5288">
        <w:tab/>
        <w:t xml:space="preserve">konštatuje, že pokiaľ ide o IT, ombudsman sa spolieha na rámec </w:t>
      </w:r>
      <w:r w:rsidR="008F3416" w:rsidRPr="007E5288">
        <w:t>Európskeho p</w:t>
      </w:r>
      <w:r w:rsidRPr="007E5288">
        <w:t xml:space="preserve">arlamentu pre infraštruktúru a kybernetickú bezpečnosť a úzko spolupracuje s Komisiou, pokiaľ ide o integráciu a údržbu podnikových nástrojov Únie (SYSPER, ABAC, </w:t>
      </w:r>
      <w:proofErr w:type="spellStart"/>
      <w:r w:rsidRPr="007E5288">
        <w:t>MiPS</w:t>
      </w:r>
      <w:proofErr w:type="spellEnd"/>
      <w:r w:rsidRPr="007E5288">
        <w:t xml:space="preserve"> a ARES) a využívanie rámcových zmlúv v oblasti IT; konštatuje, že vzhľadom na obmedzenú úroveň kontroly nad údajmi ombudsman uzavrel s príslušnými inštitúciami dohody o úrovni poskytovaných služieb s cieľom zabezpečiť, aby spracovanie osobných údajov bolo v súlade s platným právnym rámcom; s uspokojením konštatuje, že ombudsman nebol v roku 2022 vystavený žiadnemu kybernetickému útoku;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36.</w:t>
      </w:r>
      <w:r w:rsidRPr="007E5288">
        <w:tab/>
        <w:t>nabáda ombudsmanku, aby úzko spolupracovala s agentúrou ENISA (Agentúra Európskej únie pre kybernetickú bezpečnosť); navrhuje, aby úrad ombudsmana ponúkal pravidelne aktualizované programy odbornej prípravy v oblasti kybernetickej bezpečnosti pre všetkých svojich zamestnancov;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37.</w:t>
      </w:r>
      <w:r w:rsidRPr="007E5288">
        <w:tab/>
        <w:t>s uspokojením konštatuje, že v roku 2022 ombudsman dokončil štyri opatrenia z päťbodového akčného plánu prijatého v nadväznosti na správu o vnútornom audite č. 21/03 o preskúmaní rámca inštitúcie pre ochranu údajov s cieľom ďalej zvýšiť efektívnosť a účinnosť spracúvania osobných údajov inštitúciou;</w:t>
      </w:r>
    </w:p>
    <w:p w:rsidR="00A76CA2" w:rsidRPr="007E5288" w:rsidRDefault="00A76CA2" w:rsidP="00A76CA2">
      <w:pPr>
        <w:pStyle w:val="NormalHanging12a"/>
        <w:rPr>
          <w:szCs w:val="24"/>
        </w:rPr>
      </w:pPr>
      <w:r w:rsidRPr="007E5288">
        <w:t>38.</w:t>
      </w:r>
      <w:r w:rsidRPr="007E5288">
        <w:tab/>
        <w:t>konštatuje, že v roku 2022 európsky dozorný úradník pre ochranu údajov („EDPS“) poskytol spätnú väzbu týkajúcu sa sťažnosti občana, ktorý tvrdil, že informácie o ochrane údajov, ktoré ombudsman poskytol vo svojom štandardnom potvrdení o prijatí, sú nedostatočné; s uspokojením konštatuje, že EDPS uzavrel prípad bez ďalších opatrení po tom, ako ombudsman zaviedol navrhované zmeny vo svojom vzore;</w:t>
      </w:r>
    </w:p>
    <w:p w:rsidR="00A76CA2" w:rsidRDefault="00A76CA2" w:rsidP="00A76CA2">
      <w:pPr>
        <w:pStyle w:val="NormalHanging12a"/>
      </w:pPr>
      <w:r w:rsidRPr="007E5288">
        <w:t>39.</w:t>
      </w:r>
      <w:r w:rsidRPr="007E5288">
        <w:tab/>
        <w:t>víta skutočnosť, že v súčasnosti sa v spolupráci s Európskou komisiou (GR DIGIT) zavádza systém elektronickej fakturácie; žiada ombudsmanku, aby podrobne stanovila harmonogram úplného zavedenia systému elektronickej fakturácie;</w:t>
      </w:r>
    </w:p>
    <w:p w:rsidR="00101111" w:rsidRPr="007E5288" w:rsidRDefault="00101111" w:rsidP="00A76CA2">
      <w:pPr>
        <w:pStyle w:val="NormalHanging12a"/>
        <w:rPr>
          <w:szCs w:val="24"/>
        </w:rPr>
      </w:pPr>
      <w:r>
        <w:rPr>
          <w:szCs w:val="24"/>
        </w:rPr>
        <w:t>40</w:t>
      </w:r>
      <w:r w:rsidRPr="00101111">
        <w:rPr>
          <w:szCs w:val="24"/>
        </w:rPr>
        <w:t>.</w:t>
      </w:r>
      <w:r w:rsidRPr="00101111">
        <w:rPr>
          <w:szCs w:val="24"/>
        </w:rPr>
        <w:tab/>
        <w:t>blahoželá ombudsmanke k tomu, že na svojom webovom sídle používa výlučne softvér s otvoreným zdrojovým kódom a že na interné účely podľa možnosti prednostne používa nástroje s otvoreným zdrojovým kódom;</w:t>
      </w:r>
    </w:p>
    <w:p w:rsidR="00A76CA2" w:rsidRPr="007E5288" w:rsidRDefault="00A76CA2" w:rsidP="00A76CA2">
      <w:pPr>
        <w:pStyle w:val="NormalHanging12a"/>
        <w:ind w:left="0" w:firstLine="0"/>
        <w:rPr>
          <w:b/>
          <w:i/>
          <w:szCs w:val="24"/>
        </w:rPr>
      </w:pPr>
      <w:r w:rsidRPr="007E5288">
        <w:rPr>
          <w:b/>
          <w:i/>
        </w:rPr>
        <w:t>Budovy</w:t>
      </w:r>
    </w:p>
    <w:p w:rsidR="00A76CA2" w:rsidRPr="007E5288" w:rsidRDefault="00101111" w:rsidP="00A76CA2">
      <w:pPr>
        <w:pStyle w:val="NormalHanging12a"/>
        <w:rPr>
          <w:szCs w:val="24"/>
        </w:rPr>
      </w:pPr>
      <w:r>
        <w:t>41</w:t>
      </w:r>
      <w:r w:rsidR="00A76CA2" w:rsidRPr="007E5288">
        <w:t>.</w:t>
      </w:r>
      <w:r w:rsidR="00A76CA2" w:rsidRPr="007E5288">
        <w:tab/>
        <w:t xml:space="preserve">konštatuje, že po presťahovaní úradu ombudsmana v Bruseli do nových priestorov, ktoré poskytol </w:t>
      </w:r>
      <w:r w:rsidR="008F3416" w:rsidRPr="007E5288">
        <w:t>Európsky p</w:t>
      </w:r>
      <w:r w:rsidR="00A76CA2" w:rsidRPr="007E5288">
        <w:t xml:space="preserve">arlament v roku 2021, bola budova koncipovaná ako </w:t>
      </w:r>
      <w:proofErr w:type="spellStart"/>
      <w:r w:rsidR="00A76CA2" w:rsidRPr="007E5288">
        <w:t>kolaboratívny</w:t>
      </w:r>
      <w:proofErr w:type="spellEnd"/>
      <w:r w:rsidR="00A76CA2" w:rsidRPr="007E5288">
        <w:t xml:space="preserve"> pracovný priestor s veľmi malým počtom individuálnych kancelárií a </w:t>
      </w:r>
      <w:r w:rsidR="00A76CA2" w:rsidRPr="007E5288">
        <w:lastRenderedPageBreak/>
        <w:t>flexibilnými priestormi pre spoločné stretnutia; pozitívne hodnotí, že ombudsmanka nezaviedla politiku „hot-</w:t>
      </w:r>
      <w:proofErr w:type="spellStart"/>
      <w:r w:rsidR="00A76CA2" w:rsidRPr="007E5288">
        <w:t>desking</w:t>
      </w:r>
      <w:proofErr w:type="spellEnd"/>
      <w:r w:rsidR="00A76CA2" w:rsidRPr="007E5288">
        <w:t>“ a že všetci zamestnanci majú vlastný pracovný stôl s dostatočným úložným priestorom; vyjadruje znepokojenie nad tým, že ombudsmanka pred presťahovaním do spoločných priestorov v bruselskom úrade neuskutočnila žiadny prieskum medzi zamestnancami; konštatuje, že zo všeobecného prieskumu medzi zamestnancami uskutočneného v roku 2023 vyplynulo, že väčšina zamestnancov reagovala na nové fyzické usporiadanie priestorov kladne; oceňuje tiež, že zamestnanci boli pred presťahovaním informovaní o niektorých rozhodnutiach týkajúcich sa vybavenia pracovných priestorov, ako sú použité farby;</w:t>
      </w:r>
    </w:p>
    <w:p w:rsidR="00A76CA2" w:rsidRPr="007E5288" w:rsidRDefault="00101111" w:rsidP="00A76CA2">
      <w:pPr>
        <w:pStyle w:val="NormalHanging12a"/>
        <w:rPr>
          <w:szCs w:val="24"/>
        </w:rPr>
      </w:pPr>
      <w:r>
        <w:t>42</w:t>
      </w:r>
      <w:r w:rsidR="00A76CA2" w:rsidRPr="007E5288">
        <w:t>.</w:t>
      </w:r>
      <w:r w:rsidR="00A76CA2" w:rsidRPr="007E5288">
        <w:tab/>
        <w:t xml:space="preserve">konštatuje, že ombudsman vrátil 20,5 % plochy prenajatej </w:t>
      </w:r>
      <w:r w:rsidR="008F3416" w:rsidRPr="007E5288">
        <w:t>Európskym p</w:t>
      </w:r>
      <w:r w:rsidR="00A76CA2" w:rsidRPr="007E5288">
        <w:t>arlamentom v Štrasburgu na jeho žiadosť a že jeho nájomné bolo následne znížené;</w:t>
      </w:r>
    </w:p>
    <w:p w:rsidR="00A76CA2" w:rsidRPr="007E5288" w:rsidRDefault="00101111" w:rsidP="00A76CA2">
      <w:pPr>
        <w:pStyle w:val="NormalHanging12a"/>
        <w:rPr>
          <w:szCs w:val="24"/>
        </w:rPr>
      </w:pPr>
      <w:r>
        <w:t>43</w:t>
      </w:r>
      <w:r w:rsidR="00A76CA2" w:rsidRPr="007E5288">
        <w:t>.</w:t>
      </w:r>
      <w:r w:rsidR="00A76CA2" w:rsidRPr="007E5288">
        <w:tab/>
        <w:t xml:space="preserve">pripomína, že ombudsman nemá svoje budovy vo vlastníctve, ale prenajíma si budovu v Bruseli a kancelárske priestory v Štrasburgu; s uspokojením konštatuje, že budova </w:t>
      </w:r>
      <w:proofErr w:type="spellStart"/>
      <w:r w:rsidR="00A76CA2" w:rsidRPr="007E5288">
        <w:t>Havel</w:t>
      </w:r>
      <w:proofErr w:type="spellEnd"/>
      <w:r w:rsidR="00A76CA2" w:rsidRPr="007E5288">
        <w:t xml:space="preserve"> v Štrasburgu je plne prístupná pre osoby so zníženou pohyblivosťou alebo s iným zdravotným postihnutím, a vyjadruje hlboké poľutovanie nad tým, že prístupnosť budovy prenajímanej v Bruseli si vyžaduje zlepšenie; vyzýva </w:t>
      </w:r>
      <w:r w:rsidR="008F3416" w:rsidRPr="007E5288">
        <w:t>Európsky p</w:t>
      </w:r>
      <w:r w:rsidR="00A76CA2" w:rsidRPr="007E5288">
        <w:t>arlament, aby zlepšil prístupnosť budovy prenajatej ombudsmanovi v Bruseli;</w:t>
      </w:r>
    </w:p>
    <w:p w:rsidR="00A76CA2" w:rsidRPr="007E5288" w:rsidRDefault="00A76CA2" w:rsidP="00A76CA2">
      <w:pPr>
        <w:pStyle w:val="NormalHanging12a"/>
        <w:ind w:left="0" w:firstLine="0"/>
        <w:rPr>
          <w:b/>
          <w:i/>
          <w:szCs w:val="24"/>
        </w:rPr>
      </w:pPr>
      <w:r w:rsidRPr="007E5288">
        <w:rPr>
          <w:b/>
          <w:i/>
        </w:rPr>
        <w:t>Životné prostredia a udržateľnosť</w:t>
      </w:r>
    </w:p>
    <w:p w:rsidR="00A76CA2" w:rsidRPr="007E5288" w:rsidRDefault="00101111" w:rsidP="00A76CA2">
      <w:pPr>
        <w:pStyle w:val="NormalHanging12a"/>
        <w:rPr>
          <w:szCs w:val="24"/>
        </w:rPr>
      </w:pPr>
      <w:r>
        <w:t>44</w:t>
      </w:r>
      <w:r w:rsidR="00A76CA2" w:rsidRPr="007E5288">
        <w:t>.</w:t>
      </w:r>
      <w:r w:rsidR="00A76CA2" w:rsidRPr="007E5288">
        <w:tab/>
        <w:t xml:space="preserve">víta skutočnosť, že ombudsman v priebehu rokov znížil svoju environmentálnu stopu, najmä digitalizáciou svojich procesov a publikácií, ako je výročná správa, zrušením individuálnych tlačiarní a opatreniami na zvýšenie udržateľnosti prípravy a priebehu podujatí; konštatuje, že pokiaľ ide o environmentálnu stopu jeho budov, ombudsman sa spolieha na opatrenia, ktoré prijal </w:t>
      </w:r>
      <w:r w:rsidR="008F3416" w:rsidRPr="007E5288">
        <w:t>Európsky p</w:t>
      </w:r>
      <w:r w:rsidR="00A76CA2" w:rsidRPr="007E5288">
        <w:t xml:space="preserve">arlament ako vlastník budov; berie na vedomie, že ombudsman má postúpiť svoju žiadosť </w:t>
      </w:r>
      <w:r w:rsidR="008F3416" w:rsidRPr="007E5288">
        <w:t>Európskemu p</w:t>
      </w:r>
      <w:r w:rsidR="00A76CA2" w:rsidRPr="007E5288">
        <w:t>arlamentu o inštaláciu solárnych panelov na streche svojich budov, ktorá bola vyjadrená v absolutóriu za rok 2021;</w:t>
      </w:r>
    </w:p>
    <w:p w:rsidR="00A76CA2" w:rsidRPr="007E5288" w:rsidRDefault="00101111" w:rsidP="00A76CA2">
      <w:pPr>
        <w:pStyle w:val="NormalHanging12a"/>
        <w:rPr>
          <w:szCs w:val="24"/>
        </w:rPr>
      </w:pPr>
      <w:r>
        <w:t>45</w:t>
      </w:r>
      <w:r w:rsidR="00A76CA2" w:rsidRPr="007E5288">
        <w:t>.</w:t>
      </w:r>
      <w:r w:rsidR="00A76CA2" w:rsidRPr="007E5288">
        <w:tab/>
        <w:t>konštatuje, že ombudsman v roku 2022 naďalej podporoval udržateľnú mobilitu, najmä poskytovaním finančnej podpory na ročné predplatné verejnej dopravy, obmedzením dostupných parkovacích miest a zlepšením zariadení a parkovania pre cyklistov;</w:t>
      </w:r>
    </w:p>
    <w:p w:rsidR="00A76CA2" w:rsidRPr="007E5288" w:rsidRDefault="00A76CA2" w:rsidP="00A76CA2">
      <w:pPr>
        <w:pStyle w:val="NormalHanging12a"/>
        <w:ind w:left="0" w:firstLine="0"/>
        <w:rPr>
          <w:b/>
          <w:i/>
          <w:szCs w:val="24"/>
        </w:rPr>
      </w:pPr>
      <w:proofErr w:type="spellStart"/>
      <w:r w:rsidRPr="007E5288">
        <w:rPr>
          <w:b/>
          <w:i/>
        </w:rPr>
        <w:t>Medziinštitucionálna</w:t>
      </w:r>
      <w:proofErr w:type="spellEnd"/>
      <w:r w:rsidRPr="007E5288">
        <w:rPr>
          <w:b/>
          <w:i/>
        </w:rPr>
        <w:t xml:space="preserve"> spolupráca</w:t>
      </w:r>
    </w:p>
    <w:p w:rsidR="00A76CA2" w:rsidRPr="007E5288" w:rsidRDefault="00101111" w:rsidP="00A76CA2">
      <w:pPr>
        <w:pStyle w:val="NormalHanging12a"/>
        <w:rPr>
          <w:szCs w:val="24"/>
        </w:rPr>
      </w:pPr>
      <w:r>
        <w:t>46</w:t>
      </w:r>
      <w:r w:rsidR="00A76CA2" w:rsidRPr="007E5288">
        <w:t>.</w:t>
      </w:r>
      <w:r w:rsidR="00A76CA2" w:rsidRPr="007E5288">
        <w:tab/>
        <w:t xml:space="preserve">víta finančné a administratívne úspory dosiahnuté prostredníctvom </w:t>
      </w:r>
      <w:proofErr w:type="spellStart"/>
      <w:r w:rsidR="00A76CA2" w:rsidRPr="007E5288">
        <w:t>medziinštitucionálnej</w:t>
      </w:r>
      <w:proofErr w:type="spellEnd"/>
      <w:r w:rsidR="00A76CA2" w:rsidRPr="007E5288">
        <w:t xml:space="preserve"> spolupráce, najmä širokú škálu dohôd o úrovni poskytovaných služieb uzavretých s</w:t>
      </w:r>
      <w:r w:rsidR="008F3416" w:rsidRPr="007E5288">
        <w:t> Európskym p</w:t>
      </w:r>
      <w:r w:rsidR="00A76CA2" w:rsidRPr="007E5288">
        <w:t xml:space="preserve">arlamentom a Komisiou a účasť na </w:t>
      </w:r>
      <w:proofErr w:type="spellStart"/>
      <w:r w:rsidR="00A76CA2" w:rsidRPr="007E5288">
        <w:t>medziinštitucionálnych</w:t>
      </w:r>
      <w:proofErr w:type="spellEnd"/>
      <w:r w:rsidR="00A76CA2" w:rsidRPr="007E5288">
        <w:t xml:space="preserve"> postupoch verejného obstarávania; konštatuje, že v roku 2022 ombudsman vytvoril nové synergie s inými inštitúciami a podpísal dohody o poskytovaní služieb na používanie kvalifikovaných podpisových certifikátov na diaľku Komisiou a poskytovaní služieb prostredníctvom služby front office pre zamestnancov a informačnej služby </w:t>
      </w:r>
      <w:r w:rsidR="008F3416" w:rsidRPr="007E5288">
        <w:t>Európskeho p</w:t>
      </w:r>
      <w:r w:rsidR="00A76CA2" w:rsidRPr="007E5288">
        <w:t>arlamentu;</w:t>
      </w:r>
    </w:p>
    <w:p w:rsidR="00A76CA2" w:rsidRPr="007E5288" w:rsidRDefault="00101111" w:rsidP="00A76CA2">
      <w:pPr>
        <w:pStyle w:val="NormalHanging12a"/>
        <w:rPr>
          <w:szCs w:val="24"/>
        </w:rPr>
      </w:pPr>
      <w:r>
        <w:t>47</w:t>
      </w:r>
      <w:r w:rsidR="00A76CA2" w:rsidRPr="007E5288">
        <w:t>.</w:t>
      </w:r>
      <w:r w:rsidR="00A76CA2" w:rsidRPr="007E5288">
        <w:tab/>
        <w:t xml:space="preserve">uznáva význam zachovania vysokej úrovne výmen a koordinácie s Európskou sieťou ombudsmanov (ENO); víta usporiadanie výročnej konferencie a tematického </w:t>
      </w:r>
      <w:proofErr w:type="spellStart"/>
      <w:r w:rsidR="00A76CA2" w:rsidRPr="007E5288">
        <w:t>webinára</w:t>
      </w:r>
      <w:proofErr w:type="spellEnd"/>
      <w:r w:rsidR="00A76CA2" w:rsidRPr="007E5288">
        <w:t xml:space="preserve"> ENO ako dôležité diskusné fóra o aktuálnych otázkach, ktoré majú vplyv na prácu ombudsmanov v celej Európe v roku 2022;</w:t>
      </w:r>
    </w:p>
    <w:p w:rsidR="00A76CA2" w:rsidRPr="007E5288" w:rsidRDefault="00101111" w:rsidP="00A76CA2">
      <w:pPr>
        <w:pStyle w:val="NormalHanging12a"/>
        <w:rPr>
          <w:szCs w:val="24"/>
        </w:rPr>
      </w:pPr>
      <w:r>
        <w:lastRenderedPageBreak/>
        <w:t>48</w:t>
      </w:r>
      <w:r w:rsidR="00A76CA2" w:rsidRPr="007E5288">
        <w:t>.</w:t>
      </w:r>
      <w:r w:rsidR="00A76CA2" w:rsidRPr="007E5288">
        <w:tab/>
        <w:t>víta spoluprácu, ktorú ombudsman udržiava s Európskou prokuratúrou, Európskym dvorom audítorov a úradom OLAF s cieľom zabrániť duplicite vyšetrovaní a diskutovať o témach spoločného záujmu, ako je zlepšenie rámca dohľadu Únie; rovnako víta zavedené kanály spolupráce s EDPS s cieľom zabezpečiť rýchlu obojstrannú konzultáciu v každodennej práci oboch inštitúcií a memorandum o porozumení, v ktorom sa vymedzujú príslušné právomoci každej inštitúcie zamerané na zamedzenie zdvojovaniu postupov;</w:t>
      </w:r>
    </w:p>
    <w:p w:rsidR="00A76CA2" w:rsidRPr="007E5288" w:rsidRDefault="00101111" w:rsidP="00A76CA2">
      <w:pPr>
        <w:pStyle w:val="NormalHanging12a"/>
        <w:rPr>
          <w:szCs w:val="24"/>
        </w:rPr>
      </w:pPr>
      <w:r>
        <w:t>49</w:t>
      </w:r>
      <w:r w:rsidR="00A76CA2" w:rsidRPr="007E5288">
        <w:t>.</w:t>
      </w:r>
      <w:r w:rsidR="00A76CA2" w:rsidRPr="007E5288">
        <w:tab/>
        <w:t>víta, že v rámci dôležitých vyšetrovaní ombudsman úzko spolupracuje s príslušnými výbormi Európskeho parlamentu, a to buď prezentovaním práce priamo na schôdzach výborov, alebo zasielaním informácií predsedom výborov; zdôrazňuje, že strategické iniciatívy a vyšetrovania vykonávané ombudsmanom sú kľúčom k zlepšeniu transparentnosti a zodpovednosti administratívy Únie;</w:t>
      </w:r>
    </w:p>
    <w:p w:rsidR="00A76CA2" w:rsidRPr="007E5288" w:rsidRDefault="00A76CA2" w:rsidP="00A76CA2">
      <w:pPr>
        <w:pStyle w:val="NormalHanging12a"/>
        <w:rPr>
          <w:b/>
          <w:i/>
          <w:szCs w:val="24"/>
        </w:rPr>
      </w:pPr>
      <w:r w:rsidRPr="007E5288">
        <w:rPr>
          <w:b/>
          <w:i/>
        </w:rPr>
        <w:t>Komunikácia</w:t>
      </w:r>
    </w:p>
    <w:p w:rsidR="00A76CA2" w:rsidRPr="007E5288" w:rsidRDefault="00101111" w:rsidP="00A76CA2">
      <w:pPr>
        <w:pStyle w:val="NormalHanging12a"/>
        <w:rPr>
          <w:szCs w:val="24"/>
        </w:rPr>
      </w:pPr>
      <w:r>
        <w:t>50</w:t>
      </w:r>
      <w:r w:rsidR="00A76CA2" w:rsidRPr="007E5288">
        <w:t>.</w:t>
      </w:r>
      <w:r w:rsidR="00A76CA2" w:rsidRPr="007E5288">
        <w:tab/>
        <w:t>konštatuje, že celkový rozpočet na komunikačné a propagačné činnosti sa medzi rokmi 2021 a 2022 zvýšil z 92 100 EUR na 132 400 EUR, t. j. o 43,8 %; blahoželá ombudsmanke k vypracovaniu komplexnej komunikačnej stratégie, ktorá prispela k zvýšeniu dosahu na špecializované publikum a širokú verejnosť; konštatuje, že európske médiá uverejnili o 60 % viac článkov o ombudsmanovi ako v roku 2021;</w:t>
      </w:r>
    </w:p>
    <w:p w:rsidR="00A76CA2" w:rsidRPr="007E5288" w:rsidRDefault="00101111" w:rsidP="00A76CA2">
      <w:pPr>
        <w:pStyle w:val="NormalHanging12a"/>
        <w:rPr>
          <w:szCs w:val="24"/>
        </w:rPr>
      </w:pPr>
      <w:r>
        <w:t>51</w:t>
      </w:r>
      <w:r w:rsidR="00A76CA2" w:rsidRPr="007E5288">
        <w:t>.</w:t>
      </w:r>
      <w:r w:rsidR="00A76CA2" w:rsidRPr="007E5288">
        <w:tab/>
        <w:t>víta úsilie ombudsmanky o zvýšenie informovanosti občanov o úlohe ombudsmana a možnosti obrátiť sa naňho v prípade nesprávneho úradného postupu inštitúcie Únie; uznáva úsilie vynaložené na poskytovanie transparentných informácií a uverejňovanie údajov v informatívnom a používateľsky ústretovom formáte na webovom sídle ombudsmana, hoci tieto údaje nie sú k dispozícii v otvorenom formáte; víta prijatie nového loga a vizuálnej identity s cieľom zvýšiť viditeľnosť práce ombudsmana a umožniť jeho rozpoznanie ako orgánu Únie;</w:t>
      </w:r>
    </w:p>
    <w:p w:rsidR="00A76CA2" w:rsidRPr="007E5288" w:rsidRDefault="00101111" w:rsidP="00A76CA2">
      <w:pPr>
        <w:pStyle w:val="NormalHanging12a"/>
        <w:rPr>
          <w:szCs w:val="24"/>
        </w:rPr>
      </w:pPr>
      <w:r>
        <w:t>52</w:t>
      </w:r>
      <w:r w:rsidR="00A76CA2" w:rsidRPr="007E5288">
        <w:t>.</w:t>
      </w:r>
      <w:r w:rsidR="00A76CA2" w:rsidRPr="007E5288">
        <w:tab/>
        <w:t>oceňuje, že ombudsmanka používa automatizovaný nástroj na preklad prípadov na webovom sídle a žiada ombudsmanku, aby zabezpečila plynulý a včasný preklad svojich prípadov do všetkých jazykov;</w:t>
      </w:r>
    </w:p>
    <w:p w:rsidR="00A76CA2" w:rsidRPr="007E5288" w:rsidRDefault="00101111" w:rsidP="00A76CA2">
      <w:pPr>
        <w:pStyle w:val="NormalHanging12a"/>
        <w:rPr>
          <w:szCs w:val="24"/>
        </w:rPr>
      </w:pPr>
      <w:r>
        <w:t>53</w:t>
      </w:r>
      <w:r w:rsidR="00A76CA2" w:rsidRPr="007E5288">
        <w:t>.</w:t>
      </w:r>
      <w:r w:rsidR="00A76CA2" w:rsidRPr="007E5288">
        <w:tab/>
        <w:t xml:space="preserve">konštatuje, že ombudsman má účty na sociálnych médiách na </w:t>
      </w:r>
      <w:proofErr w:type="spellStart"/>
      <w:r w:rsidR="00A76CA2" w:rsidRPr="007E5288">
        <w:t>Instagrame</w:t>
      </w:r>
      <w:proofErr w:type="spellEnd"/>
      <w:r w:rsidR="00A76CA2" w:rsidRPr="007E5288">
        <w:t xml:space="preserve">, LinkedIn a X (predtým Twitter), na ktorých nárast počtu </w:t>
      </w:r>
      <w:proofErr w:type="spellStart"/>
      <w:r w:rsidR="00A76CA2" w:rsidRPr="007E5288">
        <w:t>sledovateľov</w:t>
      </w:r>
      <w:proofErr w:type="spellEnd"/>
      <w:r w:rsidR="00A76CA2" w:rsidRPr="007E5288">
        <w:t xml:space="preserve"> a miera zapojenia boli v roku 2022 vyššie ako v predchádzajúcich rokoch; víta účasť ombudsmana na pilotnom projekte pod vedením EDPS, ktorého cieľom je zapojiť inštitúcie Únie do používania EU-</w:t>
      </w:r>
      <w:proofErr w:type="spellStart"/>
      <w:r w:rsidR="00A76CA2" w:rsidRPr="007E5288">
        <w:t>Voice</w:t>
      </w:r>
      <w:proofErr w:type="spellEnd"/>
      <w:r w:rsidR="00A76CA2" w:rsidRPr="007E5288">
        <w:t xml:space="preserve"> a EU-Video, čo sú dve bezplatné siete sociálnych médií s otvoreným zdrojovým kódom založené na softvéri </w:t>
      </w:r>
      <w:proofErr w:type="spellStart"/>
      <w:r w:rsidR="00A76CA2" w:rsidRPr="007E5288">
        <w:t>Mastodon</w:t>
      </w:r>
      <w:proofErr w:type="spellEnd"/>
      <w:r w:rsidR="00A76CA2" w:rsidRPr="007E5288">
        <w:t>, ktoré inštitúciám Únie umožňujú komunikovať s verejnosťou zdieľaním textov, obrázkov, videí a podcastov.</w:t>
      </w:r>
    </w:p>
    <w:sectPr w:rsidR="00A76CA2" w:rsidRPr="007E5288" w:rsidSect="00162EA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D90" w:rsidRPr="00162EA0" w:rsidRDefault="00685D90">
      <w:r w:rsidRPr="00162EA0">
        <w:separator/>
      </w:r>
    </w:p>
  </w:endnote>
  <w:endnote w:type="continuationSeparator" w:id="0">
    <w:p w:rsidR="00685D90" w:rsidRPr="00162EA0" w:rsidRDefault="00685D90">
      <w:r w:rsidRPr="00162E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CA2" w:rsidRPr="00162EA0" w:rsidRDefault="00A76CA2" w:rsidP="001A67E3">
    <w:pPr>
      <w:pStyle w:val="EPFooter"/>
    </w:pPr>
    <w:r w:rsidRPr="00162EA0">
      <w:t>PE</w:t>
    </w:r>
    <w:r w:rsidRPr="00162EA0">
      <w:rPr>
        <w:rStyle w:val="HideTWBExt"/>
      </w:rPr>
      <w:t>&lt;NoPE&gt;</w:t>
    </w:r>
    <w:r w:rsidRPr="00162EA0">
      <w:t>753.486</w:t>
    </w:r>
    <w:r w:rsidRPr="00162EA0">
      <w:rPr>
        <w:rStyle w:val="HideTWBExt"/>
      </w:rPr>
      <w:t>&lt;/NoPE&gt;&lt;Version&gt;</w:t>
    </w:r>
    <w:r w:rsidRPr="00162EA0">
      <w:t>v02-00</w:t>
    </w:r>
    <w:r w:rsidRPr="00162EA0">
      <w:rPr>
        <w:rStyle w:val="HideTWBExt"/>
      </w:rPr>
      <w:t>&lt;/Version&gt;</w:t>
    </w:r>
    <w:r w:rsidRPr="00162EA0">
      <w:tab/>
    </w:r>
    <w:r w:rsidRPr="00162EA0">
      <w:fldChar w:fldCharType="begin"/>
    </w:r>
    <w:r w:rsidRPr="00162EA0">
      <w:instrText xml:space="preserve"> PAGE  \* MERGEFORMAT </w:instrText>
    </w:r>
    <w:r w:rsidRPr="00162EA0">
      <w:fldChar w:fldCharType="separate"/>
    </w:r>
    <w:r w:rsidR="00162EA0" w:rsidRPr="00162EA0">
      <w:rPr>
        <w:noProof/>
      </w:rPr>
      <w:t>2</w:t>
    </w:r>
    <w:r w:rsidRPr="00162EA0">
      <w:fldChar w:fldCharType="end"/>
    </w:r>
    <w:r w:rsidRPr="00162EA0">
      <w:t>/</w:t>
    </w:r>
    <w:r w:rsidR="00CB613A">
      <w:fldChar w:fldCharType="begin"/>
    </w:r>
    <w:r w:rsidR="00CB613A">
      <w:instrText xml:space="preserve"> NUMPAGES  \* MERGEFORMAT </w:instrText>
    </w:r>
    <w:r w:rsidR="00CB613A">
      <w:fldChar w:fldCharType="separate"/>
    </w:r>
    <w:r w:rsidR="00162EA0" w:rsidRPr="00162EA0">
      <w:rPr>
        <w:noProof/>
      </w:rPr>
      <w:t>4</w:t>
    </w:r>
    <w:r w:rsidR="00CB613A">
      <w:rPr>
        <w:noProof/>
      </w:rPr>
      <w:fldChar w:fldCharType="end"/>
    </w:r>
    <w:r w:rsidRPr="00162EA0">
      <w:tab/>
    </w:r>
    <w:r w:rsidRPr="00162EA0">
      <w:rPr>
        <w:rStyle w:val="HideTWBExt"/>
      </w:rPr>
      <w:t>&lt;PathFdR&gt;</w:t>
    </w:r>
    <w:r w:rsidRPr="00162EA0">
      <w:t>RR\1298678SK.docx</w:t>
    </w:r>
    <w:r w:rsidRPr="00162EA0">
      <w:rPr>
        <w:rStyle w:val="HideTWBExt"/>
      </w:rPr>
      <w:t>&lt;/PathFdR&gt;</w:t>
    </w:r>
  </w:p>
  <w:p w:rsidR="00A76CA2" w:rsidRPr="00162EA0" w:rsidRDefault="00A76CA2" w:rsidP="001A67E3">
    <w:pPr>
      <w:pStyle w:val="EPFooter2"/>
    </w:pPr>
    <w:r w:rsidRPr="00162EA0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CA2" w:rsidRPr="00162EA0" w:rsidRDefault="00A76CA2" w:rsidP="001A67E3">
    <w:pPr>
      <w:pStyle w:val="EPFooter"/>
    </w:pPr>
    <w:r w:rsidRPr="00162EA0">
      <w:rPr>
        <w:rStyle w:val="HideTWBExt"/>
      </w:rPr>
      <w:t>&lt;PathFdR&gt;</w:t>
    </w:r>
    <w:r w:rsidRPr="00162EA0">
      <w:t>RR\1298678SK.docx</w:t>
    </w:r>
    <w:r w:rsidRPr="00162EA0">
      <w:rPr>
        <w:rStyle w:val="HideTWBExt"/>
      </w:rPr>
      <w:t>&lt;/PathFdR&gt;</w:t>
    </w:r>
    <w:r w:rsidRPr="00162EA0">
      <w:tab/>
    </w:r>
    <w:r w:rsidRPr="00162EA0">
      <w:tab/>
      <w:t>PE</w:t>
    </w:r>
    <w:r w:rsidRPr="00162EA0">
      <w:rPr>
        <w:rStyle w:val="HideTWBExt"/>
      </w:rPr>
      <w:t>&lt;NoPE&gt;</w:t>
    </w:r>
    <w:r w:rsidRPr="00162EA0">
      <w:t>753.486</w:t>
    </w:r>
    <w:r w:rsidRPr="00162EA0">
      <w:rPr>
        <w:rStyle w:val="HideTWBExt"/>
      </w:rPr>
      <w:t>&lt;/NoPE&gt;&lt;Version&gt;</w:t>
    </w:r>
    <w:r w:rsidRPr="00162EA0">
      <w:t>v02-00</w:t>
    </w:r>
    <w:r w:rsidRPr="00162EA0">
      <w:rPr>
        <w:rStyle w:val="HideTWBExt"/>
      </w:rPr>
      <w:t>&lt;/Version&gt;</w:t>
    </w:r>
  </w:p>
  <w:p w:rsidR="00A76CA2" w:rsidRPr="00162EA0" w:rsidRDefault="00A76CA2" w:rsidP="001A67E3">
    <w:pPr>
      <w:pStyle w:val="EPFooter2"/>
    </w:pPr>
    <w:r w:rsidRPr="00162EA0">
      <w:t>SK</w:t>
    </w:r>
    <w:r w:rsidRPr="00162EA0">
      <w:tab/>
    </w:r>
    <w:r w:rsidRPr="00162EA0">
      <w:rPr>
        <w:b w:val="0"/>
        <w:i/>
        <w:color w:val="C0C0C0"/>
        <w:sz w:val="22"/>
      </w:rPr>
      <w:t>Zjednotení v rozmanitosti</w:t>
    </w:r>
    <w:r w:rsidRPr="00162EA0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EA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EA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E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D90" w:rsidRPr="00162EA0" w:rsidRDefault="00685D90">
      <w:r w:rsidRPr="00162EA0">
        <w:separator/>
      </w:r>
    </w:p>
  </w:footnote>
  <w:footnote w:type="continuationSeparator" w:id="0">
    <w:p w:rsidR="00685D90" w:rsidRPr="00162EA0" w:rsidRDefault="00685D90">
      <w:r w:rsidRPr="00162EA0">
        <w:continuationSeparator/>
      </w:r>
    </w:p>
  </w:footnote>
  <w:footnote w:id="1">
    <w:p w:rsidR="00A76CA2" w:rsidRPr="00162EA0" w:rsidRDefault="00A76CA2" w:rsidP="00162EA0">
      <w:pPr>
        <w:pStyle w:val="FootnoteText"/>
        <w:ind w:left="567" w:hanging="567"/>
        <w:rPr>
          <w:sz w:val="24"/>
          <w:lang w:val="sk-SK"/>
        </w:rPr>
      </w:pPr>
      <w:r w:rsidRPr="00162EA0">
        <w:rPr>
          <w:rStyle w:val="FootnoteReference"/>
          <w:sz w:val="24"/>
          <w:lang w:val="sk-SK"/>
        </w:rPr>
        <w:footnoteRef/>
      </w:r>
      <w:r w:rsidR="00162EA0" w:rsidRPr="00162EA0">
        <w:rPr>
          <w:sz w:val="24"/>
          <w:lang w:val="sk-SK"/>
        </w:rPr>
        <w:t xml:space="preserve"> </w:t>
      </w:r>
      <w:r w:rsidR="00162EA0" w:rsidRPr="00162EA0">
        <w:rPr>
          <w:sz w:val="24"/>
          <w:lang w:val="sk-SK"/>
        </w:rPr>
        <w:tab/>
      </w:r>
      <w:r w:rsidRPr="00162EA0">
        <w:rPr>
          <w:sz w:val="24"/>
          <w:lang w:val="sk-SK"/>
        </w:rPr>
        <w:t>Ú. v. EÚ L 45, 24.2.2022.</w:t>
      </w:r>
    </w:p>
  </w:footnote>
  <w:footnote w:id="2">
    <w:p w:rsidR="00A76CA2" w:rsidRPr="00162EA0" w:rsidRDefault="00A76CA2" w:rsidP="00162EA0">
      <w:pPr>
        <w:pStyle w:val="FootnoteText"/>
        <w:ind w:left="567" w:hanging="567"/>
        <w:rPr>
          <w:sz w:val="24"/>
          <w:lang w:val="sk-SK"/>
        </w:rPr>
      </w:pPr>
      <w:r w:rsidRPr="00162EA0">
        <w:rPr>
          <w:rStyle w:val="FootnoteReference"/>
          <w:sz w:val="24"/>
          <w:lang w:val="sk-SK"/>
        </w:rPr>
        <w:footnoteRef/>
      </w:r>
      <w:r w:rsidR="00162EA0" w:rsidRPr="00162EA0">
        <w:rPr>
          <w:sz w:val="24"/>
          <w:lang w:val="sk-SK"/>
        </w:rPr>
        <w:t xml:space="preserve"> </w:t>
      </w:r>
      <w:r w:rsidR="00162EA0" w:rsidRPr="00162EA0">
        <w:rPr>
          <w:sz w:val="24"/>
          <w:lang w:val="sk-SK"/>
        </w:rPr>
        <w:tab/>
      </w:r>
      <w:r w:rsidRPr="00162EA0">
        <w:rPr>
          <w:sz w:val="24"/>
          <w:lang w:val="sk-SK"/>
        </w:rPr>
        <w:t xml:space="preserve">Ú. v. </w:t>
      </w:r>
      <w:r w:rsidRPr="00162EA0">
        <w:rPr>
          <w:sz w:val="24"/>
          <w:lang w:val="sk-SK"/>
        </w:rPr>
        <w:t xml:space="preserve">EÚ </w:t>
      </w:r>
      <w:r w:rsidR="00CB613A">
        <w:rPr>
          <w:sz w:val="24"/>
          <w:lang w:val="sk-SK"/>
        </w:rPr>
        <w:t xml:space="preserve">C, </w:t>
      </w:r>
      <w:r w:rsidRPr="00162EA0">
        <w:rPr>
          <w:sz w:val="24"/>
          <w:lang w:val="sk-SK"/>
        </w:rPr>
        <w:t>C/2023/2, 12.10.2023.</w:t>
      </w:r>
    </w:p>
  </w:footnote>
  <w:footnote w:id="3">
    <w:p w:rsidR="00A76CA2" w:rsidRPr="00162EA0" w:rsidRDefault="00A76CA2" w:rsidP="00162EA0">
      <w:pPr>
        <w:pStyle w:val="FootnoteText"/>
        <w:ind w:left="567" w:hanging="567"/>
        <w:rPr>
          <w:sz w:val="24"/>
          <w:lang w:val="sk-SK"/>
        </w:rPr>
      </w:pPr>
      <w:r w:rsidRPr="00162EA0">
        <w:rPr>
          <w:rStyle w:val="FootnoteReference"/>
          <w:sz w:val="24"/>
          <w:lang w:val="sk-SK"/>
        </w:rPr>
        <w:footnoteRef/>
      </w:r>
      <w:r w:rsidR="00162EA0" w:rsidRPr="00162EA0">
        <w:rPr>
          <w:sz w:val="24"/>
          <w:lang w:val="sk-SK"/>
        </w:rPr>
        <w:t xml:space="preserve"> </w:t>
      </w:r>
      <w:r w:rsidR="00162EA0" w:rsidRPr="00162EA0">
        <w:rPr>
          <w:sz w:val="24"/>
          <w:lang w:val="sk-SK"/>
        </w:rPr>
        <w:tab/>
      </w:r>
      <w:r w:rsidRPr="00162EA0">
        <w:rPr>
          <w:sz w:val="24"/>
          <w:lang w:val="sk-SK"/>
        </w:rPr>
        <w:t xml:space="preserve">Ú. v. </w:t>
      </w:r>
      <w:r w:rsidRPr="00162EA0">
        <w:rPr>
          <w:sz w:val="24"/>
          <w:lang w:val="sk-SK"/>
        </w:rPr>
        <w:t xml:space="preserve">EÚ </w:t>
      </w:r>
      <w:r w:rsidR="00CB613A">
        <w:rPr>
          <w:sz w:val="24"/>
          <w:lang w:val="sk-SK"/>
        </w:rPr>
        <w:t xml:space="preserve">C, </w:t>
      </w:r>
      <w:bookmarkStart w:id="8" w:name="_GoBack"/>
      <w:bookmarkEnd w:id="8"/>
      <w:r w:rsidRPr="00162EA0">
        <w:rPr>
          <w:sz w:val="24"/>
          <w:lang w:val="sk-SK"/>
        </w:rPr>
        <w:t>C/2023/103, 4.10.2023.</w:t>
      </w:r>
    </w:p>
  </w:footnote>
  <w:footnote w:id="4">
    <w:p w:rsidR="00A76CA2" w:rsidRPr="00162EA0" w:rsidRDefault="00A76CA2" w:rsidP="00162EA0">
      <w:pPr>
        <w:pStyle w:val="FootnoteText"/>
        <w:ind w:left="567" w:hanging="567"/>
        <w:rPr>
          <w:sz w:val="24"/>
          <w:lang w:val="sk-SK"/>
        </w:rPr>
      </w:pPr>
      <w:r w:rsidRPr="00162EA0">
        <w:rPr>
          <w:rStyle w:val="FootnoteReference"/>
          <w:sz w:val="24"/>
          <w:lang w:val="sk-SK"/>
        </w:rPr>
        <w:footnoteRef/>
      </w:r>
      <w:r w:rsidR="00162EA0" w:rsidRPr="00162EA0">
        <w:rPr>
          <w:sz w:val="24"/>
          <w:lang w:val="sk-SK"/>
        </w:rPr>
        <w:t xml:space="preserve"> </w:t>
      </w:r>
      <w:r w:rsidR="00162EA0" w:rsidRPr="00162EA0">
        <w:rPr>
          <w:sz w:val="24"/>
          <w:lang w:val="sk-SK"/>
        </w:rPr>
        <w:tab/>
      </w:r>
      <w:r w:rsidRPr="00162EA0">
        <w:rPr>
          <w:sz w:val="24"/>
          <w:lang w:val="sk-SK"/>
        </w:rPr>
        <w:t>Ú. v. EÚ C, C/2023/112, 12.10.2023.</w:t>
      </w:r>
    </w:p>
  </w:footnote>
  <w:footnote w:id="5">
    <w:p w:rsidR="00A76CA2" w:rsidRPr="00162EA0" w:rsidRDefault="00A76CA2" w:rsidP="00162EA0">
      <w:pPr>
        <w:pStyle w:val="FootnoteText"/>
        <w:ind w:left="567" w:hanging="567"/>
        <w:rPr>
          <w:sz w:val="24"/>
          <w:szCs w:val="24"/>
          <w:lang w:val="sk-SK"/>
        </w:rPr>
      </w:pPr>
      <w:r w:rsidRPr="00162EA0">
        <w:rPr>
          <w:rStyle w:val="FootnoteReference"/>
          <w:sz w:val="24"/>
          <w:lang w:val="sk-SK"/>
        </w:rPr>
        <w:footnoteRef/>
      </w:r>
      <w:r w:rsidR="00162EA0" w:rsidRPr="00162EA0">
        <w:rPr>
          <w:sz w:val="24"/>
          <w:lang w:val="sk-SK"/>
        </w:rPr>
        <w:t xml:space="preserve"> </w:t>
      </w:r>
      <w:r w:rsidR="00162EA0" w:rsidRPr="00162EA0">
        <w:rPr>
          <w:sz w:val="24"/>
          <w:lang w:val="sk-SK"/>
        </w:rPr>
        <w:tab/>
      </w:r>
      <w:r w:rsidRPr="00162EA0">
        <w:rPr>
          <w:sz w:val="24"/>
          <w:lang w:val="sk-SK"/>
        </w:rPr>
        <w:t>Ú. v. EÚ L 193, 30.7.2018, s. 1.</w:t>
      </w:r>
    </w:p>
  </w:footnote>
  <w:footnote w:id="6">
    <w:p w:rsidR="00A76CA2" w:rsidRPr="00162EA0" w:rsidRDefault="00A76CA2" w:rsidP="00162EA0">
      <w:pPr>
        <w:pStyle w:val="FootnoteText"/>
        <w:ind w:left="567" w:hanging="567"/>
        <w:rPr>
          <w:sz w:val="24"/>
          <w:lang w:val="sk-SK"/>
        </w:rPr>
      </w:pPr>
      <w:r w:rsidRPr="00162EA0">
        <w:rPr>
          <w:rStyle w:val="FootnoteReference"/>
          <w:sz w:val="24"/>
          <w:lang w:val="sk-SK"/>
        </w:rPr>
        <w:footnoteRef/>
      </w:r>
      <w:r w:rsidR="00162EA0" w:rsidRPr="00162EA0">
        <w:rPr>
          <w:sz w:val="24"/>
          <w:lang w:val="sk-SK"/>
        </w:rPr>
        <w:t xml:space="preserve"> </w:t>
      </w:r>
      <w:r w:rsidR="00162EA0" w:rsidRPr="00162EA0">
        <w:rPr>
          <w:sz w:val="24"/>
          <w:lang w:val="sk-SK"/>
        </w:rPr>
        <w:tab/>
      </w:r>
      <w:r w:rsidRPr="00162EA0">
        <w:rPr>
          <w:sz w:val="24"/>
          <w:lang w:val="sk-SK"/>
        </w:rPr>
        <w:t>Ú. v. EÚ L 253, 16.7.2021, s. 1.</w:t>
      </w:r>
    </w:p>
  </w:footnote>
  <w:footnote w:id="7">
    <w:p w:rsidR="00A76CA2" w:rsidRPr="00162EA0" w:rsidRDefault="00A76CA2" w:rsidP="00162EA0">
      <w:pPr>
        <w:pStyle w:val="FootnoteText"/>
        <w:ind w:left="567" w:hanging="567"/>
        <w:rPr>
          <w:sz w:val="24"/>
          <w:lang w:val="sk-SK"/>
        </w:rPr>
      </w:pPr>
      <w:r w:rsidRPr="00162EA0">
        <w:rPr>
          <w:rStyle w:val="FootnoteReference"/>
          <w:sz w:val="24"/>
          <w:lang w:val="sk-SK"/>
        </w:rPr>
        <w:footnoteRef/>
      </w:r>
      <w:r w:rsidR="00162EA0" w:rsidRPr="00162EA0">
        <w:rPr>
          <w:sz w:val="24"/>
          <w:lang w:val="sk-SK"/>
        </w:rPr>
        <w:t xml:space="preserve"> </w:t>
      </w:r>
      <w:r w:rsidR="00162EA0" w:rsidRPr="00162EA0">
        <w:rPr>
          <w:sz w:val="24"/>
          <w:lang w:val="sk-SK"/>
        </w:rPr>
        <w:tab/>
      </w:r>
      <w:r w:rsidRPr="00162EA0">
        <w:rPr>
          <w:sz w:val="24"/>
          <w:lang w:val="sk-SK"/>
        </w:rPr>
        <w:t>https://www.ombudsman.europa.eu/sk/news-document/sk/152993.</w:t>
      </w:r>
    </w:p>
  </w:footnote>
  <w:footnote w:id="8">
    <w:p w:rsidR="00A76CA2" w:rsidRPr="00162EA0" w:rsidRDefault="00A76CA2" w:rsidP="00162EA0">
      <w:pPr>
        <w:pStyle w:val="FootnoteText"/>
        <w:ind w:left="567" w:hanging="567"/>
        <w:rPr>
          <w:sz w:val="24"/>
          <w:lang w:val="sk-SK"/>
        </w:rPr>
      </w:pPr>
      <w:r w:rsidRPr="00162EA0">
        <w:rPr>
          <w:rStyle w:val="FootnoteReference"/>
          <w:sz w:val="24"/>
          <w:lang w:val="sk-SK"/>
        </w:rPr>
        <w:footnoteRef/>
      </w:r>
      <w:r w:rsidR="00162EA0" w:rsidRPr="00162EA0">
        <w:rPr>
          <w:sz w:val="24"/>
          <w:lang w:val="sk-SK"/>
        </w:rPr>
        <w:t xml:space="preserve"> </w:t>
      </w:r>
      <w:r w:rsidR="00162EA0" w:rsidRPr="00162EA0">
        <w:rPr>
          <w:sz w:val="24"/>
          <w:lang w:val="sk-SK"/>
        </w:rPr>
        <w:tab/>
      </w:r>
      <w:r w:rsidRPr="00162EA0">
        <w:rPr>
          <w:sz w:val="24"/>
          <w:lang w:val="sk-SK"/>
        </w:rPr>
        <w:t>https://www.europarl.europa.eu/doceo/document/TA-9-2023-0295_SK.html.</w:t>
      </w:r>
    </w:p>
  </w:footnote>
  <w:footnote w:id="9">
    <w:p w:rsidR="00A76CA2" w:rsidRPr="00162EA0" w:rsidRDefault="00A76CA2" w:rsidP="00162EA0">
      <w:pPr>
        <w:pStyle w:val="FootnoteText"/>
        <w:ind w:left="567" w:hanging="567"/>
        <w:rPr>
          <w:sz w:val="24"/>
          <w:lang w:val="sk-SK"/>
        </w:rPr>
      </w:pPr>
      <w:r w:rsidRPr="00162EA0">
        <w:rPr>
          <w:rStyle w:val="FootnoteReference"/>
          <w:sz w:val="24"/>
          <w:lang w:val="sk-SK"/>
        </w:rPr>
        <w:footnoteRef/>
      </w:r>
      <w:r w:rsidR="00162EA0" w:rsidRPr="00162EA0">
        <w:rPr>
          <w:sz w:val="24"/>
          <w:lang w:val="sk-SK"/>
        </w:rPr>
        <w:t xml:space="preserve"> </w:t>
      </w:r>
      <w:r w:rsidR="00162EA0" w:rsidRPr="00162EA0">
        <w:rPr>
          <w:sz w:val="24"/>
          <w:lang w:val="sk-SK"/>
        </w:rPr>
        <w:tab/>
      </w:r>
      <w:r w:rsidRPr="00162EA0">
        <w:rPr>
          <w:sz w:val="24"/>
          <w:lang w:val="sk-SK"/>
        </w:rPr>
        <w:t>https://www.europarl.europa.eu/doceo/document/TA-9-2023-0295_SK.html.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E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E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E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4/2024"/>
    <w:docVar w:name="dvlangue" w:val="SK"/>
    <w:docVar w:name="dvnumam" w:val="0"/>
    <w:docVar w:name="dvpe" w:val="753.486"/>
    <w:docVar w:name="dvrapporteur" w:val="Spravodajca: "/>
    <w:docVar w:name="dvtitre" w:val="Rozhodnutie Európskeho parlamentu z xx. apríla 2024 o absolutóriu za plnenie všeobecného rozpočtu Európskej únie za rozpočtový rok 2022, oddiel VIII – európsky ombudsman(2023/2137(DEC))"/>
  </w:docVars>
  <w:rsids>
    <w:rsidRoot w:val="00685D90"/>
    <w:rsid w:val="00002272"/>
    <w:rsid w:val="00064002"/>
    <w:rsid w:val="000677B9"/>
    <w:rsid w:val="000831BA"/>
    <w:rsid w:val="000A42CC"/>
    <w:rsid w:val="000E04CA"/>
    <w:rsid w:val="000E2727"/>
    <w:rsid w:val="000E7DD9"/>
    <w:rsid w:val="0010095E"/>
    <w:rsid w:val="00101111"/>
    <w:rsid w:val="00125B37"/>
    <w:rsid w:val="00162EA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7C6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5D9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288"/>
    <w:rsid w:val="00817416"/>
    <w:rsid w:val="00842779"/>
    <w:rsid w:val="00863259"/>
    <w:rsid w:val="00865F67"/>
    <w:rsid w:val="00881A7B"/>
    <w:rsid w:val="008840E5"/>
    <w:rsid w:val="00887B3E"/>
    <w:rsid w:val="008C2AC6"/>
    <w:rsid w:val="008F3416"/>
    <w:rsid w:val="00930C23"/>
    <w:rsid w:val="0093193B"/>
    <w:rsid w:val="009509D8"/>
    <w:rsid w:val="00950B64"/>
    <w:rsid w:val="00981893"/>
    <w:rsid w:val="00A1687D"/>
    <w:rsid w:val="00A43E52"/>
    <w:rsid w:val="00A4678D"/>
    <w:rsid w:val="00A76CA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613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5D7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8B84C0"/>
  <w15:chartTrackingRefBased/>
  <w15:docId w15:val="{68110834-2E87-4E34-908D-88FB9032A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76CA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76CA2"/>
    <w:pPr>
      <w:spacing w:before="480" w:after="240"/>
    </w:pPr>
  </w:style>
  <w:style w:type="paragraph" w:customStyle="1" w:styleId="PageHeading">
    <w:name w:val="PageHeading"/>
    <w:basedOn w:val="Normal"/>
    <w:rsid w:val="00A76CA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76CA2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A76CA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76C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76CA2"/>
    <w:rPr>
      <w:sz w:val="24"/>
      <w:lang w:val="sk-SK"/>
    </w:rPr>
  </w:style>
  <w:style w:type="paragraph" w:customStyle="1" w:styleId="EPFooter">
    <w:name w:val="EPFooter"/>
    <w:basedOn w:val="Normal"/>
    <w:rsid w:val="00A76CA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A76CA2"/>
    <w:rPr>
      <w:sz w:val="24"/>
      <w:lang w:val="sk-SK"/>
    </w:rPr>
  </w:style>
  <w:style w:type="paragraph" w:styleId="Footer">
    <w:name w:val="footer"/>
    <w:basedOn w:val="Normal"/>
    <w:link w:val="FooterChar"/>
    <w:rsid w:val="008F34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F3416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D3D04-5437-4C7A-B611-97715A02A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3643</Words>
  <Characters>22409</Characters>
  <Application>Microsoft Office Word</Application>
  <DocSecurity>0</DocSecurity>
  <Lines>186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Karina Pesa</cp:lastModifiedBy>
  <cp:revision>3</cp:revision>
  <cp:lastPrinted>2004-11-19T15:42:00Z</cp:lastPrinted>
  <dcterms:created xsi:type="dcterms:W3CDTF">2024-04-11T16:10:00Z</dcterms:created>
  <dcterms:modified xsi:type="dcterms:W3CDTF">2024-10-30T19:07:00Z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A9-0084/2024</vt:lpwstr>
  </property>
  <property fmtid="{D5CDD505-2E9C-101B-9397-08002B2CF9AE}" pid="4" name="&lt;Type&gt;">
    <vt:lpwstr>RR</vt:lpwstr>
  </property>
</Properties>
</file>