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554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A5543" w:rsidRDefault="009119C6" w:rsidP="0010095E">
            <w:pPr>
              <w:pStyle w:val="EPName"/>
            </w:pPr>
            <w:r w:rsidRPr="002A5543">
              <w:t>Evropský parlament</w:t>
            </w:r>
          </w:p>
          <w:p w:rsidR="00751A4A" w:rsidRPr="002A554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554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A5543" w:rsidRDefault="00187494" w:rsidP="0010095E">
            <w:pPr>
              <w:pStyle w:val="EPLogo"/>
            </w:pPr>
            <w:r w:rsidRPr="002A554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A5543" w:rsidRDefault="00D058B8" w:rsidP="004C5D52">
      <w:pPr>
        <w:pStyle w:val="LineTop"/>
      </w:pPr>
    </w:p>
    <w:p w:rsidR="00680577" w:rsidRPr="002A5543" w:rsidRDefault="009119C6" w:rsidP="00680577">
      <w:pPr>
        <w:pStyle w:val="EPBodyTA1"/>
      </w:pPr>
      <w:r w:rsidRPr="002A5543">
        <w:t>PŘIJATÉ TEXTY</w:t>
      </w:r>
    </w:p>
    <w:p w:rsidR="00D058B8" w:rsidRPr="002A5543" w:rsidRDefault="00D058B8" w:rsidP="00D058B8">
      <w:pPr>
        <w:pStyle w:val="LineBottom"/>
      </w:pPr>
    </w:p>
    <w:p w:rsidR="009119C6" w:rsidRPr="002A5543" w:rsidRDefault="009119C6" w:rsidP="009119C6">
      <w:pPr>
        <w:pStyle w:val="ATHeading1"/>
      </w:pPr>
      <w:bookmarkStart w:id="0" w:name="TANumber"/>
      <w:r w:rsidRPr="002A5543">
        <w:t>P9_TA(2024)0</w:t>
      </w:r>
      <w:r w:rsidR="005F6A82">
        <w:t>235</w:t>
      </w:r>
      <w:bookmarkStart w:id="1" w:name="_GoBack"/>
      <w:bookmarkEnd w:id="0"/>
      <w:bookmarkEnd w:id="1"/>
    </w:p>
    <w:p w:rsidR="009119C6" w:rsidRPr="002A5543" w:rsidRDefault="009119C6" w:rsidP="009119C6">
      <w:pPr>
        <w:pStyle w:val="ATHeading2"/>
      </w:pPr>
      <w:bookmarkStart w:id="2" w:name="title"/>
      <w:r w:rsidRPr="002A5543">
        <w:t>Udělení absolutoria za rok 2022: souhrnný rozpočet EU – Evropský inspektor ochrany údajů</w:t>
      </w:r>
      <w:bookmarkEnd w:id="2"/>
    </w:p>
    <w:p w:rsidR="009119C6" w:rsidRPr="002A5543" w:rsidRDefault="009119C6" w:rsidP="009119C6">
      <w:pPr>
        <w:rPr>
          <w:i/>
          <w:vanish/>
        </w:rPr>
      </w:pPr>
      <w:r w:rsidRPr="002A5543">
        <w:rPr>
          <w:i/>
        </w:rPr>
        <w:fldChar w:fldCharType="begin"/>
      </w:r>
      <w:r w:rsidRPr="002A5543">
        <w:rPr>
          <w:i/>
        </w:rPr>
        <w:instrText xml:space="preserve"> TC"(</w:instrText>
      </w:r>
      <w:bookmarkStart w:id="3" w:name="DocNumber"/>
      <w:r w:rsidRPr="002A5543">
        <w:rPr>
          <w:i/>
        </w:rPr>
        <w:instrText>A9-0086/2024</w:instrText>
      </w:r>
      <w:bookmarkEnd w:id="3"/>
      <w:r w:rsidRPr="002A5543">
        <w:rPr>
          <w:i/>
        </w:rPr>
        <w:instrText xml:space="preserve"> - Zpravodaj: </w:instrText>
      </w:r>
      <w:proofErr w:type="spellStart"/>
      <w:r w:rsidRPr="002A5543">
        <w:rPr>
          <w:i/>
        </w:rPr>
        <w:instrText>Luke</w:instrText>
      </w:r>
      <w:proofErr w:type="spellEnd"/>
      <w:r w:rsidRPr="002A5543">
        <w:rPr>
          <w:i/>
        </w:rPr>
        <w:instrText xml:space="preserve"> Ming </w:instrText>
      </w:r>
      <w:proofErr w:type="spellStart"/>
      <w:r w:rsidRPr="002A5543">
        <w:rPr>
          <w:i/>
        </w:rPr>
        <w:instrText>Flanagan</w:instrText>
      </w:r>
      <w:proofErr w:type="spellEnd"/>
      <w:r w:rsidRPr="002A5543">
        <w:rPr>
          <w:i/>
        </w:rPr>
        <w:instrText xml:space="preserve">)"\l3 \n&gt; \* MERGEFORMAT </w:instrText>
      </w:r>
      <w:r w:rsidRPr="002A5543">
        <w:rPr>
          <w:i/>
        </w:rPr>
        <w:fldChar w:fldCharType="end"/>
      </w:r>
    </w:p>
    <w:p w:rsidR="009119C6" w:rsidRPr="002A5543" w:rsidRDefault="009119C6" w:rsidP="009119C6">
      <w:pPr>
        <w:rPr>
          <w:vanish/>
        </w:rPr>
      </w:pPr>
      <w:bookmarkStart w:id="4" w:name="Commission"/>
      <w:r w:rsidRPr="002A5543">
        <w:rPr>
          <w:vanish/>
        </w:rPr>
        <w:t>Výbor pro rozpočtovou kontrolu</w:t>
      </w:r>
      <w:bookmarkEnd w:id="4"/>
    </w:p>
    <w:p w:rsidR="009119C6" w:rsidRPr="002A5543" w:rsidRDefault="009119C6" w:rsidP="009119C6">
      <w:pPr>
        <w:rPr>
          <w:vanish/>
        </w:rPr>
      </w:pPr>
      <w:bookmarkStart w:id="5" w:name="PE"/>
      <w:r w:rsidRPr="002A5543">
        <w:rPr>
          <w:vanish/>
        </w:rPr>
        <w:t>PE753.487</w:t>
      </w:r>
      <w:bookmarkEnd w:id="5"/>
    </w:p>
    <w:p w:rsidR="009119C6" w:rsidRPr="002A5543" w:rsidRDefault="009119C6" w:rsidP="009119C6">
      <w:pPr>
        <w:pStyle w:val="ATHeading3"/>
      </w:pPr>
      <w:bookmarkStart w:id="6" w:name="Sujet"/>
      <w:r w:rsidRPr="002A5543">
        <w:t>1. Rozhodnutí Evropského parlamentu ze dne 11. dubna 2024 o udělení absolutoria za plnění souhrnného rozpočtu Evropské unie na rozpočtový rok 2022, oddíl IX – Evropský inspektor ochrany údajů</w:t>
      </w:r>
      <w:bookmarkEnd w:id="6"/>
      <w:r w:rsidRPr="002A5543">
        <w:t xml:space="preserve"> </w:t>
      </w:r>
      <w:bookmarkStart w:id="7" w:name="References"/>
      <w:r w:rsidRPr="002A5543">
        <w:t>(2023/2138(DEC))</w:t>
      </w:r>
      <w:bookmarkEnd w:id="7"/>
    </w:p>
    <w:p w:rsidR="00994072" w:rsidRPr="002A5543" w:rsidRDefault="00994072" w:rsidP="00994072">
      <w:pPr>
        <w:pStyle w:val="EPComma"/>
      </w:pPr>
      <w:bookmarkStart w:id="8" w:name="TextBodyBegin"/>
      <w:bookmarkEnd w:id="8"/>
      <w:r w:rsidRPr="002A5543">
        <w:rPr>
          <w:i/>
        </w:rPr>
        <w:t>Evropský parlament</w:t>
      </w:r>
      <w:r w:rsidRPr="002A5543">
        <w:t>,</w:t>
      </w:r>
    </w:p>
    <w:p w:rsidR="00994072" w:rsidRPr="002A5543" w:rsidRDefault="00994072" w:rsidP="00994072">
      <w:pPr>
        <w:pStyle w:val="NormalHanging12a"/>
      </w:pPr>
      <w:r w:rsidRPr="002A5543">
        <w:t>–</w:t>
      </w:r>
      <w:r w:rsidRPr="002A5543">
        <w:tab/>
        <w:t>s ohledem na souhrnný rozpočet Evropské unie na rozpočtový rok 2022</w:t>
      </w:r>
      <w:r w:rsidRPr="002A5543">
        <w:rPr>
          <w:rStyle w:val="FootnoteReference"/>
        </w:rPr>
        <w:footnoteReference w:id="1"/>
      </w:r>
      <w:r w:rsidRPr="002A5543">
        <w:t>,</w:t>
      </w:r>
    </w:p>
    <w:p w:rsidR="00994072" w:rsidRPr="002A5543" w:rsidRDefault="00994072" w:rsidP="00994072">
      <w:pPr>
        <w:pStyle w:val="NormalHanging12a"/>
      </w:pPr>
      <w:r w:rsidRPr="002A5543">
        <w:t>–</w:t>
      </w:r>
      <w:r w:rsidRPr="002A5543">
        <w:tab/>
        <w:t>s ohledem na konsolidovanou roční účetní závěrku Evropské unie za rozpočtový rok 2022 (COM(2023)0391 – C9-0257/2023)</w:t>
      </w:r>
      <w:r w:rsidRPr="002A5543">
        <w:rPr>
          <w:rStyle w:val="FootnoteReference"/>
        </w:rPr>
        <w:footnoteReference w:id="2"/>
      </w:r>
      <w:r w:rsidRPr="002A5543">
        <w:t>,</w:t>
      </w:r>
    </w:p>
    <w:p w:rsidR="00994072" w:rsidRPr="002A5543" w:rsidRDefault="00994072" w:rsidP="00994072">
      <w:pPr>
        <w:pStyle w:val="NormalHanging12a"/>
      </w:pPr>
      <w:r w:rsidRPr="002A5543">
        <w:t>–</w:t>
      </w:r>
      <w:r w:rsidRPr="002A5543">
        <w:tab/>
        <w:t>s ohledem na výroční zprávu evropského inspektora ochrany údajů za rozpočtový rok 2022,</w:t>
      </w:r>
    </w:p>
    <w:p w:rsidR="00994072" w:rsidRPr="002A5543" w:rsidRDefault="00994072" w:rsidP="00994072">
      <w:pPr>
        <w:pStyle w:val="NormalHanging12a"/>
      </w:pPr>
      <w:r w:rsidRPr="002A5543">
        <w:t>–</w:t>
      </w:r>
      <w:r w:rsidRPr="002A5543">
        <w:tab/>
        <w:t>s ohledem na výroční zprávu Účetního dvora o plnění rozpočtu na rozpočtový rok 2022 spolu s odpověďmi orgánů</w:t>
      </w:r>
      <w:r w:rsidRPr="002A5543">
        <w:rPr>
          <w:rStyle w:val="FootnoteReference"/>
        </w:rPr>
        <w:footnoteReference w:id="3"/>
      </w:r>
      <w:r w:rsidRPr="002A5543">
        <w:t>,</w:t>
      </w:r>
    </w:p>
    <w:p w:rsidR="00994072" w:rsidRPr="002A5543" w:rsidRDefault="00994072" w:rsidP="00994072">
      <w:pPr>
        <w:pStyle w:val="NormalHanging12a"/>
      </w:pPr>
      <w:r w:rsidRPr="002A5543">
        <w:t>–</w:t>
      </w:r>
      <w:r w:rsidRPr="002A5543">
        <w:tab/>
        <w:t>s ohledem na prohlášení o věrohodnosti</w:t>
      </w:r>
      <w:r w:rsidRPr="002A5543">
        <w:rPr>
          <w:rStyle w:val="FootnoteReference"/>
        </w:rPr>
        <w:footnoteReference w:id="4"/>
      </w:r>
      <w:r w:rsidRPr="002A5543">
        <w:t xml:space="preserve"> účetnictví a o legalitě a správnosti uskutečněných operací, které předložil Účetní dvůr za rozpočtový rok 2022 podle článku 287 Smlouvy o fungování Evropské unie,</w:t>
      </w:r>
    </w:p>
    <w:p w:rsidR="00994072" w:rsidRPr="002A5543" w:rsidRDefault="00994072" w:rsidP="00994072">
      <w:pPr>
        <w:pStyle w:val="NormalHanging12a"/>
      </w:pPr>
      <w:r w:rsidRPr="002A5543">
        <w:t>–</w:t>
      </w:r>
      <w:r w:rsidRPr="002A5543">
        <w:tab/>
        <w:t>s ohledem na čl. 314 odst. 10 a články 317, 318 a 319 Smlouvy o fungování Evropské unie,</w:t>
      </w:r>
    </w:p>
    <w:p w:rsidR="00994072" w:rsidRPr="002A5543" w:rsidRDefault="00994072" w:rsidP="00994072">
      <w:pPr>
        <w:pStyle w:val="NormalHanging12a"/>
      </w:pPr>
      <w:r w:rsidRPr="002A5543">
        <w:t>–</w:t>
      </w:r>
      <w:r w:rsidRPr="002A5543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 a (EU) č. 283/2014 a rozhodnutí č. 541/2014/EU a zrušuje nařízení (EU, Euratom) č. 966/2012</w:t>
      </w:r>
      <w:r w:rsidRPr="002A5543">
        <w:rPr>
          <w:rStyle w:val="FootnoteReference"/>
        </w:rPr>
        <w:footnoteReference w:id="5"/>
      </w:r>
      <w:r w:rsidRPr="002A5543">
        <w:t xml:space="preserve">, a </w:t>
      </w:r>
      <w:r w:rsidRPr="002A5543">
        <w:lastRenderedPageBreak/>
        <w:t>zejména na články 59, 118, 260, 261 a 262 tohoto nařízení,</w:t>
      </w:r>
    </w:p>
    <w:p w:rsidR="00994072" w:rsidRPr="002A5543" w:rsidRDefault="00994072" w:rsidP="00994072">
      <w:pPr>
        <w:pStyle w:val="NormalHanging12a"/>
      </w:pPr>
      <w:r w:rsidRPr="002A5543">
        <w:t>–</w:t>
      </w:r>
      <w:r w:rsidRPr="002A5543">
        <w:tab/>
      </w:r>
      <w:r w:rsidRPr="002A5543">
        <w:rPr>
          <w:snapToGrid w:val="0"/>
        </w:rPr>
        <w:t>s ohledem na nařízení Evropského parlamentu a Rady (EU) 2018/1725 ze dne 23. října 2018 o ochraně fyzických osob v souvislosti se zpracováním osobních údajů orgány, institucemi a jinými subjekty Unie a o volném pohybu těchto údajů a o zrušení nařízení (ES) č. 45/2001 a rozhodnutí č. 1247/2002/ES, a zejména na článek 54 tohoto nařízení,</w:t>
      </w:r>
    </w:p>
    <w:p w:rsidR="00994072" w:rsidRPr="002A5543" w:rsidRDefault="00994072" w:rsidP="00994072">
      <w:pPr>
        <w:pStyle w:val="NormalHanging12a"/>
      </w:pPr>
      <w:r w:rsidRPr="002A5543">
        <w:t>–</w:t>
      </w:r>
      <w:r w:rsidRPr="002A5543">
        <w:tab/>
        <w:t>s ohledem na článek 100 a přílohu V jednacího řádu,</w:t>
      </w:r>
    </w:p>
    <w:p w:rsidR="00994072" w:rsidRPr="002A5543" w:rsidRDefault="00994072" w:rsidP="00994072">
      <w:pPr>
        <w:pStyle w:val="NormalHanging12a"/>
      </w:pPr>
      <w:r w:rsidRPr="002A5543">
        <w:t>–</w:t>
      </w:r>
      <w:r w:rsidRPr="002A5543">
        <w:tab/>
        <w:t>s ohledem na stanovisko Výboru pro občanské svobody, spravedlnost a vnitřní věci,</w:t>
      </w:r>
    </w:p>
    <w:p w:rsidR="00994072" w:rsidRPr="002A5543" w:rsidRDefault="00994072" w:rsidP="00994072">
      <w:pPr>
        <w:pStyle w:val="NormalHanging12a"/>
      </w:pPr>
      <w:r w:rsidRPr="002A5543">
        <w:t>–</w:t>
      </w:r>
      <w:r w:rsidRPr="002A5543">
        <w:tab/>
        <w:t>s ohledem na zprávu Výboru pro rozpočtovou kontrolu (A9</w:t>
      </w:r>
      <w:r w:rsidRPr="002A5543">
        <w:noBreakHyphen/>
        <w:t>0086/2024),</w:t>
      </w:r>
    </w:p>
    <w:p w:rsidR="00994072" w:rsidRPr="002A5543" w:rsidRDefault="00994072" w:rsidP="00994072">
      <w:pPr>
        <w:pStyle w:val="NormalHanging12a"/>
      </w:pPr>
      <w:r w:rsidRPr="002A5543">
        <w:t>1.</w:t>
      </w:r>
      <w:r w:rsidRPr="002A5543">
        <w:tab/>
        <w:t>uděluje absolutorium evropskému inspektorovi ochrany údajů za plnění rozpočtu evropského inspektora ochrany údajů na rozpočtový rok 2022;</w:t>
      </w:r>
    </w:p>
    <w:p w:rsidR="00994072" w:rsidRPr="002A5543" w:rsidRDefault="00994072" w:rsidP="00994072">
      <w:pPr>
        <w:pStyle w:val="NormalHanging12a"/>
      </w:pPr>
      <w:r w:rsidRPr="002A5543">
        <w:t>2.</w:t>
      </w:r>
      <w:r w:rsidRPr="002A5543">
        <w:tab/>
        <w:t>předkládá své připomínky v níže uvedeném usnesení;</w:t>
      </w:r>
    </w:p>
    <w:p w:rsidR="00994072" w:rsidRPr="002A5543" w:rsidRDefault="00994072" w:rsidP="00994072">
      <w:pPr>
        <w:pStyle w:val="NormalHanging12a"/>
      </w:pPr>
      <w:r w:rsidRPr="002A5543">
        <w:t>3.</w:t>
      </w:r>
      <w:r w:rsidRPr="002A5543">
        <w:tab/>
        <w:t>pověřuje svou předsedkyni, aby předala toto rozhodnutí a usnesení, které je jeho nedílnou součástí, evropskému inspektorovi ochrany údajů, Evropské radě, Radě, Komisi, Účetnímu dvoru, Soudnímu dvoru Evropské unie, evropské veřejné ochránkyni práv a Evropské službě pro vnější činnost a aby zajistila jejich zveřejnění v </w:t>
      </w:r>
      <w:r w:rsidRPr="002A5543">
        <w:rPr>
          <w:i/>
        </w:rPr>
        <w:t>Úředním věstníku Evropské unie</w:t>
      </w:r>
      <w:r w:rsidRPr="002A5543">
        <w:t xml:space="preserve"> (řada L).</w:t>
      </w:r>
    </w:p>
    <w:p w:rsidR="00994072" w:rsidRPr="002A5543" w:rsidRDefault="00994072" w:rsidP="00994072"/>
    <w:p w:rsidR="00994072" w:rsidRPr="002A5543" w:rsidRDefault="00994072" w:rsidP="00994072">
      <w:pPr>
        <w:pStyle w:val="PageHeading"/>
        <w:sectPr w:rsidR="00994072" w:rsidRPr="002A5543" w:rsidSect="002A5543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94072" w:rsidRPr="002A5543" w:rsidRDefault="00994072" w:rsidP="001F411A">
      <w:pPr>
        <w:pStyle w:val="ATHeading3"/>
      </w:pPr>
      <w:bookmarkStart w:id="9" w:name="_Toc161836429"/>
      <w:r w:rsidRPr="002A5543">
        <w:lastRenderedPageBreak/>
        <w:t xml:space="preserve">2. </w:t>
      </w:r>
      <w:r w:rsidR="001F411A" w:rsidRPr="002A5543">
        <w:t>Usnesení Evropského parlamentu</w:t>
      </w:r>
      <w:bookmarkEnd w:id="9"/>
      <w:r w:rsidR="001F411A">
        <w:t xml:space="preserve"> </w:t>
      </w:r>
      <w:r w:rsidR="005B290F" w:rsidRPr="002A5543">
        <w:t xml:space="preserve">ze dne 11. dubna 2024 </w:t>
      </w:r>
      <w:r w:rsidRPr="002A5543">
        <w:t>obsahující připomínky, které jsou nedílnou součástí rozhodnutí o udělení absolutoria za plnění souhrnného rozpočtu Evropské unie na rozpočtový rok 2022, oddíl IX – Evropský inspektor ochrany údajů</w:t>
      </w:r>
      <w:r w:rsidR="001F411A">
        <w:t xml:space="preserve"> </w:t>
      </w:r>
      <w:r w:rsidRPr="002A5543">
        <w:t>(2023/2138(DEC))</w:t>
      </w:r>
    </w:p>
    <w:p w:rsidR="00994072" w:rsidRPr="002A5543" w:rsidRDefault="00994072" w:rsidP="00994072">
      <w:pPr>
        <w:pStyle w:val="EPComma"/>
      </w:pPr>
      <w:r w:rsidRPr="002A5543">
        <w:rPr>
          <w:i/>
        </w:rPr>
        <w:t>Evropský parlament</w:t>
      </w:r>
      <w:r w:rsidRPr="002A5543">
        <w:t>,</w:t>
      </w:r>
    </w:p>
    <w:p w:rsidR="00994072" w:rsidRPr="002A5543" w:rsidRDefault="00994072" w:rsidP="005B290F">
      <w:pPr>
        <w:pStyle w:val="NormalHanging12a"/>
      </w:pPr>
      <w:r w:rsidRPr="002A5543">
        <w:t>–</w:t>
      </w:r>
      <w:r w:rsidRPr="002A5543">
        <w:tab/>
        <w:t>s ohledem na své rozhodnutí o udělení absolutoria za plnění souhrnného rozpočtu Evropské unie na rozpočtový rok 2022, oddíl IX – Evropský inspektor ochrany údajů,</w:t>
      </w:r>
    </w:p>
    <w:p w:rsidR="00994072" w:rsidRPr="002A5543" w:rsidRDefault="00994072" w:rsidP="005B290F">
      <w:pPr>
        <w:pStyle w:val="NormalHanging12a"/>
      </w:pPr>
      <w:r w:rsidRPr="002A5543">
        <w:t>–</w:t>
      </w:r>
      <w:r w:rsidRPr="002A5543">
        <w:tab/>
        <w:t>s ohledem na článek 100 a přílohu V jednacího řádu,</w:t>
      </w:r>
    </w:p>
    <w:p w:rsidR="00994072" w:rsidRPr="002A5543" w:rsidRDefault="00994072" w:rsidP="005B290F">
      <w:pPr>
        <w:pStyle w:val="NormalHanging12a"/>
      </w:pPr>
      <w:r w:rsidRPr="002A5543">
        <w:t>–</w:t>
      </w:r>
      <w:r w:rsidRPr="002A5543">
        <w:tab/>
        <w:t>s ohledem na stanovisko Výboru pro občanské svobody, spravedlnost a vnitřní věci,</w:t>
      </w:r>
    </w:p>
    <w:p w:rsidR="00994072" w:rsidRPr="002A5543" w:rsidRDefault="00994072" w:rsidP="005B290F">
      <w:pPr>
        <w:pStyle w:val="NormalHanging12a"/>
      </w:pPr>
      <w:r w:rsidRPr="002A5543">
        <w:t>–</w:t>
      </w:r>
      <w:r w:rsidRPr="002A5543">
        <w:tab/>
        <w:t>s ohledem na zprávu Výboru pro rozpočtovou kontrolu (A9</w:t>
      </w:r>
      <w:r w:rsidRPr="002A5543">
        <w:noBreakHyphen/>
        <w:t>0086/2024),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A.</w:t>
      </w:r>
      <w:r w:rsidRPr="002A5543">
        <w:tab/>
        <w:t>vzhledem k tomu, že v rámci postupu udělování absolutoria hodlá orgán příslušný k udělení absolutoria klást zvláštní důraz na další posilování demokratické legitimity orgánů a institucí Unie zvyšováním transparentnosti a zodpovědnosti, uplatňováním konceptu sestavování rozpočtu podle výkonnosti a řádným řízením lidských zdrojů;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B.</w:t>
      </w:r>
      <w:r w:rsidRPr="002A5543">
        <w:tab/>
        <w:t>vzhledem k tomu, že ochrana údajů je základním právem chráněným evropskými právními předpisy a zakotveným v článku 8 Listiny základních práv Evropské unie;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C.</w:t>
      </w:r>
      <w:r w:rsidRPr="002A5543">
        <w:tab/>
        <w:t>vzhledem k tomu, že článek 16 Smlouvy o fungování Evropské unie stanoví, že dodržování pravidel týkajících se ochrany fyzických osob v souvislosti se zpracováním jejich osobních údajů podléhá kontrole nezávislého orgánu;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D.</w:t>
      </w:r>
      <w:r w:rsidRPr="002A5543">
        <w:tab/>
        <w:t>vzhledem k tomu, že nařízení (EU) 2018/1725 stanoví zřízení nezávislého orgánu, tj. evropského inspektora ochrany údajů (EIOÚ), který odpovídá za ochranu a zaručení práva na ochranu údajů a soukromí a jehož úkolem je zajištění toho, aby orgány, instituce nebo jiné subjekty Unie uplatňovaly silnou kulturu ochrany údajů;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E.</w:t>
      </w:r>
      <w:r w:rsidRPr="002A5543">
        <w:tab/>
        <w:t>vzhledem k tomu, že EIOÚ vykonává své funkce v úzké spolupráci s dalšími úřady pro ochranu osobních údajů v rámci Evropského sboru pro ochranu osobních údajů (EDPB) a slouží veřejnému zájmu, přičemž se řídí zásadami nestrannosti, integrity, transparentnosti a pragmatismu;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F.</w:t>
      </w:r>
      <w:r w:rsidRPr="002A5543">
        <w:tab/>
        <w:t>vzhledem k tomu, že EIOÚ pověřil až do 13. listopadu 2022 výkonem pravomocí schvalující osoby ředitele a poté vedoucího administrativy v souladu s listinou úkolů a povinností týkajících se rozpočtu a správy EIOÚ stanovenou v souladu s čl. 72 odst. 2 nařízení Evropského parlamentu a Rady (EU, Euratom) 2018/1046, zatímco v souladu s rozhodnutím EIOÚ ze dne 1. března 2017 vykonává funkci účetního EIOÚ účetní Komise;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1.</w:t>
      </w:r>
      <w:r w:rsidRPr="002A5543">
        <w:tab/>
        <w:t xml:space="preserve">konstatuje, že rozpočet EIOÚ spadá do okruhu 7 </w:t>
      </w:r>
      <w:r w:rsidR="00A73942">
        <w:t>víceletého finančního rámce</w:t>
      </w:r>
      <w:r w:rsidRPr="002A5543">
        <w:t xml:space="preserve"> „Evropská veřejná správa“, který v roce 2022 činil celkem 11,6 miliardy EUR, tj. 5,9 % rozpočtových výdajů Unie; konstatuje, že rozpočet EIOÚ představoval 0,17 % prostředků okruhu 7 </w:t>
      </w:r>
      <w:r w:rsidR="00A73942">
        <w:t>víceletého finančního rámce</w:t>
      </w:r>
      <w:r w:rsidRPr="002A5543">
        <w:t>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2.</w:t>
      </w:r>
      <w:r w:rsidRPr="002A5543">
        <w:tab/>
        <w:t xml:space="preserve">konstatuje, že Evropský účetní dvůr (dále jen „Účetní dvůr“) ve výroční zprávě za </w:t>
      </w:r>
      <w:r w:rsidRPr="002A5543">
        <w:lastRenderedPageBreak/>
        <w:t>rozpočtový rok 2022 zkoumal vzorek 60 transakcí v oddílu Správa, což je stejný počet, jako v roce 2021; dále konstatuje, že Účetní dvůr uvádí, že správní výdaje zahrnují výdaje na lidské zdroje včetně důchodů, které v roce 2022 představovaly přibližně 70 % celkových správních výdajů, a výdaje na budovy, vybavení, energie a komunikace a informační technologie a že z jeho dlouholeté zkušenosti vyplývá, že tyto výdaje celkově vykazují nízké riziko;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3.</w:t>
      </w:r>
      <w:r w:rsidRPr="002A5543">
        <w:tab/>
        <w:t xml:space="preserve">konstatuje, že Účetní dvůr v rámci svého auditu za rok 2022 prověřil systémy dohledu a kontroly EIOÚ, zejména provádění norem vnitřní kontroly, řízení rizik a fungování klíčových kontrol stanovených ve finančním nařízení, včetně kontrol </w:t>
      </w:r>
      <w:r w:rsidRPr="00165ECF">
        <w:rPr>
          <w:i/>
        </w:rPr>
        <w:t xml:space="preserve">ex ante </w:t>
      </w:r>
      <w:r w:rsidRPr="00481457">
        <w:t>a</w:t>
      </w:r>
      <w:r w:rsidRPr="00165ECF">
        <w:rPr>
          <w:i/>
        </w:rPr>
        <w:t> ex post</w:t>
      </w:r>
      <w:r w:rsidRPr="002A5543">
        <w:t xml:space="preserve"> u plateb;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4.</w:t>
      </w:r>
      <w:r w:rsidRPr="002A5543">
        <w:tab/>
        <w:t>konstatuje, že 14 (23 %) z 60 transakcí obsahovalo chyby, ale že Účetní dvůr na základě pěti chyb, které byly vyčísleny, odhaduje, že míra chyb je pod prahem významnosti;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5.</w:t>
      </w:r>
      <w:r w:rsidRPr="002A5543">
        <w:tab/>
        <w:t>s uspokojením konstatuje, že Účetní dvůr ve výroční zprávě za rozpočtový rok 2022 uvádí, že nezjistil žádné specifické problémy týkající se EIOÚ;</w:t>
      </w:r>
    </w:p>
    <w:p w:rsidR="00994072" w:rsidRPr="002A5543" w:rsidRDefault="00994072" w:rsidP="005B290F">
      <w:pPr>
        <w:pStyle w:val="NormalHanging12a"/>
        <w:rPr>
          <w:b/>
          <w:i/>
          <w:szCs w:val="24"/>
        </w:rPr>
      </w:pPr>
      <w:r w:rsidRPr="002A5543">
        <w:rPr>
          <w:b/>
          <w:i/>
        </w:rPr>
        <w:t>Rozpočtové a finanční řízení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6.</w:t>
      </w:r>
      <w:r w:rsidRPr="002A5543">
        <w:tab/>
        <w:t>konstatuje, že v roce 2022 činil konečný schválený rozpočet EIOÚ 20 266 000 EUR, což oproti roku 2021 představuje nárůst o 4,12 %; bere na vědomí, že EIOÚ obdržel 50 000 EUR účelově vázaných příjmů v souvislosti se službami poskytovanými dozorčímu orgánu ESVO na základě dohody o poskytování služeb; bere na vědomí, že rozpočet EIOÚ pokrývá rovněž činnost nezávislého sekretariátu Evropského sboru pro ochranu osobních údajů (dále jen „sbor“);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7.</w:t>
      </w:r>
      <w:r w:rsidRPr="002A5543">
        <w:tab/>
        <w:t>s uspokojením konstatuje, že míra plnění rozpočtu v roce 2022 dosáhla 98 %, což je více než v předchozím roce, kdy míra plnění rozpočtu činila 86 %;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8.</w:t>
      </w:r>
      <w:r w:rsidRPr="002A5543">
        <w:tab/>
        <w:t>konstatuje, že ruská útočná válka proti Ukrajině vyvinula na EIOÚ rozpočtový tlak, mimo jiné v důsledku rostoucí inflace a úprav platů, silně rostoucích nákladů na energie a nákladů na zboží a služby prostřednictvím veřejných zakázek a dohod o poskytování služeb s jinými institucemi; vítá vnitřní přerozdělení v rámci rozpočtových kapitol provedené v průběhu roku 2022 s cílem optimalizovat plnění rozpočtu;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9.</w:t>
      </w:r>
      <w:r w:rsidRPr="002A5543">
        <w:tab/>
        <w:t>konstatuje, že v roce 2022 činila průměrná doba úhrady faktur 21,54 dne, což představuje nárůst oproti roku 2021, kdy průměrná doba činila 19,98 dne; vítá zavedení nového elektronického platebního systému pro zpracování faktur souvisejících s náklady na služební cesty předplacenými cestovní kanceláří, který, jakmile bude plně funkční, by měl přispět ke zkrácení doby potřebné k úhradě faktur; vyzývá EIOÚ, aby zvážil možnost rozšíření tohoto systému na další typy plateb;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10.</w:t>
      </w:r>
      <w:r w:rsidRPr="002A5543">
        <w:tab/>
        <w:t>konstatuje, že rozpočet EIOÚ na služební cesty se v letech 2021–2022 zvýšil ze 41 000 EUR na 251 000 EUR, tj. o 512 %, a to v důsledku obnovení cest po pandemii COVID-19; dále konstatuje, že v rámci tohoto celkového rozpočtu měl EIOÚ v roce 2022 vyhrazený rozpočet na služební cesty inspektora ve výši 33 000 EUR oproti 5 000 EUR v roce 2021, tj. o 560 % více; konstatuje, že nárůst inflace a výrazné zvýšení cen energií v roce 2022 v souvislosti s ruskou útočnou válkou proti Ukrajině se nepříznivě projevily na ceně letenek a hotelů, což vedlo ke zvýšení nákladů na služební cesty;</w:t>
      </w:r>
    </w:p>
    <w:p w:rsidR="00994072" w:rsidRPr="002A5543" w:rsidRDefault="00994072" w:rsidP="005B290F">
      <w:pPr>
        <w:pStyle w:val="NormalHanging12a"/>
        <w:rPr>
          <w:b/>
          <w:i/>
          <w:szCs w:val="24"/>
        </w:rPr>
      </w:pPr>
      <w:r w:rsidRPr="002A5543">
        <w:rPr>
          <w:b/>
          <w:i/>
        </w:rPr>
        <w:lastRenderedPageBreak/>
        <w:t>Vnitřní řízení, výkonnost a vnitřní kontrola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11.</w:t>
      </w:r>
      <w:r w:rsidRPr="002A5543">
        <w:tab/>
        <w:t>konstatuje, že v roce 2022 provedl EIOÚ přezkum své strategie na roky 2020–2024 v polovině období se zaměřením na tři pilíře „Prognóza, akce a solidarita“, v němž stanovil novou vizi a priority EIOÚ na období 2022–2024 s cílem „utvářet bezpečnější digitální budoucnost“;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12.</w:t>
      </w:r>
      <w:r w:rsidRPr="002A5543">
        <w:tab/>
        <w:t>bere na vědomí zásadní organizační změny a odpovídající revizi svého jednacího řádu, které EIOÚ provedl v roce 2022 s cílem podpořit plnění svých úkolů a zlepšit účinnost svých procesů s ohledem na rychle se měnící mezinárodní prostředí; konstatuje zejména, že v důsledku těchto změn byla v rámci EIOÚ vytvořena nová funkce vedoucího sekretariátu EIOÚ na úrovni generálního tajemníka, specializovaná funkce právní služby, sekce správy a vnitřního souladu, dvě nové provozní sekce v oddělení pro dozor a prosazování, nová finanční sekce v oddělení lidských zdrojů, rozpočtu a správy a pobočka ve Štrasburku;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13.</w:t>
      </w:r>
      <w:r w:rsidRPr="002A5543">
        <w:tab/>
        <w:t>konstatuje, že dne 28. června 2022, se vstupem v platnost nařízení Evropského parlamentu a Rady (EU) 2022/991</w:t>
      </w:r>
      <w:r w:rsidRPr="002A5543">
        <w:rPr>
          <w:szCs w:val="24"/>
          <w:vertAlign w:val="superscript"/>
        </w:rPr>
        <w:footnoteReference w:id="6"/>
      </w:r>
      <w:r w:rsidRPr="002A5543">
        <w:t xml:space="preserve">, kterým se mění nařízení Evropského parlamentu a Rady (EU) 2016/794 o zřízení </w:t>
      </w:r>
      <w:proofErr w:type="spellStart"/>
      <w:r w:rsidRPr="002A5543">
        <w:t>Europolu</w:t>
      </w:r>
      <w:proofErr w:type="spellEnd"/>
      <w:r w:rsidRPr="002A5543">
        <w:rPr>
          <w:szCs w:val="24"/>
          <w:vertAlign w:val="superscript"/>
        </w:rPr>
        <w:footnoteReference w:id="7"/>
      </w:r>
      <w:r w:rsidRPr="002A5543">
        <w:t xml:space="preserve">, byly skutečně posíleny funkce dohledu EIOÚ v souvislosti s operativními osobními údaji zpracovávanými </w:t>
      </w:r>
      <w:proofErr w:type="spellStart"/>
      <w:r w:rsidRPr="002A5543">
        <w:t>Europolem</w:t>
      </w:r>
      <w:proofErr w:type="spellEnd"/>
      <w:r w:rsidRPr="002A5543">
        <w:t xml:space="preserve"> v rámci jeho mandátu; konstatuje, že organizační změny zavedené v roce 2022, zejména vytvoření nového dílčího útvaru se specializovanými pracovníky v rámci oddělení pro dozor a prosazování, byly provedeny zejména s cílem zohlednit zvláštní pravomoci EIOÚ v souvislosti s dohledem nad agenturami prostoru svobody, bezpečnosti a práva, a to i s ohledem na nové pravomoci EIOÚ v oblasti dohledu ve vztahu k </w:t>
      </w:r>
      <w:proofErr w:type="spellStart"/>
      <w:r w:rsidRPr="002A5543">
        <w:t>Europolu</w:t>
      </w:r>
      <w:proofErr w:type="spellEnd"/>
      <w:r w:rsidRPr="002A5543">
        <w:t>; vyzývá EIOÚ, aby orgán příslušný k udělení absolutoria informoval o každém dalším rozšíření svého mandátu a o jeho dopadu na zdroje;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14.</w:t>
      </w:r>
      <w:r w:rsidRPr="002A5543">
        <w:tab/>
        <w:t xml:space="preserve">konstatuje, že v rámci změn provedených v roce 2022 se EIOÚ snažil zefektivnit své vnitřní postupy, aby se mohl důsledněji zaměřovat na vyšetřování a přesunout specializované pracovníky; konstatuje, že vyšetřování stížností v souvislosti s prosazováním práva, např. stížností občanů na odpovědi </w:t>
      </w:r>
      <w:proofErr w:type="spellStart"/>
      <w:r w:rsidRPr="002A5543">
        <w:t>Europolu</w:t>
      </w:r>
      <w:proofErr w:type="spellEnd"/>
      <w:r w:rsidRPr="002A5543">
        <w:t xml:space="preserve"> na žádosti subjektů údajů o přístup, je často velmi složité a vzhledem k zapojení mnoha zúčastněných stran do tohoto procesu trvá v průměru déle než vyšetřování jiných stížností;</w:t>
      </w:r>
    </w:p>
    <w:p w:rsidR="00994072" w:rsidRPr="002A5543" w:rsidRDefault="00994072" w:rsidP="005B290F">
      <w:pPr>
        <w:pStyle w:val="NormalHanging12a"/>
      </w:pPr>
      <w:r w:rsidRPr="002A5543">
        <w:t>15.</w:t>
      </w:r>
      <w:r w:rsidRPr="002A5543">
        <w:tab/>
        <w:t xml:space="preserve">konstatuje, že EIOÚ v roce 2022 obdržel 367 stížností, tj. o 47 více než v roce 2021, z nichž 65 bylo přípustných a 302 nepřípustných, vedle 129 přípustných stížností, </w:t>
      </w:r>
      <w:proofErr w:type="spellStart"/>
      <w:r w:rsidRPr="002A5543">
        <w:t>ktré</w:t>
      </w:r>
      <w:proofErr w:type="spellEnd"/>
      <w:r w:rsidRPr="002A5543">
        <w:t xml:space="preserve"> v roce 2022 již probíhaly; vítá snahu EIOÚ o snížení vysokého počtu nepřípustných stížností, který se od roku 2019 zdvojnásobil, což vyžaduje více zdrojů k jejich vyřizování; konstatuje, že EIOÚ vydal konečné rozhodnutí, stanovisko nebo odpověď ve 23 z 65 případů stížností obdržených v roce 2022, a to v průměru do 42 dnů; dále konstatuje, že stížnosti občanů týkající se odpovědí </w:t>
      </w:r>
      <w:proofErr w:type="spellStart"/>
      <w:r w:rsidRPr="002A5543">
        <w:t>Europolu</w:t>
      </w:r>
      <w:proofErr w:type="spellEnd"/>
      <w:r w:rsidRPr="002A5543">
        <w:t xml:space="preserve"> na žádosti subjektů údajů </w:t>
      </w:r>
      <w:r w:rsidRPr="002A5543">
        <w:lastRenderedPageBreak/>
        <w:t>o přístup byly vyřizovány v průměru 5 až 12 měsíců; konstatuje, že EIOÚ své postupy průběžně přehodnocuje a v případě potřeby provádí zlepšení na základě získaných zkušeností s cílem dále zefektivňovat vyřizování stížností v zájmu rychlejšího řešení stížností navzdory omezeným zdrojům;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16.</w:t>
      </w:r>
      <w:r w:rsidRPr="002A5543">
        <w:tab/>
        <w:t xml:space="preserve">konstatuje, že v roce 2022 provedl EIOÚ dvě předběžná šetření, u nichž existovaly obavy z možného porušení pravidel ochrany údajů ze strany orgánu Unie, a pokračoval ve třech probíhajících formálních šetřeních ve formě auditů ochrany údajů, z nichž jedno bylo ukončeno v dubnu 2022; dále konstatuje, že EIOÚ rovněž zahájil čtyři šetření v podobě auditů ochrany údajů na základě stížností týkajících se internetových stránek některých orgánů, institucí a jiných subjektů Unie a jedno šetření v odvětví svobody, bezpečnosti a práva a pokračoval v probíhajících šetřeních zahájených v předchozích letech; konstatuje, že audit, který EIOÚ provedl v </w:t>
      </w:r>
      <w:proofErr w:type="spellStart"/>
      <w:r w:rsidRPr="002A5543">
        <w:t>Europolu</w:t>
      </w:r>
      <w:proofErr w:type="spellEnd"/>
      <w:r w:rsidRPr="002A5543">
        <w:t xml:space="preserve"> a jenž se týkal zpracovávání osobních údajů nezletilých osob mladších 15 let označených jako podezřelé, které </w:t>
      </w:r>
      <w:proofErr w:type="spellStart"/>
      <w:r w:rsidRPr="002A5543">
        <w:t>Europolu</w:t>
      </w:r>
      <w:proofErr w:type="spellEnd"/>
      <w:r w:rsidRPr="002A5543">
        <w:t xml:space="preserve"> poskytly třetí země a mezinárodní organizace, byl po téměř desetiměsíčním šetření ukončen v září 2023 poté, co toto téma původně nadnesl EIOÚ v doporučeních adresovaných </w:t>
      </w:r>
      <w:proofErr w:type="spellStart"/>
      <w:r w:rsidRPr="002A5543">
        <w:t>Europolu</w:t>
      </w:r>
      <w:proofErr w:type="spellEnd"/>
      <w:r w:rsidRPr="002A5543">
        <w:t xml:space="preserve"> v prosinci 2018 ohledně zpracovávání citlivých údajů;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17.</w:t>
      </w:r>
      <w:r w:rsidRPr="002A5543">
        <w:tab/>
        <w:t>vyzývá evropského EIOÚ, aby zlepšil svůj postup a přednostně se zaměřoval na nakládání s osobními údaji týkajícími se nezletilých osob mladších 15 let, neboť se jedná o zranitelnou skupinu, která potřebuje zvýšenou ochranu, a tudíž přednostní status;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18.</w:t>
      </w:r>
      <w:r w:rsidRPr="002A5543">
        <w:tab/>
        <w:t>konstatuje, že dne 16. září 2022 podal EIOÚ u Soudního dvora Evropské unie (</w:t>
      </w:r>
      <w:r w:rsidR="00A73942">
        <w:t>dále jen „</w:t>
      </w:r>
      <w:r w:rsidRPr="002A5543">
        <w:t>S</w:t>
      </w:r>
      <w:r w:rsidR="00A73942">
        <w:t>oudní dvůr“</w:t>
      </w:r>
      <w:r w:rsidRPr="002A5543">
        <w:t xml:space="preserve">) žalobu na neplatnost dvou ustanovení pozměněného nařízení o </w:t>
      </w:r>
      <w:proofErr w:type="spellStart"/>
      <w:r w:rsidRPr="002A5543">
        <w:t>Europolu</w:t>
      </w:r>
      <w:proofErr w:type="spellEnd"/>
      <w:r w:rsidRPr="002A5543">
        <w:t>, kterou S</w:t>
      </w:r>
      <w:r w:rsidR="00A73942">
        <w:t>oudní dvůr</w:t>
      </w:r>
      <w:r w:rsidRPr="002A5543">
        <w:t xml:space="preserve"> později zamítl; zdůrazňuje, že skutečnost, že se EIOÚ v rámci své dohledové funkce obrací na S</w:t>
      </w:r>
      <w:r w:rsidR="00A73942">
        <w:t>oudní dvůr</w:t>
      </w:r>
      <w:r w:rsidRPr="002A5543">
        <w:t xml:space="preserve"> s důležitými právními otázkami, by neměla být vnímána tak, že ohrožuje loajální spolupráci a dobré vztahy mezi EIOÚ a subjekty, nad nimiž vykonává dohled;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19.</w:t>
      </w:r>
      <w:r w:rsidRPr="002A5543">
        <w:tab/>
        <w:t>s uspokojením konstatuje, že EIOÚ na konci roku 2022 vypracoval nový rámec pro řízení rizik, čímž posílil svůj rámec vnitřní kontroly a zakotvil</w:t>
      </w:r>
      <w:r w:rsidR="005B290F">
        <w:t xml:space="preserve"> </w:t>
      </w:r>
      <w:r w:rsidRPr="002A5543">
        <w:t>analýzu rizik do svého ročního plánování, které by mělo každoročně určovat</w:t>
      </w:r>
      <w:r w:rsidR="005B290F">
        <w:t xml:space="preserve"> </w:t>
      </w:r>
      <w:r w:rsidRPr="002A5543">
        <w:t>priority EIOÚ;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20.</w:t>
      </w:r>
      <w:r w:rsidRPr="002A5543">
        <w:tab/>
        <w:t xml:space="preserve">oceňuje důležitou úlohu konzultací a poradenství EIOÚ v legislativním procesu; konstatuje, že poradenství EIOÚ mělo podobu 27 stanovisek (12 v roce 2021), 49 formálních připomínek (76 v roce 2021) a 30 neformálních připomínek (29 v roce 2021) určených Komisi a </w:t>
      </w:r>
      <w:proofErr w:type="spellStart"/>
      <w:r w:rsidRPr="002A5543">
        <w:t>spolunormotvůrcům</w:t>
      </w:r>
      <w:proofErr w:type="spellEnd"/>
      <w:r w:rsidRPr="002A5543">
        <w:t xml:space="preserve"> v reakci na žádosti o legislativní konzultaci v roce 2022;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21.</w:t>
      </w:r>
      <w:r w:rsidRPr="002A5543">
        <w:tab/>
        <w:t>vyzývá EIOÚ, aby přezkoumal svůj jednací řád s cílem zajistit včasný přezkum stížností občanů s přihlédnutím ke všem relevantním informacím a informovat orgán příslušný k udělení absolutoria o pokroku, jehož bylo v dané oblasti dosaženo;</w:t>
      </w:r>
    </w:p>
    <w:p w:rsidR="00994072" w:rsidRPr="002A5543" w:rsidRDefault="00994072" w:rsidP="005B290F">
      <w:pPr>
        <w:pStyle w:val="NormalHanging12a"/>
        <w:rPr>
          <w:b/>
          <w:i/>
          <w:szCs w:val="24"/>
        </w:rPr>
      </w:pPr>
      <w:r w:rsidRPr="002A5543">
        <w:rPr>
          <w:b/>
          <w:i/>
        </w:rPr>
        <w:t>Lidské zdroje, rovnost a dobré pracovní podmínky zaměstnanců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22.</w:t>
      </w:r>
      <w:r w:rsidRPr="002A5543">
        <w:tab/>
        <w:t xml:space="preserve">konstatuje, že na konci roku 2022 měl EIOÚ 127 zaměstnanců, zatímco na konci roku 2021 jich bylo 124 a na konci roku 2020 114; konstatuje, že EIOÚ zaměstnával 52 smluvních zaměstnanců podle čl. 3 písm. b) služebního řádu úředníků a pracovního řádu ostatních zaměstnanců a 6 dočasných zaměstnanců podle čl. 2 písm. b) a c); dále </w:t>
      </w:r>
      <w:r w:rsidRPr="002A5543">
        <w:lastRenderedPageBreak/>
        <w:t>konstatuje, že EIOÚ v roce 2022 zaměstnával 8 externích poskytovatelů služeb, kteří pracovali na místě; vyzývá EIOÚ, aby orgán příslušný k udělení absolutoria informoval o opatřeních zavedených k zajištění toho, aby byl přístup externích poskytovatelů služeb k informacím řízen v souladu s úrovní důvěrnosti, kterou dotčené záležitosti vyžadují;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23.</w:t>
      </w:r>
      <w:r w:rsidRPr="002A5543">
        <w:tab/>
        <w:t>domnívá se, že vzhledem k nárůstu pracovní zátěže v důsledku nových úkolů a povinností, jež byly EIOÚ svěřeny, a rovněž vzhledem k mnoha dalším legislativním konzultacím a souborům údajů, které musí monitorovat, by EIOÚ potřeboval přiměřené zvýšení počtu zaměstnanců, aby byly zachovány účinné pracovní postupy s přiměřenou dobou odezvy; vybízí EIOÚ, aby svým zaměstnancům poskytoval smlouvy na dobu neurčitou s cílem zaručit kontinuitu činnosti a jistotu zaměstnání;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24.</w:t>
      </w:r>
      <w:r w:rsidRPr="002A5543">
        <w:tab/>
        <w:t>konstatuje, že na konci roku 2022 činila obsazenost pracovních míst v plánu pracovních míst 86,9 %; vyjadřuje politování nad tím, že míra obsazenosti plánu pracovních míst nedosahuje cíle stanoveného pro rok 2022; je si vědom nedostatku kvalifikovaných odborníků; vybízí EIOÚ, aby přezkoumal užitečné strategie ke zvýšení viditelnosti volných pracovních míst; bere na vědomí, že v roce 2022 uspořádal EIOÚ externí výběrové řízení s cílem sestavit rezervní seznam specializovaných uchazečů s ohledem na personální potřeby od roku 2022;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25.</w:t>
      </w:r>
      <w:r w:rsidRPr="002A5543">
        <w:tab/>
        <w:t>konstatuje, že s ohledem na zkušenosti získané během pandemie COVID-19 přijal EIOÚ v květnu 2022 nové rozhodnutí o pracovní době a hybridní práci, podle kterého si mohou zaměstnanci v rámci režimu flexibilní pracovní doby pružně uspořádat svou pracovní dobu a pracovat na dálku až tři dny v týdnu; vítá výsledky průzkumu mezi zaměstnanci provedeného po přijetí tohoto rozhodnutí, z něhož vyplynulo, že většina zaměstnanců je s novým pracovním režimem spokojena;</w:t>
      </w:r>
    </w:p>
    <w:p w:rsidR="00994072" w:rsidRPr="002A5543" w:rsidRDefault="00994072" w:rsidP="005B290F">
      <w:pPr>
        <w:pStyle w:val="NormalHanging12a"/>
        <w:rPr>
          <w:b/>
          <w:i/>
          <w:szCs w:val="24"/>
        </w:rPr>
      </w:pPr>
      <w:r w:rsidRPr="002A5543">
        <w:t>26.</w:t>
      </w:r>
      <w:r w:rsidRPr="002A5543">
        <w:tab/>
        <w:t>blahopřeje EIOÚ k tomu, že v roce 2022 bylo mezi jeho zaměstnanci zastoupeno 22 národností, což představuje zlepšení oproti roku 2021, kdy v něm bylo zastoupeno 21 národností, a je pro tak malý orgán navzdory nadměrnému zastoupení 5 národností dobrý výsledek; vyzývá EIOÚ, aby usiloval o dosažení spravedlivějšího zeměpisného zastoupení všech členských států a zejména, aby se zaměřoval na řešení nedostatečného zastoupení některých zemí;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27.</w:t>
      </w:r>
      <w:r w:rsidRPr="002A5543">
        <w:tab/>
        <w:t xml:space="preserve">konstatuje, že v roce 2022 bylo u EIOÚ zaměstnáno celkem 64 % žen a 36 % mužů, což odpovídá trendu předchozích let, kdy zastoupení žen činilo 63 % a zastoupení mužů 37 %; lituje, že v roce 2022 nebyla na vyšších vedoucích pozicích žádná žena, zatímco poměr mužů a žen na čtyřech pozicích středního managementu dosáhl v průběhu roku rovnováhy; vyzývá EIOÚ, aby pokračoval ve svém úsilí o dosažení </w:t>
      </w:r>
      <w:proofErr w:type="spellStart"/>
      <w:r w:rsidRPr="002A5543">
        <w:t>genderově</w:t>
      </w:r>
      <w:proofErr w:type="spellEnd"/>
      <w:r w:rsidRPr="002A5543">
        <w:t xml:space="preserve"> vyváženého zastoupení zaměstnanců;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28.</w:t>
      </w:r>
      <w:r w:rsidRPr="002A5543">
        <w:tab/>
        <w:t>s uspokojením konstatuje, že v roce 2022 nebyly u zaměstnanců EIOÚ hlášeny žádné případy vyhoření nebo obtěžování; vítá skutečnost, že EIOÚ zřídil pracovní skupinu, která projednává otázky týkající se rozdělování a přidělování práce v návaznosti na výsledky dvouletého průzkumu spokojenosti zaměstnanců provedeného v červnu 2022, podle něhož se někteří zaměstnanci EIOÚ domnívali, že pracovní zátěž není rovnoměrně rozdělována mezi týmy a kolegy; žádá EIOÚ, aby orgán příslušný k udělení absolutoria informoval o výsledcích jednání pracovní skupiny a o podrobnostech připravovaného akčního plánu;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lastRenderedPageBreak/>
        <w:t>29.</w:t>
      </w:r>
      <w:r w:rsidRPr="002A5543">
        <w:tab/>
        <w:t>vítá dlouhodobou snahu EIOÚ o aktivní zlepšování fyzické a duševní pohody svých zaměstnanců;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30.</w:t>
      </w:r>
      <w:r w:rsidRPr="002A5543">
        <w:tab/>
        <w:t>s uspokojením konstatuje, že EIOÚ v roce 2022 přijal 18 stážistů, kteří byli odměňováni a měli stejný pracovní režim jako ostatní zaměstnanci;</w:t>
      </w:r>
    </w:p>
    <w:p w:rsidR="00994072" w:rsidRPr="002A5543" w:rsidRDefault="00994072" w:rsidP="005B290F">
      <w:pPr>
        <w:pStyle w:val="NormalHanging12a"/>
        <w:rPr>
          <w:b/>
          <w:i/>
          <w:szCs w:val="24"/>
        </w:rPr>
      </w:pPr>
      <w:r w:rsidRPr="002A5543">
        <w:rPr>
          <w:b/>
          <w:i/>
        </w:rPr>
        <w:t>Etický rámec a transparentnost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31.</w:t>
      </w:r>
      <w:r w:rsidRPr="002A5543">
        <w:tab/>
        <w:t>konstatuje, že v roce 2022 se EIOÚ zaměřoval na zvyšování informovanosti zaměstnanců o etickém rámci EIOÚ/EDPB tím, že pořádal povinná specializovaná školení pro všechny zaměstnance a úvodní školení pro nově příchozí zaměstnance EIOÚ/EDPB; vybízí EIOÚ, aby pokračoval ve zvyšování povědomí a organizoval průzkumy s cílem posoudit úroveň povědomí zaměstnanců o etickém rámci EIOÚ a EDPB;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32.</w:t>
      </w:r>
      <w:r w:rsidRPr="002A5543">
        <w:tab/>
        <w:t>vítá celkově vysokou úroveň transparentnosti, které EIOÚ dosáhl, pokud jde o jeho činnosti, zejména pokud jde o zveřejňování pořadu jednání a prohlášení o zájmech inspektora a vedoucího administrativy EIOÚ v souladu s kodexem chování EIOÚ z roku 2019; lituje skutečnosti, že se EIOÚ rozhodl na vedoucího administrativy EIOÚ uplatňovat kodex chování inspektora namísto toho, aby pro vyšší vedoucí pozice přijal zvláštní kodex chování;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33.</w:t>
      </w:r>
      <w:r w:rsidRPr="002A5543">
        <w:tab/>
        <w:t>s uspokojením konstatuje, že EIOÚ nebyl od svého zřízení nikdy předmětem žádného šetření Evropského úřadu pro boj proti podvodům (OLAF);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34.</w:t>
      </w:r>
      <w:r w:rsidRPr="002A5543">
        <w:tab/>
        <w:t>s uspokojením konstatuje, že dvě šetření, která veřejný ochránce práv zahájil v roce 2022 a která se týkala EIOÚ, byla uzavřena, aniž by byl zjištěn nesprávný úřední postup;</w:t>
      </w:r>
    </w:p>
    <w:p w:rsidR="00994072" w:rsidRPr="002A5543" w:rsidRDefault="00994072" w:rsidP="005B290F">
      <w:pPr>
        <w:pStyle w:val="NormalHanging12a"/>
        <w:rPr>
          <w:b/>
          <w:i/>
          <w:szCs w:val="24"/>
        </w:rPr>
      </w:pPr>
      <w:r w:rsidRPr="002A5543">
        <w:t>35.</w:t>
      </w:r>
      <w:r w:rsidRPr="002A5543">
        <w:tab/>
        <w:t>lituje, že se EIOÚ stále formálně nepřipojil k rejstříku transparentnosti; vítá nicméně sladění pravidel transparentnosti EIOÚ se zásadami rejstříku transparentnosti, pokud jde o povinné předběžné kontroly v rejstříku transparentnosti pro schůzky třetích stran s orgánem dohledu a vedoucím administrativy EIOÚ; zdůrazňuje, že transparentnost by mohla být prosazována lépe prostřednictvím aktivního zapisování do rejstříku transparentnosti; opět vyzývá EIOÚ, aby se připojil k rejstříku transparentnosti;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36.</w:t>
      </w:r>
      <w:r w:rsidRPr="002A5543">
        <w:tab/>
        <w:t>konstatuje, že EIOÚ zavedl rámec pro předcházení střetům zájmů na úrovni vyššího vedení a zaměstnanců prostřednictvím kodexů chování, zvyšování informovanosti a prohlášení; s uspokojením konstatuje, že v roce 2022 nebyl zjištěn žádný střet zájmů;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37.</w:t>
      </w:r>
      <w:r w:rsidRPr="002A5543">
        <w:tab/>
        <w:t xml:space="preserve">konstatuje, že EIOÚ má vnitřní pravidla pro oznamování podvodů, která vymezují bezpečné cesty a kanály, jimiž mohou zaměstnanci oznamovat obavy z podvodů, korupce nebo jiných závažných pochybení, aniž by byla dotčena důvěrnost totožnosti oznamovatele a oznamovaných informací; konstatuje, že v roce 2022 nebyly hlášeny žádné případy </w:t>
      </w:r>
      <w:proofErr w:type="spellStart"/>
      <w:r w:rsidRPr="002A5543">
        <w:t>whistleblowingu</w:t>
      </w:r>
      <w:proofErr w:type="spellEnd"/>
      <w:r w:rsidRPr="002A5543">
        <w:t>;</w:t>
      </w:r>
    </w:p>
    <w:p w:rsidR="00994072" w:rsidRPr="002A5543" w:rsidRDefault="00994072" w:rsidP="005B290F">
      <w:pPr>
        <w:pStyle w:val="NormalHanging12a"/>
        <w:rPr>
          <w:b/>
          <w:i/>
          <w:szCs w:val="24"/>
        </w:rPr>
      </w:pPr>
      <w:r w:rsidRPr="002A5543">
        <w:rPr>
          <w:b/>
          <w:i/>
        </w:rPr>
        <w:t>Digitalizace, kybernetická bezpečnost a ochrana údajů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38.</w:t>
      </w:r>
      <w:r w:rsidRPr="002A5543">
        <w:tab/>
        <w:t>konstatuje, že rozpočet na rok 2022 na IT vybavení a projekty byl o 21 % vyšší než v roce 2021; konstatuje, že tyto informace je třeba posuzovat v kontextu toho, že již rozpočet na IT na rok 2021 byl o 20 % vyšší než rozpočet na rok 2020;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lastRenderedPageBreak/>
        <w:t>39.</w:t>
      </w:r>
      <w:r w:rsidRPr="002A5543">
        <w:tab/>
        <w:t>konstatuje, že v roce 2022 provedl EIOÚ v rámci rozsáhlé studie proveditelnosti průzkum IT strategií několika orgánů, institucí a jiných subjektů Unie, který sloužil jako základ pro definování IT strategie EIOÚ pro nadcházející roky; vyzývá EIOÚ, aby orgán příslušný k udělení absolutoria průběžně informoval o výsledcích této analýzy a jejím dopadu na zdroje;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40.</w:t>
      </w:r>
      <w:r w:rsidRPr="002A5543">
        <w:tab/>
        <w:t>konstatuje, že Parlament poskytuje EIOÚ IT vybavení a služby jako jeho interní poskytovatel služeb; vítá úsilí EIOÚ o neustálé zlepšování digitálního pracovního prostoru z hlediska efektivity a bezpečnosti nad rámec toho, co mu poskytuje Parlament; konstatuje, že v této souvislosti bylo třeba ve spolupráci s Parlamentem s ohledem na rozšíření hybridní práce zlepšit kvalitu a výkonnost počítačů poskytovaných zaměstnancům EIOÚ;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41.</w:t>
      </w:r>
      <w:r w:rsidRPr="002A5543">
        <w:tab/>
        <w:t>uznává vedoucí úlohu EIOÚ při zvyšování kybernetické</w:t>
      </w:r>
      <w:r w:rsidR="005B290F">
        <w:t xml:space="preserve"> </w:t>
      </w:r>
      <w:r w:rsidRPr="002A5543">
        <w:t>připravenosti orgánů, institucí a jiných subjektů Unie; konstatuje, že v roce 2022 EIOÚ pokračoval ve zlepšování své připravenosti chránit osobní údaje a citlivé informace před kybernetickými útoky s ohledem na rychle se měnící prostředí kybernetických bezpečnostních hrozeb; blahopřeje EIOÚ k tomu, že před vstupem aktu EU o kybernetické bezpečnosti v platnost přezkoumal své bezpečnostní politiky a metodiky a upravil své smluvní požadavky v oblasti kybernetické bezpečnosti v souladu s pokyny CERT-EU, což je ku prospěchu všech orgánů; konstatuje, že v roce 2022 se EIOÚ nesetkal s žádným kybernetickým útokem;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42.</w:t>
      </w:r>
      <w:r w:rsidRPr="002A5543">
        <w:tab/>
        <w:t>konstatuje, že EIOÚ testuje a vyvíjí inovativní IT řešení s otevřeným zdrojovým kódem, která jsou vstřícná k ochraně soukromí; domnívá se, že EIOÚ by se měl o tyto zkušenosti podělit s ostatními orgány, institucemi a jinými subjekty Unie;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43.</w:t>
      </w:r>
      <w:r w:rsidRPr="002A5543">
        <w:tab/>
        <w:t xml:space="preserve">vítá opatření, která EIOÚ přijal v návaznosti na rozsudek ve věci </w:t>
      </w:r>
      <w:proofErr w:type="spellStart"/>
      <w:r w:rsidRPr="002A5543">
        <w:t>Schrems</w:t>
      </w:r>
      <w:proofErr w:type="spellEnd"/>
      <w:r w:rsidRPr="002A5543">
        <w:t xml:space="preserve"> II, která se v roce 2022 zaměřila zejména na smlouvy orgánů, institucí a jiných subjektů EU se soukromými subjekty, zejména velkými poskytovateli IKT, a na ujednání mezi těmito orgány a veřejnými subjekty mimo EU/EHP nebo mezinárodními organizacemi;</w:t>
      </w:r>
    </w:p>
    <w:p w:rsidR="00994072" w:rsidRPr="002A5543" w:rsidRDefault="00994072" w:rsidP="005B290F">
      <w:pPr>
        <w:pStyle w:val="NormalHanging12a"/>
        <w:rPr>
          <w:b/>
          <w:i/>
          <w:szCs w:val="24"/>
        </w:rPr>
      </w:pPr>
      <w:r w:rsidRPr="002A5543">
        <w:rPr>
          <w:b/>
          <w:i/>
        </w:rPr>
        <w:t>Budovy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44.</w:t>
      </w:r>
      <w:r w:rsidRPr="002A5543">
        <w:tab/>
        <w:t>konstatuje, že po přestěhování veřejného ochránce práv na konci roku 2021 byli EIOÚ a EDPB v roce 2022 jedinými nájemci budovy Parlamentu, v níž sídlili; konstatuje, že po tomto přestěhování byla tři patra budovy kompletně zrekonstruována, aby zde bylo možné umístit zaměstnance EIOÚ a EDPB a přizpůsobit prostory novým pracovním podmínkám po pandemii COVID-19;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45.</w:t>
      </w:r>
      <w:r w:rsidRPr="002A5543">
        <w:tab/>
        <w:t>konstatuje, že pokud jde o přístupnost jeho budovy, je EIOÚ závislý na rozhodnutích přijatých a prováděných Parlamentem v rámci jeho politiky v oblasti budov; vyzývá EIOÚ, aby se zasazoval o to, že je třeba se zaměřovat na potřeby osob s omezenou schopností pohybu a orientace nebo osob se zdravotním postižením, a aby orgán příslušný k udělení absolutoria informoval o všech nových rozhodnutích přijatých v této souvislosti;</w:t>
      </w:r>
    </w:p>
    <w:p w:rsidR="00994072" w:rsidRPr="002A5543" w:rsidRDefault="00994072" w:rsidP="005B290F">
      <w:pPr>
        <w:pStyle w:val="NormalHanging12a"/>
        <w:rPr>
          <w:b/>
          <w:i/>
          <w:szCs w:val="24"/>
        </w:rPr>
      </w:pPr>
      <w:r w:rsidRPr="002A5543">
        <w:rPr>
          <w:b/>
          <w:i/>
        </w:rPr>
        <w:t>Životní prostředí a udržitelnost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46.</w:t>
      </w:r>
      <w:r w:rsidRPr="002A5543">
        <w:tab/>
        <w:t xml:space="preserve">konstatuje, že se EIOÚ nepřipojil k systému pro environmentální řízení podniků a audit (EMAS), ale zavedl několik opatření ke snížení své ekologické stopy, jako je redukce </w:t>
      </w:r>
      <w:r w:rsidRPr="002A5543">
        <w:lastRenderedPageBreak/>
        <w:t>množství papíru díky digitalizaci procesů v oblasti lidských zdrojů nebo recyklace odpadu; konstatuje, že pokud jde o environmentální infrastrukturu, na budově, kterou si Parlament pronajal, nebyly instalovány žádné solární panely; vyzývá EIOÚ, aby orgán příslušný k udělení absolutoria informoval o případném novém rozhodnutí instalovat solární panely na své budově;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47.</w:t>
      </w:r>
      <w:r w:rsidRPr="002A5543">
        <w:tab/>
        <w:t>vítá skutečnost, že EIOÚ nadále podporuje udržitelnou mobilitu tím, že svým zaměstnancům proplácí 50 % měsíčních/ročních poplatků za veřejnou dopravu a že ve svých parkovacích prostorách vyčleňuje zaměstnancům dostatečné místo pro parkování jízdních kol;</w:t>
      </w:r>
    </w:p>
    <w:p w:rsidR="00994072" w:rsidRPr="002A5543" w:rsidRDefault="00994072" w:rsidP="005B290F">
      <w:pPr>
        <w:pStyle w:val="NormalHanging12a"/>
        <w:rPr>
          <w:b/>
          <w:i/>
          <w:szCs w:val="24"/>
        </w:rPr>
      </w:pPr>
      <w:r w:rsidRPr="002A5543">
        <w:rPr>
          <w:b/>
          <w:i/>
        </w:rPr>
        <w:t>Interinstitucionální spolupráce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48.</w:t>
      </w:r>
      <w:r w:rsidRPr="002A5543">
        <w:tab/>
        <w:t>vítá rozpočtové a administrativní úspory dosažené díky interinstitucionální spolupráci, zejména uzavření dohod o poskytování služeb s Parlamentem o pronájmu jeho prostor a používání aplikací jeho informačního systému, dodávkách hardwaru a údržbě a s Komisí o službách v oblasti informačních a komunikačních technologií;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49.</w:t>
      </w:r>
      <w:r w:rsidRPr="002A5543">
        <w:tab/>
        <w:t xml:space="preserve">konstatuje, že EIOÚ úzce, i když neformálně, spolupracuje s úřadem OLAF, </w:t>
      </w:r>
      <w:r w:rsidR="00481457">
        <w:t>Ú</w:t>
      </w:r>
      <w:r w:rsidRPr="002A5543">
        <w:t xml:space="preserve">řadem </w:t>
      </w:r>
      <w:r w:rsidR="00481457" w:rsidRPr="00481457">
        <w:t>evropského veřejného žalobce</w:t>
      </w:r>
      <w:r w:rsidRPr="002A5543">
        <w:t xml:space="preserve"> a Účetním dvorem, kterým vedle své kontrolní úlohy poskytuje poradenství v konkrétních projektech a otázkách; vítá zejména pravidelný dialog v roce 2022 s </w:t>
      </w:r>
      <w:r w:rsidR="00481457">
        <w:t>Ú</w:t>
      </w:r>
      <w:r w:rsidRPr="002A5543">
        <w:t xml:space="preserve">řadem </w:t>
      </w:r>
      <w:r w:rsidR="00481457" w:rsidRPr="00481457">
        <w:t>evropského veřejného žalobce</w:t>
      </w:r>
      <w:r w:rsidRPr="002A5543">
        <w:t>, jakožto nově vytvořeným orgánem; vítá strukturovanější spolupráci EIOÚ s veřejným ochráncem práv prostřednictvím memoranda o porozumění, jehož cílem je definovat ujednání o jejich spolupráci na úrovni vyřizování stížností;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50.</w:t>
      </w:r>
      <w:r w:rsidRPr="002A5543">
        <w:tab/>
        <w:t xml:space="preserve">konstatuje, že interinstitucionální spolupráce s EIOÚ v rámci jeho funkce dohledu je pro ostatní orgány, instituce a jiné subjekty Unie klíčová, aby mohly lépe dodržovat právní rámec ochrany údajů; blahopřeje EIOÚ k tomu, že se ujal vedení při zadávání interinstitucionální zakázky na poskytování služeb </w:t>
      </w:r>
      <w:proofErr w:type="spellStart"/>
      <w:r w:rsidRPr="002A5543">
        <w:t>Nextcloud</w:t>
      </w:r>
      <w:proofErr w:type="spellEnd"/>
      <w:r w:rsidRPr="002A5543">
        <w:t xml:space="preserve"> signatářským orgánům, institucím a jiným subjektům Unie;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51.</w:t>
      </w:r>
      <w:r w:rsidRPr="002A5543">
        <w:tab/>
        <w:t xml:space="preserve">vítá klíčovou úlohu, kterou v roce 2022 EIOÚ sehrál při koordinaci orgánů pro ochranu údajů členských států zastoupených v EDPB s cílem podpořit jednotnou ochranu údajů v celé Unii; bere na vědomí, že se EIOÚ zúčastnil společné kontrolní akce EDPB v roce 2022 týkající se využívání </w:t>
      </w:r>
      <w:proofErr w:type="spellStart"/>
      <w:r w:rsidRPr="002A5543">
        <w:t>cloudových</w:t>
      </w:r>
      <w:proofErr w:type="spellEnd"/>
      <w:r w:rsidRPr="002A5543">
        <w:t xml:space="preserve"> služeb v Unii, jejímž cílem bylo sdílet znalosti a osvědčené postupy mezi EIOÚ, evropskými orgány, institucemi a jinými subjekty Unie a orgány pro ochranu údajů;</w:t>
      </w:r>
    </w:p>
    <w:p w:rsidR="00994072" w:rsidRPr="002A5543" w:rsidRDefault="00994072" w:rsidP="005B290F">
      <w:pPr>
        <w:pStyle w:val="NormalHanging12a"/>
        <w:rPr>
          <w:b/>
          <w:i/>
          <w:szCs w:val="24"/>
        </w:rPr>
      </w:pPr>
      <w:r w:rsidRPr="002A5543">
        <w:rPr>
          <w:b/>
          <w:i/>
        </w:rPr>
        <w:t>Sdělení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52.</w:t>
      </w:r>
      <w:r w:rsidRPr="002A5543">
        <w:tab/>
        <w:t>konstatuje, že rozpočet na komunikaci s veřejností a propagační činnosti v roce 2022 činil 304 665 EUR, což oproti roku 2021 představuje nárůst o 19 %; vítá komplexní komunikační strategii, jejímž cílem je zvýšit povědomí o úloze EIOÚ a významu dodržování pravidel Unie v oblasti ochrany údajů, a to se zaměřením na orgány, instituce a jiné subjekty Unie, odborníky na ochranu údajů v EU i širokou veřejnost;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53.</w:t>
      </w:r>
      <w:r w:rsidRPr="002A5543">
        <w:tab/>
        <w:t>s uspokojením konstatuje, že EIOÚ v roce 2022 uspořádal několik komunikačních akcí v hybridním režimu, zejména významnou mezinárodní konferenci na téma „Budoucnost ochrany údajů: efektivní prosazování práva v digitálním světě“, do níž se zapojilo více než 2 000 účastníků, a to jak osobně, tak na dálku;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lastRenderedPageBreak/>
        <w:t>54.</w:t>
      </w:r>
      <w:r w:rsidRPr="002A5543">
        <w:tab/>
        <w:t xml:space="preserve">konstatuje, že EIOÚ komunikuje online prostřednictvím svých internetových stránek a účtů na sociálních sítích X (bývalý </w:t>
      </w:r>
      <w:proofErr w:type="spellStart"/>
      <w:r w:rsidRPr="002A5543">
        <w:t>Twitter</w:t>
      </w:r>
      <w:proofErr w:type="spellEnd"/>
      <w:r w:rsidRPr="002A5543">
        <w:t xml:space="preserve">) (29 100 sledujících), </w:t>
      </w:r>
      <w:proofErr w:type="spellStart"/>
      <w:r w:rsidRPr="002A5543">
        <w:t>LinkedIn</w:t>
      </w:r>
      <w:proofErr w:type="spellEnd"/>
      <w:r w:rsidRPr="002A5543">
        <w:t xml:space="preserve"> (63 000 sledujících), </w:t>
      </w:r>
      <w:proofErr w:type="spellStart"/>
      <w:r w:rsidRPr="002A5543">
        <w:t>YouTube</w:t>
      </w:r>
      <w:proofErr w:type="spellEnd"/>
      <w:r w:rsidRPr="002A5543">
        <w:t xml:space="preserve"> (275 000 sledujících), EU </w:t>
      </w:r>
      <w:proofErr w:type="spellStart"/>
      <w:r w:rsidRPr="002A5543">
        <w:t>Voice</w:t>
      </w:r>
      <w:proofErr w:type="spellEnd"/>
      <w:r w:rsidRPr="002A5543">
        <w:t xml:space="preserve"> (5 100 sledujících) a EU Video (690 sledujících); konstatuje, že EIOÚ zahájil v roce 2022 několik kampaní v sociálních médiích, které byly zaměřeny na propagaci konkrétních iniciativ nebo byly realizovány ve spolupráci s jinými orgány, institucemi a subjekty Unie, aby zvýšil dosah a průběžně své publikum informoval o svých činnostech;</w:t>
      </w:r>
    </w:p>
    <w:p w:rsidR="00994072" w:rsidRPr="002A5543" w:rsidRDefault="00994072" w:rsidP="005B290F">
      <w:pPr>
        <w:pStyle w:val="NormalHanging12a"/>
        <w:rPr>
          <w:szCs w:val="24"/>
        </w:rPr>
      </w:pPr>
      <w:r w:rsidRPr="002A5543">
        <w:t>55.</w:t>
      </w:r>
      <w:r w:rsidRPr="002A5543">
        <w:tab/>
        <w:t>bere na vědomí vedoucí úlohu EIOÚ při pilotním testování a podpoře kanálů sociálních médií, které přispívají ke strategii Unie v oblasti dat a digitální suverenity v souladu s právním rámcem pro ochranu údajů;</w:t>
      </w:r>
    </w:p>
    <w:p w:rsidR="00994072" w:rsidRPr="002A5543" w:rsidRDefault="00994072" w:rsidP="005B290F">
      <w:pPr>
        <w:spacing w:after="240"/>
        <w:ind w:left="567" w:hanging="567"/>
      </w:pPr>
      <w:r w:rsidRPr="002A5543">
        <w:t>56.</w:t>
      </w:r>
      <w:r w:rsidRPr="002A5543">
        <w:tab/>
        <w:t xml:space="preserve">opět vyjadřuje svou podporu úsilí EIOÚ monitorovat a vysvětlovat širší veřejnosti nový technologický vývoj a jeho možný dopad na ochranu údajů a soukromí například prostřednictvím zpráv </w:t>
      </w:r>
      <w:proofErr w:type="spellStart"/>
      <w:r w:rsidRPr="002A5543">
        <w:t>TechDispatch</w:t>
      </w:r>
      <w:proofErr w:type="spellEnd"/>
      <w:r w:rsidRPr="002A5543">
        <w:t xml:space="preserve"> a </w:t>
      </w:r>
      <w:proofErr w:type="spellStart"/>
      <w:r w:rsidRPr="002A5543">
        <w:t>TechSonar</w:t>
      </w:r>
      <w:proofErr w:type="spellEnd"/>
      <w:r w:rsidRPr="002A5543">
        <w:t>; dále vybízí EIOÚ, aby posílil své kapacity v oblasti monitorování technologií a připravil o svých zjištěních a doporučeních informační kampaně.</w:t>
      </w:r>
    </w:p>
    <w:sectPr w:rsidR="00994072" w:rsidRPr="002A5543" w:rsidSect="002A554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19C6" w:rsidRPr="002A5543" w:rsidRDefault="009119C6">
      <w:r w:rsidRPr="002A5543">
        <w:separator/>
      </w:r>
    </w:p>
  </w:endnote>
  <w:endnote w:type="continuationSeparator" w:id="0">
    <w:p w:rsidR="009119C6" w:rsidRPr="002A5543" w:rsidRDefault="009119C6">
      <w:r w:rsidRPr="002A554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072" w:rsidRPr="002A5543" w:rsidRDefault="00994072" w:rsidP="00A83C4A">
    <w:pPr>
      <w:pStyle w:val="EPFooter"/>
    </w:pPr>
    <w:r w:rsidRPr="002A5543">
      <w:t>PE</w:t>
    </w:r>
    <w:r w:rsidRPr="002A5543">
      <w:rPr>
        <w:rStyle w:val="HideTWBExt"/>
      </w:rPr>
      <w:t>&lt;</w:t>
    </w:r>
    <w:proofErr w:type="spellStart"/>
    <w:r w:rsidRPr="002A5543">
      <w:rPr>
        <w:rStyle w:val="HideTWBExt"/>
      </w:rPr>
      <w:t>NoPE</w:t>
    </w:r>
    <w:proofErr w:type="spellEnd"/>
    <w:r w:rsidRPr="002A5543">
      <w:rPr>
        <w:rStyle w:val="HideTWBExt"/>
      </w:rPr>
      <w:t>&gt;</w:t>
    </w:r>
    <w:r w:rsidRPr="002A5543">
      <w:t>753.487</w:t>
    </w:r>
    <w:r w:rsidRPr="002A5543">
      <w:rPr>
        <w:rStyle w:val="HideTWBExt"/>
      </w:rPr>
      <w:t>&lt;/</w:t>
    </w:r>
    <w:proofErr w:type="spellStart"/>
    <w:r w:rsidRPr="002A5543">
      <w:rPr>
        <w:rStyle w:val="HideTWBExt"/>
      </w:rPr>
      <w:t>NoPE</w:t>
    </w:r>
    <w:proofErr w:type="spellEnd"/>
    <w:r w:rsidRPr="002A5543">
      <w:rPr>
        <w:rStyle w:val="HideTWBExt"/>
      </w:rPr>
      <w:t>&gt;&lt;Version&gt;</w:t>
    </w:r>
    <w:r w:rsidRPr="002A5543">
      <w:t>v02-00</w:t>
    </w:r>
    <w:r w:rsidRPr="002A5543">
      <w:rPr>
        <w:rStyle w:val="HideTWBExt"/>
      </w:rPr>
      <w:t>&lt;/</w:t>
    </w:r>
    <w:proofErr w:type="spellStart"/>
    <w:r w:rsidRPr="002A5543">
      <w:rPr>
        <w:rStyle w:val="HideTWBExt"/>
      </w:rPr>
      <w:t>Version</w:t>
    </w:r>
    <w:proofErr w:type="spellEnd"/>
    <w:r w:rsidRPr="002A5543">
      <w:rPr>
        <w:rStyle w:val="HideTWBExt"/>
      </w:rPr>
      <w:t>&gt;</w:t>
    </w:r>
    <w:r w:rsidRPr="002A5543">
      <w:tab/>
    </w:r>
    <w:r w:rsidRPr="002A5543">
      <w:fldChar w:fldCharType="begin"/>
    </w:r>
    <w:r w:rsidRPr="002A5543">
      <w:instrText xml:space="preserve"> PAGE  \* MERGEFORMAT </w:instrText>
    </w:r>
    <w:r w:rsidRPr="002A5543">
      <w:fldChar w:fldCharType="separate"/>
    </w:r>
    <w:r w:rsidR="002A5543" w:rsidRPr="002A5543">
      <w:rPr>
        <w:noProof/>
      </w:rPr>
      <w:t>2</w:t>
    </w:r>
    <w:r w:rsidRPr="002A5543">
      <w:fldChar w:fldCharType="end"/>
    </w:r>
    <w:r w:rsidRPr="002A5543">
      <w:t>/</w:t>
    </w:r>
    <w:fldSimple w:instr=" NUMPAGES  \* MERGEFORMAT ">
      <w:r w:rsidR="002A5543" w:rsidRPr="002A5543">
        <w:rPr>
          <w:noProof/>
        </w:rPr>
        <w:t>12</w:t>
      </w:r>
    </w:fldSimple>
    <w:r w:rsidRPr="002A5543">
      <w:tab/>
    </w:r>
    <w:r w:rsidRPr="002A5543">
      <w:rPr>
        <w:rStyle w:val="HideTWBExt"/>
      </w:rPr>
      <w:t>&lt;PathFdR&gt;</w:t>
    </w:r>
    <w:r w:rsidRPr="002A5543">
      <w:t>RR\1298695CS.docx</w:t>
    </w:r>
    <w:r w:rsidRPr="002A5543">
      <w:rPr>
        <w:rStyle w:val="HideTWBExt"/>
      </w:rPr>
      <w:t>&lt;/</w:t>
    </w:r>
    <w:proofErr w:type="spellStart"/>
    <w:r w:rsidRPr="002A5543">
      <w:rPr>
        <w:rStyle w:val="HideTWBExt"/>
      </w:rPr>
      <w:t>PathFdR</w:t>
    </w:r>
    <w:proofErr w:type="spellEnd"/>
    <w:r w:rsidRPr="002A5543">
      <w:rPr>
        <w:rStyle w:val="HideTWBExt"/>
      </w:rPr>
      <w:t>&gt;</w:t>
    </w:r>
  </w:p>
  <w:p w:rsidR="00994072" w:rsidRPr="002A5543" w:rsidRDefault="00994072" w:rsidP="00A83C4A">
    <w:pPr>
      <w:pStyle w:val="EPFooter2"/>
    </w:pPr>
    <w:r w:rsidRPr="002A5543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072" w:rsidRPr="002A5543" w:rsidRDefault="00994072" w:rsidP="00A83C4A">
    <w:pPr>
      <w:pStyle w:val="EPFooter"/>
    </w:pPr>
    <w:r w:rsidRPr="002A5543">
      <w:rPr>
        <w:rStyle w:val="HideTWBExt"/>
      </w:rPr>
      <w:t>&lt;PathFdR&gt;</w:t>
    </w:r>
    <w:r w:rsidRPr="002A5543">
      <w:t>RR\1298695CS.docx</w:t>
    </w:r>
    <w:r w:rsidRPr="002A5543">
      <w:rPr>
        <w:rStyle w:val="HideTWBExt"/>
      </w:rPr>
      <w:t>&lt;/</w:t>
    </w:r>
    <w:proofErr w:type="spellStart"/>
    <w:r w:rsidRPr="002A5543">
      <w:rPr>
        <w:rStyle w:val="HideTWBExt"/>
      </w:rPr>
      <w:t>PathFdR</w:t>
    </w:r>
    <w:proofErr w:type="spellEnd"/>
    <w:r w:rsidRPr="002A5543">
      <w:rPr>
        <w:rStyle w:val="HideTWBExt"/>
      </w:rPr>
      <w:t>&gt;</w:t>
    </w:r>
    <w:r w:rsidRPr="002A5543">
      <w:tab/>
    </w:r>
    <w:r w:rsidRPr="002A5543">
      <w:tab/>
      <w:t>PE</w:t>
    </w:r>
    <w:r w:rsidRPr="002A5543">
      <w:rPr>
        <w:rStyle w:val="HideTWBExt"/>
      </w:rPr>
      <w:t>&lt;</w:t>
    </w:r>
    <w:proofErr w:type="spellStart"/>
    <w:r w:rsidRPr="002A5543">
      <w:rPr>
        <w:rStyle w:val="HideTWBExt"/>
      </w:rPr>
      <w:t>NoPE</w:t>
    </w:r>
    <w:proofErr w:type="spellEnd"/>
    <w:r w:rsidRPr="002A5543">
      <w:rPr>
        <w:rStyle w:val="HideTWBExt"/>
      </w:rPr>
      <w:t>&gt;</w:t>
    </w:r>
    <w:r w:rsidRPr="002A5543">
      <w:t>753.487</w:t>
    </w:r>
    <w:r w:rsidRPr="002A5543">
      <w:rPr>
        <w:rStyle w:val="HideTWBExt"/>
      </w:rPr>
      <w:t>&lt;/</w:t>
    </w:r>
    <w:proofErr w:type="spellStart"/>
    <w:r w:rsidRPr="002A5543">
      <w:rPr>
        <w:rStyle w:val="HideTWBExt"/>
      </w:rPr>
      <w:t>NoPE</w:t>
    </w:r>
    <w:proofErr w:type="spellEnd"/>
    <w:r w:rsidRPr="002A5543">
      <w:rPr>
        <w:rStyle w:val="HideTWBExt"/>
      </w:rPr>
      <w:t>&gt;&lt;Version&gt;</w:t>
    </w:r>
    <w:r w:rsidRPr="002A5543">
      <w:t>v02-00</w:t>
    </w:r>
    <w:r w:rsidRPr="002A5543">
      <w:rPr>
        <w:rStyle w:val="HideTWBExt"/>
      </w:rPr>
      <w:t>&lt;/</w:t>
    </w:r>
    <w:proofErr w:type="spellStart"/>
    <w:r w:rsidRPr="002A5543">
      <w:rPr>
        <w:rStyle w:val="HideTWBExt"/>
      </w:rPr>
      <w:t>Version</w:t>
    </w:r>
    <w:proofErr w:type="spellEnd"/>
    <w:r w:rsidRPr="002A5543">
      <w:rPr>
        <w:rStyle w:val="HideTWBExt"/>
      </w:rPr>
      <w:t>&gt;</w:t>
    </w:r>
  </w:p>
  <w:p w:rsidR="00994072" w:rsidRPr="002A5543" w:rsidRDefault="00994072" w:rsidP="00A83C4A">
    <w:pPr>
      <w:pStyle w:val="EPFooter2"/>
    </w:pPr>
    <w:r w:rsidRPr="002A5543">
      <w:t>CS</w:t>
    </w:r>
    <w:r w:rsidRPr="002A5543">
      <w:tab/>
    </w:r>
    <w:r w:rsidRPr="002A5543">
      <w:rPr>
        <w:b w:val="0"/>
        <w:i/>
        <w:color w:val="C0C0C0"/>
        <w:sz w:val="22"/>
      </w:rPr>
      <w:t>Jednotná v rozmanitosti</w:t>
    </w:r>
    <w:r w:rsidRPr="002A5543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5543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5543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554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19C6" w:rsidRPr="002A5543" w:rsidRDefault="009119C6">
      <w:r w:rsidRPr="002A5543">
        <w:separator/>
      </w:r>
    </w:p>
  </w:footnote>
  <w:footnote w:type="continuationSeparator" w:id="0">
    <w:p w:rsidR="009119C6" w:rsidRPr="002A5543" w:rsidRDefault="009119C6">
      <w:r w:rsidRPr="002A5543">
        <w:continuationSeparator/>
      </w:r>
    </w:p>
  </w:footnote>
  <w:footnote w:id="1">
    <w:p w:rsidR="00994072" w:rsidRPr="002A5543" w:rsidRDefault="00994072" w:rsidP="002A5543">
      <w:pPr>
        <w:pStyle w:val="FootnoteText"/>
        <w:ind w:left="567" w:hanging="567"/>
        <w:rPr>
          <w:sz w:val="24"/>
          <w:lang w:val="cs-CZ"/>
        </w:rPr>
      </w:pPr>
      <w:r w:rsidRPr="002A5543">
        <w:rPr>
          <w:rStyle w:val="FootnoteReference"/>
          <w:sz w:val="24"/>
          <w:lang w:val="cs-CZ"/>
        </w:rPr>
        <w:footnoteRef/>
      </w:r>
      <w:r w:rsidR="002A5543" w:rsidRPr="002A5543">
        <w:rPr>
          <w:sz w:val="24"/>
          <w:lang w:val="cs-CZ"/>
        </w:rPr>
        <w:t xml:space="preserve"> </w:t>
      </w:r>
      <w:r w:rsidR="002A5543" w:rsidRPr="002A5543">
        <w:rPr>
          <w:sz w:val="24"/>
          <w:lang w:val="cs-CZ"/>
        </w:rPr>
        <w:tab/>
      </w:r>
      <w:proofErr w:type="spellStart"/>
      <w:r w:rsidRPr="002A5543">
        <w:rPr>
          <w:sz w:val="24"/>
          <w:lang w:val="cs-CZ"/>
        </w:rPr>
        <w:t>Úř</w:t>
      </w:r>
      <w:proofErr w:type="spellEnd"/>
      <w:r w:rsidRPr="002A5543">
        <w:rPr>
          <w:sz w:val="24"/>
          <w:lang w:val="cs-CZ"/>
        </w:rPr>
        <w:t xml:space="preserve">. </w:t>
      </w:r>
      <w:proofErr w:type="spellStart"/>
      <w:r w:rsidRPr="002A5543">
        <w:rPr>
          <w:sz w:val="24"/>
          <w:lang w:val="cs-CZ"/>
        </w:rPr>
        <w:t>věst</w:t>
      </w:r>
      <w:proofErr w:type="spellEnd"/>
      <w:r w:rsidRPr="002A5543">
        <w:rPr>
          <w:sz w:val="24"/>
          <w:lang w:val="cs-CZ"/>
        </w:rPr>
        <w:t>. L 45, 24.2.2022.</w:t>
      </w:r>
    </w:p>
  </w:footnote>
  <w:footnote w:id="2">
    <w:p w:rsidR="00994072" w:rsidRPr="002A5543" w:rsidRDefault="00994072" w:rsidP="002A5543">
      <w:pPr>
        <w:pStyle w:val="FootnoteText"/>
        <w:ind w:left="567" w:hanging="567"/>
        <w:rPr>
          <w:sz w:val="24"/>
          <w:lang w:val="cs-CZ"/>
        </w:rPr>
      </w:pPr>
      <w:r w:rsidRPr="002A5543">
        <w:rPr>
          <w:rStyle w:val="FootnoteReference"/>
          <w:sz w:val="24"/>
          <w:lang w:val="cs-CZ"/>
        </w:rPr>
        <w:footnoteRef/>
      </w:r>
      <w:r w:rsidR="002A5543" w:rsidRPr="002A5543">
        <w:rPr>
          <w:sz w:val="24"/>
          <w:lang w:val="cs-CZ"/>
        </w:rPr>
        <w:t xml:space="preserve"> </w:t>
      </w:r>
      <w:r w:rsidR="002A5543" w:rsidRPr="002A5543">
        <w:rPr>
          <w:sz w:val="24"/>
          <w:lang w:val="cs-CZ"/>
        </w:rPr>
        <w:tab/>
      </w:r>
      <w:proofErr w:type="spellStart"/>
      <w:r w:rsidRPr="002A5543">
        <w:rPr>
          <w:sz w:val="24"/>
          <w:lang w:val="cs-CZ"/>
        </w:rPr>
        <w:t>Úř</w:t>
      </w:r>
      <w:proofErr w:type="spellEnd"/>
      <w:r w:rsidRPr="002A5543">
        <w:rPr>
          <w:sz w:val="24"/>
          <w:lang w:val="cs-CZ"/>
        </w:rPr>
        <w:t xml:space="preserve">. </w:t>
      </w:r>
      <w:proofErr w:type="spellStart"/>
      <w:r w:rsidRPr="002A5543">
        <w:rPr>
          <w:sz w:val="24"/>
          <w:lang w:val="cs-CZ"/>
        </w:rPr>
        <w:t>věst</w:t>
      </w:r>
      <w:proofErr w:type="spellEnd"/>
      <w:r w:rsidRPr="002A5543">
        <w:rPr>
          <w:sz w:val="24"/>
          <w:lang w:val="cs-CZ"/>
        </w:rPr>
        <w:t>. C, C/2023/2, 12.10.2023.</w:t>
      </w:r>
    </w:p>
  </w:footnote>
  <w:footnote w:id="3">
    <w:p w:rsidR="00994072" w:rsidRPr="002A5543" w:rsidRDefault="00994072" w:rsidP="002A5543">
      <w:pPr>
        <w:pStyle w:val="FootnoteText"/>
        <w:ind w:left="567" w:hanging="567"/>
        <w:rPr>
          <w:sz w:val="24"/>
          <w:lang w:val="cs-CZ"/>
        </w:rPr>
      </w:pPr>
      <w:r w:rsidRPr="002A5543">
        <w:rPr>
          <w:rStyle w:val="FootnoteReference"/>
          <w:sz w:val="24"/>
          <w:lang w:val="cs-CZ"/>
        </w:rPr>
        <w:footnoteRef/>
      </w:r>
      <w:r w:rsidR="002A5543" w:rsidRPr="002A5543">
        <w:rPr>
          <w:sz w:val="24"/>
          <w:lang w:val="cs-CZ"/>
        </w:rPr>
        <w:t xml:space="preserve"> </w:t>
      </w:r>
      <w:r w:rsidR="002A5543" w:rsidRPr="002A5543">
        <w:rPr>
          <w:sz w:val="24"/>
          <w:lang w:val="cs-CZ"/>
        </w:rPr>
        <w:tab/>
      </w:r>
      <w:proofErr w:type="spellStart"/>
      <w:r w:rsidRPr="002A5543">
        <w:rPr>
          <w:sz w:val="24"/>
          <w:lang w:val="cs-CZ"/>
        </w:rPr>
        <w:t>Úř</w:t>
      </w:r>
      <w:proofErr w:type="spellEnd"/>
      <w:r w:rsidRPr="002A5543">
        <w:rPr>
          <w:sz w:val="24"/>
          <w:lang w:val="cs-CZ"/>
        </w:rPr>
        <w:t xml:space="preserve">. </w:t>
      </w:r>
      <w:proofErr w:type="spellStart"/>
      <w:r w:rsidRPr="002A5543">
        <w:rPr>
          <w:sz w:val="24"/>
          <w:lang w:val="cs-CZ"/>
        </w:rPr>
        <w:t>věst</w:t>
      </w:r>
      <w:proofErr w:type="spellEnd"/>
      <w:r w:rsidRPr="002A5543">
        <w:rPr>
          <w:sz w:val="24"/>
          <w:lang w:val="cs-CZ"/>
        </w:rPr>
        <w:t>. C, C/2023/103, 4.10.2023.</w:t>
      </w:r>
    </w:p>
  </w:footnote>
  <w:footnote w:id="4">
    <w:p w:rsidR="00994072" w:rsidRPr="002A5543" w:rsidRDefault="00994072" w:rsidP="002A5543">
      <w:pPr>
        <w:pStyle w:val="FootnoteText"/>
        <w:ind w:left="567" w:hanging="567"/>
        <w:rPr>
          <w:sz w:val="24"/>
          <w:lang w:val="cs-CZ"/>
        </w:rPr>
      </w:pPr>
      <w:r w:rsidRPr="002A5543">
        <w:rPr>
          <w:rStyle w:val="FootnoteReference"/>
          <w:sz w:val="24"/>
          <w:lang w:val="cs-CZ"/>
        </w:rPr>
        <w:footnoteRef/>
      </w:r>
      <w:r w:rsidR="002A5543" w:rsidRPr="002A5543">
        <w:rPr>
          <w:sz w:val="24"/>
          <w:lang w:val="cs-CZ"/>
        </w:rPr>
        <w:t xml:space="preserve"> </w:t>
      </w:r>
      <w:r w:rsidR="002A5543" w:rsidRPr="002A5543">
        <w:rPr>
          <w:sz w:val="24"/>
          <w:lang w:val="cs-CZ"/>
        </w:rPr>
        <w:tab/>
      </w:r>
      <w:proofErr w:type="spellStart"/>
      <w:r w:rsidRPr="002A5543">
        <w:rPr>
          <w:sz w:val="24"/>
          <w:lang w:val="cs-CZ"/>
        </w:rPr>
        <w:t>Úř</w:t>
      </w:r>
      <w:proofErr w:type="spellEnd"/>
      <w:r w:rsidRPr="002A5543">
        <w:rPr>
          <w:sz w:val="24"/>
          <w:lang w:val="cs-CZ"/>
        </w:rPr>
        <w:t xml:space="preserve">. </w:t>
      </w:r>
      <w:proofErr w:type="spellStart"/>
      <w:r w:rsidRPr="002A5543">
        <w:rPr>
          <w:sz w:val="24"/>
          <w:lang w:val="cs-CZ"/>
        </w:rPr>
        <w:t>věst</w:t>
      </w:r>
      <w:proofErr w:type="spellEnd"/>
      <w:r w:rsidRPr="002A5543">
        <w:rPr>
          <w:sz w:val="24"/>
          <w:lang w:val="cs-CZ"/>
        </w:rPr>
        <w:t>. C, C/2023/112, 12.10.2023.</w:t>
      </w:r>
    </w:p>
  </w:footnote>
  <w:footnote w:id="5">
    <w:p w:rsidR="00994072" w:rsidRPr="002A5543" w:rsidRDefault="00994072" w:rsidP="002A5543">
      <w:pPr>
        <w:pStyle w:val="FootnoteText"/>
        <w:ind w:left="567" w:hanging="567"/>
        <w:rPr>
          <w:sz w:val="24"/>
          <w:szCs w:val="24"/>
          <w:lang w:val="cs-CZ"/>
        </w:rPr>
      </w:pPr>
      <w:r w:rsidRPr="002A5543">
        <w:rPr>
          <w:rStyle w:val="FootnoteReference"/>
          <w:sz w:val="24"/>
          <w:lang w:val="cs-CZ"/>
        </w:rPr>
        <w:footnoteRef/>
      </w:r>
      <w:r w:rsidR="002A5543" w:rsidRPr="002A5543">
        <w:rPr>
          <w:sz w:val="24"/>
          <w:lang w:val="cs-CZ"/>
        </w:rPr>
        <w:t xml:space="preserve"> </w:t>
      </w:r>
      <w:r w:rsidR="002A5543" w:rsidRPr="002A5543">
        <w:rPr>
          <w:sz w:val="24"/>
          <w:lang w:val="cs-CZ"/>
        </w:rPr>
        <w:tab/>
      </w:r>
      <w:proofErr w:type="spellStart"/>
      <w:r w:rsidRPr="002A5543">
        <w:rPr>
          <w:sz w:val="24"/>
          <w:lang w:val="cs-CZ"/>
        </w:rPr>
        <w:t>Úř</w:t>
      </w:r>
      <w:proofErr w:type="spellEnd"/>
      <w:r w:rsidRPr="002A5543">
        <w:rPr>
          <w:sz w:val="24"/>
          <w:lang w:val="cs-CZ"/>
        </w:rPr>
        <w:t xml:space="preserve">. </w:t>
      </w:r>
      <w:proofErr w:type="spellStart"/>
      <w:r w:rsidRPr="002A5543">
        <w:rPr>
          <w:sz w:val="24"/>
          <w:lang w:val="cs-CZ"/>
        </w:rPr>
        <w:t>věst</w:t>
      </w:r>
      <w:proofErr w:type="spellEnd"/>
      <w:r w:rsidRPr="002A5543">
        <w:rPr>
          <w:sz w:val="24"/>
          <w:lang w:val="cs-CZ"/>
        </w:rPr>
        <w:t>. L 193, 30.7.2018, s. 1.</w:t>
      </w:r>
    </w:p>
  </w:footnote>
  <w:footnote w:id="6">
    <w:p w:rsidR="00994072" w:rsidRPr="002A5543" w:rsidRDefault="00994072" w:rsidP="002A5543">
      <w:pPr>
        <w:pStyle w:val="FootnoteText"/>
        <w:ind w:left="567" w:hanging="567"/>
        <w:rPr>
          <w:sz w:val="24"/>
          <w:lang w:val="cs-CZ"/>
        </w:rPr>
      </w:pPr>
      <w:r w:rsidRPr="002A5543">
        <w:rPr>
          <w:rStyle w:val="FootnoteReference"/>
          <w:sz w:val="24"/>
          <w:lang w:val="cs-CZ"/>
        </w:rPr>
        <w:footnoteRef/>
      </w:r>
      <w:r w:rsidR="002A5543" w:rsidRPr="002A5543">
        <w:rPr>
          <w:sz w:val="24"/>
          <w:lang w:val="cs-CZ"/>
        </w:rPr>
        <w:t xml:space="preserve"> </w:t>
      </w:r>
      <w:r w:rsidR="002A5543" w:rsidRPr="002A5543">
        <w:rPr>
          <w:sz w:val="24"/>
          <w:lang w:val="cs-CZ"/>
        </w:rPr>
        <w:tab/>
      </w:r>
      <w:r w:rsidRPr="002A5543">
        <w:rPr>
          <w:sz w:val="24"/>
          <w:lang w:val="cs-CZ"/>
        </w:rPr>
        <w:t xml:space="preserve">Nařízení Evropského parlamentu a Rady (EU) 2022/991 ze dne 8. června 2022, kterým se mění nařízení (EU) 2016/794, pokud jde o spolupráci </w:t>
      </w:r>
      <w:proofErr w:type="spellStart"/>
      <w:r w:rsidRPr="002A5543">
        <w:rPr>
          <w:sz w:val="24"/>
          <w:lang w:val="cs-CZ"/>
        </w:rPr>
        <w:t>Europolu</w:t>
      </w:r>
      <w:proofErr w:type="spellEnd"/>
      <w:r w:rsidRPr="002A5543">
        <w:rPr>
          <w:sz w:val="24"/>
          <w:lang w:val="cs-CZ"/>
        </w:rPr>
        <w:t xml:space="preserve"> se soukromými subjekty, zpracování osobních údajů </w:t>
      </w:r>
      <w:proofErr w:type="spellStart"/>
      <w:r w:rsidRPr="002A5543">
        <w:rPr>
          <w:sz w:val="24"/>
          <w:lang w:val="cs-CZ"/>
        </w:rPr>
        <w:t>Europolem</w:t>
      </w:r>
      <w:proofErr w:type="spellEnd"/>
      <w:r w:rsidRPr="002A5543">
        <w:rPr>
          <w:sz w:val="24"/>
          <w:lang w:val="cs-CZ"/>
        </w:rPr>
        <w:t xml:space="preserve"> pro usnadnění trestního vyšetřování a úlohu </w:t>
      </w:r>
      <w:proofErr w:type="spellStart"/>
      <w:r w:rsidRPr="002A5543">
        <w:rPr>
          <w:sz w:val="24"/>
          <w:lang w:val="cs-CZ"/>
        </w:rPr>
        <w:t>Europolu</w:t>
      </w:r>
      <w:proofErr w:type="spellEnd"/>
      <w:r w:rsidRPr="002A5543">
        <w:rPr>
          <w:sz w:val="24"/>
          <w:lang w:val="cs-CZ"/>
        </w:rPr>
        <w:t xml:space="preserve"> v oblasti výzkumu a inovací (</w:t>
      </w:r>
      <w:proofErr w:type="spellStart"/>
      <w:r w:rsidRPr="002A5543">
        <w:rPr>
          <w:sz w:val="24"/>
          <w:lang w:val="cs-CZ"/>
        </w:rPr>
        <w:t>Úř</w:t>
      </w:r>
      <w:proofErr w:type="spellEnd"/>
      <w:r w:rsidRPr="002A5543">
        <w:rPr>
          <w:sz w:val="24"/>
          <w:lang w:val="cs-CZ"/>
        </w:rPr>
        <w:t xml:space="preserve">. </w:t>
      </w:r>
      <w:proofErr w:type="spellStart"/>
      <w:r w:rsidRPr="002A5543">
        <w:rPr>
          <w:sz w:val="24"/>
          <w:lang w:val="cs-CZ"/>
        </w:rPr>
        <w:t>věst</w:t>
      </w:r>
      <w:proofErr w:type="spellEnd"/>
      <w:r w:rsidRPr="002A5543">
        <w:rPr>
          <w:sz w:val="24"/>
          <w:lang w:val="cs-CZ"/>
        </w:rPr>
        <w:t>. L 169, 27.6.2022, s. 1).</w:t>
      </w:r>
    </w:p>
  </w:footnote>
  <w:footnote w:id="7">
    <w:p w:rsidR="00994072" w:rsidRPr="002A5543" w:rsidRDefault="00994072" w:rsidP="002A5543">
      <w:pPr>
        <w:pStyle w:val="FootnoteText"/>
        <w:ind w:left="567" w:hanging="567"/>
        <w:rPr>
          <w:sz w:val="24"/>
          <w:lang w:val="cs-CZ"/>
        </w:rPr>
      </w:pPr>
      <w:r w:rsidRPr="002A5543">
        <w:rPr>
          <w:rStyle w:val="FootnoteReference"/>
          <w:sz w:val="24"/>
          <w:lang w:val="cs-CZ"/>
        </w:rPr>
        <w:footnoteRef/>
      </w:r>
      <w:r w:rsidR="002A5543" w:rsidRPr="002A5543">
        <w:rPr>
          <w:sz w:val="24"/>
          <w:lang w:val="cs-CZ"/>
        </w:rPr>
        <w:t xml:space="preserve"> </w:t>
      </w:r>
      <w:r w:rsidR="002A5543" w:rsidRPr="002A5543">
        <w:rPr>
          <w:sz w:val="24"/>
          <w:lang w:val="cs-CZ"/>
        </w:rPr>
        <w:tab/>
      </w:r>
      <w:r w:rsidRPr="002A5543">
        <w:rPr>
          <w:sz w:val="24"/>
          <w:lang w:val="cs-CZ"/>
        </w:rPr>
        <w:t>Nařízení Evropského parlamentu a Rady (EU) 2016/794 ze dne 11. května 2016 o Agentuře Evropské unie pro spolupráci v oblasti prosazování práva (</w:t>
      </w:r>
      <w:proofErr w:type="spellStart"/>
      <w:r w:rsidRPr="002A5543">
        <w:rPr>
          <w:sz w:val="24"/>
          <w:lang w:val="cs-CZ"/>
        </w:rPr>
        <w:t>Europol</w:t>
      </w:r>
      <w:proofErr w:type="spellEnd"/>
      <w:r w:rsidRPr="002A5543">
        <w:rPr>
          <w:sz w:val="24"/>
          <w:lang w:val="cs-CZ"/>
        </w:rPr>
        <w:t>) a o zrušení a nahrazení rozhodnutí 2009/371/SVV, 2009/934/SVV, 2009/935/SVV, 2009/936/SVV a 2009/968/SVV (</w:t>
      </w:r>
      <w:proofErr w:type="spellStart"/>
      <w:r w:rsidRPr="002A5543">
        <w:rPr>
          <w:sz w:val="24"/>
          <w:lang w:val="cs-CZ"/>
        </w:rPr>
        <w:t>Úř</w:t>
      </w:r>
      <w:proofErr w:type="spellEnd"/>
      <w:r w:rsidRPr="002A5543">
        <w:rPr>
          <w:sz w:val="24"/>
          <w:lang w:val="cs-CZ"/>
        </w:rPr>
        <w:t xml:space="preserve">. </w:t>
      </w:r>
      <w:proofErr w:type="spellStart"/>
      <w:r w:rsidRPr="002A5543">
        <w:rPr>
          <w:sz w:val="24"/>
          <w:lang w:val="cs-CZ"/>
        </w:rPr>
        <w:t>věst</w:t>
      </w:r>
      <w:proofErr w:type="spellEnd"/>
      <w:r w:rsidRPr="002A5543">
        <w:rPr>
          <w:sz w:val="24"/>
          <w:lang w:val="cs-CZ"/>
        </w:rPr>
        <w:t>. L 135, 24.5.2016, s. 53).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554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554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554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86/2024"/>
    <w:docVar w:name="dvlangue" w:val="CS"/>
    <w:docVar w:name="dvnumam" w:val="0"/>
    <w:docVar w:name="dvpe" w:val="753.487"/>
    <w:docVar w:name="dvrapporteur" w:val="Zpravodaj: "/>
    <w:docVar w:name="dvtitre" w:val="1. Rozhodnutí Evropského parlamentu ze dne 11. dubna 2024 o udělení absolutoria za plnění souhrnného rozpočtu Evropské unie na rozpočtový rok 2022, oddíl IX – Evropský inspektor ochrany údajů(2023/2138(DEC))"/>
  </w:docVars>
  <w:rsids>
    <w:rsidRoot w:val="009119C6"/>
    <w:rsid w:val="00002272"/>
    <w:rsid w:val="00064002"/>
    <w:rsid w:val="000677B9"/>
    <w:rsid w:val="000831BA"/>
    <w:rsid w:val="000A42CC"/>
    <w:rsid w:val="000E7DD9"/>
    <w:rsid w:val="0010095E"/>
    <w:rsid w:val="00125B37"/>
    <w:rsid w:val="00155E63"/>
    <w:rsid w:val="00165ECF"/>
    <w:rsid w:val="00187494"/>
    <w:rsid w:val="001F32AE"/>
    <w:rsid w:val="001F411A"/>
    <w:rsid w:val="002767FF"/>
    <w:rsid w:val="002A5543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1457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290F"/>
    <w:rsid w:val="005C2568"/>
    <w:rsid w:val="005F6A82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19C6"/>
    <w:rsid w:val="00930C23"/>
    <w:rsid w:val="0093193B"/>
    <w:rsid w:val="009509D8"/>
    <w:rsid w:val="00950B64"/>
    <w:rsid w:val="00981893"/>
    <w:rsid w:val="00994072"/>
    <w:rsid w:val="00A1687D"/>
    <w:rsid w:val="00A43E52"/>
    <w:rsid w:val="00A4678D"/>
    <w:rsid w:val="00A73942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266CB9"/>
  <w15:chartTrackingRefBased/>
  <w15:docId w15:val="{0E90C952-BF0C-40FE-BB17-B6F88512F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9407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94072"/>
    <w:pPr>
      <w:spacing w:before="480" w:after="240"/>
    </w:pPr>
  </w:style>
  <w:style w:type="paragraph" w:customStyle="1" w:styleId="PageHeading">
    <w:name w:val="PageHeading"/>
    <w:basedOn w:val="Normal"/>
    <w:rsid w:val="0099407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94072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99407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940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94072"/>
    <w:rPr>
      <w:sz w:val="24"/>
      <w:lang w:val="cs-CZ"/>
    </w:rPr>
  </w:style>
  <w:style w:type="paragraph" w:customStyle="1" w:styleId="EPFooter">
    <w:name w:val="EPFooter"/>
    <w:basedOn w:val="Normal"/>
    <w:rsid w:val="0099407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994072"/>
    <w:rPr>
      <w:sz w:val="24"/>
      <w:lang w:val="cs-CZ"/>
    </w:rPr>
  </w:style>
  <w:style w:type="paragraph" w:styleId="Footer">
    <w:name w:val="footer"/>
    <w:basedOn w:val="Normal"/>
    <w:link w:val="FooterChar"/>
    <w:rsid w:val="001F411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F411A"/>
    <w:rPr>
      <w:sz w:val="24"/>
      <w:lang w:val="cs-CZ"/>
    </w:rPr>
  </w:style>
  <w:style w:type="paragraph" w:styleId="BalloonText">
    <w:name w:val="Balloon Text"/>
    <w:basedOn w:val="Normal"/>
    <w:link w:val="BalloonTextChar"/>
    <w:rsid w:val="001F411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F411A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4AA6D-AEDF-464C-9EDE-E45F30408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4207</Words>
  <Characters>23985</Characters>
  <Application>Microsoft Office Word</Application>
  <DocSecurity>0</DocSecurity>
  <Lines>199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2024-04-11T10:48:00Z</dcterms:created>
  <dcterms:modified xsi:type="dcterms:W3CDTF">2024-04-11T10:48:00Z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A9-0086/2024</vt:lpwstr>
  </property>
  <property fmtid="{D5CDD505-2E9C-101B-9397-08002B2CF9AE}" pid="4" name="&lt;Type&gt;">
    <vt:lpwstr>RR</vt:lpwstr>
  </property>
</Properties>
</file>